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重庆市奉节县经济和信息化委员会</w:t>
      </w:r>
      <w:r>
        <w:rPr>
          <w:rFonts w:hint="eastAsia" w:ascii="方正小标宋_GBK" w:hAnsi="方正小标宋_GBK" w:eastAsia="方正小标宋_GBK" w:cs="方正小标宋_GBK"/>
          <w:sz w:val="44"/>
          <w:szCs w:val="44"/>
          <w:lang w:val="en-US" w:eastAsia="zh-CN"/>
        </w:rPr>
        <w:t>(本级）</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(1)贯彻执行工业和信息化以及中小企业、乡镇企业的法律、法规、规章和方针政策，研究起草工业和信息化以及中小企业、乡镇企业的政策性文件并组织实施。</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(2)提出全县新型工业化战略，协调解决新型工业化进程中的重大问题</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拟订工业和信息化的发展规划并组织实施，推进产业结构战略性调整和优化升级，推进信息化和工业化融合。</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(3)负责提出工业和信息产业项目投资规模和方向，负责工业和信息化的财政性建设资金安排的建议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申报、审核、审批工业和信息化建设项目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规划和组织工业和信息化建设项目，对重点技术改造项目实施监督管理。负责本县工业系统行业管理，研究拟订并组织实施行业中长期规划和年度工作计划。</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(4)监测分析工业和信息产业经济运行态势，统计并发布相关信息，进行预警预测和信息引导，协调解决行业运行发展中的有关问题并提出政策建议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指导除煤炭企业外的重点工业企业安全应急管理和加强行业安全生产工作。</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(5)承担煤、电、工业用油、气、运和重要物资平衡调度的责任</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负责拟定年度工业调控目标并贯彻落实</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负责工业口及重要物资运输的协调平衡和应急预案的编制工作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管理国家药品储备，指导本县盐行业管理。负责对民用船舶行业管理和建造质量安全监管。</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(6)研究工业技术进步和高新技术产业发展规划并组织实施，指导行业技术创新和技术推广进步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指导和推动产学研联合和高新技术推广</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负责工业行业质量管理和品牌战略的推进</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推动软件业、信息服务业和新兴产业发展，制定并组织实施新兴产业的发展规划。</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(7)负责电力、天然气、无线电等行业的行政管理和行政执法</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负责民用爆破器材的监督管理</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负责贯彻落实工业资源综合利用、节约能源、清洁生产工作和设备的行政管理及监督</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组织协调新产品、新技术、新设备、新材料的推广应用，审核、审批相关能源和节能技术改造项目，参与组织协调工业环境保护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负责协调电力、天然气、广播、电讯线缆设施保护工作，负责电力、天然气的统一调控和应急保障，编制下达年度、月度生产、供应、调度计划，实施平衡和协调。</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(8)负责全县中小企业、乡镇企业统计分析、预测监测，指导其建立现代企业制度以及投资方向、产业和产品结构的调整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指导中小企业创业基地建设，指导中小企业的特色产业集群建设</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负责对中小企业扶持资金项目的管理，协调有关专项资金的组织和安排</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依法维护中小企业合法权益。</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(9)推进工业体制改革和管理创新，提高行业结构素质和核心竞争力，指导和促进创意产业发展，搭建创意产业的公共服务平台</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推进创意产业的知识产权保护工作，促进企业研发机构和技术中心的建设</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指导创意企业及创意产业集聚区的对外招商、行业统计等工作。</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(10)牵头统揽全县工业招商，围绕产业链和战略性新兴产业招商引资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对工业项目进行宏观管理，开展投资导向和项目具体实施工作。</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(11)负责指导工矿企业破产、关闭工作，组织实施改制重组，企业兼并，减员增效，扭亏脱困等工作，指导企业加强管理，建立现代企业制度，指导和推进集体企业发展，负责三峡库区淹没工业企业结构调整工作和三峡库区淹没工矿企业后期扶持规划并组织实施，负责减轻企业负担工作。</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(12)负责指导本县工业园区规划和建设，推动工业项目向园区集中，促进特色工业的发展</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协调工业园区优惠政策的落实，指导工业园区企业加强管理，促进全县工业发展。</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(13)统筹推进信息化工作，负责组织制定相关政策并协调信息化建设中的重大问题</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牵头协调电信、广播电视、计算机网络融合工作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指导协调信息资源的开发利用，企业信息化，电子政务发展和电子政务推广以及社会和经济领域的信息化应用推进工作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负责社会公共信息资源共享的协调管理。</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(14)负责信息基础设施建设的规划、协调管理，指导相关部门制定通信管线、公共通信网、专用信息网的规划并承担相应的管理工作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协调电信市场涉及社会公共利益的重大事宜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负责跨行业、跨部门面向社会服务网络的互联互通，统筹规划公用通讯网，推进电信普遍服务，保障重要通信。</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(15)承担相关信息安全管理的责任。负责相关信息安全管理，协调维护全县信息安全和信息安全保障体系建设，指导监督政府部门、重点行业的重要信息系统与基础信息网络的安全体系工作，协调处理网络和信息安全的重大事件</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依法负责无线电管理工作，统一配置和管理全县无线电频率资源，负责本县无线电行政执法、监督。</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(16)负责工业和信息化领域的人才建设规划并组织实施，负责工业企业培训体系的建设和管理。</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(17)为盐业主管机关，负责食盐行业管理和监督，牵头拟订盐业发展规划和组织实施产业政策</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管理全县食盐专营工作，负责储备盐管理工作，保障市场供应和盐行业发展稳定，负责盐业统计分析。</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(18)承办县政府交办的其它事项。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奉节县经济和信息化委员会，一级预算单位，内设机构</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个。其中:办公室、</w:t>
      </w:r>
      <w:r>
        <w:rPr>
          <w:rFonts w:hint="eastAsia" w:ascii="Times New Roman" w:hAnsi="Times New Roman" w:eastAsia="方正仿宋_GBK" w:cs="Times New Roman"/>
          <w:sz w:val="32"/>
          <w:szCs w:val="32"/>
          <w:shd w:val="clear" w:color="auto" w:fill="FFFFFF"/>
          <w:lang w:eastAsia="zh-CN"/>
        </w:rPr>
        <w:t>特色产业科（招商统筹科）、应急管理科、</w:t>
      </w:r>
      <w:r>
        <w:rPr>
          <w:rFonts w:hint="default" w:ascii="Times New Roman" w:hAnsi="Times New Roman" w:eastAsia="方正仿宋_GBK" w:cs="Times New Roman"/>
          <w:sz w:val="32"/>
          <w:szCs w:val="32"/>
          <w:shd w:val="clear" w:color="auto" w:fill="FFFFFF"/>
        </w:rPr>
        <w:t>经济运行科、规划投资科、中小企业科、行业监管科</w:t>
      </w:r>
      <w:r>
        <w:rPr>
          <w:rFonts w:hint="eastAsia" w:ascii="Times New Roman" w:hAnsi="Times New Roman" w:eastAsia="方正仿宋_GBK" w:cs="Times New Roman"/>
          <w:sz w:val="32"/>
          <w:szCs w:val="32"/>
          <w:shd w:val="clear" w:color="auto" w:fill="FFFFFF"/>
          <w:lang w:eastAsia="zh-CN"/>
        </w:rPr>
        <w:t>（行政审批科）</w:t>
      </w:r>
      <w:r>
        <w:rPr>
          <w:rFonts w:hint="default" w:ascii="Times New Roman" w:hAnsi="Times New Roman" w:eastAsia="方正仿宋_GBK" w:cs="Times New Roman"/>
          <w:sz w:val="32"/>
          <w:szCs w:val="32"/>
          <w:shd w:val="clear" w:color="auto" w:fill="FFFFFF"/>
        </w:rPr>
        <w:t>。行政编制数16</w:t>
      </w:r>
      <w:r>
        <w:rPr>
          <w:rFonts w:hint="default" w:ascii="Times New Roman" w:hAnsi="Times New Roman" w:eastAsia="方正仿宋_GBK" w:cs="Times New Roman"/>
          <w:sz w:val="32"/>
          <w:szCs w:val="32"/>
          <w:shd w:val="clear" w:color="auto" w:fill="FFFFFF"/>
          <w:lang w:eastAsia="zh-CN"/>
        </w:rPr>
        <w:t>个</w:t>
      </w:r>
      <w:r>
        <w:rPr>
          <w:rFonts w:hint="default" w:ascii="Times New Roman" w:hAnsi="Times New Roman" w:eastAsia="方正仿宋_GBK" w:cs="Times New Roman"/>
          <w:sz w:val="32"/>
          <w:szCs w:val="32"/>
          <w:shd w:val="clear" w:color="auto" w:fill="FFFFFF"/>
        </w:rPr>
        <w:t>。现在在职人员</w:t>
      </w:r>
      <w:r>
        <w:rPr>
          <w:rFonts w:hint="eastAsia" w:ascii="Times New Roman" w:hAnsi="Times New Roman" w:eastAsia="方正仿宋_GBK" w:cs="Times New Roman"/>
          <w:sz w:val="32"/>
          <w:szCs w:val="32"/>
          <w:shd w:val="clear" w:color="auto" w:fill="FFFFFF"/>
          <w:lang w:val="en-US" w:eastAsia="zh-CN"/>
        </w:rPr>
        <w:t>15</w:t>
      </w:r>
      <w:r>
        <w:rPr>
          <w:rFonts w:hint="default" w:ascii="Times New Roman" w:hAnsi="Times New Roman" w:eastAsia="方正仿宋_GBK" w:cs="Times New Roman"/>
          <w:sz w:val="32"/>
          <w:szCs w:val="32"/>
          <w:shd w:val="clear" w:color="auto" w:fill="FFFFFF"/>
          <w:lang w:val="en-US" w:eastAsia="zh-CN"/>
        </w:rPr>
        <w:t>人</w:t>
      </w:r>
      <w:r>
        <w:rPr>
          <w:rFonts w:hint="default" w:ascii="Times New Roman" w:hAnsi="Times New Roman" w:eastAsia="方正仿宋_GBK" w:cs="Times New Roman"/>
          <w:sz w:val="32"/>
          <w:szCs w:val="32"/>
          <w:shd w:val="clear" w:color="auto" w:fill="FFFFFF"/>
        </w:rPr>
        <w:t>。遗属人员</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eastAsia="zh-CN"/>
        </w:rPr>
        <w:t>人，</w:t>
      </w:r>
      <w:r>
        <w:rPr>
          <w:rFonts w:hint="default" w:ascii="Times New Roman" w:hAnsi="Times New Roman" w:eastAsia="方正仿宋_GBK" w:cs="Times New Roman"/>
          <w:sz w:val="32"/>
          <w:szCs w:val="32"/>
          <w:shd w:val="clear" w:color="auto" w:fill="FFFFFF"/>
          <w:lang w:val="en-US" w:eastAsia="zh-CN"/>
        </w:rPr>
        <w:t>1人无法联系，现遗属领待人员</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人。</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（三）单位构成</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从预算单位构成看，纳入本部门202</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年度决算编制的二级预算单位。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二、部门决算情况说明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eastAsia" w:ascii="Times New Roman" w:hAnsi="Times New Roman" w:eastAsia="方正仿宋_GBK" w:cs="Times New Roman"/>
          <w:sz w:val="32"/>
          <w:szCs w:val="32"/>
          <w:lang w:val="en-US" w:eastAsia="zh-CN"/>
        </w:rPr>
        <w:t>1017.61</w:t>
      </w:r>
      <w:r>
        <w:rPr>
          <w:rFonts w:hint="default" w:ascii="Times New Roman" w:hAnsi="Times New Roman" w:eastAsia="方正仿宋_GBK" w:cs="Times New Roman"/>
          <w:sz w:val="32"/>
          <w:szCs w:val="32"/>
        </w:rPr>
        <w:t>万元，支出总计</w:t>
      </w:r>
      <w:r>
        <w:rPr>
          <w:rFonts w:hint="eastAsia" w:ascii="Times New Roman" w:hAnsi="Times New Roman" w:eastAsia="方正仿宋_GBK" w:cs="Times New Roman"/>
          <w:sz w:val="32"/>
          <w:szCs w:val="32"/>
          <w:lang w:val="en-US" w:eastAsia="zh-CN"/>
        </w:rPr>
        <w:t>1017.61</w:t>
      </w:r>
      <w:r>
        <w:rPr>
          <w:rFonts w:hint="default" w:ascii="Times New Roman" w:hAnsi="Times New Roman" w:eastAsia="方正仿宋_GBK" w:cs="Times New Roman"/>
          <w:sz w:val="32"/>
          <w:szCs w:val="32"/>
        </w:rPr>
        <w:t>万元。收支较上年决算数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70.25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w:t>
      </w:r>
      <w:r>
        <w:rPr>
          <w:rFonts w:hint="eastAsia"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eastAsia" w:ascii="Times New Roman" w:hAnsi="Times New Roman" w:eastAsia="方正仿宋_GBK" w:cs="Times New Roman"/>
          <w:sz w:val="32"/>
          <w:szCs w:val="32"/>
          <w:lang w:val="en-US" w:eastAsia="zh-CN"/>
        </w:rPr>
        <w:t>1017.61</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70.25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其中：财政拨款收入</w:t>
      </w:r>
      <w:r>
        <w:rPr>
          <w:rFonts w:hint="eastAsia" w:ascii="Times New Roman" w:hAnsi="Times New Roman" w:eastAsia="方正仿宋_GBK" w:cs="Times New Roman"/>
          <w:sz w:val="32"/>
          <w:szCs w:val="32"/>
          <w:lang w:val="en-US" w:eastAsia="zh-CN"/>
        </w:rPr>
        <w:t>1017.61</w:t>
      </w:r>
      <w:r>
        <w:rPr>
          <w:rFonts w:hint="default" w:ascii="Times New Roman" w:hAnsi="Times New Roman" w:eastAsia="方正仿宋_GBK" w:cs="Times New Roman"/>
          <w:sz w:val="32"/>
          <w:szCs w:val="32"/>
        </w:rPr>
        <w:t>万元，占100.0%；事业收入0.0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万元，占0.0%；经营收入0.0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万元，占0.0%；其他收入0.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0万元，占0.0%。此外，使用非财政拨款结余和专用结余0.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0万元，年初结转和结余0.0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eastAsia" w:ascii="Times New Roman" w:hAnsi="Times New Roman" w:eastAsia="方正仿宋_GBK" w:cs="Times New Roman"/>
          <w:sz w:val="32"/>
          <w:szCs w:val="32"/>
          <w:lang w:val="en-US" w:eastAsia="zh-CN"/>
        </w:rPr>
        <w:t>1017.61</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70.25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其中：基本支出</w:t>
      </w:r>
      <w:r>
        <w:rPr>
          <w:rFonts w:hint="eastAsia" w:ascii="Times New Roman" w:hAnsi="Times New Roman" w:eastAsia="方正仿宋_GBK" w:cs="Times New Roman"/>
          <w:sz w:val="32"/>
          <w:szCs w:val="32"/>
          <w:lang w:val="en-US" w:eastAsia="zh-CN"/>
        </w:rPr>
        <w:t>705.66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69.3</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311.95</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30.7</w:t>
      </w:r>
      <w:r>
        <w:rPr>
          <w:rFonts w:hint="default" w:ascii="Times New Roman" w:hAnsi="Times New Roman" w:eastAsia="方正仿宋_GBK" w:cs="Times New Roman"/>
          <w:sz w:val="32"/>
          <w:szCs w:val="32"/>
        </w:rPr>
        <w:t>%；经营支出0.0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万元，占0.0%。此外，结余分配0.0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w:t>
      </w:r>
      <w:r>
        <w:rPr>
          <w:rFonts w:hint="eastAsia" w:ascii="Times New Roman" w:hAnsi="Times New Roman" w:eastAsia="方正仿宋_GBK" w:cs="Times New Roman"/>
          <w:sz w:val="32"/>
          <w:szCs w:val="32"/>
          <w:lang w:val="en-US" w:eastAsia="zh-CN"/>
        </w:rPr>
        <w:t>1017.61</w:t>
      </w:r>
      <w:r>
        <w:rPr>
          <w:rFonts w:hint="default" w:ascii="Times New Roman" w:hAnsi="Times New Roman" w:eastAsia="方正仿宋_GBK" w:cs="Times New Roman"/>
          <w:sz w:val="32"/>
          <w:szCs w:val="32"/>
        </w:rPr>
        <w:t>万元。与202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70.25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w:t>
      </w:r>
      <w:r>
        <w:rPr>
          <w:rFonts w:hint="eastAsia"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eastAsia" w:ascii="Times New Roman" w:hAnsi="Times New Roman" w:eastAsia="方正仿宋_GBK" w:cs="Times New Roman"/>
          <w:sz w:val="32"/>
          <w:szCs w:val="32"/>
          <w:lang w:val="en-US" w:eastAsia="zh-CN"/>
        </w:rPr>
        <w:t>1017.61</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70.25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548.23</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53.9</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年底结算改制企业退休养老金企事业补差部分</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lang w:val="en-US" w:eastAsia="zh-CN"/>
        </w:rPr>
        <w:t>中小企业发展专项资金。</w:t>
      </w:r>
      <w:r>
        <w:rPr>
          <w:rFonts w:hint="default" w:ascii="Times New Roman" w:hAnsi="Times New Roman" w:eastAsia="方正仿宋_GBK" w:cs="Times New Roman"/>
          <w:sz w:val="32"/>
          <w:szCs w:val="32"/>
        </w:rPr>
        <w:t>此外，年初财政拨款结转和结余0.0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eastAsia" w:ascii="Times New Roman" w:hAnsi="Times New Roman" w:eastAsia="方正仿宋_GBK" w:cs="Times New Roman"/>
          <w:sz w:val="32"/>
          <w:szCs w:val="32"/>
          <w:lang w:val="en-US" w:eastAsia="zh-CN"/>
        </w:rPr>
        <w:t>1017.61</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70.25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是年底结算改制企业退休养老金企事业补差部分</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lang w:val="en-US" w:eastAsia="zh-CN"/>
        </w:rPr>
        <w:t>中小企业发展专项资金。</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548.23</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53.9</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年底结算改制企业退休养老金企事业补差部分</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lang w:val="en-US" w:eastAsia="zh-CN"/>
        </w:rPr>
        <w:t>中小企业发展专项资金。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年度年末一般公共预算财政拨款结转和结余0.0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本部门202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）社会保障与就业支出</w:t>
      </w:r>
      <w:r>
        <w:rPr>
          <w:rFonts w:hint="eastAsia" w:ascii="Times New Roman" w:hAnsi="Times New Roman" w:eastAsia="方正仿宋_GBK" w:cs="Times New Roman"/>
          <w:sz w:val="32"/>
          <w:szCs w:val="32"/>
          <w:lang w:val="en-US" w:eastAsia="zh-CN"/>
        </w:rPr>
        <w:t>548.13</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53.9</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351.85</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eastAsia="zh-CN"/>
        </w:rPr>
        <w:t>年底结算改制企业退休养老金企事业补差部分</w:t>
      </w:r>
      <w:r>
        <w:rPr>
          <w:rFonts w:hint="eastAsia" w:ascii="Times New Roman" w:hAnsi="Times New Roman" w:eastAsia="方正仿宋_GBK" w:cs="Times New Roman"/>
          <w:sz w:val="32"/>
          <w:szCs w:val="32"/>
          <w:lang w:eastAsia="zh-CN"/>
        </w:rPr>
        <w:t>及人员变动</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20.48</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%，较年初预算数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2.39万元，主要原因是人员变动</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）资源勘探信息等支出</w:t>
      </w:r>
      <w:r>
        <w:rPr>
          <w:rFonts w:hint="eastAsia" w:ascii="Times New Roman" w:hAnsi="Times New Roman" w:eastAsia="方正仿宋_GBK" w:cs="Times New Roman"/>
          <w:sz w:val="32"/>
          <w:szCs w:val="32"/>
          <w:lang w:val="en-US" w:eastAsia="zh-CN"/>
        </w:rPr>
        <w:t>411.4</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40.4</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177.94</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43.3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年底追加项目经费。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24.4</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%，较年初预算数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2.85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11.7</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人员变动</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eastAsia" w:ascii="Times New Roman" w:hAnsi="Times New Roman" w:eastAsia="方正仿宋_GBK" w:cs="Times New Roman"/>
          <w:sz w:val="32"/>
          <w:szCs w:val="32"/>
          <w:lang w:val="en-US" w:eastAsia="zh-CN"/>
        </w:rPr>
        <w:t>705.66</w:t>
      </w:r>
      <w:r>
        <w:rPr>
          <w:rFonts w:hint="default" w:ascii="Times New Roman" w:hAnsi="Times New Roman" w:eastAsia="方正仿宋_GBK" w:cs="Times New Roman"/>
          <w:sz w:val="32"/>
          <w:szCs w:val="32"/>
        </w:rPr>
        <w:t>万元。其中：人员经费</w:t>
      </w:r>
      <w:r>
        <w:rPr>
          <w:rFonts w:hint="eastAsia" w:ascii="Times New Roman" w:hAnsi="Times New Roman" w:eastAsia="方正仿宋_GBK" w:cs="Times New Roman"/>
          <w:sz w:val="32"/>
          <w:szCs w:val="32"/>
          <w:lang w:val="en-US" w:eastAsia="zh-CN"/>
        </w:rPr>
        <w:t>655.61</w:t>
      </w:r>
      <w:r>
        <w:rPr>
          <w:rFonts w:hint="default" w:ascii="Times New Roman" w:hAnsi="Times New Roman" w:eastAsia="方正仿宋_GBK" w:cs="Times New Roman"/>
          <w:sz w:val="32"/>
          <w:szCs w:val="32"/>
        </w:rPr>
        <w:t>万元，较上年决算数减少</w:t>
      </w:r>
      <w:r>
        <w:rPr>
          <w:rFonts w:hint="eastAsia" w:ascii="Times New Roman" w:hAnsi="Times New Roman" w:eastAsia="方正仿宋_GBK" w:cs="Times New Roman"/>
          <w:sz w:val="32"/>
          <w:szCs w:val="32"/>
          <w:lang w:val="en-US" w:eastAsia="zh-CN"/>
        </w:rPr>
        <w:t>166.96</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20.3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w:t>
      </w:r>
      <w:r>
        <w:rPr>
          <w:rFonts w:hint="eastAsia" w:ascii="Times New Roman" w:hAnsi="Times New Roman" w:eastAsia="方正仿宋_GBK" w:cs="Times New Roman"/>
          <w:sz w:val="32"/>
          <w:szCs w:val="32"/>
          <w:lang w:eastAsia="zh-CN"/>
        </w:rPr>
        <w:t>变动，乡企退休人员补差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工资、保险、公积金等。</w:t>
      </w:r>
      <w:r>
        <w:rPr>
          <w:rFonts w:hint="default" w:ascii="Times New Roman" w:hAnsi="Times New Roman" w:eastAsia="方正仿宋_GBK" w:cs="Times New Roman"/>
          <w:sz w:val="32"/>
          <w:szCs w:val="32"/>
        </w:rPr>
        <w:t>公用经费</w:t>
      </w:r>
      <w:r>
        <w:rPr>
          <w:rFonts w:hint="eastAsia" w:ascii="Times New Roman" w:hAnsi="Times New Roman" w:eastAsia="方正仿宋_GBK" w:cs="Times New Roman"/>
          <w:sz w:val="32"/>
          <w:szCs w:val="32"/>
          <w:lang w:val="en-US" w:eastAsia="zh-CN"/>
        </w:rPr>
        <w:t>50.06</w:t>
      </w:r>
      <w:r>
        <w:rPr>
          <w:rFonts w:hint="default" w:ascii="Times New Roman" w:hAnsi="Times New Roman" w:eastAsia="方正仿宋_GBK" w:cs="Times New Roman"/>
          <w:sz w:val="32"/>
          <w:szCs w:val="32"/>
        </w:rPr>
        <w:t>万元，较上年决算数减少</w:t>
      </w:r>
      <w:r>
        <w:rPr>
          <w:rFonts w:hint="eastAsia" w:ascii="Times New Roman" w:hAnsi="Times New Roman" w:eastAsia="方正仿宋_GBK" w:cs="Times New Roman"/>
          <w:sz w:val="32"/>
          <w:szCs w:val="32"/>
          <w:lang w:val="en-US" w:eastAsia="zh-CN"/>
        </w:rPr>
        <w:t>19.83</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28.4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人员减少，经费压缩。</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办公、差旅、交通、会议、培训等。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三、“三公”经费情况说明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年度“三公”经费支出共计0.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万元，较年初预算数减少</w:t>
      </w:r>
      <w:r>
        <w:rPr>
          <w:rFonts w:hint="eastAsia" w:ascii="Times New Roman" w:hAnsi="Times New Roman" w:eastAsia="方正仿宋_GBK" w:cs="Times New Roman"/>
          <w:sz w:val="32"/>
          <w:szCs w:val="32"/>
          <w:lang w:val="en-US" w:eastAsia="zh-CN"/>
        </w:rPr>
        <w:t>4.91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95.3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r>
        <w:rPr>
          <w:rFonts w:hint="default" w:ascii="Times New Roman" w:hAnsi="Times New Roman" w:eastAsia="方正仿宋_GBK" w:cs="Times New Roman"/>
          <w:sz w:val="32"/>
          <w:szCs w:val="32"/>
        </w:rPr>
        <w:t>较上年支出数减少0.</w:t>
      </w:r>
      <w:r>
        <w:rPr>
          <w:rFonts w:hint="eastAsia"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年度本部门因公出国（境）费用0.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费用支出0</w:t>
      </w:r>
      <w:r>
        <w:rPr>
          <w:rFonts w:hint="default" w:ascii="Times New Roman" w:hAnsi="Times New Roman" w:eastAsia="方正仿宋_GBK" w:cs="Times New Roman"/>
          <w:sz w:val="32"/>
          <w:szCs w:val="32"/>
          <w:lang w:val="en-US" w:eastAsia="zh-CN"/>
        </w:rPr>
        <w:t>.00万元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公务车购置费0.0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万元。费用支出0</w:t>
      </w:r>
      <w:r>
        <w:rPr>
          <w:rFonts w:hint="default" w:ascii="Times New Roman" w:hAnsi="Times New Roman" w:eastAsia="方正仿宋_GBK" w:cs="Times New Roman"/>
          <w:sz w:val="32"/>
          <w:szCs w:val="32"/>
          <w:lang w:val="en-US" w:eastAsia="zh-CN"/>
        </w:rPr>
        <w:t>.00万元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公务车运行维护费0.0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费用支出0</w:t>
      </w:r>
      <w:r>
        <w:rPr>
          <w:rFonts w:hint="default" w:ascii="Times New Roman" w:hAnsi="Times New Roman" w:eastAsia="方正仿宋_GBK" w:cs="Times New Roman"/>
          <w:sz w:val="32"/>
          <w:szCs w:val="32"/>
          <w:lang w:val="en-US" w:eastAsia="zh-CN"/>
        </w:rPr>
        <w:t>.00万元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万元，主要用于接待</w:t>
      </w:r>
      <w:r>
        <w:rPr>
          <w:rFonts w:hint="default" w:ascii="Times New Roman" w:hAnsi="Times New Roman" w:eastAsia="方正仿宋_GBK" w:cs="Times New Roman"/>
          <w:sz w:val="32"/>
          <w:szCs w:val="32"/>
          <w:lang w:eastAsia="zh-CN"/>
        </w:rPr>
        <w:t>市级部门检查调研工作等支出。</w:t>
      </w:r>
      <w:r>
        <w:rPr>
          <w:rFonts w:hint="default" w:ascii="Times New Roman" w:hAnsi="Times New Roman" w:eastAsia="方正仿宋_GBK" w:cs="Times New Roman"/>
          <w:sz w:val="32"/>
          <w:szCs w:val="32"/>
        </w:rPr>
        <w:t>费用支出较年初预算数减少</w:t>
      </w:r>
      <w:r>
        <w:rPr>
          <w:rFonts w:hint="eastAsia" w:ascii="Times New Roman" w:hAnsi="Times New Roman" w:eastAsia="方正仿宋_GBK" w:cs="Times New Roman"/>
          <w:sz w:val="32"/>
          <w:szCs w:val="32"/>
          <w:lang w:val="en-US" w:eastAsia="zh-CN"/>
        </w:rPr>
        <w:t>4.91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95.3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r>
        <w:rPr>
          <w:rFonts w:hint="default" w:ascii="Times New Roman" w:hAnsi="Times New Roman" w:eastAsia="方正仿宋_GBK" w:cs="Times New Roman"/>
          <w:sz w:val="32"/>
          <w:szCs w:val="32"/>
        </w:rPr>
        <w:t>较上年支出数减少0.</w:t>
      </w:r>
      <w:r>
        <w:rPr>
          <w:rFonts w:hint="eastAsia"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年度本部门因公出国（境）共计0个团组，0人；公务用车购置0辆，公务车保有量为0辆；国内公务接待</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批次</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人，其中：国内外事接待0批次，0人；国（境）外公务接待0批次，0人。202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年本部门人均接待费</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元，车均购置费0万元，车均维护费0万元。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万元，较上年决算数减少</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81.1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r>
        <w:rPr>
          <w:rFonts w:hint="default" w:ascii="Times New Roman" w:hAnsi="Times New Roman" w:eastAsia="方正仿宋_GBK" w:cs="Times New Roman"/>
          <w:sz w:val="32"/>
          <w:szCs w:val="32"/>
        </w:rPr>
        <w:t>本年度培训费支出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万元，较上年决算数减少0.</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年度本部门机关运行经费支出</w:t>
      </w:r>
      <w:r>
        <w:rPr>
          <w:rFonts w:hint="eastAsia" w:ascii="Times New Roman" w:hAnsi="Times New Roman" w:eastAsia="方正仿宋_GBK" w:cs="Times New Roman"/>
          <w:sz w:val="32"/>
          <w:szCs w:val="32"/>
          <w:lang w:val="en-US" w:eastAsia="zh-CN"/>
        </w:rPr>
        <w:t>50.06</w:t>
      </w:r>
      <w:r>
        <w:rPr>
          <w:rFonts w:hint="default" w:ascii="Times New Roman" w:hAnsi="Times New Roman" w:eastAsia="方正仿宋_GBK" w:cs="Times New Roman"/>
          <w:sz w:val="32"/>
          <w:szCs w:val="32"/>
        </w:rPr>
        <w:t>万元，机关运行经费主要用于开支</w:t>
      </w:r>
      <w:r>
        <w:rPr>
          <w:rFonts w:hint="default" w:ascii="Times New Roman" w:hAnsi="Times New Roman" w:eastAsia="方正仿宋_GBK" w:cs="Times New Roman"/>
          <w:sz w:val="32"/>
          <w:szCs w:val="32"/>
          <w:lang w:eastAsia="zh-CN"/>
        </w:rPr>
        <w:t>办公费、广告印刷、办公用品、水、电、邮费、会议、培训、接待、出差及其他交通费等。</w:t>
      </w:r>
      <w:r>
        <w:rPr>
          <w:rFonts w:hint="default" w:ascii="Times New Roman" w:hAnsi="Times New Roman" w:eastAsia="方正仿宋_GBK" w:cs="Times New Roman"/>
          <w:sz w:val="32"/>
          <w:szCs w:val="32"/>
        </w:rPr>
        <w:t>机关运行经费较上年支出数减少</w:t>
      </w:r>
      <w:r>
        <w:rPr>
          <w:rFonts w:hint="eastAsia" w:ascii="Times New Roman" w:hAnsi="Times New Roman" w:eastAsia="方正仿宋_GBK" w:cs="Times New Roman"/>
          <w:sz w:val="32"/>
          <w:szCs w:val="32"/>
          <w:lang w:val="en-US" w:eastAsia="zh-CN"/>
        </w:rPr>
        <w:t>19.83</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28.4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五、预算绩效管理情况说明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（一）预算绩效管理工作开展情况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根据预算绩效管理要求，我委对部门整体和</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个项目开展了绩效自评，其中，以填报自评表形式开展自评</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项，涉及资金</w:t>
      </w:r>
      <w:r>
        <w:rPr>
          <w:rFonts w:hint="eastAsia" w:ascii="Times New Roman" w:hAnsi="Times New Roman" w:eastAsia="方正仿宋_GBK" w:cs="Times New Roman"/>
          <w:sz w:val="32"/>
          <w:szCs w:val="32"/>
          <w:lang w:val="en-US" w:eastAsia="zh-CN"/>
        </w:rPr>
        <w:t>311.95</w:t>
      </w:r>
      <w:r>
        <w:rPr>
          <w:rFonts w:hint="default" w:ascii="Times New Roman" w:hAnsi="Times New Roman" w:eastAsia="方正仿宋_GBK" w:cs="Times New Roman"/>
          <w:sz w:val="32"/>
          <w:szCs w:val="32"/>
          <w:lang w:val="en-US" w:eastAsia="zh-CN"/>
        </w:rPr>
        <w:t>万元；以委托第三方出具报告的方式开展绩效评价0项，涉及资金0万元。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（二）绩效自评结果。</w:t>
      </w:r>
    </w:p>
    <w:p>
      <w:pPr>
        <w:pStyle w:val="10"/>
        <w:keepNext w:val="0"/>
        <w:keepLines w:val="0"/>
        <w:widowControl/>
        <w:suppressLineNumbers w:val="0"/>
        <w:spacing w:before="0" w:beforeAutospacing="0"/>
        <w:ind w:left="0" w:firstLine="640" w:firstLineChars="200"/>
        <w:jc w:val="left"/>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1.绩效目标自评表。</w:t>
      </w:r>
    </w:p>
    <w:tbl>
      <w:tblPr>
        <w:tblStyle w:val="8"/>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537"/>
        <w:gridCol w:w="1129"/>
        <w:gridCol w:w="652"/>
        <w:gridCol w:w="651"/>
        <w:gridCol w:w="888"/>
        <w:gridCol w:w="708"/>
        <w:gridCol w:w="621"/>
        <w:gridCol w:w="698"/>
        <w:gridCol w:w="102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default" w:ascii="Times New Roman" w:hAnsi="Times New Roman" w:eastAsia="方正小标宋_GBK" w:cs="Times New Roman"/>
                <w:b w:val="0"/>
                <w:bCs w:val="0"/>
                <w:i w:val="0"/>
                <w:iCs w:val="0"/>
                <w:color w:val="000000"/>
                <w:kern w:val="0"/>
                <w:sz w:val="28"/>
                <w:szCs w:val="28"/>
                <w:u w:val="none"/>
                <w:lang w:val="en-US" w:eastAsia="zh-CN" w:bidi="ar"/>
              </w:rPr>
              <w:t>202</w:t>
            </w:r>
            <w:r>
              <w:rPr>
                <w:rFonts w:hint="eastAsia" w:ascii="Times New Roman" w:hAnsi="Times New Roman" w:eastAsia="方正小标宋_GBK" w:cs="Times New Roman"/>
                <w:b w:val="0"/>
                <w:bCs w:val="0"/>
                <w:i w:val="0"/>
                <w:iCs w:val="0"/>
                <w:color w:val="000000"/>
                <w:kern w:val="0"/>
                <w:sz w:val="28"/>
                <w:szCs w:val="28"/>
                <w:u w:val="none"/>
                <w:lang w:val="en-US" w:eastAsia="zh-CN" w:bidi="ar"/>
              </w:rPr>
              <w:t>4</w:t>
            </w:r>
            <w:r>
              <w:rPr>
                <w:rFonts w:hint="default" w:ascii="Times New Roman" w:hAnsi="Times New Roman" w:eastAsia="方正小标宋_GBK" w:cs="Times New Roman"/>
                <w:b w:val="0"/>
                <w:bCs w:val="0"/>
                <w:i w:val="0"/>
                <w:iCs w:val="0"/>
                <w:color w:val="000000"/>
                <w:kern w:val="0"/>
                <w:sz w:val="28"/>
                <w:szCs w:val="28"/>
                <w:u w:val="none"/>
                <w:lang w:val="en-US" w:eastAsia="zh-CN" w:bidi="ar"/>
              </w:rPr>
              <w:t>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奉节县经济和信息化委员会整体监控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50023600023P000016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114-奉节县经济和信息化委员会</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007-经济建设科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古海枚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联系电话：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13635353979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8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年初预算数</w:t>
            </w:r>
          </w:p>
        </w:tc>
        <w:tc>
          <w:tcPr>
            <w:tcW w:w="15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全年（调整）预算数</w:t>
            </w:r>
          </w:p>
        </w:tc>
        <w:tc>
          <w:tcPr>
            <w:tcW w:w="132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全年执行数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执行率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执行率权重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469.38</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1017.61</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1017.61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5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469.38</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1017.61</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1017.61</w:t>
            </w:r>
            <w:bookmarkStart w:id="0" w:name="_GoBack"/>
            <w:bookmarkEnd w:id="0"/>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0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年初绩效目标</w:t>
            </w:r>
          </w:p>
        </w:tc>
        <w:tc>
          <w:tcPr>
            <w:tcW w:w="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全年（调整）绩效目标</w:t>
            </w:r>
          </w:p>
        </w:tc>
        <w:tc>
          <w:tcPr>
            <w:tcW w:w="2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8" w:hRule="atLeast"/>
        </w:trPr>
        <w:tc>
          <w:tcPr>
            <w:tcW w:w="333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1.研究起草工业和信息化以及中小企业的政策性文件并组织实施。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2.拟订工业和信息化的发展规划并组织实施，推进产业结构战略性调整和优化升级，推进信息化和工业化融合。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3.申报、审核、审批工业和工业信息化建设项目；规划和组织工业和工业信息化建设项目，对重点技术改造项目实施监督管理。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4.监测分析工业和工业信息产业经济运行态势，统计并发布相关信息，进行预警预测和信息引导，协调解决行业运行发展中的有关问题并提出政策建议。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5.承担煤、电、气、工业用油等重要物资平衡调度的责任。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负责电力、天然气等行业的行政管理和行政执法；负责民用爆破器材的监督管理；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8.负责全县中小企业统计分析、预测监测，指导其建立现代企业制度以及投资方向、产业和产品结构的调整；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9.参与全县工业招商，围绕产业链和战略性新兴产业招商引资；对工业项目进行宏观管理，开展投资导向和项目具体实施工作。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10.负责指导工矿企业破产、关闭工作，组织实施改制重组，企业兼并，减员增效，扭亏脱困等工作。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11.牵头承担军民融合发展方面的职责。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12.负责盐行业管理和监督，牵头拟订盐业发展规划和组织实施产业政策；管理全县食盐专营工作，负责储备盐管理工作，保障市场供应和盐业发展稳定，负责盐业统计分析。</w:t>
            </w:r>
          </w:p>
        </w:tc>
        <w:tc>
          <w:tcPr>
            <w:tcW w:w="28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1.研究起草工业和信息化以及中小企业的政策性文件并组织实施。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2.拟订工业和信息化的发展规划并组织实施，推进产业结构战略性调整和优化升级，推进信息化和工业化融合。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3.申报、审核、审批工业和工业信息化建设项目；规划和组织工业和工业信息化建设项目，对重点技术改造项目实施监督管理。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4.监测分析工业和工业信息产业经济运行态势，统计并发布相关信息，进行预警预测和信息引导，协调解决行业运行发展中的有关问题并提出政策建议。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5.承担煤、电、气、工业用油等重要物资平衡调度的责任。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负责电力、天然气等行业的行政管理和行政执法；负责民用爆破器材的监督管理；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8.负责全县中小企业统计分析、预测监测，指导其建立现代企业制度以及投资方向、产业和产品结构的调整；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9.参与全县工业招商，围绕产业链和战略性新兴产业招商引资；对工业项目进行宏观管理，开展投资导向和项目具体实施工作。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10.负责指导工矿企业破产、关闭工作，组织实施改制重组，企业兼并，减员增效，扭亏脱困等工作。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11.牵头承担军民融合发展方面的职责。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12.负责盐行业管理和监督，牵头拟订盐业发展规划和组织实施产业政策；管理全县食盐专营工作，负责储备盐管理工作，保障市场供应和盐业发展稳定，负责盐业统计分析。</w:t>
            </w:r>
          </w:p>
        </w:tc>
        <w:tc>
          <w:tcPr>
            <w:tcW w:w="28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全年已完成整体任务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指标名称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计量单位</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指标性质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指标值</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全年完成值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偏离度（%）</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得分系数（%）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是否核心指标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本单位年度工作实际完成率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个性指标完成率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共性指标完成率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公务卡刷卡率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固定资产利用率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管理制度健全性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绩效目标自评率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三公经费控制率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项目监控到位率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在职人员控制率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政府采购执行率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资金合规性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资金结转结余率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任务完成及时率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信息公开及时率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单位运行人均成本降低率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招商引资计划任务完成率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争取专项资金计划任务完成率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单位正常运转</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维护社会稳定</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单位节能降耗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内控制度可持续性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bl>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2.绩效自评报告或案例。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无委托第三方开展绩效评价。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3.关于绩效自评结果的说明。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已完成年度绩效评价。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（一）财政拨款收入：指本年度从本级财政部门取得的财政拨款，包括一般公共预算财政拨款和政府性基金预算财政拨款。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（二）事业收入：指事业单位开展专业业务活动及其辅助活动取得的现金流入；事业单位收到的财政专户实际核拨的教育收费等资金在此反映。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（三）经营收入：指事业单位在专业业务活动及其辅助活动之外开展非独立核算经营活动取得的现金流入。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（六）年初结转和结余：指单位上年结转本年使用的基本支出结转、项目支出结转和结余、经营结余。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（七）结余分配：指单位按照国家有关规定，缴纳所得税、提取专用基金、转入非财政拨款结余等当年结余的分配情况。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（八）年末结转和结余：指单位结转下年的基本支出结转、项目支出结转和结余、经营结余。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（十一）经营支出：指事业单位在专业业务活动及其辅助活动之外开展非独立核算经营活动发生的支出。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（十五）商品和服务支出（支出经济分类科目类级）：反映单位购买商品和服务的支出（不包括用于购置固定资产的支出、战略性和应急储备支出）。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（十六）对个人和家庭的补助（支出经济分类科目类级）：反映用于对个人和家庭的补助支出。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古海枚，</w:t>
      </w:r>
      <w:r>
        <w:rPr>
          <w:rFonts w:hint="eastAsia" w:ascii="Times New Roman" w:hAnsi="Times New Roman" w:eastAsia="方正仿宋_GBK" w:cs="Times New Roman"/>
          <w:sz w:val="32"/>
          <w:szCs w:val="32"/>
          <w:lang w:val="en-US" w:eastAsia="zh-CN"/>
        </w:rPr>
        <w:t>023-56557116</w:t>
      </w:r>
    </w:p>
    <w:sectPr>
      <w:headerReference r:id="rId3" w:type="default"/>
      <w:footerReference r:id="rId4" w:type="default"/>
      <w:pgSz w:w="11906" w:h="16838"/>
      <w:pgMar w:top="2098" w:right="1474" w:bottom="1984" w:left="158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19B8F827-F616-40F1-97DD-414EF75E7387}"/>
  </w:font>
  <w:font w:name="方正黑体_GBK">
    <w:panose1 w:val="03000509000000000000"/>
    <w:charset w:val="86"/>
    <w:family w:val="auto"/>
    <w:pitch w:val="default"/>
    <w:sig w:usb0="00000001" w:usb1="080E0000" w:usb2="00000000" w:usb3="00000000" w:csb0="00040000" w:csb1="00000000"/>
    <w:embedRegular r:id="rId2" w:fontKey="{CFEF0FCD-2723-43E5-8A1C-71EBD18D7D6F}"/>
  </w:font>
  <w:font w:name="方正楷体_GBK">
    <w:panose1 w:val="03000509000000000000"/>
    <w:charset w:val="86"/>
    <w:family w:val="auto"/>
    <w:pitch w:val="default"/>
    <w:sig w:usb0="00000001" w:usb1="080E0000" w:usb2="00000000" w:usb3="00000000" w:csb0="00040000" w:csb1="00000000"/>
    <w:embedRegular r:id="rId3" w:fontKey="{E13E320E-0EC0-4CE6-A62A-0598766B4949}"/>
  </w:font>
  <w:font w:name="方正仿宋_GBK">
    <w:panose1 w:val="03000509000000000000"/>
    <w:charset w:val="86"/>
    <w:family w:val="script"/>
    <w:pitch w:val="default"/>
    <w:sig w:usb0="00000001" w:usb1="080E0000" w:usb2="00000000" w:usb3="00000000" w:csb0="00040000" w:csb1="00000000"/>
    <w:embedRegular r:id="rId4" w:fontKey="{9CFD0E04-1748-48FB-B9E1-8B092686B509}"/>
  </w:font>
  <w:font w:name="微软雅黑">
    <w:panose1 w:val="020B0503020204020204"/>
    <w:charset w:val="86"/>
    <w:family w:val="auto"/>
    <w:pitch w:val="default"/>
    <w:sig w:usb0="80000287" w:usb1="280F3C52" w:usb2="00000016" w:usb3="00000000" w:csb0="0004001F" w:csb1="00000000"/>
    <w:embedRegular r:id="rId5" w:fontKey="{2F3B99C4-05E5-4FA7-8625-271B54850B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posOffset>5026025</wp:posOffset>
              </wp:positionH>
              <wp:positionV relativeFrom="paragraph">
                <wp:posOffset>-433070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5.75pt;margin-top:-34.1pt;height:144pt;width:144pt;mso-position-horizontal-relative:margin;mso-wrap-style:none;z-index:251660288;mso-width-relative:page;mso-height-relative:page;" filled="f" stroked="f" coordsize="21600,21600" o:allowoverlap="f" o:gfxdata="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HbWS2QAAAAwBAAAP&#10;AAAAAAAAAAEAIAAAACIAAABkcnMvZG93bnJldi54bWxQSwECFAAUAAAACACHTuJAsPgxiRcCAAAZ&#10;BAAADgAAAAAAAAABACAAAAAoAQAAZHJzL2Uyb0RvYy54bWxQSwUGAAAAAAYABgBZAQAAsQUAAAAA&#10;">
              <v:fill on="f" focussize="0,0"/>
              <v:stroke on="f" weight="0.5pt"/>
              <v:imagedata o:title=""/>
              <o:lock v:ext="edit" aspectratio="f"/>
              <v:textbox inset="0mm,0mm,0mm,0mm" style="mso-fit-shape-to-text:t;">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GU3Zjc1MDk0OGZjOWI5YTFiNTg4MDFmZjg5YTAifQ=="/>
  </w:docVars>
  <w:rsids>
    <w:rsidRoot w:val="00B03CCD"/>
    <w:rsid w:val="00550ABE"/>
    <w:rsid w:val="007B419D"/>
    <w:rsid w:val="009B67B8"/>
    <w:rsid w:val="00B03CCD"/>
    <w:rsid w:val="01474EBF"/>
    <w:rsid w:val="01F3521E"/>
    <w:rsid w:val="03E3214F"/>
    <w:rsid w:val="044C50BA"/>
    <w:rsid w:val="051E5D13"/>
    <w:rsid w:val="053F2D8E"/>
    <w:rsid w:val="06A2550B"/>
    <w:rsid w:val="06F80EE2"/>
    <w:rsid w:val="07001CCA"/>
    <w:rsid w:val="075678DB"/>
    <w:rsid w:val="08051BCA"/>
    <w:rsid w:val="08BA052C"/>
    <w:rsid w:val="08DB07BA"/>
    <w:rsid w:val="098305D0"/>
    <w:rsid w:val="09B72B6E"/>
    <w:rsid w:val="0A5C4B69"/>
    <w:rsid w:val="0B9335CE"/>
    <w:rsid w:val="0C7927C4"/>
    <w:rsid w:val="0C9B098C"/>
    <w:rsid w:val="0D673E11"/>
    <w:rsid w:val="0DDA54E4"/>
    <w:rsid w:val="0E3A5F83"/>
    <w:rsid w:val="0F836721"/>
    <w:rsid w:val="107B59E5"/>
    <w:rsid w:val="111445C7"/>
    <w:rsid w:val="1158083A"/>
    <w:rsid w:val="11CB26C1"/>
    <w:rsid w:val="11F03528"/>
    <w:rsid w:val="12C921C4"/>
    <w:rsid w:val="13871C70"/>
    <w:rsid w:val="13A71CB4"/>
    <w:rsid w:val="13AF1D43"/>
    <w:rsid w:val="13CE1647"/>
    <w:rsid w:val="14200702"/>
    <w:rsid w:val="17B50BE6"/>
    <w:rsid w:val="189B0D0B"/>
    <w:rsid w:val="194A1770"/>
    <w:rsid w:val="19B906A4"/>
    <w:rsid w:val="1B6F15B6"/>
    <w:rsid w:val="1BAA2EDC"/>
    <w:rsid w:val="1D014A01"/>
    <w:rsid w:val="1D022362"/>
    <w:rsid w:val="1DD26311"/>
    <w:rsid w:val="1EF67CA4"/>
    <w:rsid w:val="1FB329F9"/>
    <w:rsid w:val="1FCD26AF"/>
    <w:rsid w:val="20642787"/>
    <w:rsid w:val="21327BE6"/>
    <w:rsid w:val="21556F04"/>
    <w:rsid w:val="22403BD3"/>
    <w:rsid w:val="24B92327"/>
    <w:rsid w:val="2533755C"/>
    <w:rsid w:val="26396DF4"/>
    <w:rsid w:val="27123163"/>
    <w:rsid w:val="27167136"/>
    <w:rsid w:val="27B23302"/>
    <w:rsid w:val="28170477"/>
    <w:rsid w:val="28F37D82"/>
    <w:rsid w:val="29310A5F"/>
    <w:rsid w:val="29C37A35"/>
    <w:rsid w:val="2A076083"/>
    <w:rsid w:val="2A73162E"/>
    <w:rsid w:val="2A9C2F46"/>
    <w:rsid w:val="2B167953"/>
    <w:rsid w:val="2B200583"/>
    <w:rsid w:val="2B8209DE"/>
    <w:rsid w:val="2C6762A3"/>
    <w:rsid w:val="2CA80FA8"/>
    <w:rsid w:val="2F356CE4"/>
    <w:rsid w:val="2FE029D7"/>
    <w:rsid w:val="2FF06E00"/>
    <w:rsid w:val="30011132"/>
    <w:rsid w:val="305C6903"/>
    <w:rsid w:val="315F0B22"/>
    <w:rsid w:val="31680A43"/>
    <w:rsid w:val="31D84415"/>
    <w:rsid w:val="32285F6F"/>
    <w:rsid w:val="32770556"/>
    <w:rsid w:val="329C0913"/>
    <w:rsid w:val="3337290D"/>
    <w:rsid w:val="350110AC"/>
    <w:rsid w:val="352930DB"/>
    <w:rsid w:val="35573069"/>
    <w:rsid w:val="358C217E"/>
    <w:rsid w:val="36C9128A"/>
    <w:rsid w:val="370C62EB"/>
    <w:rsid w:val="37841E99"/>
    <w:rsid w:val="37BF1123"/>
    <w:rsid w:val="38BE4696"/>
    <w:rsid w:val="39B82A39"/>
    <w:rsid w:val="39F33306"/>
    <w:rsid w:val="3A0B2296"/>
    <w:rsid w:val="3B1705E5"/>
    <w:rsid w:val="3B18334B"/>
    <w:rsid w:val="3B36794F"/>
    <w:rsid w:val="3C6A5B02"/>
    <w:rsid w:val="3D2757A1"/>
    <w:rsid w:val="3D3D4FC4"/>
    <w:rsid w:val="3DB361C4"/>
    <w:rsid w:val="3DDF3AB1"/>
    <w:rsid w:val="3E1D0952"/>
    <w:rsid w:val="3E42660A"/>
    <w:rsid w:val="3E7555B1"/>
    <w:rsid w:val="3F0527E5"/>
    <w:rsid w:val="4004000C"/>
    <w:rsid w:val="411B6CE5"/>
    <w:rsid w:val="412070D7"/>
    <w:rsid w:val="41314E40"/>
    <w:rsid w:val="426C1EA8"/>
    <w:rsid w:val="42E86A87"/>
    <w:rsid w:val="465B470D"/>
    <w:rsid w:val="469D6AD4"/>
    <w:rsid w:val="47674801"/>
    <w:rsid w:val="48225EF7"/>
    <w:rsid w:val="495C4A24"/>
    <w:rsid w:val="4B7951CB"/>
    <w:rsid w:val="4B7C315C"/>
    <w:rsid w:val="4DA72ED8"/>
    <w:rsid w:val="4DAC4ACA"/>
    <w:rsid w:val="4F186D58"/>
    <w:rsid w:val="50355FCF"/>
    <w:rsid w:val="522F6E0C"/>
    <w:rsid w:val="52463BA1"/>
    <w:rsid w:val="53C0244D"/>
    <w:rsid w:val="53DD4D4E"/>
    <w:rsid w:val="53E578CE"/>
    <w:rsid w:val="54120A31"/>
    <w:rsid w:val="543B029D"/>
    <w:rsid w:val="554E5773"/>
    <w:rsid w:val="555A3CBC"/>
    <w:rsid w:val="56530F5D"/>
    <w:rsid w:val="5842572D"/>
    <w:rsid w:val="5B5351C3"/>
    <w:rsid w:val="5C263CE4"/>
    <w:rsid w:val="5C5D2777"/>
    <w:rsid w:val="5D290C69"/>
    <w:rsid w:val="5F2D4A41"/>
    <w:rsid w:val="61025A59"/>
    <w:rsid w:val="613D5BBC"/>
    <w:rsid w:val="61536C39"/>
    <w:rsid w:val="62944DD7"/>
    <w:rsid w:val="63C25DC5"/>
    <w:rsid w:val="63C62057"/>
    <w:rsid w:val="64FB113D"/>
    <w:rsid w:val="656152C6"/>
    <w:rsid w:val="6587477F"/>
    <w:rsid w:val="658C3A08"/>
    <w:rsid w:val="65C031CA"/>
    <w:rsid w:val="65CE6852"/>
    <w:rsid w:val="66267C04"/>
    <w:rsid w:val="663F505A"/>
    <w:rsid w:val="66EE5541"/>
    <w:rsid w:val="67F938B9"/>
    <w:rsid w:val="6B474EF5"/>
    <w:rsid w:val="6B742157"/>
    <w:rsid w:val="6C560CAE"/>
    <w:rsid w:val="6D903FF5"/>
    <w:rsid w:val="6DA955B8"/>
    <w:rsid w:val="6DE346AB"/>
    <w:rsid w:val="6FFB2E76"/>
    <w:rsid w:val="704F03DE"/>
    <w:rsid w:val="71C34D91"/>
    <w:rsid w:val="72DB435C"/>
    <w:rsid w:val="750837F0"/>
    <w:rsid w:val="764F62AB"/>
    <w:rsid w:val="765C45EC"/>
    <w:rsid w:val="768A7619"/>
    <w:rsid w:val="796D60A4"/>
    <w:rsid w:val="79A031D5"/>
    <w:rsid w:val="7A1525F7"/>
    <w:rsid w:val="7B420052"/>
    <w:rsid w:val="7BBE11A4"/>
    <w:rsid w:val="7BD06A28"/>
    <w:rsid w:val="7C3A7C0B"/>
    <w:rsid w:val="7C5248E4"/>
    <w:rsid w:val="7C566698"/>
    <w:rsid w:val="7DD1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16"/>
    <w:basedOn w:val="6"/>
    <w:qFormat/>
    <w:uiPriority w:val="0"/>
    <w:rPr>
      <w:rFonts w:hint="default" w:ascii="Times New Roman" w:hAnsi="Times New Roman" w:cs="Times New Roman"/>
      <w:b/>
    </w:rPr>
  </w:style>
  <w:style w:type="paragraph" w:customStyle="1" w:styleId="12">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7557</Words>
  <Characters>8308</Characters>
  <Lines>161</Lines>
  <Paragraphs>45</Paragraphs>
  <TotalTime>3</TotalTime>
  <ScaleCrop>false</ScaleCrop>
  <LinksUpToDate>false</LinksUpToDate>
  <CharactersWithSpaces>8314</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2024-08-09T06:32:00Z</cp:lastPrinted>
  <dcterms:modified xsi:type="dcterms:W3CDTF">2025-09-26T02:50:18Z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BB46EABDBB2749749395447164B066B3_12</vt:lpwstr>
  </property>
</Properties>
</file>