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重庆市奉节县经济和信息化综合执法大队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1.宣传普及电力、天然气、工业节能、民爆行业安全监管等方面的法律法规知识。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2.监督电力、天然气、工业节能、民爆行业安全监管等方面的法律法规。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3.协调处理电力、天然气等方面的供用纠纷，依法保护投、供、用各方的合法权益。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4.监督电力、天然气的调度执行情况。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5.协助司法机关查处电力、天然气供应、民爆物品供应与使用中发生的治安、刑事案件。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6.依法查处工业企业安全生产、电力、天然气等方面的违法行为。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7.承担县经信委和上级交办的其他工作。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奉节县经济和信息化</w:t>
      </w:r>
      <w:r>
        <w:rPr>
          <w:rFonts w:hint="default" w:ascii="Times New Roman" w:hAnsi="Times New Roman" w:eastAsia="方正仿宋_GBK" w:cs="Times New Roman"/>
          <w:sz w:val="32"/>
          <w:szCs w:val="32"/>
          <w:lang w:eastAsia="zh-CN"/>
        </w:rPr>
        <w:t>综合执法大队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级预算单位，</w:t>
      </w:r>
      <w:r>
        <w:rPr>
          <w:rFonts w:hint="default" w:ascii="Times New Roman" w:hAnsi="Times New Roman" w:eastAsia="方正仿宋_GBK" w:cs="Times New Roman"/>
          <w:sz w:val="32"/>
          <w:szCs w:val="32"/>
          <w:lang w:eastAsia="zh-CN"/>
        </w:rPr>
        <w:t>属县经信委</w:t>
      </w:r>
      <w:r>
        <w:rPr>
          <w:rFonts w:hint="default" w:ascii="Times New Roman" w:hAnsi="Times New Roman" w:eastAsia="方正仿宋_GBK" w:cs="Times New Roman"/>
          <w:sz w:val="32"/>
          <w:szCs w:val="32"/>
        </w:rPr>
        <w:t>下设</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个事业单位，</w:t>
      </w:r>
      <w:r>
        <w:rPr>
          <w:rFonts w:hint="default" w:ascii="Times New Roman" w:hAnsi="Times New Roman" w:eastAsia="方正仿宋_GBK" w:cs="Times New Roman"/>
          <w:sz w:val="32"/>
          <w:szCs w:val="32"/>
          <w:lang w:eastAsia="zh-CN"/>
        </w:rPr>
        <w:t>事业</w:t>
      </w:r>
      <w:r>
        <w:rPr>
          <w:rFonts w:hint="default" w:ascii="Times New Roman" w:hAnsi="Times New Roman" w:eastAsia="方正仿宋_GBK" w:cs="Times New Roman"/>
          <w:sz w:val="32"/>
          <w:szCs w:val="32"/>
        </w:rPr>
        <w:t>编制数</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rPr>
        <w:t>现在在职人员</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从预算单位构成看，本单位属于纳入奉节县经济和信息化委员会202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年度决算编制的二级预算单位，奉节县经济和信息化综合执法大队。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万元，支出总计</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万元。收支较上年决算数增加</w:t>
      </w:r>
      <w:r>
        <w:rPr>
          <w:rFonts w:hint="eastAsia" w:ascii="Times New Roman" w:hAnsi="Times New Roman" w:eastAsia="方正仿宋_GBK" w:cs="Times New Roman"/>
          <w:sz w:val="32"/>
          <w:szCs w:val="32"/>
          <w:lang w:val="en-US" w:eastAsia="zh-CN"/>
        </w:rPr>
        <w:t>323.35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lang w:val="en-US" w:eastAsia="zh-CN"/>
        </w:rPr>
        <w:t>323.35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其中：财政拨款收入</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万元，占100.0%；事业收入0.0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万元，占0.0%；经营收入0.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0万元，占0.0%；其他收入0.0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万元，占0.0%。此外，使用非财政拨款结余和专用结余0.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0万元，年初结转和结余0.0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lang w:val="en-US" w:eastAsia="zh-CN"/>
        </w:rPr>
        <w:t>323.35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lang w:val="en-US" w:eastAsia="zh-CN"/>
        </w:rPr>
        <w:t>186.8</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38.4</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61.6</w:t>
      </w:r>
      <w:r>
        <w:rPr>
          <w:rFonts w:hint="default" w:ascii="Times New Roman" w:hAnsi="Times New Roman" w:eastAsia="方正仿宋_GBK" w:cs="Times New Roman"/>
          <w:sz w:val="32"/>
          <w:szCs w:val="32"/>
        </w:rPr>
        <w:t>%；经营支出0.0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万元，占0.0%。此外，结余分配0.0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万元，较上年决算数无增减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万元。与202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w:t>
      </w:r>
      <w:r>
        <w:rPr>
          <w:rFonts w:hint="eastAsia" w:ascii="Times New Roman" w:hAnsi="Times New Roman" w:eastAsia="方正仿宋_GBK" w:cs="Times New Roman"/>
          <w:sz w:val="32"/>
          <w:szCs w:val="32"/>
          <w:lang w:val="en-US" w:eastAsia="zh-CN"/>
        </w:rPr>
        <w:t>323.35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lang w:val="en-US" w:eastAsia="zh-CN"/>
        </w:rPr>
        <w:t>323.35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321.17</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此外，年初财政拨款结转和结余0.0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eastAsia" w:ascii="Times New Roman" w:hAnsi="Times New Roman" w:eastAsia="方正仿宋_GBK" w:cs="Times New Roman"/>
          <w:sz w:val="32"/>
          <w:szCs w:val="32"/>
          <w:lang w:val="en-US" w:eastAsia="zh-CN"/>
        </w:rPr>
        <w:t>486.8</w:t>
      </w:r>
      <w:r>
        <w:rPr>
          <w:rFonts w:hint="default"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lang w:val="en-US" w:eastAsia="zh-CN"/>
        </w:rPr>
        <w:t>323.35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321.17</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2倍</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增加民用醇基燃料项目</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万元，较上年决算数无增减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w:t>
      </w:r>
      <w:r>
        <w:rPr>
          <w:rFonts w:hint="eastAsia" w:ascii="Times New Roman" w:hAnsi="Times New Roman" w:eastAsia="方正仿宋_GBK" w:cs="Times New Roman"/>
          <w:sz w:val="32"/>
          <w:szCs w:val="32"/>
          <w:lang w:val="en-US" w:eastAsia="zh-CN"/>
        </w:rPr>
        <w:t>23.41</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7.17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44.2</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人员增加</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8.21</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%，较年初预算数无增减</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）资源勘探信息等支出</w:t>
      </w:r>
      <w:r>
        <w:rPr>
          <w:rFonts w:hint="eastAsia" w:ascii="Times New Roman" w:hAnsi="Times New Roman" w:eastAsia="方正仿宋_GBK" w:cs="Times New Roman"/>
          <w:sz w:val="32"/>
          <w:szCs w:val="32"/>
          <w:lang w:val="en-US" w:eastAsia="zh-CN"/>
        </w:rPr>
        <w:t>147.06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30.2</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8.12</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lang w:eastAsia="zh-CN"/>
        </w:rPr>
        <w:t>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eastAsia" w:ascii="Times New Roman" w:hAnsi="Times New Roman" w:eastAsia="方正仿宋_GBK" w:cs="Times New Roman"/>
          <w:sz w:val="32"/>
          <w:szCs w:val="32"/>
          <w:lang w:val="en-US" w:eastAsia="zh-CN"/>
        </w:rPr>
        <w:t>186.8</w:t>
      </w:r>
      <w:r>
        <w:rPr>
          <w:rFonts w:hint="default" w:ascii="Times New Roman" w:hAnsi="Times New Roman" w:eastAsia="方正仿宋_GBK" w:cs="Times New Roman"/>
          <w:sz w:val="32"/>
          <w:szCs w:val="32"/>
        </w:rPr>
        <w:t>万元。其中：人员经费</w:t>
      </w:r>
      <w:r>
        <w:rPr>
          <w:rFonts w:hint="eastAsia" w:ascii="Times New Roman" w:hAnsi="Times New Roman" w:eastAsia="方正仿宋_GBK" w:cs="Times New Roman"/>
          <w:sz w:val="32"/>
          <w:szCs w:val="32"/>
          <w:lang w:val="en-US" w:eastAsia="zh-CN"/>
        </w:rPr>
        <w:t>166.96</w:t>
      </w:r>
      <w:r>
        <w:rPr>
          <w:rFonts w:hint="default"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lang w:val="en-US" w:eastAsia="zh-CN"/>
        </w:rPr>
        <w:t>22.52</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15.6</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w:t>
      </w:r>
      <w:r>
        <w:rPr>
          <w:rFonts w:hint="eastAsia" w:ascii="Times New Roman" w:hAnsi="Times New Roman" w:eastAsia="方正仿宋_GBK" w:cs="Times New Roman"/>
          <w:sz w:val="32"/>
          <w:szCs w:val="32"/>
          <w:lang w:eastAsia="zh-CN"/>
        </w:rPr>
        <w:t>变化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工资、保险、公积金等。</w:t>
      </w:r>
      <w:r>
        <w:rPr>
          <w:rFonts w:hint="default" w:ascii="Times New Roman" w:hAnsi="Times New Roman" w:eastAsia="方正仿宋_GBK" w:cs="Times New Roman"/>
          <w:sz w:val="32"/>
          <w:szCs w:val="32"/>
        </w:rPr>
        <w:t>公用经费</w:t>
      </w:r>
      <w:r>
        <w:rPr>
          <w:rFonts w:hint="eastAsia" w:ascii="Times New Roman" w:hAnsi="Times New Roman" w:eastAsia="方正仿宋_GBK" w:cs="Times New Roman"/>
          <w:sz w:val="32"/>
          <w:szCs w:val="32"/>
          <w:lang w:val="en-US" w:eastAsia="zh-CN"/>
        </w:rPr>
        <w:t>19.84</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0.82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人员变化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办公、差旅、交通、会议、培训等。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方正仿宋_GBK" w:hAnsi="方正仿宋_GBK" w:eastAsia="方正仿宋_GBK" w:cs="方正仿宋_GBK"/>
          <w:sz w:val="32"/>
          <w:szCs w:val="32"/>
        </w:rPr>
        <w:t>度“三公”经</w:t>
      </w:r>
      <w:r>
        <w:rPr>
          <w:rFonts w:hint="default" w:ascii="Times New Roman" w:hAnsi="Times New Roman" w:eastAsia="方正仿宋_GBK" w:cs="Times New Roman"/>
          <w:sz w:val="32"/>
          <w:szCs w:val="32"/>
        </w:rPr>
        <w:t>费支出共计0.0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万元，较年初预算数</w:t>
      </w:r>
      <w:r>
        <w:rPr>
          <w:rFonts w:hint="eastAsia" w:ascii="Times New Roman" w:hAnsi="Times New Roman" w:eastAsia="方正仿宋_GBK" w:cs="Times New Roman"/>
          <w:sz w:val="32"/>
          <w:szCs w:val="32"/>
          <w:lang w:eastAsia="zh-CN"/>
        </w:rPr>
        <w:t>无变化，</w:t>
      </w:r>
      <w:r>
        <w:rPr>
          <w:rFonts w:hint="default" w:ascii="Times New Roman" w:hAnsi="Times New Roman" w:eastAsia="方正仿宋_GBK" w:cs="Times New Roman"/>
          <w:sz w:val="32"/>
          <w:szCs w:val="32"/>
        </w:rPr>
        <w:t>较上年支出数无增减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年度本部门因公出国（境）费用0.0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费用支出较年初预算数无增减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较上年支出数无增减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费用支出较年初预算数无增减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较上年支出数无增减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公务车运行维护费0.0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费用支出较年初预算数无增减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较上年支出数无增减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公务接待费0.0万元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年度本部门因公出国（境）共计0个团组，0人；公务用车购置0辆，公务车保有量为0辆；国内公务接待0批次0人，其中：国内外事接待0批次，0人；国（境）外公务接待0批次，0人。202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年本部门人均接待费0元，车均购置费0万元，车均维护费0万元。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本年度会议费支出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（一）预算绩效管理工作开展情况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根据预算绩效管理要求，本单位对部门整体开展了绩效自评，以委托第三方出具报告的方式开展绩效评价0项，涉及资金0万元。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（二）绩效自评结果。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1.绩效目标自评表。</w:t>
      </w:r>
    </w:p>
    <w:tbl>
      <w:tblPr>
        <w:tblStyle w:val="8"/>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537"/>
        <w:gridCol w:w="693"/>
        <w:gridCol w:w="761"/>
        <w:gridCol w:w="978"/>
        <w:gridCol w:w="888"/>
        <w:gridCol w:w="708"/>
        <w:gridCol w:w="621"/>
        <w:gridCol w:w="698"/>
        <w:gridCol w:w="102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default" w:ascii="Times New Roman" w:hAnsi="Times New Roman" w:eastAsia="方正小标宋_GBK" w:cs="Times New Roman"/>
                <w:b w:val="0"/>
                <w:bCs w:val="0"/>
                <w:i w:val="0"/>
                <w:iCs w:val="0"/>
                <w:color w:val="000000"/>
                <w:kern w:val="0"/>
                <w:sz w:val="28"/>
                <w:szCs w:val="28"/>
                <w:u w:val="none"/>
                <w:lang w:val="en-US" w:eastAsia="zh-CN" w:bidi="ar"/>
              </w:rPr>
              <w:t>202</w:t>
            </w:r>
            <w:r>
              <w:rPr>
                <w:rFonts w:hint="eastAsia" w:ascii="Times New Roman" w:hAnsi="Times New Roman" w:eastAsia="方正小标宋_GBK" w:cs="Times New Roman"/>
                <w:b w:val="0"/>
                <w:bCs w:val="0"/>
                <w:i w:val="0"/>
                <w:iCs w:val="0"/>
                <w:color w:val="000000"/>
                <w:kern w:val="0"/>
                <w:sz w:val="28"/>
                <w:szCs w:val="28"/>
                <w:u w:val="none"/>
                <w:lang w:val="en-US" w:eastAsia="zh-CN" w:bidi="ar"/>
              </w:rPr>
              <w:t>4</w:t>
            </w:r>
            <w:r>
              <w:rPr>
                <w:rFonts w:hint="default" w:ascii="Times New Roman" w:hAnsi="Times New Roman" w:eastAsia="方正小标宋_GBK" w:cs="Times New Roman"/>
                <w:b w:val="0"/>
                <w:bCs w:val="0"/>
                <w:i w:val="0"/>
                <w:iCs w:val="0"/>
                <w:color w:val="000000"/>
                <w:kern w:val="0"/>
                <w:sz w:val="28"/>
                <w:szCs w:val="28"/>
                <w:u w:val="none"/>
                <w:lang w:val="en-US" w:eastAsia="zh-CN" w:bidi="ar"/>
              </w:rPr>
              <w:t>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奉节县经济和信息化</w:t>
            </w:r>
            <w:r>
              <w:rPr>
                <w:rFonts w:hint="eastAsia" w:cs="宋体"/>
                <w:i w:val="0"/>
                <w:iCs w:val="0"/>
                <w:color w:val="000000"/>
                <w:kern w:val="0"/>
                <w:sz w:val="16"/>
                <w:szCs w:val="16"/>
                <w:u w:val="none"/>
                <w:lang w:val="en-US" w:eastAsia="zh-CN" w:bidi="ar"/>
              </w:rPr>
              <w:t>综合执法队整体自评</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50023600023P000016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r>
              <w:rPr>
                <w:rFonts w:hint="eastAsia" w:cs="宋体"/>
                <w:i w:val="0"/>
                <w:iCs w:val="0"/>
                <w:color w:val="000000"/>
                <w:kern w:val="0"/>
                <w:sz w:val="16"/>
                <w:szCs w:val="16"/>
                <w:u w:val="none"/>
                <w:lang w:val="en-US" w:eastAsia="zh-CN" w:bidi="ar"/>
              </w:rPr>
              <w:t>002</w:t>
            </w:r>
            <w:r>
              <w:rPr>
                <w:rFonts w:hint="eastAsia" w:ascii="宋体" w:hAnsi="宋体" w:eastAsia="宋体" w:cs="宋体"/>
                <w:i w:val="0"/>
                <w:iCs w:val="0"/>
                <w:color w:val="000000"/>
                <w:kern w:val="0"/>
                <w:sz w:val="16"/>
                <w:szCs w:val="16"/>
                <w:u w:val="none"/>
                <w:lang w:val="en-US" w:eastAsia="zh-CN" w:bidi="ar"/>
              </w:rPr>
              <w:t>-奉节县经济和信息化</w:t>
            </w:r>
            <w:r>
              <w:rPr>
                <w:rFonts w:hint="eastAsia" w:cs="宋体"/>
                <w:i w:val="0"/>
                <w:iCs w:val="0"/>
                <w:color w:val="000000"/>
                <w:kern w:val="0"/>
                <w:sz w:val="16"/>
                <w:szCs w:val="16"/>
                <w:u w:val="none"/>
                <w:lang w:val="en-US" w:eastAsia="zh-CN" w:bidi="ar"/>
              </w:rPr>
              <w:t>综合执法大队</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007-经济建设科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古海枚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13635353979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186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132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165.63</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486.8</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486.8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165.63</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486.8</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486.8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0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0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bookmarkStart w:id="0" w:name="_GoBack"/>
            <w:bookmarkEnd w:id="0"/>
          </w:p>
        </w:tc>
        <w:tc>
          <w:tcPr>
            <w:tcW w:w="2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8" w:hRule="atLeast"/>
        </w:trPr>
        <w:tc>
          <w:tcPr>
            <w:tcW w:w="30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1.研究起草工业和信息化以及中小企业的政策性文件并组织实施。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2.拟订工业和信息化的发展规划并组织实施，推进产业结构战略性调整和优化升级，推进信息化和工业化融合。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3.申报、审核、审批工业和工业信息化建设项目；规划和组织工业和工业信息化建设项目，对重点技术改造项目实施监督管理。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4.监测分析工业和工业信息产业经济运行态势，统计并发布相关信息，进行预警预测和信息引导，协调解决行业运行发展中的有关问题并提出政策建议。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5.承担煤、电、气、工业用油等重要物资平衡调度的责任。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负责电力、天然气等行业的行政管理和行政执法；负责民用爆破器材的监督管理；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8.负责全县中小企业统计分析、预测监测，指导其建立现代企业制度以及投资方向、产业和产品结构的调整；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9.参与全县工业招商，围绕产业链和战略性新兴产业招商引资；对工业项目进行宏观管理，开展投资导向和项目具体实施工作。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10.负责指导工矿企业破产、关闭工作，组织实施改制重组，企业兼并，减员增效，扭亏脱困等工作。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11.牵头承担军民融合发展方面的职责。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12.负责盐行业管理和监督，牵头拟订盐业发展规划和组织实施产业政策；管理全县食盐专营工作，负责储备盐管理工作，保障市场供应和盐业发展稳定，负责盐业统计分析。</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1.研究起草工业和信息化以及中小企业的政策性文件并组织实施。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2.拟订工业和信息化的发展规划并组织实施，推进产业结构战略性调整和优化升级，推进信息化和工业化融合。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3.申报、审核、审批工业和工业信息化建设项目；规划和组织工业和工业信息化建设项目，对重点技术改造项目实施监督管理。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4.监测分析工业和工业信息产业经济运行态势，统计并发布相关信息，进行预警预测和信息引导，协调解决行业运行发展中的有关问题并提出政策建议。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5.承担煤、电、气、工业用油等重要物资平衡调度的责任。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负责电力、天然气等行业的行政管理和行政执法；负责民用爆破器材的监督管理；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8.负责全县中小企业统计分析、预测监测，指导其建立现代企业制度以及投资方向、产业和产品结构的调整；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9.参与全县工业招商，围绕产业链和战略性新兴产业招商引资；对工业项目进行宏观管理，开展投资导向和项目具体实施工作。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10.负责指导工矿企业破产、关闭工作，组织实施改制重组，企业兼并，减员增效，扭亏脱困等工作。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11.牵头承担军民融合发展方面的职责。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12.负责盐行业管理和监督，牵头拟订盐业发展规划和组织实施产业政策；管理全县食盐专营工作，负责储备盐管理工作，保障市场供应和盐业发展稳定，负责盐业统计分析。</w:t>
            </w:r>
          </w:p>
        </w:tc>
        <w:tc>
          <w:tcPr>
            <w:tcW w:w="28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全年已完成整体任务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本单位年度工作实际完成率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个性指标完成率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共性指标完成率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公务卡刷卡率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固定资产利用率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管理制度健全性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绩效目标自评率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三公经费控制率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项目监控到位率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在职人员控制率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政府采购执行率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资金合规性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资金结转结余率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任务完成及时率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信息公开及时率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单位运行人均成本降低率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招商引资计划任务完成率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争取专项资金计划任务完成率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单位正常运转</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维护社会稳定</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单位节能降耗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内控制度可持续性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bl>
    <w:p>
      <w:pPr>
        <w:pStyle w:val="10"/>
        <w:keepNext w:val="0"/>
        <w:keepLines w:val="0"/>
        <w:widowControl/>
        <w:suppressLineNumbers w:val="0"/>
        <w:spacing w:before="0" w:beforeAutospacing="0"/>
        <w:ind w:left="0"/>
        <w:jc w:val="left"/>
        <w:rPr>
          <w:rFonts w:hint="default"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2.绩效自评报告或案例。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无委托第三方开展绩效评价。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3.关于绩效自评结果的说明。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已完成年度绩效评价。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（一）财政拨款收入：指本年度从本级财政部门取得的财政拨款，包括一般公共预算财政拨款和政府性基金预算财政拨款。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（二）事业收入：指事业单位开展专业业务活动及其辅助活动取得的现金流入；事业单位收到的财政专户实际核拨的教育收费等资金在此反映。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（三）经营收入：指事业单位在专业业务活动及其辅助活动之外开展非独立核算经营活动取得的现金流入。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（五）使用非财政拨款结余：指单位在</w:t>
      </w:r>
      <w:r>
        <w:rPr>
          <w:rFonts w:hint="eastAsia" w:ascii="方正仿宋_GBK" w:hAnsi="方正仿宋_GBK" w:eastAsia="方正仿宋_GBK" w:cs="方正仿宋_GBK"/>
          <w:sz w:val="32"/>
          <w:szCs w:val="32"/>
          <w:lang w:val="en-US" w:eastAsia="zh-CN"/>
        </w:rPr>
        <w:t>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（六）年初结转和结余：指单位上年结转本年使用的基本支出结转、项目支出结转和结余、经营结余。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（七）结余分配：指单位按照国家有关规定，缴纳所得税、提取专用基金、转入非财政拨款结余等当年结余的分配情况。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（八）年末结转和结余：指单位结转下年的基本支出结转、项目支出结转和结余、经营结余。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（九）基本支出：指为保障机构正常运转、完成日常工作任务而发生的人员经费和公用经费。其中：人员经费指政府收支分类经济科目</w:t>
      </w:r>
      <w:r>
        <w:rPr>
          <w:rFonts w:hint="eastAsia" w:ascii="方正仿宋_GBK" w:hAnsi="方正仿宋_GBK" w:eastAsia="方正仿宋_GBK" w:cs="方正仿宋_GBK"/>
          <w:sz w:val="32"/>
          <w:szCs w:val="32"/>
          <w:lang w:val="en-US" w:eastAsia="zh-CN"/>
        </w:rPr>
        <w:t>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（十二）</w:t>
      </w:r>
      <w:r>
        <w:rPr>
          <w:rFonts w:hint="eastAsia" w:ascii="方正仿宋_GBK" w:hAnsi="方正仿宋_GBK" w:eastAsia="方正仿宋_GBK" w:cs="方正仿宋_GBK"/>
          <w:sz w:val="32"/>
          <w:szCs w:val="32"/>
          <w:lang w:val="en-US" w:eastAsia="zh-CN"/>
        </w:rPr>
        <w:t>“三公”经费：指用财政</w:t>
      </w:r>
      <w:r>
        <w:rPr>
          <w:rFonts w:hint="default" w:ascii="Times New Roman" w:hAnsi="Times New Roman" w:eastAsia="方正仿宋_GBK" w:cs="Times New Roman"/>
          <w:sz w:val="32"/>
          <w:szCs w:val="32"/>
          <w:lang w:val="en-US" w:eastAsia="zh-CN"/>
        </w:rPr>
        <w:t>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（十五）商品和服务支出（支出经济分类科目类级）：反映单位购买商品和服务的支出（不包括用于购置固定资产的支出、战略性和应急储备支出）。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（十六）对个人和家庭的补助（支出经济分类科目类级）：反映用于对个人和家庭的补助支出。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古海枚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023-56557321</w:t>
      </w:r>
    </w:p>
    <w:p>
      <w:pPr>
        <w:pStyle w:val="9"/>
        <w:autoSpaceDE w:val="0"/>
        <w:ind w:firstLine="0" w:firstLineChars="0"/>
        <w:rPr>
          <w:rFonts w:hint="default" w:ascii="宋体" w:hAnsi="宋体" w:eastAsia="宋体" w:cs="宋体"/>
          <w:sz w:val="21"/>
          <w:szCs w:val="21"/>
        </w:rPr>
      </w:pPr>
    </w:p>
    <w:sectPr>
      <w:headerReference r:id="rId3" w:type="default"/>
      <w:footerReference r:id="rId4" w:type="default"/>
      <w:pgSz w:w="11906" w:h="16838"/>
      <w:pgMar w:top="2098" w:right="1474" w:bottom="1984" w:left="158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posOffset>4987925</wp:posOffset>
              </wp:positionH>
              <wp:positionV relativeFrom="paragraph">
                <wp:posOffset>-688975</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2.75pt;margin-top:-54.25pt;height:144pt;width:144pt;mso-position-horizontal-relative:margin;mso-wrap-style:none;z-index:251660288;mso-width-relative:page;mso-height-relative:page;" filled="f" stroked="f" coordsize="21600,21600" o:allowoverlap="f" o:gfxdata="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d4uALYAAAADQEAAA8A&#10;AAAAAAAAAQAgAAAAIgAAAGRycy9kb3ducmV2LnhtbFBLAQIUABQAAAAIAIdO4kCw+DGJFwIAABkE&#10;AAAOAAAAAAAAAAEAIAAAACcBAABkcnMvZTJvRG9jLnhtbFBLBQYAAAAABgAGAFkBAACwBQ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GU3Zjc1MDk0OGZjOWI5YTFiNTg4MDFmZjg5YTAifQ=="/>
  </w:docVars>
  <w:rsids>
    <w:rsidRoot w:val="00B03CCD"/>
    <w:rsid w:val="00550ABE"/>
    <w:rsid w:val="007B419D"/>
    <w:rsid w:val="009B67B8"/>
    <w:rsid w:val="00B03CCD"/>
    <w:rsid w:val="01474EBF"/>
    <w:rsid w:val="01F3521E"/>
    <w:rsid w:val="0346767D"/>
    <w:rsid w:val="03E3214F"/>
    <w:rsid w:val="04446191"/>
    <w:rsid w:val="044C50BA"/>
    <w:rsid w:val="06A2550B"/>
    <w:rsid w:val="06F80EE2"/>
    <w:rsid w:val="07001CCA"/>
    <w:rsid w:val="075678DB"/>
    <w:rsid w:val="08051BCA"/>
    <w:rsid w:val="08BA052C"/>
    <w:rsid w:val="08DB07BA"/>
    <w:rsid w:val="098305D0"/>
    <w:rsid w:val="09B72B6E"/>
    <w:rsid w:val="0A5C4B69"/>
    <w:rsid w:val="0B9335CE"/>
    <w:rsid w:val="0C7927C4"/>
    <w:rsid w:val="0C9B098C"/>
    <w:rsid w:val="0D673E11"/>
    <w:rsid w:val="0DDA54E4"/>
    <w:rsid w:val="0E3A5F83"/>
    <w:rsid w:val="0F836721"/>
    <w:rsid w:val="107B59E5"/>
    <w:rsid w:val="10C8072F"/>
    <w:rsid w:val="11003CB0"/>
    <w:rsid w:val="111445C7"/>
    <w:rsid w:val="1158083A"/>
    <w:rsid w:val="11F03528"/>
    <w:rsid w:val="12C921C4"/>
    <w:rsid w:val="13871C70"/>
    <w:rsid w:val="13A71CB4"/>
    <w:rsid w:val="13AF1D43"/>
    <w:rsid w:val="13CE1647"/>
    <w:rsid w:val="14200702"/>
    <w:rsid w:val="1580711B"/>
    <w:rsid w:val="18591879"/>
    <w:rsid w:val="189B0D0B"/>
    <w:rsid w:val="194A1770"/>
    <w:rsid w:val="19B906A4"/>
    <w:rsid w:val="1B6F15B6"/>
    <w:rsid w:val="1BAA2EDC"/>
    <w:rsid w:val="1D014A01"/>
    <w:rsid w:val="1D022362"/>
    <w:rsid w:val="1DD26311"/>
    <w:rsid w:val="1EF67CA4"/>
    <w:rsid w:val="1FCD26AF"/>
    <w:rsid w:val="20642787"/>
    <w:rsid w:val="20A20384"/>
    <w:rsid w:val="21556F04"/>
    <w:rsid w:val="22403BD3"/>
    <w:rsid w:val="24B92327"/>
    <w:rsid w:val="2533755C"/>
    <w:rsid w:val="26396DF4"/>
    <w:rsid w:val="27167136"/>
    <w:rsid w:val="27B23302"/>
    <w:rsid w:val="286B0F27"/>
    <w:rsid w:val="29310A5F"/>
    <w:rsid w:val="29C37A35"/>
    <w:rsid w:val="2A076083"/>
    <w:rsid w:val="2A73162E"/>
    <w:rsid w:val="2B167953"/>
    <w:rsid w:val="2B200583"/>
    <w:rsid w:val="2B8209DE"/>
    <w:rsid w:val="2C367754"/>
    <w:rsid w:val="2C6762A3"/>
    <w:rsid w:val="2FE029D7"/>
    <w:rsid w:val="2FF06E00"/>
    <w:rsid w:val="315F0B22"/>
    <w:rsid w:val="31D84415"/>
    <w:rsid w:val="32285F6F"/>
    <w:rsid w:val="32770556"/>
    <w:rsid w:val="329C0913"/>
    <w:rsid w:val="3337290D"/>
    <w:rsid w:val="352930DB"/>
    <w:rsid w:val="35573069"/>
    <w:rsid w:val="358C217E"/>
    <w:rsid w:val="359F188C"/>
    <w:rsid w:val="36C9128A"/>
    <w:rsid w:val="37841E99"/>
    <w:rsid w:val="37BF1123"/>
    <w:rsid w:val="38BE4696"/>
    <w:rsid w:val="39B82A39"/>
    <w:rsid w:val="39F33306"/>
    <w:rsid w:val="3A166740"/>
    <w:rsid w:val="3B1705E5"/>
    <w:rsid w:val="3B18334B"/>
    <w:rsid w:val="3B36794F"/>
    <w:rsid w:val="3C2F1108"/>
    <w:rsid w:val="3C6A5B02"/>
    <w:rsid w:val="3D2757A1"/>
    <w:rsid w:val="3D3D4FC4"/>
    <w:rsid w:val="3DDF3AB1"/>
    <w:rsid w:val="3E1D0952"/>
    <w:rsid w:val="3E42660A"/>
    <w:rsid w:val="3E7555B1"/>
    <w:rsid w:val="3F0527E5"/>
    <w:rsid w:val="3F16459E"/>
    <w:rsid w:val="3F692196"/>
    <w:rsid w:val="4004000C"/>
    <w:rsid w:val="40634658"/>
    <w:rsid w:val="411B6CE5"/>
    <w:rsid w:val="412070D7"/>
    <w:rsid w:val="41314E40"/>
    <w:rsid w:val="415C674B"/>
    <w:rsid w:val="426C1EA8"/>
    <w:rsid w:val="42E86A87"/>
    <w:rsid w:val="43136432"/>
    <w:rsid w:val="465B470D"/>
    <w:rsid w:val="469D6AD4"/>
    <w:rsid w:val="47674801"/>
    <w:rsid w:val="48225EF7"/>
    <w:rsid w:val="495C4A24"/>
    <w:rsid w:val="497B5173"/>
    <w:rsid w:val="4B7951CB"/>
    <w:rsid w:val="4B7C315C"/>
    <w:rsid w:val="4DAC4ACA"/>
    <w:rsid w:val="4F186D58"/>
    <w:rsid w:val="522F6E0C"/>
    <w:rsid w:val="52463BA1"/>
    <w:rsid w:val="53C0244D"/>
    <w:rsid w:val="53DD4D4E"/>
    <w:rsid w:val="53E578CE"/>
    <w:rsid w:val="543B029D"/>
    <w:rsid w:val="554E5773"/>
    <w:rsid w:val="555A3CBC"/>
    <w:rsid w:val="56530F5D"/>
    <w:rsid w:val="5842572D"/>
    <w:rsid w:val="5C263CE4"/>
    <w:rsid w:val="5C5D2777"/>
    <w:rsid w:val="5D290C69"/>
    <w:rsid w:val="5F0247F9"/>
    <w:rsid w:val="5F2D4A41"/>
    <w:rsid w:val="5F7A5438"/>
    <w:rsid w:val="61025A59"/>
    <w:rsid w:val="613D5BBC"/>
    <w:rsid w:val="61536C39"/>
    <w:rsid w:val="62944DD7"/>
    <w:rsid w:val="63C25DC5"/>
    <w:rsid w:val="63C62057"/>
    <w:rsid w:val="63C73832"/>
    <w:rsid w:val="64062098"/>
    <w:rsid w:val="64FB113D"/>
    <w:rsid w:val="656152C6"/>
    <w:rsid w:val="6587477F"/>
    <w:rsid w:val="658C3A08"/>
    <w:rsid w:val="65C031CA"/>
    <w:rsid w:val="65CE6852"/>
    <w:rsid w:val="66267C04"/>
    <w:rsid w:val="663F505A"/>
    <w:rsid w:val="66EE5541"/>
    <w:rsid w:val="67836BDB"/>
    <w:rsid w:val="6B474EF5"/>
    <w:rsid w:val="6C560CAE"/>
    <w:rsid w:val="6D903FF5"/>
    <w:rsid w:val="6DA955B8"/>
    <w:rsid w:val="6DE346AB"/>
    <w:rsid w:val="6DF972E6"/>
    <w:rsid w:val="6FFB2E76"/>
    <w:rsid w:val="70637D33"/>
    <w:rsid w:val="71C34D91"/>
    <w:rsid w:val="71ED38AA"/>
    <w:rsid w:val="72DB435C"/>
    <w:rsid w:val="750837F0"/>
    <w:rsid w:val="764F62AB"/>
    <w:rsid w:val="765C45EC"/>
    <w:rsid w:val="768A7619"/>
    <w:rsid w:val="796D60A4"/>
    <w:rsid w:val="79A031D5"/>
    <w:rsid w:val="7A1525F7"/>
    <w:rsid w:val="7B420052"/>
    <w:rsid w:val="7BD06A28"/>
    <w:rsid w:val="7C1E4CD7"/>
    <w:rsid w:val="7C3A7C0B"/>
    <w:rsid w:val="7C5248E4"/>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16"/>
    <w:basedOn w:val="6"/>
    <w:qFormat/>
    <w:uiPriority w:val="0"/>
    <w:rPr>
      <w:rFonts w:hint="default" w:ascii="Times New Roman" w:hAnsi="Times New Roman" w:cs="Times New Roman"/>
      <w:b/>
    </w:rPr>
  </w:style>
  <w:style w:type="paragraph" w:customStyle="1" w:styleId="12">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5547</Words>
  <Characters>6163</Characters>
  <Lines>161</Lines>
  <Paragraphs>45</Paragraphs>
  <TotalTime>12</TotalTime>
  <ScaleCrop>false</ScaleCrop>
  <LinksUpToDate>false</LinksUpToDate>
  <CharactersWithSpaces>6169</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2025-09-26T03:19:26Z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BB46EABDBB2749749395447164B066B3_12</vt:lpwstr>
  </property>
</Properties>
</file>