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A8DA5">
      <w:pPr>
        <w:pStyle w:val="5"/>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重庆市奉节县生态工业园区企业服务中心</w:t>
      </w:r>
    </w:p>
    <w:p w14:paraId="4CCA2164">
      <w:pPr>
        <w:pStyle w:val="5"/>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年度决算情况说明</w:t>
      </w:r>
    </w:p>
    <w:p w14:paraId="564A976A">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p>
    <w:p w14:paraId="3AFA18E5">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一、部门基本情况</w:t>
      </w:r>
    </w:p>
    <w:p w14:paraId="6A68F7AE">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（一）职能职责</w:t>
      </w:r>
    </w:p>
    <w:p w14:paraId="06D96A66">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宗旨：整合现有政府服务资源、创新服务内涵和外延、提升服务深度和质量，对企业实施培育、培养，推动其发展壮大。</w:t>
      </w:r>
    </w:p>
    <w:p w14:paraId="4770C5DC">
      <w:pPr>
        <w:keepNext w:val="0"/>
        <w:keepLines w:val="0"/>
        <w:pageBreakBefore w:val="0"/>
        <w:widowControl w:val="0"/>
        <w:numPr>
          <w:ilvl w:val="0"/>
          <w:numId w:val="1"/>
        </w:numPr>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人才引进和员工培训服务</w:t>
      </w:r>
    </w:p>
    <w:p w14:paraId="055D5C14">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与培训部门合作，满足企业对人力资源的需求，常年开展各类企业员工培训，使企业员工不断更新知识，开拓视野，提高业务技能和水平，提升园区企业员工整体素质；落实人才引进优惠政策，协助企业中高级管理人才办理户口迁移、子女就学等事项；定期举办园区企业家和高级技术人才俱乐部沙龙，增进企业人才沟通和合作。</w:t>
      </w:r>
    </w:p>
    <w:p w14:paraId="08BF2DE2">
      <w:pPr>
        <w:keepNext w:val="0"/>
        <w:keepLines w:val="0"/>
        <w:pageBreakBefore w:val="0"/>
        <w:widowControl w:val="0"/>
        <w:numPr>
          <w:ilvl w:val="0"/>
          <w:numId w:val="1"/>
        </w:numPr>
        <w:kinsoku/>
        <w:wordWrap/>
        <w:overflowPunct/>
        <w:topLinePunct w:val="0"/>
        <w:autoSpaceDN/>
        <w:bidi w:val="0"/>
        <w:adjustRightInd/>
        <w:spacing w:afterAutospacing="0" w:line="560"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管理岗位及规章制度设计服务</w:t>
      </w:r>
    </w:p>
    <w:p w14:paraId="2E668C0F">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根据企业性质和规模，指导企业设立管理岗位，健全企业管理规章制度；根据现行职业病防治相关法律、法规，开展为企业制定相关的职业病防治管理制度及措施、建立职业病防治档案、编制职业病防治年度计划、制定工作职责及工作标准、联系职业病防治健康体检业务。</w:t>
      </w:r>
    </w:p>
    <w:p w14:paraId="0181DCC1">
      <w:pPr>
        <w:keepNext w:val="0"/>
        <w:keepLines w:val="0"/>
        <w:pageBreakBefore w:val="0"/>
        <w:widowControl w:val="0"/>
        <w:numPr>
          <w:ilvl w:val="0"/>
          <w:numId w:val="1"/>
        </w:numPr>
        <w:kinsoku/>
        <w:wordWrap/>
        <w:overflowPunct/>
        <w:topLinePunct w:val="0"/>
        <w:autoSpaceDN/>
        <w:bidi w:val="0"/>
        <w:adjustRightInd/>
        <w:spacing w:afterAutospacing="0" w:line="560"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营销诊断与策划服务</w:t>
      </w:r>
    </w:p>
    <w:p w14:paraId="3EE5A0EE">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立足园区企业营销实际，在营销管理、产品销售、市场开发、产品开发方面，展开有针对性的诊断，代理或协助企业市场调查、预测分析、市场开发、商务洽谈、产品开发、产品促销等。</w:t>
      </w:r>
    </w:p>
    <w:p w14:paraId="39CAA80E">
      <w:pPr>
        <w:keepNext w:val="0"/>
        <w:keepLines w:val="0"/>
        <w:pageBreakBefore w:val="0"/>
        <w:widowControl w:val="0"/>
        <w:numPr>
          <w:ilvl w:val="0"/>
          <w:numId w:val="1"/>
        </w:numPr>
        <w:kinsoku/>
        <w:wordWrap/>
        <w:overflowPunct/>
        <w:topLinePunct w:val="0"/>
        <w:autoSpaceDN/>
        <w:bidi w:val="0"/>
        <w:adjustRightInd/>
        <w:spacing w:afterAutospacing="0" w:line="560"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融资服务</w:t>
      </w:r>
    </w:p>
    <w:p w14:paraId="663FED09">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推动金融机构创新面向中小企业的融资产品和服务，缓解中小企业融资难的问题；收集和受理企业各类融资需求，搭建政府、金融机构、企业间信息交流平台及合作平台；协助金融机构开展园区企业征信、评级工作，缓解银企信息不对称问题；帮助具备上市条件和具有上市意愿的企业运作资本上市。</w:t>
      </w:r>
    </w:p>
    <w:p w14:paraId="49319ED9">
      <w:pPr>
        <w:keepNext w:val="0"/>
        <w:keepLines w:val="0"/>
        <w:pageBreakBefore w:val="0"/>
        <w:widowControl w:val="0"/>
        <w:numPr>
          <w:ilvl w:val="0"/>
          <w:numId w:val="1"/>
        </w:numPr>
        <w:kinsoku/>
        <w:wordWrap/>
        <w:overflowPunct/>
        <w:topLinePunct w:val="0"/>
        <w:autoSpaceDN/>
        <w:bidi w:val="0"/>
        <w:adjustRightInd/>
        <w:spacing w:afterAutospacing="0" w:line="560"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政务服务及法律服务</w:t>
      </w:r>
    </w:p>
    <w:p w14:paraId="5D9BF596">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负责入园企业政务服务和代理代办行政审批事项，联系有关中介机构，根据企业实际需求，提供财务咨询、纳税申报、建账、记账、代办审计、培训财会人员、代办工商注册、代办税务登记证、代办组织机构代码证、代办贷款卡等服务；负责园区法制建设及涉法事务办理工作，聘请专业律师，对园区企业提供各种法律援助和咨询服务。</w:t>
      </w:r>
    </w:p>
    <w:p w14:paraId="4D387511">
      <w:pPr>
        <w:keepNext w:val="0"/>
        <w:keepLines w:val="0"/>
        <w:pageBreakBefore w:val="0"/>
        <w:widowControl w:val="0"/>
        <w:numPr>
          <w:ilvl w:val="0"/>
          <w:numId w:val="1"/>
        </w:numPr>
        <w:kinsoku/>
        <w:wordWrap/>
        <w:overflowPunct/>
        <w:topLinePunct w:val="0"/>
        <w:autoSpaceDN/>
        <w:bidi w:val="0"/>
        <w:adjustRightInd/>
        <w:spacing w:afterAutospacing="0" w:line="560"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信息发布与查询服务</w:t>
      </w:r>
    </w:p>
    <w:p w14:paraId="52A4ADC4">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（1）企业用工供求信息。</w:t>
      </w:r>
      <w:r>
        <w:rPr>
          <w:rFonts w:hint="eastAsia" w:ascii="Times New Roman" w:hAnsi="Times New Roman" w:eastAsia="方正仿宋_GBK" w:cs="Times New Roman"/>
          <w:sz w:val="32"/>
          <w:szCs w:val="32"/>
          <w:shd w:val="clear" w:color="auto" w:fill="FFFFFF"/>
          <w:lang w:val="en-US" w:eastAsia="zh-CN" w:bidi="ar-SA"/>
        </w:rPr>
        <w:t>建立园区企业用工供求信息库，协助用工单位招聘员工，为用工单位办理用工、退休及签订劳动合同，解除劳动关系等与其相关的手续；代理各种形式劳务（劳务派遣、临时用工等）；代办养老、失业、医疗等各项社会保险；提供最新的劳动政策信息、用工信息；合理运用劳动人事政策，协助企业拟定用工计划。</w:t>
      </w:r>
    </w:p>
    <w:p w14:paraId="0F54CAA4">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（2）企业产品供求信息。</w:t>
      </w:r>
      <w:r>
        <w:rPr>
          <w:rFonts w:hint="eastAsia" w:ascii="Times New Roman" w:hAnsi="Times New Roman" w:eastAsia="方正仿宋_GBK" w:cs="Times New Roman"/>
          <w:sz w:val="32"/>
          <w:szCs w:val="32"/>
          <w:shd w:val="clear" w:color="auto" w:fill="FFFFFF"/>
          <w:lang w:val="en-US" w:eastAsia="zh-CN" w:bidi="ar-SA"/>
        </w:rPr>
        <w:t>利用各类公共服务平台开展园区企业产品信息发布、产品信息推广、商机信息发布、企业网络营销推广、新产品市场推广、企业供求信息发布、网络信息代发。帮助企业做好新产品的推广工作，帮助企业做好企业形象和新产品的全面推广工作。</w:t>
      </w:r>
    </w:p>
    <w:p w14:paraId="1BC1D695">
      <w:pPr>
        <w:keepNext w:val="0"/>
        <w:keepLines w:val="0"/>
        <w:pageBreakBefore w:val="0"/>
        <w:widowControl w:val="0"/>
        <w:numPr>
          <w:ilvl w:val="0"/>
          <w:numId w:val="0"/>
        </w:numPr>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（3）提供技术信息服务。</w:t>
      </w:r>
      <w:r>
        <w:rPr>
          <w:rFonts w:hint="eastAsia" w:ascii="Times New Roman" w:hAnsi="Times New Roman" w:eastAsia="方正仿宋_GBK" w:cs="Times New Roman"/>
          <w:sz w:val="32"/>
          <w:szCs w:val="32"/>
          <w:shd w:val="clear" w:color="auto" w:fill="FFFFFF"/>
          <w:lang w:val="en-US" w:eastAsia="zh-CN" w:bidi="ar-SA"/>
        </w:rPr>
        <w:t>围绕园区主导发展产业，搜集、整理、发布相关科技及行业信息，定期开展信息调研，为领导决策、园区招商引资、园区企业等提供技术信息服务。</w:t>
      </w:r>
    </w:p>
    <w:p w14:paraId="0E827D3F">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7. 园区物业管理服务</w:t>
      </w:r>
    </w:p>
    <w:p w14:paraId="266D8BE3">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负责园区孵化楼、标准厂房等公共设施及园区公共区域的物业管理及服务工作。</w:t>
      </w:r>
    </w:p>
    <w:p w14:paraId="6538DEFA">
      <w:pPr>
        <w:keepNext w:val="0"/>
        <w:keepLines w:val="0"/>
        <w:pageBreakBefore w:val="0"/>
        <w:widowControl w:val="0"/>
        <w:numPr>
          <w:ilvl w:val="0"/>
          <w:numId w:val="0"/>
        </w:numPr>
        <w:kinsoku/>
        <w:wordWrap/>
        <w:overflowPunct/>
        <w:topLinePunct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8. 承办管委会交办的其他工作</w:t>
      </w:r>
    </w:p>
    <w:p w14:paraId="34C49A2A">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w:t>
      </w:r>
      <w:r>
        <w:rPr>
          <w:rFonts w:hint="default" w:ascii="Times New Roman" w:hAnsi="Times New Roman" w:eastAsia="方正仿宋_GBK" w:cs="Times New Roman"/>
          <w:sz w:val="32"/>
          <w:szCs w:val="32"/>
          <w:shd w:val="clear" w:color="auto" w:fill="FFFFFF"/>
          <w:lang w:val="en-US" w:eastAsia="zh-CN" w:bidi="ar-SA"/>
        </w:rPr>
        <w:t>贯彻实施国家法律、法规、规章和政策措施，执行县委、县政府的决策和指示，依法制定和实施工业园区（草堂组团、康乐组团）管理制度和服务措施。</w:t>
      </w:r>
    </w:p>
    <w:p w14:paraId="2AEC13E7">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lang w:val="en-US" w:eastAsia="zh-CN" w:bidi="ar-SA"/>
        </w:rPr>
        <w:t>在县城乡总体规划下，编制工业园区建设规划，制定园区产业发展及项目实施计划。</w:t>
      </w:r>
    </w:p>
    <w:p w14:paraId="13CF847C">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（3）</w:t>
      </w:r>
      <w:r>
        <w:rPr>
          <w:rFonts w:hint="default" w:ascii="Times New Roman" w:hAnsi="Times New Roman" w:eastAsia="方正仿宋_GBK" w:cs="Times New Roman"/>
          <w:sz w:val="32"/>
          <w:szCs w:val="32"/>
          <w:shd w:val="clear" w:color="auto" w:fill="FFFFFF"/>
          <w:lang w:val="en-US" w:eastAsia="zh-CN" w:bidi="ar-SA"/>
        </w:rPr>
        <w:t>负责工业园区招商引资及对外经济技术合作，做好进园项目审核。</w:t>
      </w:r>
    </w:p>
    <w:p w14:paraId="46C7B15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按照职责分工做好入园企业的管理工作，按规定权限负</w:t>
      </w:r>
      <w:r>
        <w:rPr>
          <w:rFonts w:hint="default" w:ascii="Times New Roman" w:hAnsi="Times New Roman" w:eastAsia="方正仿宋_GBK" w:cs="Times New Roman"/>
          <w:spacing w:val="-6"/>
          <w:sz w:val="32"/>
          <w:szCs w:val="32"/>
          <w:shd w:val="clear" w:color="auto" w:fill="FFFFFF"/>
          <w:lang w:val="en-US" w:eastAsia="zh-CN" w:bidi="ar-SA"/>
        </w:rPr>
        <w:t>责工业园区经济运行监测、统计、分析和环境保护、节能减排工</w:t>
      </w:r>
      <w:r>
        <w:rPr>
          <w:rFonts w:hint="default" w:ascii="Times New Roman" w:hAnsi="Times New Roman" w:eastAsia="方正仿宋_GBK" w:cs="Times New Roman"/>
          <w:sz w:val="32"/>
          <w:szCs w:val="32"/>
          <w:shd w:val="clear" w:color="auto" w:fill="FFFFFF"/>
          <w:lang w:val="en-US" w:eastAsia="zh-CN" w:bidi="ar-SA"/>
        </w:rPr>
        <w:t>作。</w:t>
      </w:r>
    </w:p>
    <w:p w14:paraId="2A4BFA9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（5）</w:t>
      </w:r>
      <w:r>
        <w:rPr>
          <w:rFonts w:hint="default" w:ascii="Times New Roman" w:hAnsi="Times New Roman" w:eastAsia="方正仿宋_GBK" w:cs="Times New Roman"/>
          <w:sz w:val="32"/>
          <w:szCs w:val="32"/>
          <w:shd w:val="clear" w:color="auto" w:fill="FFFFFF"/>
          <w:lang w:val="en-US" w:eastAsia="zh-CN" w:bidi="ar-SA"/>
        </w:rPr>
        <w:t>负责指导设立工业园区投融资机构，拓展园区融资渠道；负责指导设立园区企业服务机构，强化入园企业服务。</w:t>
      </w:r>
    </w:p>
    <w:p w14:paraId="37E83F9E">
      <w:pPr>
        <w:keepNext w:val="0"/>
        <w:keepLines w:val="0"/>
        <w:pageBreakBefore w:val="0"/>
        <w:widowControl w:val="0"/>
        <w:suppressLineNumbers w:val="0"/>
        <w:shd w:val="clear" w:color="auto" w:fill="FFFFFF"/>
        <w:kinsoku/>
        <w:wordWrap/>
        <w:overflowPunct/>
        <w:topLinePunct w:val="0"/>
        <w:autoSpaceDE w:val="0"/>
        <w:autoSpaceDN/>
        <w:bidi w:val="0"/>
        <w:adjustRightInd/>
        <w:snapToGrid w:val="0"/>
        <w:spacing w:beforeAutospacing="0" w:afterAutospacing="0" w:line="560" w:lineRule="exact"/>
        <w:ind w:left="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（6）</w:t>
      </w:r>
      <w:r>
        <w:rPr>
          <w:rFonts w:hint="default" w:ascii="Times New Roman" w:hAnsi="Times New Roman" w:eastAsia="方正仿宋_GBK" w:cs="Times New Roman"/>
          <w:sz w:val="32"/>
          <w:szCs w:val="32"/>
          <w:shd w:val="clear" w:color="auto" w:fill="FFFFFF"/>
          <w:lang w:val="en-US" w:eastAsia="zh-CN" w:bidi="ar-SA"/>
        </w:rPr>
        <w:t>协助县政府有关部门，依法履行工业园区已征地红线范</w:t>
      </w:r>
      <w:r>
        <w:rPr>
          <w:rFonts w:hint="default" w:ascii="Times New Roman" w:hAnsi="Times New Roman" w:eastAsia="方正仿宋_GBK" w:cs="Times New Roman"/>
          <w:spacing w:val="-6"/>
          <w:sz w:val="32"/>
          <w:szCs w:val="32"/>
          <w:shd w:val="clear" w:color="auto" w:fill="FFFFFF"/>
          <w:lang w:val="en-US" w:eastAsia="zh-CN" w:bidi="ar-SA"/>
        </w:rPr>
        <w:t>围内企业安全生产监督属地管理职责和职业病防止监督管理职</w:t>
      </w:r>
      <w:r>
        <w:rPr>
          <w:rFonts w:hint="default" w:ascii="Times New Roman" w:hAnsi="Times New Roman" w:eastAsia="方正仿宋_GBK" w:cs="Times New Roman"/>
          <w:sz w:val="32"/>
          <w:szCs w:val="32"/>
          <w:shd w:val="clear" w:color="auto" w:fill="FFFFFF"/>
          <w:lang w:val="en-US" w:eastAsia="zh-CN" w:bidi="ar-SA"/>
        </w:rPr>
        <w:t>责。</w:t>
      </w:r>
    </w:p>
    <w:p w14:paraId="4160A30A">
      <w:pPr>
        <w:keepNext w:val="0"/>
        <w:keepLines w:val="0"/>
        <w:pageBreakBefore w:val="0"/>
        <w:widowControl w:val="0"/>
        <w:suppressLineNumbers w:val="0"/>
        <w:shd w:val="clear" w:color="auto" w:fill="FFFFFF"/>
        <w:kinsoku/>
        <w:wordWrap/>
        <w:overflowPunct/>
        <w:topLinePunct w:val="0"/>
        <w:autoSpaceDE w:val="0"/>
        <w:autoSpaceDN/>
        <w:bidi w:val="0"/>
        <w:adjustRightInd/>
        <w:snapToGrid w:val="0"/>
        <w:spacing w:beforeAutospacing="0" w:afterAutospacing="0" w:line="560" w:lineRule="exact"/>
        <w:ind w:left="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（7）</w:t>
      </w:r>
      <w:r>
        <w:rPr>
          <w:rFonts w:hint="default" w:ascii="Times New Roman" w:hAnsi="Times New Roman" w:eastAsia="方正仿宋_GBK" w:cs="Times New Roman"/>
          <w:sz w:val="32"/>
          <w:szCs w:val="32"/>
          <w:shd w:val="clear" w:color="auto" w:fill="FFFFFF"/>
          <w:lang w:val="en-US" w:eastAsia="zh-CN" w:bidi="ar-SA"/>
        </w:rPr>
        <w:t>以奉节县工业发展有限公司为建设业主，负责生态工业园区的基础设施建设工作；根据城乡总体规划和土地利用总体规划，依法进行生态工业园区土地开发和土地利用管理工作；协助国土房管部门及园区所涉乡镇政府做好工业园区征地拆迁、补偿安置工作。</w:t>
      </w:r>
    </w:p>
    <w:p w14:paraId="513282A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（8）</w:t>
      </w:r>
      <w:r>
        <w:rPr>
          <w:rFonts w:hint="default" w:ascii="Times New Roman" w:hAnsi="Times New Roman" w:eastAsia="方正仿宋_GBK" w:cs="Times New Roman"/>
          <w:sz w:val="32"/>
          <w:szCs w:val="32"/>
          <w:shd w:val="clear" w:color="auto" w:fill="FFFFFF"/>
          <w:lang w:val="en-US" w:eastAsia="zh-CN" w:bidi="ar-SA"/>
        </w:rPr>
        <w:t>根据县政府授权，负责工业园区内国有资产的管理工作。</w:t>
      </w:r>
    </w:p>
    <w:p w14:paraId="2335F67C">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（9）</w:t>
      </w:r>
      <w:r>
        <w:rPr>
          <w:rFonts w:hint="default" w:ascii="Times New Roman" w:hAnsi="Times New Roman" w:eastAsia="方正仿宋_GBK" w:cs="Times New Roman"/>
          <w:sz w:val="32"/>
          <w:szCs w:val="32"/>
          <w:shd w:val="clear" w:color="auto" w:fill="FFFFFF"/>
          <w:lang w:val="en-US" w:eastAsia="zh-CN" w:bidi="ar-SA"/>
        </w:rPr>
        <w:t>行使县委、县政府授予的其他职权，完成县委、县政府布置的其他工作。</w:t>
      </w:r>
    </w:p>
    <w:p w14:paraId="672B568C">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（二）机构设置</w:t>
      </w:r>
    </w:p>
    <w:p w14:paraId="74E425BC">
      <w:pPr>
        <w:keepNext w:val="0"/>
        <w:keepLines w:val="0"/>
        <w:pageBreakBefore w:val="0"/>
        <w:widowControl w:val="0"/>
        <w:kinsoku/>
        <w:wordWrap/>
        <w:overflowPunct/>
        <w:topLinePunct w:val="0"/>
        <w:autoSpaceDN/>
        <w:bidi w:val="0"/>
        <w:adjustRightInd/>
        <w:spacing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方正仿宋_GBK" w:cs="Times New Roman"/>
          <w:sz w:val="32"/>
          <w:szCs w:val="32"/>
          <w:shd w:val="clear" w:color="auto" w:fill="FFFFFF"/>
          <w:lang w:val="en-US" w:eastAsia="zh-CN" w:bidi="ar-SA"/>
        </w:rPr>
        <w:t>人员编制和领导职数：核定事业编制10名，领导职数2名（其中主任、副主任各1名），在职人数10人。</w:t>
      </w:r>
    </w:p>
    <w:p w14:paraId="52C4A766">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二、部门决算情况说明</w:t>
      </w:r>
    </w:p>
    <w:p w14:paraId="43603AA7">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（一）收入支出决算总体情况说明</w:t>
      </w:r>
    </w:p>
    <w:p w14:paraId="070DFC25">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方正仿宋_GBK" w:cs="Times New Roman"/>
          <w:b w:val="0"/>
          <w:bCs/>
          <w:sz w:val="32"/>
          <w:szCs w:val="32"/>
          <w:shd w:val="clear" w:color="auto" w:fill="FFFFFF"/>
        </w:rPr>
        <w:t>1.</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总体情况。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年度收入总计</w:t>
      </w:r>
      <w:r>
        <w:rPr>
          <w:rFonts w:hint="eastAsia" w:ascii="Times New Roman" w:hAnsi="Times New Roman" w:eastAsia="方正仿宋_GBK" w:cs="Times New Roman"/>
          <w:b w:val="0"/>
          <w:bCs/>
          <w:sz w:val="32"/>
          <w:szCs w:val="32"/>
          <w:shd w:val="clear" w:color="auto" w:fill="FFFFFF"/>
          <w:lang w:val="en-US" w:eastAsia="zh-CN"/>
        </w:rPr>
        <w:t>174.32</w:t>
      </w:r>
      <w:r>
        <w:rPr>
          <w:rFonts w:hint="default" w:ascii="Times New Roman" w:hAnsi="Times New Roman" w:eastAsia="方正仿宋_GBK" w:cs="Times New Roman"/>
          <w:b w:val="0"/>
          <w:bCs/>
          <w:sz w:val="32"/>
          <w:szCs w:val="32"/>
          <w:shd w:val="clear" w:color="auto" w:fill="FFFFFF"/>
        </w:rPr>
        <w:t>万元，支出总计</w:t>
      </w:r>
      <w:r>
        <w:rPr>
          <w:rFonts w:hint="eastAsia" w:ascii="Times New Roman" w:hAnsi="Times New Roman" w:eastAsia="方正仿宋_GBK" w:cs="Times New Roman"/>
          <w:b w:val="0"/>
          <w:bCs/>
          <w:sz w:val="32"/>
          <w:szCs w:val="32"/>
          <w:lang w:val="en-US" w:eastAsia="zh-CN"/>
        </w:rPr>
        <w:t>174.32</w:t>
      </w:r>
      <w:r>
        <w:rPr>
          <w:rFonts w:hint="default" w:ascii="Times New Roman" w:hAnsi="Times New Roman" w:eastAsia="方正仿宋_GBK" w:cs="Times New Roman"/>
          <w:b w:val="0"/>
          <w:bCs/>
          <w:sz w:val="32"/>
          <w:szCs w:val="32"/>
          <w:shd w:val="clear" w:color="auto" w:fill="FFFFFF"/>
        </w:rPr>
        <w:t>万元。收支较上年决算数增加</w:t>
      </w:r>
      <w:r>
        <w:rPr>
          <w:rFonts w:hint="eastAsia" w:ascii="Times New Roman" w:hAnsi="Times New Roman" w:eastAsia="方正仿宋_GBK" w:cs="Times New Roman"/>
          <w:b w:val="0"/>
          <w:bCs/>
          <w:sz w:val="32"/>
          <w:szCs w:val="32"/>
          <w:shd w:val="clear" w:color="auto" w:fill="FFFFFF"/>
          <w:lang w:val="en-US" w:eastAsia="zh-CN"/>
        </w:rPr>
        <w:t>23.16</w:t>
      </w:r>
      <w:r>
        <w:rPr>
          <w:rFonts w:hint="default" w:ascii="Times New Roman" w:hAnsi="Times New Roman" w:eastAsia="方正仿宋_GBK" w:cs="Times New Roman"/>
          <w:b w:val="0"/>
          <w:bCs/>
          <w:sz w:val="32"/>
          <w:szCs w:val="32"/>
          <w:shd w:val="clear" w:color="auto" w:fill="FFFFFF"/>
        </w:rPr>
        <w:t>万元，增长</w:t>
      </w:r>
      <w:r>
        <w:rPr>
          <w:rFonts w:hint="eastAsia" w:ascii="Times New Roman" w:hAnsi="Times New Roman" w:eastAsia="方正仿宋_GBK" w:cs="Times New Roman"/>
          <w:b w:val="0"/>
          <w:bCs/>
          <w:sz w:val="32"/>
          <w:szCs w:val="32"/>
          <w:shd w:val="clear" w:color="auto" w:fill="FFFFFF"/>
          <w:lang w:val="en-US" w:eastAsia="zh-CN"/>
        </w:rPr>
        <w:t>15.32</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highlight w:val="none"/>
          <w:shd w:val="clear" w:color="auto" w:fill="FFFFFF"/>
        </w:rPr>
        <w:t>是</w:t>
      </w:r>
      <w:r>
        <w:rPr>
          <w:rFonts w:hint="default" w:ascii="Times New Roman" w:hAnsi="Times New Roman" w:eastAsia="仿宋_GB2312" w:cs="Times New Roman"/>
          <w:b w:val="0"/>
          <w:bCs/>
          <w:sz w:val="32"/>
          <w:szCs w:val="32"/>
          <w:lang w:val="en-US" w:eastAsia="zh-CN"/>
        </w:rPr>
        <w:t>人员变动及工资调标。</w:t>
      </w:r>
    </w:p>
    <w:p w14:paraId="4528F94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年度收入合计</w:t>
      </w:r>
      <w:r>
        <w:rPr>
          <w:rFonts w:hint="eastAsia" w:ascii="Times New Roman" w:hAnsi="Times New Roman" w:eastAsia="方正仿宋_GBK" w:cs="Times New Roman"/>
          <w:b w:val="0"/>
          <w:bCs/>
          <w:sz w:val="32"/>
          <w:szCs w:val="32"/>
          <w:shd w:val="clear" w:color="auto" w:fill="FFFFFF"/>
          <w:lang w:val="en-US" w:eastAsia="zh-CN"/>
        </w:rPr>
        <w:t>174.32</w:t>
      </w:r>
      <w:r>
        <w:rPr>
          <w:rFonts w:hint="default" w:ascii="Times New Roman" w:hAnsi="Times New Roman" w:eastAsia="方正仿宋_GBK" w:cs="Times New Roman"/>
          <w:b w:val="0"/>
          <w:bCs/>
          <w:sz w:val="32"/>
          <w:szCs w:val="32"/>
          <w:shd w:val="clear" w:color="auto" w:fill="FFFFFF"/>
        </w:rPr>
        <w:t>万元，较上年决算数增加</w:t>
      </w:r>
      <w:r>
        <w:rPr>
          <w:rFonts w:hint="eastAsia" w:ascii="Times New Roman" w:hAnsi="Times New Roman" w:eastAsia="方正仿宋_GBK" w:cs="Times New Roman"/>
          <w:b w:val="0"/>
          <w:bCs/>
          <w:sz w:val="32"/>
          <w:szCs w:val="32"/>
          <w:shd w:val="clear" w:color="auto" w:fill="FFFFFF"/>
          <w:lang w:val="en-US" w:eastAsia="zh-CN"/>
        </w:rPr>
        <w:t>23.16</w:t>
      </w:r>
      <w:r>
        <w:rPr>
          <w:rFonts w:hint="default" w:ascii="Times New Roman" w:hAnsi="Times New Roman" w:eastAsia="方正仿宋_GBK" w:cs="Times New Roman"/>
          <w:b w:val="0"/>
          <w:bCs/>
          <w:sz w:val="32"/>
          <w:szCs w:val="32"/>
          <w:shd w:val="clear" w:color="auto" w:fill="FFFFFF"/>
        </w:rPr>
        <w:t>万元，增长</w:t>
      </w:r>
      <w:r>
        <w:rPr>
          <w:rFonts w:hint="eastAsia" w:ascii="Times New Roman" w:hAnsi="Times New Roman" w:eastAsia="方正仿宋_GBK" w:cs="Times New Roman"/>
          <w:b w:val="0"/>
          <w:bCs/>
          <w:sz w:val="32"/>
          <w:szCs w:val="32"/>
          <w:shd w:val="clear" w:color="auto" w:fill="FFFFFF"/>
          <w:lang w:val="en-US" w:eastAsia="zh-CN"/>
        </w:rPr>
        <w:t>15.32</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highlight w:val="none"/>
          <w:shd w:val="clear" w:color="auto" w:fill="FFFFFF"/>
        </w:rPr>
        <w:t>是</w:t>
      </w:r>
      <w:r>
        <w:rPr>
          <w:rFonts w:hint="default" w:ascii="Times New Roman" w:hAnsi="Times New Roman" w:eastAsia="仿宋_GB2312" w:cs="Times New Roman"/>
          <w:b w:val="0"/>
          <w:bCs/>
          <w:sz w:val="32"/>
          <w:szCs w:val="32"/>
          <w:lang w:val="en-US" w:eastAsia="zh-CN"/>
        </w:rPr>
        <w:t>人员变动及工资调标。</w:t>
      </w:r>
      <w:r>
        <w:rPr>
          <w:rFonts w:hint="default" w:ascii="Times New Roman" w:hAnsi="Times New Roman" w:eastAsia="方正仿宋_GBK" w:cs="Times New Roman"/>
          <w:b w:val="0"/>
          <w:bCs/>
          <w:sz w:val="32"/>
          <w:szCs w:val="32"/>
          <w:shd w:val="clear" w:color="auto" w:fill="FFFFFF"/>
        </w:rPr>
        <w:t>其中：财政拨款收入</w:t>
      </w:r>
      <w:r>
        <w:rPr>
          <w:rFonts w:hint="eastAsia" w:ascii="Times New Roman" w:hAnsi="Times New Roman" w:eastAsia="方正仿宋_GBK" w:cs="Times New Roman"/>
          <w:b w:val="0"/>
          <w:bCs/>
          <w:sz w:val="32"/>
          <w:szCs w:val="32"/>
          <w:lang w:val="en-US" w:eastAsia="zh-CN"/>
        </w:rPr>
        <w:t>174.32</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w:t>
      </w:r>
      <w:r>
        <w:rPr>
          <w:rFonts w:hint="eastAsia" w:ascii="Times New Roman" w:hAnsi="Times New Roman" w:eastAsia="方正仿宋_GBK" w:cs="Times New Roman"/>
          <w:b w:val="0"/>
          <w:bCs/>
          <w:sz w:val="32"/>
          <w:szCs w:val="32"/>
          <w:lang w:eastAsia="zh-CN"/>
        </w:rPr>
        <w:t>0%</w:t>
      </w:r>
      <w:r>
        <w:rPr>
          <w:rFonts w:hint="default" w:ascii="Times New Roman" w:hAnsi="Times New Roman" w:eastAsia="方正仿宋_GBK" w:cs="Times New Roman"/>
          <w:b w:val="0"/>
          <w:bCs/>
          <w:sz w:val="32"/>
          <w:szCs w:val="32"/>
          <w:shd w:val="clear" w:color="auto" w:fill="FFFFFF"/>
        </w:rPr>
        <w:t>；</w:t>
      </w:r>
      <w:r>
        <w:rPr>
          <w:rFonts w:hint="eastAsia" w:ascii="Times New Roman" w:hAnsi="Times New Roman" w:eastAsia="方正仿宋_GBK" w:cs="Times New Roman"/>
          <w:b w:val="0"/>
          <w:bCs/>
          <w:sz w:val="32"/>
          <w:szCs w:val="32"/>
          <w:shd w:val="clear" w:color="auto" w:fill="FFFFFF"/>
          <w:lang w:val="en-US" w:eastAsia="zh-CN"/>
        </w:rPr>
        <w:t>此外</w:t>
      </w:r>
      <w:r>
        <w:rPr>
          <w:rFonts w:hint="default" w:ascii="Times New Roman" w:hAnsi="Times New Roman" w:eastAsia="方正仿宋_GBK" w:cs="Times New Roman"/>
          <w:b w:val="0"/>
          <w:bCs/>
          <w:sz w:val="32"/>
          <w:szCs w:val="32"/>
          <w:shd w:val="clear" w:color="auto" w:fill="FFFFFF"/>
        </w:rPr>
        <w:t>，年初结转和结余</w:t>
      </w:r>
      <w:r>
        <w:rPr>
          <w:rFonts w:hint="eastAsia" w:ascii="Times New Roman" w:hAnsi="Times New Roman" w:eastAsia="方正仿宋_GBK" w:cs="Times New Roman"/>
          <w:b w:val="0"/>
          <w:bCs/>
          <w:sz w:val="32"/>
          <w:szCs w:val="32"/>
          <w:lang w:eastAsia="zh-CN"/>
        </w:rPr>
        <w:t>0</w:t>
      </w:r>
      <w:r>
        <w:rPr>
          <w:rFonts w:hint="default" w:ascii="Times New Roman" w:hAnsi="Times New Roman" w:eastAsia="方正仿宋_GBK" w:cs="Times New Roman"/>
          <w:b w:val="0"/>
          <w:bCs/>
          <w:sz w:val="32"/>
          <w:szCs w:val="32"/>
          <w:shd w:val="clear" w:color="auto" w:fill="FFFFFF"/>
        </w:rPr>
        <w:t>万元。</w:t>
      </w:r>
    </w:p>
    <w:p w14:paraId="5B5CEB8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3.</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支出情况。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年度支出合计</w:t>
      </w:r>
      <w:r>
        <w:rPr>
          <w:rFonts w:hint="eastAsia" w:ascii="Times New Roman" w:hAnsi="Times New Roman" w:eastAsia="方正仿宋_GBK" w:cs="Times New Roman"/>
          <w:b w:val="0"/>
          <w:bCs/>
          <w:sz w:val="32"/>
          <w:szCs w:val="32"/>
          <w:lang w:val="en-US" w:eastAsia="zh-CN"/>
        </w:rPr>
        <w:t>174.32</w:t>
      </w:r>
      <w:r>
        <w:rPr>
          <w:rFonts w:hint="default" w:ascii="Times New Roman" w:hAnsi="Times New Roman" w:eastAsia="方正仿宋_GBK" w:cs="Times New Roman"/>
          <w:b w:val="0"/>
          <w:bCs/>
          <w:sz w:val="32"/>
          <w:szCs w:val="32"/>
          <w:shd w:val="clear" w:color="auto" w:fill="FFFFFF"/>
        </w:rPr>
        <w:t>万元，较上年决算数增加</w:t>
      </w:r>
      <w:r>
        <w:rPr>
          <w:rFonts w:hint="eastAsia" w:ascii="Times New Roman" w:hAnsi="Times New Roman" w:eastAsia="方正仿宋_GBK" w:cs="Times New Roman"/>
          <w:b w:val="0"/>
          <w:bCs/>
          <w:sz w:val="32"/>
          <w:szCs w:val="32"/>
          <w:shd w:val="clear" w:color="auto" w:fill="FFFFFF"/>
          <w:lang w:val="en-US" w:eastAsia="zh-CN"/>
        </w:rPr>
        <w:t>23.16</w:t>
      </w:r>
      <w:r>
        <w:rPr>
          <w:rFonts w:hint="default" w:ascii="Times New Roman" w:hAnsi="Times New Roman" w:eastAsia="方正仿宋_GBK" w:cs="Times New Roman"/>
          <w:b w:val="0"/>
          <w:bCs/>
          <w:sz w:val="32"/>
          <w:szCs w:val="32"/>
          <w:shd w:val="clear" w:color="auto" w:fill="FFFFFF"/>
        </w:rPr>
        <w:t>万元，增长</w:t>
      </w:r>
      <w:r>
        <w:rPr>
          <w:rFonts w:hint="eastAsia" w:ascii="Times New Roman" w:hAnsi="Times New Roman" w:eastAsia="方正仿宋_GBK" w:cs="Times New Roman"/>
          <w:b w:val="0"/>
          <w:bCs/>
          <w:sz w:val="32"/>
          <w:szCs w:val="32"/>
          <w:shd w:val="clear" w:color="auto" w:fill="FFFFFF"/>
          <w:lang w:val="en-US" w:eastAsia="zh-CN"/>
        </w:rPr>
        <w:t>15.32</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highlight w:val="none"/>
          <w:shd w:val="clear" w:color="auto" w:fill="FFFFFF"/>
        </w:rPr>
        <w:t>是</w:t>
      </w:r>
      <w:r>
        <w:rPr>
          <w:rFonts w:hint="default" w:ascii="Times New Roman" w:hAnsi="Times New Roman" w:eastAsia="仿宋_GB2312" w:cs="Times New Roman"/>
          <w:b w:val="0"/>
          <w:bCs/>
          <w:sz w:val="32"/>
          <w:szCs w:val="32"/>
          <w:lang w:val="en-US" w:eastAsia="zh-CN"/>
        </w:rPr>
        <w:t>人员变动及工资调标。</w:t>
      </w:r>
      <w:r>
        <w:rPr>
          <w:rFonts w:hint="default" w:ascii="Times New Roman" w:hAnsi="Times New Roman" w:eastAsia="方正仿宋_GBK" w:cs="Times New Roman"/>
          <w:b w:val="0"/>
          <w:bCs/>
          <w:sz w:val="32"/>
          <w:szCs w:val="32"/>
          <w:shd w:val="clear" w:color="auto" w:fill="FFFFFF"/>
        </w:rPr>
        <w:t>其中：基本支出</w:t>
      </w:r>
      <w:r>
        <w:rPr>
          <w:rFonts w:hint="eastAsia" w:ascii="Times New Roman" w:hAnsi="Times New Roman" w:eastAsia="方正仿宋_GBK" w:cs="Times New Roman"/>
          <w:b w:val="0"/>
          <w:bCs/>
          <w:sz w:val="32"/>
          <w:szCs w:val="32"/>
          <w:lang w:val="en-US" w:eastAsia="zh-CN"/>
        </w:rPr>
        <w:t>174.32</w:t>
      </w:r>
      <w:r>
        <w:rPr>
          <w:rFonts w:hint="default" w:ascii="Times New Roman" w:hAnsi="Times New Roman" w:eastAsia="方正仿宋_GBK" w:cs="Times New Roman"/>
          <w:b w:val="0"/>
          <w:bCs/>
          <w:sz w:val="32"/>
          <w:szCs w:val="32"/>
          <w:shd w:val="clear" w:color="auto" w:fill="FFFFFF"/>
        </w:rPr>
        <w:t>万元，占10</w:t>
      </w:r>
      <w:r>
        <w:rPr>
          <w:rFonts w:hint="eastAsia" w:ascii="Times New Roman" w:hAnsi="Times New Roman" w:eastAsia="方正仿宋_GBK" w:cs="Times New Roman"/>
          <w:b w:val="0"/>
          <w:bCs/>
          <w:sz w:val="32"/>
          <w:szCs w:val="32"/>
          <w:shd w:val="clear" w:color="auto" w:fill="FFFFFF"/>
          <w:lang w:eastAsia="zh-CN"/>
        </w:rPr>
        <w:t>0%</w:t>
      </w:r>
      <w:r>
        <w:rPr>
          <w:rFonts w:hint="default" w:ascii="Times New Roman" w:hAnsi="Times New Roman" w:eastAsia="方正仿宋_GBK" w:cs="Times New Roman"/>
          <w:b w:val="0"/>
          <w:bCs/>
          <w:sz w:val="32"/>
          <w:szCs w:val="32"/>
          <w:shd w:val="clear" w:color="auto" w:fill="FFFFFF"/>
        </w:rPr>
        <w:t>；此外，结余分配</w:t>
      </w:r>
      <w:r>
        <w:rPr>
          <w:rFonts w:hint="eastAsia" w:ascii="Times New Roman" w:hAnsi="Times New Roman" w:eastAsia="方正仿宋_GBK" w:cs="Times New Roman"/>
          <w:b w:val="0"/>
          <w:bCs/>
          <w:sz w:val="32"/>
          <w:szCs w:val="32"/>
          <w:lang w:eastAsia="zh-CN"/>
        </w:rPr>
        <w:t>0</w:t>
      </w:r>
      <w:r>
        <w:rPr>
          <w:rFonts w:hint="default" w:ascii="Times New Roman" w:hAnsi="Times New Roman" w:eastAsia="方正仿宋_GBK" w:cs="Times New Roman"/>
          <w:b w:val="0"/>
          <w:bCs/>
          <w:sz w:val="32"/>
          <w:szCs w:val="32"/>
          <w:shd w:val="clear" w:color="auto" w:fill="FFFFFF"/>
        </w:rPr>
        <w:t>万元。</w:t>
      </w:r>
    </w:p>
    <w:p w14:paraId="13999C9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Style w:val="8"/>
          <w:rFonts w:hint="default" w:ascii="Times New Roman" w:hAnsi="Times New Roman" w:eastAsia="方正仿宋_GBK" w:cs="Times New Roman"/>
          <w:b w:val="0"/>
          <w:bCs/>
          <w:sz w:val="32"/>
          <w:szCs w:val="32"/>
          <w:shd w:val="clear" w:color="auto" w:fill="FFFFFF"/>
        </w:rPr>
        <w:t>4.</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年度年末结转和结余</w:t>
      </w:r>
      <w:r>
        <w:rPr>
          <w:rFonts w:hint="eastAsia" w:ascii="Times New Roman" w:hAnsi="Times New Roman" w:eastAsia="方正仿宋_GBK" w:cs="Times New Roman"/>
          <w:b w:val="0"/>
          <w:bCs/>
          <w:sz w:val="32"/>
          <w:szCs w:val="32"/>
          <w:lang w:eastAsia="zh-CN"/>
        </w:rPr>
        <w:t>0</w:t>
      </w:r>
      <w:r>
        <w:rPr>
          <w:rFonts w:hint="default" w:ascii="Times New Roman" w:hAnsi="Times New Roman" w:eastAsia="方正仿宋_GBK" w:cs="Times New Roman"/>
          <w:b w:val="0"/>
          <w:bCs/>
          <w:sz w:val="32"/>
          <w:szCs w:val="32"/>
          <w:shd w:val="clear" w:color="auto" w:fill="FFFFFF"/>
        </w:rPr>
        <w:t>万元，较上年决算数无增减</w:t>
      </w:r>
      <w:r>
        <w:rPr>
          <w:rFonts w:hint="default" w:ascii="Times New Roman" w:hAnsi="Times New Roman" w:eastAsia="方正仿宋_GBK" w:cs="Times New Roman"/>
          <w:b w:val="0"/>
          <w:bCs/>
          <w:sz w:val="32"/>
          <w:szCs w:val="32"/>
          <w:shd w:val="clear" w:color="auto" w:fill="FFFFFF"/>
          <w:lang w:eastAsia="zh-CN"/>
        </w:rPr>
        <w:t>。</w:t>
      </w:r>
    </w:p>
    <w:p w14:paraId="14D3F189">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sz w:val="32"/>
          <w:szCs w:val="32"/>
          <w:shd w:val="clear" w:color="auto" w:fill="FFFFFF"/>
          <w:lang w:bidi="ar"/>
        </w:rPr>
      </w:pPr>
      <w:r>
        <w:rPr>
          <w:rFonts w:hint="default" w:ascii="方正楷体_GBK" w:hAnsi="方正楷体_GBK" w:eastAsia="方正楷体_GBK" w:cs="方正楷体_GBK"/>
          <w:b w:val="0"/>
          <w:bCs/>
          <w:sz w:val="32"/>
          <w:szCs w:val="32"/>
          <w:shd w:val="clear" w:color="auto" w:fill="FFFFFF"/>
          <w:lang w:bidi="ar"/>
        </w:rPr>
        <w:t>（二）财政拨款收入支出决算总体情况说明</w:t>
      </w:r>
    </w:p>
    <w:p w14:paraId="6F80C8C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年度财政拨款收、支总计</w:t>
      </w:r>
      <w:r>
        <w:rPr>
          <w:rFonts w:hint="eastAsia" w:ascii="Times New Roman" w:hAnsi="Times New Roman" w:eastAsia="方正仿宋_GBK" w:cs="Times New Roman"/>
          <w:b w:val="0"/>
          <w:bCs/>
          <w:sz w:val="32"/>
          <w:szCs w:val="32"/>
          <w:lang w:val="en-US" w:eastAsia="zh-CN"/>
        </w:rPr>
        <w:t>174.32</w:t>
      </w:r>
      <w:r>
        <w:rPr>
          <w:rFonts w:hint="default" w:ascii="Times New Roman" w:hAnsi="Times New Roman" w:eastAsia="方正仿宋_GBK" w:cs="Times New Roman"/>
          <w:b w:val="0"/>
          <w:bCs/>
          <w:sz w:val="32"/>
          <w:szCs w:val="32"/>
          <w:shd w:val="clear" w:color="auto" w:fill="FFFFFF"/>
        </w:rPr>
        <w:t>万元。与</w:t>
      </w:r>
      <w:bookmarkStart w:id="0" w:name="_GoBack"/>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3</w:t>
      </w:r>
      <w:bookmarkEnd w:id="0"/>
      <w:r>
        <w:rPr>
          <w:rFonts w:hint="default" w:ascii="Times New Roman" w:hAnsi="Times New Roman" w:eastAsia="方正仿宋_GBK" w:cs="Times New Roman"/>
          <w:b w:val="0"/>
          <w:bCs/>
          <w:sz w:val="32"/>
          <w:szCs w:val="32"/>
          <w:shd w:val="clear" w:color="auto" w:fill="FFFFFF"/>
        </w:rPr>
        <w:t>年相比，财政拨款收、支总计各增加</w:t>
      </w:r>
      <w:r>
        <w:rPr>
          <w:rFonts w:hint="eastAsia" w:ascii="Times New Roman" w:hAnsi="Times New Roman" w:eastAsia="方正仿宋_GBK" w:cs="Times New Roman"/>
          <w:b w:val="0"/>
          <w:bCs/>
          <w:sz w:val="32"/>
          <w:szCs w:val="32"/>
          <w:shd w:val="clear" w:color="auto" w:fill="FFFFFF"/>
          <w:lang w:val="en-US" w:eastAsia="zh-CN"/>
        </w:rPr>
        <w:t>23.16</w:t>
      </w:r>
      <w:r>
        <w:rPr>
          <w:rFonts w:hint="default" w:ascii="Times New Roman" w:hAnsi="Times New Roman" w:eastAsia="方正仿宋_GBK" w:cs="Times New Roman"/>
          <w:b w:val="0"/>
          <w:bCs/>
          <w:sz w:val="32"/>
          <w:szCs w:val="32"/>
          <w:shd w:val="clear" w:color="auto" w:fill="FFFFFF"/>
        </w:rPr>
        <w:t>万元，增长</w:t>
      </w:r>
      <w:r>
        <w:rPr>
          <w:rFonts w:hint="eastAsia" w:ascii="Times New Roman" w:hAnsi="Times New Roman" w:eastAsia="方正仿宋_GBK" w:cs="Times New Roman"/>
          <w:b w:val="0"/>
          <w:bCs/>
          <w:sz w:val="32"/>
          <w:szCs w:val="32"/>
          <w:shd w:val="clear" w:color="auto" w:fill="FFFFFF"/>
          <w:lang w:val="en-US" w:eastAsia="zh-CN"/>
        </w:rPr>
        <w:t>15.32</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highlight w:val="none"/>
          <w:shd w:val="clear" w:color="auto" w:fill="FFFFFF"/>
        </w:rPr>
        <w:t>是</w:t>
      </w:r>
      <w:r>
        <w:rPr>
          <w:rFonts w:hint="default" w:ascii="Times New Roman" w:hAnsi="Times New Roman" w:eastAsia="仿宋_GB2312" w:cs="Times New Roman"/>
          <w:b w:val="0"/>
          <w:bCs/>
          <w:sz w:val="32"/>
          <w:szCs w:val="32"/>
          <w:lang w:val="en-US" w:eastAsia="zh-CN"/>
        </w:rPr>
        <w:t>人员变动及工资调标。</w:t>
      </w:r>
    </w:p>
    <w:p w14:paraId="7EFC9F80">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sz w:val="32"/>
          <w:szCs w:val="32"/>
          <w:shd w:val="clear" w:color="auto" w:fill="FFFFFF"/>
          <w:lang w:bidi="ar"/>
        </w:rPr>
      </w:pPr>
      <w:r>
        <w:rPr>
          <w:rFonts w:hint="default" w:ascii="方正楷体_GBK" w:hAnsi="方正楷体_GBK" w:eastAsia="方正楷体_GBK" w:cs="方正楷体_GBK"/>
          <w:b w:val="0"/>
          <w:bCs/>
          <w:sz w:val="32"/>
          <w:szCs w:val="32"/>
          <w:shd w:val="clear" w:color="auto" w:fill="FFFFFF"/>
          <w:lang w:bidi="ar"/>
        </w:rPr>
        <w:t>（三）一般公共预算财政拨款收入支出决算情况说明</w:t>
      </w:r>
    </w:p>
    <w:p w14:paraId="042AC67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shd w:val="clear" w:color="auto" w:fill="FFFFFF"/>
        </w:rPr>
        <w:t>1.</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eastAsia" w:ascii="Times New Roman" w:hAnsi="Times New Roman" w:eastAsia="方正仿宋_GBK" w:cs="Times New Roman"/>
          <w:sz w:val="32"/>
          <w:szCs w:val="32"/>
          <w:lang w:val="en-US" w:eastAsia="zh-CN"/>
        </w:rPr>
        <w:t>174.32</w:t>
      </w:r>
      <w:r>
        <w:rPr>
          <w:rFonts w:hint="default" w:ascii="Times New Roman" w:hAnsi="Times New Roman" w:eastAsia="方正仿宋_GBK" w:cs="Times New Roman"/>
          <w:sz w:val="32"/>
          <w:szCs w:val="32"/>
          <w:shd w:val="clear" w:color="auto" w:fill="FFFFFF"/>
        </w:rPr>
        <w:t>万元，较上年决算数增加</w:t>
      </w:r>
      <w:r>
        <w:rPr>
          <w:rFonts w:hint="default" w:ascii="Times New Roman" w:hAnsi="Times New Roman" w:eastAsia="方正仿宋_GBK" w:cs="Times New Roman"/>
          <w:b w:val="0"/>
          <w:bCs/>
          <w:sz w:val="32"/>
          <w:szCs w:val="32"/>
          <w:shd w:val="clear" w:color="auto" w:fill="FFFFFF"/>
        </w:rPr>
        <w:t>增加</w:t>
      </w:r>
      <w:r>
        <w:rPr>
          <w:rFonts w:hint="eastAsia" w:ascii="Times New Roman" w:hAnsi="Times New Roman" w:eastAsia="方正仿宋_GBK" w:cs="Times New Roman"/>
          <w:b w:val="0"/>
          <w:bCs/>
          <w:sz w:val="32"/>
          <w:szCs w:val="32"/>
          <w:shd w:val="clear" w:color="auto" w:fill="FFFFFF"/>
          <w:lang w:val="en-US" w:eastAsia="zh-CN"/>
        </w:rPr>
        <w:t>23.16</w:t>
      </w:r>
      <w:r>
        <w:rPr>
          <w:rFonts w:hint="default" w:ascii="Times New Roman" w:hAnsi="Times New Roman" w:eastAsia="方正仿宋_GBK" w:cs="Times New Roman"/>
          <w:b w:val="0"/>
          <w:bCs/>
          <w:sz w:val="32"/>
          <w:szCs w:val="32"/>
          <w:shd w:val="clear" w:color="auto" w:fill="FFFFFF"/>
        </w:rPr>
        <w:t>万元，增长</w:t>
      </w:r>
      <w:r>
        <w:rPr>
          <w:rFonts w:hint="eastAsia" w:ascii="Times New Roman" w:hAnsi="Times New Roman" w:eastAsia="方正仿宋_GBK" w:cs="Times New Roman"/>
          <w:b w:val="0"/>
          <w:bCs/>
          <w:sz w:val="32"/>
          <w:szCs w:val="32"/>
          <w:shd w:val="clear" w:color="auto" w:fill="FFFFFF"/>
          <w:lang w:val="en-US" w:eastAsia="zh-CN"/>
        </w:rPr>
        <w:t>15.32</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仿宋_GB2312" w:cs="Times New Roman"/>
          <w:sz w:val="32"/>
          <w:szCs w:val="32"/>
          <w:lang w:val="en-US" w:eastAsia="zh-CN"/>
        </w:rPr>
        <w:t>人员变动及工资调标。</w:t>
      </w:r>
      <w:r>
        <w:rPr>
          <w:rFonts w:hint="default"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lang w:val="en-US" w:eastAsia="zh-CN"/>
        </w:rPr>
        <w:t>48.19</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仿宋_GB2312" w:cs="Times New Roman"/>
          <w:sz w:val="32"/>
          <w:szCs w:val="32"/>
          <w:lang w:val="en-US" w:eastAsia="zh-CN"/>
        </w:rPr>
        <w:t>人员变动</w:t>
      </w:r>
      <w:r>
        <w:rPr>
          <w:rFonts w:hint="eastAsia" w:ascii="Times New Roman" w:hAnsi="Times New Roman" w:eastAsia="仿宋_GB2312" w:cs="Times New Roman"/>
          <w:sz w:val="32"/>
          <w:szCs w:val="32"/>
          <w:lang w:val="en-US" w:eastAsia="zh-CN"/>
        </w:rPr>
        <w:t>人员经费和公用经费增加</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w:t>
      </w:r>
    </w:p>
    <w:p w14:paraId="073BB7B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Style w:val="8"/>
          <w:rFonts w:hint="default" w:ascii="Times New Roman" w:hAnsi="Times New Roman" w:eastAsia="方正仿宋_GBK" w:cs="Times New Roman"/>
          <w:b w:val="0"/>
          <w:bCs/>
          <w:sz w:val="32"/>
          <w:szCs w:val="32"/>
          <w:shd w:val="clear" w:color="auto" w:fill="FFFFFF"/>
        </w:rPr>
        <w:t>2.</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支出情况。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年度一般公共预算财政拨款支出</w:t>
      </w:r>
      <w:r>
        <w:rPr>
          <w:rFonts w:hint="default" w:ascii="Times New Roman" w:hAnsi="Times New Roman" w:eastAsia="方正仿宋_GBK" w:cs="Times New Roman"/>
          <w:b w:val="0"/>
          <w:bCs/>
          <w:sz w:val="32"/>
          <w:szCs w:val="32"/>
        </w:rPr>
        <w:t>151.16</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sz w:val="32"/>
          <w:szCs w:val="32"/>
          <w:shd w:val="clear" w:color="auto" w:fill="FFFFFF"/>
        </w:rPr>
        <w:t>较上年决算数增加</w:t>
      </w:r>
      <w:r>
        <w:rPr>
          <w:rFonts w:hint="default" w:ascii="Times New Roman" w:hAnsi="Times New Roman" w:eastAsia="方正仿宋_GBK" w:cs="Times New Roman"/>
          <w:b w:val="0"/>
          <w:bCs/>
          <w:sz w:val="32"/>
          <w:szCs w:val="32"/>
          <w:shd w:val="clear" w:color="auto" w:fill="FFFFFF"/>
        </w:rPr>
        <w:t>增加</w:t>
      </w:r>
      <w:r>
        <w:rPr>
          <w:rFonts w:hint="eastAsia" w:ascii="Times New Roman" w:hAnsi="Times New Roman" w:eastAsia="方正仿宋_GBK" w:cs="Times New Roman"/>
          <w:b w:val="0"/>
          <w:bCs/>
          <w:sz w:val="32"/>
          <w:szCs w:val="32"/>
          <w:shd w:val="clear" w:color="auto" w:fill="FFFFFF"/>
          <w:lang w:val="en-US" w:eastAsia="zh-CN"/>
        </w:rPr>
        <w:t>23.16</w:t>
      </w:r>
      <w:r>
        <w:rPr>
          <w:rFonts w:hint="default" w:ascii="Times New Roman" w:hAnsi="Times New Roman" w:eastAsia="方正仿宋_GBK" w:cs="Times New Roman"/>
          <w:b w:val="0"/>
          <w:bCs/>
          <w:sz w:val="32"/>
          <w:szCs w:val="32"/>
          <w:shd w:val="clear" w:color="auto" w:fill="FFFFFF"/>
        </w:rPr>
        <w:t>万元，增长</w:t>
      </w:r>
      <w:r>
        <w:rPr>
          <w:rFonts w:hint="eastAsia" w:ascii="Times New Roman" w:hAnsi="Times New Roman" w:eastAsia="方正仿宋_GBK" w:cs="Times New Roman"/>
          <w:b w:val="0"/>
          <w:bCs/>
          <w:sz w:val="32"/>
          <w:szCs w:val="32"/>
          <w:shd w:val="clear" w:color="auto" w:fill="FFFFFF"/>
          <w:lang w:val="en-US" w:eastAsia="zh-CN"/>
        </w:rPr>
        <w:t>15.32</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仿宋_GB2312" w:cs="Times New Roman"/>
          <w:sz w:val="32"/>
          <w:szCs w:val="32"/>
          <w:lang w:val="en-US" w:eastAsia="zh-CN"/>
        </w:rPr>
        <w:t>人员变动及工资调标。</w:t>
      </w:r>
      <w:r>
        <w:rPr>
          <w:rFonts w:hint="default"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lang w:val="en-US" w:eastAsia="zh-CN"/>
        </w:rPr>
        <w:t>48.19</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仿宋_GB2312" w:cs="Times New Roman"/>
          <w:sz w:val="32"/>
          <w:szCs w:val="32"/>
          <w:lang w:val="en-US" w:eastAsia="zh-CN"/>
        </w:rPr>
        <w:t>人员变动</w:t>
      </w:r>
      <w:r>
        <w:rPr>
          <w:rFonts w:hint="eastAsia" w:ascii="Times New Roman" w:hAnsi="Times New Roman" w:eastAsia="仿宋_GB2312" w:cs="Times New Roman"/>
          <w:sz w:val="32"/>
          <w:szCs w:val="32"/>
          <w:lang w:val="en-US" w:eastAsia="zh-CN"/>
        </w:rPr>
        <w:t>人员经费和公用经费增加</w:t>
      </w:r>
      <w:r>
        <w:rPr>
          <w:rFonts w:hint="default" w:ascii="Times New Roman" w:hAnsi="Times New Roman" w:eastAsia="方正仿宋_GBK" w:cs="Times New Roman"/>
          <w:b w:val="0"/>
          <w:bCs/>
          <w:sz w:val="32"/>
          <w:szCs w:val="32"/>
          <w:shd w:val="clear" w:color="auto" w:fill="FFFFFF"/>
        </w:rPr>
        <w:t>。</w:t>
      </w:r>
    </w:p>
    <w:p w14:paraId="21E1522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rPr>
        <w:t>3.</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年度年末一般公共预算财政拨款结转和结余</w:t>
      </w:r>
      <w:r>
        <w:rPr>
          <w:rFonts w:hint="eastAsia" w:ascii="Times New Roman" w:hAnsi="Times New Roman" w:eastAsia="方正仿宋_GBK" w:cs="Times New Roman"/>
          <w:b w:val="0"/>
          <w:bCs/>
          <w:sz w:val="32"/>
          <w:szCs w:val="32"/>
          <w:lang w:eastAsia="zh-CN"/>
        </w:rPr>
        <w:t>0</w:t>
      </w:r>
      <w:r>
        <w:rPr>
          <w:rFonts w:hint="default" w:ascii="Times New Roman" w:hAnsi="Times New Roman" w:eastAsia="方正仿宋_GBK" w:cs="Times New Roman"/>
          <w:b w:val="0"/>
          <w:bCs/>
          <w:sz w:val="32"/>
          <w:szCs w:val="32"/>
          <w:shd w:val="clear" w:color="auto" w:fill="FFFFFF"/>
        </w:rPr>
        <w:t>万元，较上年决算数无增减</w:t>
      </w:r>
      <w:r>
        <w:rPr>
          <w:rFonts w:hint="default" w:ascii="Times New Roman" w:hAnsi="Times New Roman" w:eastAsia="方正仿宋_GBK" w:cs="Times New Roman"/>
          <w:b w:val="0"/>
          <w:bCs/>
          <w:sz w:val="32"/>
          <w:szCs w:val="32"/>
          <w:shd w:val="clear" w:color="auto" w:fill="FFFFFF"/>
          <w:lang w:eastAsia="zh-CN"/>
        </w:rPr>
        <w:t>。</w:t>
      </w:r>
    </w:p>
    <w:p w14:paraId="2832BB1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b w:val="0"/>
          <w:bCs/>
          <w:sz w:val="32"/>
          <w:szCs w:val="32"/>
          <w:shd w:val="clear" w:color="auto" w:fill="FFFFFF"/>
        </w:rPr>
        <w:t>4.</w:t>
      </w:r>
      <w:r>
        <w:rPr>
          <w:rStyle w:val="8"/>
          <w:rFonts w:hint="eastAsia"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比较情况。</w:t>
      </w:r>
      <w:r>
        <w:rPr>
          <w:rFonts w:hint="default" w:ascii="Times New Roman" w:hAnsi="Times New Roman" w:eastAsia="方正仿宋_GBK" w:cs="Times New Roman"/>
          <w:b w:val="0"/>
          <w:bCs/>
          <w:sz w:val="32"/>
          <w:szCs w:val="32"/>
          <w:shd w:val="clear" w:color="auto" w:fill="FFFFFF"/>
        </w:rPr>
        <w:t>本部</w:t>
      </w:r>
      <w:r>
        <w:rPr>
          <w:rFonts w:hint="default" w:ascii="Times New Roman" w:hAnsi="Times New Roman" w:eastAsia="方正仿宋_GBK" w:cs="Times New Roman"/>
          <w:sz w:val="32"/>
          <w:szCs w:val="32"/>
          <w:shd w:val="clear" w:color="auto" w:fill="FFFFFF"/>
        </w:rPr>
        <w:t>门202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年度一般公共预算财政拨款支出主要用于以下几个方面：</w:t>
      </w:r>
    </w:p>
    <w:p w14:paraId="63E4DF4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lang w:val="en-US" w:eastAsia="zh-CN"/>
        </w:rPr>
        <w:t>133.07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76</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31.45</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lang w:val="en-US" w:eastAsia="zh-CN"/>
        </w:rPr>
        <w:t>增加工资</w:t>
      </w:r>
      <w:r>
        <w:rPr>
          <w:rFonts w:hint="default" w:ascii="Times New Roman" w:hAnsi="Times New Roman" w:eastAsia="仿宋_GB2312" w:cs="Times New Roman"/>
          <w:sz w:val="32"/>
          <w:szCs w:val="32"/>
          <w:lang w:val="en-US" w:eastAsia="zh-CN"/>
        </w:rPr>
        <w:t>变动及工资调标</w:t>
      </w:r>
      <w:r>
        <w:rPr>
          <w:rFonts w:hint="default" w:ascii="Times New Roman" w:hAnsi="Times New Roman" w:eastAsia="方正仿宋_GBK" w:cs="Times New Roman"/>
          <w:sz w:val="32"/>
          <w:szCs w:val="32"/>
          <w:shd w:val="clear" w:color="auto" w:fill="FFFFFF"/>
        </w:rPr>
        <w:t>。</w:t>
      </w:r>
    </w:p>
    <w:p w14:paraId="489B2F4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（2）外交支出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30C3C473">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（3）国防支出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7DC81B2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（4）公共安全支出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52177A7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（5）教育支出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7B6A096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（6）科学技术支出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684363B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（7）文化旅游体育与传媒支出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722E865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shd w:val="clear" w:color="auto" w:fill="FFFFFF"/>
        </w:rPr>
        <w:t>（8）社会保障与就业支出</w:t>
      </w:r>
      <w:r>
        <w:rPr>
          <w:rFonts w:hint="eastAsia" w:ascii="Times New Roman" w:hAnsi="Times New Roman" w:eastAsia="方正仿宋_GBK" w:cs="Times New Roman"/>
          <w:sz w:val="32"/>
          <w:szCs w:val="32"/>
          <w:lang w:val="en-US" w:eastAsia="zh-CN"/>
        </w:rPr>
        <w:t>24.29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shd w:val="clear" w:color="auto" w:fill="FFFFFF"/>
        </w:rPr>
        <w:t>%，较年初预算</w:t>
      </w:r>
      <w:r>
        <w:rPr>
          <w:rFonts w:hint="default" w:ascii="Times New Roman" w:hAnsi="Times New Roman" w:eastAsia="方正仿宋_GBK" w:cs="Times New Roman"/>
          <w:spacing w:val="-6"/>
          <w:sz w:val="32"/>
          <w:szCs w:val="32"/>
          <w:shd w:val="clear" w:color="auto" w:fill="FFFFFF"/>
        </w:rPr>
        <w:t>数减少</w:t>
      </w:r>
      <w:r>
        <w:rPr>
          <w:rFonts w:hint="eastAsia" w:ascii="Times New Roman" w:hAnsi="Times New Roman" w:eastAsia="方正仿宋_GBK" w:cs="Times New Roman"/>
          <w:spacing w:val="-6"/>
          <w:sz w:val="32"/>
          <w:szCs w:val="32"/>
          <w:shd w:val="clear" w:color="auto" w:fill="FFFFFF"/>
          <w:lang w:val="en-US" w:eastAsia="zh-CN"/>
        </w:rPr>
        <w:t>12.09</w:t>
      </w:r>
      <w:r>
        <w:rPr>
          <w:rFonts w:hint="default" w:ascii="Times New Roman" w:hAnsi="Times New Roman" w:eastAsia="方正仿宋_GBK" w:cs="Times New Roman"/>
          <w:spacing w:val="-6"/>
          <w:sz w:val="32"/>
          <w:szCs w:val="32"/>
          <w:shd w:val="clear" w:color="auto" w:fill="FFFFFF"/>
        </w:rPr>
        <w:t>万元，</w:t>
      </w:r>
      <w:r>
        <w:rPr>
          <w:rFonts w:hint="eastAsia" w:ascii="Times New Roman" w:hAnsi="Times New Roman" w:eastAsia="方正仿宋_GBK" w:cs="Times New Roman"/>
          <w:spacing w:val="-6"/>
          <w:sz w:val="32"/>
          <w:szCs w:val="32"/>
          <w:shd w:val="clear" w:color="auto" w:fill="FFFFFF"/>
          <w:lang w:eastAsia="zh-CN"/>
        </w:rPr>
        <w:t>增加</w:t>
      </w:r>
      <w:r>
        <w:rPr>
          <w:rFonts w:hint="eastAsia" w:ascii="Times New Roman" w:hAnsi="Times New Roman" w:eastAsia="方正仿宋_GBK" w:cs="Times New Roman"/>
          <w:spacing w:val="-6"/>
          <w:sz w:val="32"/>
          <w:szCs w:val="32"/>
          <w:shd w:val="clear" w:color="auto" w:fill="FFFFFF"/>
          <w:lang w:val="en-US" w:eastAsia="zh-CN"/>
        </w:rPr>
        <w:t>99</w:t>
      </w:r>
      <w:r>
        <w:rPr>
          <w:rFonts w:hint="default" w:ascii="Times New Roman" w:hAnsi="Times New Roman" w:eastAsia="方正仿宋_GBK" w:cs="Times New Roman"/>
          <w:spacing w:val="-6"/>
          <w:sz w:val="32"/>
          <w:szCs w:val="32"/>
          <w:shd w:val="clear" w:color="auto" w:fill="FFFFFF"/>
        </w:rPr>
        <w:t>%，主要原因是</w:t>
      </w:r>
      <w:r>
        <w:rPr>
          <w:rFonts w:hint="default" w:ascii="Times New Roman" w:hAnsi="Times New Roman" w:eastAsia="方正仿宋_GBK" w:cs="Times New Roman"/>
          <w:spacing w:val="-6"/>
          <w:sz w:val="32"/>
          <w:szCs w:val="32"/>
          <w:highlight w:val="none"/>
          <w:shd w:val="clear" w:color="auto" w:fill="FFFFFF"/>
        </w:rPr>
        <w:t>是</w:t>
      </w:r>
      <w:r>
        <w:rPr>
          <w:rFonts w:hint="default" w:ascii="Times New Roman" w:hAnsi="Times New Roman" w:eastAsia="仿宋_GB2312" w:cs="Times New Roman"/>
          <w:spacing w:val="-6"/>
          <w:sz w:val="32"/>
          <w:szCs w:val="32"/>
          <w:lang w:val="en-US" w:eastAsia="zh-CN"/>
        </w:rPr>
        <w:t>人员变动</w:t>
      </w:r>
      <w:r>
        <w:rPr>
          <w:rFonts w:hint="eastAsia" w:ascii="Times New Roman" w:hAnsi="Times New Roman" w:eastAsia="仿宋_GB2312" w:cs="Times New Roman"/>
          <w:spacing w:val="-6"/>
          <w:sz w:val="32"/>
          <w:szCs w:val="32"/>
          <w:lang w:val="en-US" w:eastAsia="zh-CN"/>
        </w:rPr>
        <w:t>工资增加</w:t>
      </w:r>
      <w:r>
        <w:rPr>
          <w:rFonts w:hint="default" w:ascii="Times New Roman" w:hAnsi="Times New Roman" w:eastAsia="仿宋_GB2312" w:cs="Times New Roman"/>
          <w:spacing w:val="-6"/>
          <w:sz w:val="32"/>
          <w:szCs w:val="32"/>
          <w:lang w:val="en-US" w:eastAsia="zh-CN"/>
        </w:rPr>
        <w:t>及工资调</w:t>
      </w:r>
      <w:r>
        <w:rPr>
          <w:rFonts w:hint="default" w:ascii="Times New Roman" w:hAnsi="Times New Roman" w:eastAsia="仿宋_GB2312" w:cs="Times New Roman"/>
          <w:sz w:val="32"/>
          <w:szCs w:val="32"/>
          <w:lang w:val="en-US" w:eastAsia="zh-CN"/>
        </w:rPr>
        <w:t>标</w:t>
      </w:r>
      <w:r>
        <w:rPr>
          <w:rFonts w:hint="eastAsia" w:ascii="Times New Roman" w:hAnsi="Times New Roman" w:eastAsia="仿宋_GB2312" w:cs="Times New Roman"/>
          <w:sz w:val="32"/>
          <w:szCs w:val="32"/>
          <w:lang w:val="en-US" w:eastAsia="zh-CN"/>
        </w:rPr>
        <w:t>导致缴费基数增加</w:t>
      </w:r>
      <w:r>
        <w:rPr>
          <w:rFonts w:hint="default" w:ascii="Times New Roman" w:hAnsi="Times New Roman" w:eastAsia="方正仿宋_GBK" w:cs="Times New Roman"/>
          <w:sz w:val="32"/>
          <w:szCs w:val="32"/>
          <w:shd w:val="clear" w:color="auto" w:fill="FFFFFF"/>
        </w:rPr>
        <w:t>。</w:t>
      </w:r>
    </w:p>
    <w:p w14:paraId="05A4B2F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（9）卫生健康支出</w:t>
      </w:r>
      <w:r>
        <w:rPr>
          <w:rFonts w:hint="eastAsia" w:ascii="Times New Roman" w:hAnsi="Times New Roman" w:eastAsia="方正仿宋_GBK" w:cs="Times New Roman"/>
          <w:sz w:val="32"/>
          <w:szCs w:val="32"/>
          <w:lang w:val="en-US" w:eastAsia="zh-CN"/>
        </w:rPr>
        <w:t>8.49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2.29</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37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pacing w:val="-6"/>
          <w:sz w:val="32"/>
          <w:szCs w:val="32"/>
          <w:shd w:val="clear" w:color="auto" w:fill="FFFFFF"/>
        </w:rPr>
        <w:t>主要原因是</w:t>
      </w:r>
      <w:r>
        <w:rPr>
          <w:rFonts w:hint="default" w:ascii="Times New Roman" w:hAnsi="Times New Roman" w:eastAsia="方正仿宋_GBK" w:cs="Times New Roman"/>
          <w:spacing w:val="-6"/>
          <w:sz w:val="32"/>
          <w:szCs w:val="32"/>
          <w:highlight w:val="none"/>
          <w:shd w:val="clear" w:color="auto" w:fill="FFFFFF"/>
        </w:rPr>
        <w:t>是</w:t>
      </w:r>
      <w:r>
        <w:rPr>
          <w:rFonts w:hint="default" w:ascii="Times New Roman" w:hAnsi="Times New Roman" w:eastAsia="仿宋_GB2312" w:cs="Times New Roman"/>
          <w:spacing w:val="-6"/>
          <w:sz w:val="32"/>
          <w:szCs w:val="32"/>
          <w:lang w:val="en-US" w:eastAsia="zh-CN"/>
        </w:rPr>
        <w:t>人员变动</w:t>
      </w:r>
      <w:r>
        <w:rPr>
          <w:rFonts w:hint="eastAsia" w:ascii="Times New Roman" w:hAnsi="Times New Roman" w:eastAsia="仿宋_GB2312" w:cs="Times New Roman"/>
          <w:spacing w:val="-6"/>
          <w:sz w:val="32"/>
          <w:szCs w:val="32"/>
          <w:lang w:val="en-US" w:eastAsia="zh-CN"/>
        </w:rPr>
        <w:t>工资增加</w:t>
      </w:r>
      <w:r>
        <w:rPr>
          <w:rFonts w:hint="default" w:ascii="Times New Roman" w:hAnsi="Times New Roman" w:eastAsia="仿宋_GB2312" w:cs="Times New Roman"/>
          <w:spacing w:val="-6"/>
          <w:sz w:val="32"/>
          <w:szCs w:val="32"/>
          <w:lang w:val="en-US" w:eastAsia="zh-CN"/>
        </w:rPr>
        <w:t>及工资调</w:t>
      </w:r>
      <w:r>
        <w:rPr>
          <w:rFonts w:hint="default" w:ascii="Times New Roman" w:hAnsi="Times New Roman" w:eastAsia="仿宋_GB2312" w:cs="Times New Roman"/>
          <w:sz w:val="32"/>
          <w:szCs w:val="32"/>
          <w:lang w:val="en-US" w:eastAsia="zh-CN"/>
        </w:rPr>
        <w:t>标</w:t>
      </w:r>
      <w:r>
        <w:rPr>
          <w:rFonts w:hint="eastAsia" w:ascii="Times New Roman" w:hAnsi="Times New Roman" w:eastAsia="仿宋_GB2312" w:cs="Times New Roman"/>
          <w:sz w:val="32"/>
          <w:szCs w:val="32"/>
          <w:lang w:val="en-US" w:eastAsia="zh-CN"/>
        </w:rPr>
        <w:t>导致缴费基数增加</w:t>
      </w:r>
      <w:r>
        <w:rPr>
          <w:rFonts w:hint="default" w:ascii="Times New Roman" w:hAnsi="Times New Roman" w:eastAsia="方正仿宋_GBK" w:cs="Times New Roman"/>
          <w:sz w:val="32"/>
          <w:szCs w:val="32"/>
          <w:shd w:val="clear" w:color="auto" w:fill="FFFFFF"/>
        </w:rPr>
        <w:t>。</w:t>
      </w:r>
    </w:p>
    <w:p w14:paraId="503D2A9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（10）节能环保支出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0B63223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（11）城乡社区支出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4A67ED1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（12）农林水支出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6271502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（13）交通运输支出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27E3739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（14）资源勘探信息等支出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40044D4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16" w:firstLineChars="200"/>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shd w:val="clear" w:color="auto" w:fill="FFFFFF"/>
        </w:rPr>
        <w:t>（15）商业服务业等支出</w:t>
      </w:r>
      <w:r>
        <w:rPr>
          <w:rFonts w:hint="eastAsia" w:ascii="Times New Roman" w:hAnsi="Times New Roman" w:eastAsia="方正仿宋_GBK" w:cs="Times New Roman"/>
          <w:spacing w:val="-6"/>
          <w:sz w:val="32"/>
          <w:szCs w:val="32"/>
          <w:lang w:eastAsia="zh-CN"/>
        </w:rPr>
        <w:t>0</w:t>
      </w:r>
      <w:r>
        <w:rPr>
          <w:rFonts w:hint="default" w:ascii="Times New Roman" w:hAnsi="Times New Roman" w:eastAsia="方正仿宋_GBK" w:cs="Times New Roman"/>
          <w:spacing w:val="-6"/>
          <w:sz w:val="32"/>
          <w:szCs w:val="32"/>
          <w:shd w:val="clear" w:color="auto" w:fill="FFFFFF"/>
        </w:rPr>
        <w:t>万元，占</w:t>
      </w:r>
      <w:r>
        <w:rPr>
          <w:rFonts w:hint="eastAsia" w:ascii="Times New Roman" w:hAnsi="Times New Roman" w:eastAsia="方正仿宋_GBK" w:cs="Times New Roman"/>
          <w:spacing w:val="-6"/>
          <w:sz w:val="32"/>
          <w:szCs w:val="32"/>
          <w:lang w:eastAsia="zh-CN"/>
        </w:rPr>
        <w:t>0%</w:t>
      </w:r>
      <w:r>
        <w:rPr>
          <w:rFonts w:hint="default" w:ascii="Times New Roman" w:hAnsi="Times New Roman" w:eastAsia="方正仿宋_GBK" w:cs="Times New Roman"/>
          <w:spacing w:val="-6"/>
          <w:sz w:val="32"/>
          <w:szCs w:val="32"/>
          <w:shd w:val="clear" w:color="auto" w:fill="FFFFFF"/>
        </w:rPr>
        <w:t>，较年初预算数无增减</w:t>
      </w:r>
      <w:r>
        <w:rPr>
          <w:rFonts w:hint="default" w:ascii="Times New Roman" w:hAnsi="Times New Roman" w:eastAsia="方正仿宋_GBK" w:cs="Times New Roman"/>
          <w:spacing w:val="-6"/>
          <w:sz w:val="32"/>
          <w:szCs w:val="32"/>
          <w:shd w:val="clear" w:color="auto" w:fill="FFFFFF"/>
          <w:lang w:eastAsia="zh-CN"/>
        </w:rPr>
        <w:t>。</w:t>
      </w:r>
    </w:p>
    <w:p w14:paraId="29107241">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（16）金融支出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6E0F1C46">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16" w:firstLineChars="200"/>
        <w:jc w:val="both"/>
        <w:textAlignment w:val="auto"/>
        <w:rPr>
          <w:rFonts w:hint="default" w:ascii="Times New Roman" w:hAnsi="Times New Roman" w:eastAsia="方正仿宋_GBK" w:cs="Times New Roman"/>
          <w:color w:val="FF0000"/>
          <w:spacing w:val="-6"/>
          <w:sz w:val="32"/>
          <w:szCs w:val="32"/>
          <w:shd w:val="clear" w:color="auto" w:fill="FFFFFF"/>
          <w:lang w:eastAsia="zh-CN"/>
        </w:rPr>
      </w:pPr>
      <w:r>
        <w:rPr>
          <w:rFonts w:hint="default" w:ascii="Times New Roman" w:hAnsi="Times New Roman" w:eastAsia="方正仿宋_GBK" w:cs="Times New Roman"/>
          <w:spacing w:val="-6"/>
          <w:sz w:val="32"/>
          <w:szCs w:val="32"/>
          <w:shd w:val="clear" w:color="auto" w:fill="FFFFFF"/>
        </w:rPr>
        <w:t>（17）</w:t>
      </w:r>
      <w:r>
        <w:rPr>
          <w:rFonts w:hint="default" w:ascii="Times New Roman" w:hAnsi="Times New Roman" w:eastAsia="方正仿宋_GBK" w:cs="Times New Roman"/>
          <w:spacing w:val="-6"/>
          <w:sz w:val="32"/>
          <w:szCs w:val="32"/>
        </w:rPr>
        <w:t>援助其他地区支出</w:t>
      </w:r>
      <w:r>
        <w:rPr>
          <w:rFonts w:hint="eastAsia" w:ascii="Times New Roman" w:hAnsi="Times New Roman" w:eastAsia="方正仿宋_GBK" w:cs="Times New Roman"/>
          <w:spacing w:val="-6"/>
          <w:sz w:val="32"/>
          <w:szCs w:val="32"/>
          <w:lang w:eastAsia="zh-CN"/>
        </w:rPr>
        <w:t>0</w:t>
      </w:r>
      <w:r>
        <w:rPr>
          <w:rFonts w:hint="default" w:ascii="Times New Roman" w:hAnsi="Times New Roman" w:eastAsia="方正仿宋_GBK" w:cs="Times New Roman"/>
          <w:spacing w:val="-6"/>
          <w:sz w:val="32"/>
          <w:szCs w:val="32"/>
          <w:shd w:val="clear" w:color="auto" w:fill="FFFFFF"/>
        </w:rPr>
        <w:t>万元，占</w:t>
      </w:r>
      <w:r>
        <w:rPr>
          <w:rFonts w:hint="eastAsia" w:ascii="Times New Roman" w:hAnsi="Times New Roman" w:eastAsia="方正仿宋_GBK" w:cs="Times New Roman"/>
          <w:spacing w:val="-6"/>
          <w:sz w:val="32"/>
          <w:szCs w:val="32"/>
          <w:lang w:eastAsia="zh-CN"/>
        </w:rPr>
        <w:t>0%</w:t>
      </w:r>
      <w:r>
        <w:rPr>
          <w:rFonts w:hint="default" w:ascii="Times New Roman" w:hAnsi="Times New Roman" w:eastAsia="方正仿宋_GBK" w:cs="Times New Roman"/>
          <w:spacing w:val="-6"/>
          <w:sz w:val="32"/>
          <w:szCs w:val="32"/>
          <w:shd w:val="clear" w:color="auto" w:fill="FFFFFF"/>
        </w:rPr>
        <w:t>，较年初预算数无增减</w:t>
      </w:r>
      <w:r>
        <w:rPr>
          <w:rFonts w:hint="default" w:ascii="Times New Roman" w:hAnsi="Times New Roman" w:eastAsia="方正仿宋_GBK" w:cs="Times New Roman"/>
          <w:spacing w:val="-6"/>
          <w:sz w:val="32"/>
          <w:szCs w:val="32"/>
          <w:shd w:val="clear" w:color="auto" w:fill="FFFFFF"/>
          <w:lang w:eastAsia="zh-CN"/>
        </w:rPr>
        <w:t>。</w:t>
      </w:r>
    </w:p>
    <w:p w14:paraId="4840899E">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（18）</w:t>
      </w:r>
      <w:r>
        <w:rPr>
          <w:rFonts w:hint="default" w:ascii="Times New Roman" w:hAnsi="Times New Roman" w:eastAsia="方正仿宋_GBK" w:cs="Times New Roman"/>
          <w:sz w:val="32"/>
          <w:szCs w:val="32"/>
        </w:rPr>
        <w:t>自然资源海洋气象等支出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6CADE78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shd w:val="clear" w:color="auto" w:fill="FFFFFF"/>
        </w:rPr>
        <w:t>（19）</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8.46</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2.36</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39.0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pacing w:val="-6"/>
          <w:sz w:val="32"/>
          <w:szCs w:val="32"/>
          <w:shd w:val="clear" w:color="auto" w:fill="FFFFFF"/>
        </w:rPr>
        <w:t>主要原因是</w:t>
      </w:r>
      <w:r>
        <w:rPr>
          <w:rFonts w:hint="default" w:ascii="Times New Roman" w:hAnsi="Times New Roman" w:eastAsia="方正仿宋_GBK" w:cs="Times New Roman"/>
          <w:spacing w:val="-6"/>
          <w:sz w:val="32"/>
          <w:szCs w:val="32"/>
          <w:highlight w:val="none"/>
          <w:shd w:val="clear" w:color="auto" w:fill="FFFFFF"/>
        </w:rPr>
        <w:t>是</w:t>
      </w:r>
      <w:r>
        <w:rPr>
          <w:rFonts w:hint="default" w:ascii="Times New Roman" w:hAnsi="Times New Roman" w:eastAsia="仿宋_GB2312" w:cs="Times New Roman"/>
          <w:spacing w:val="-6"/>
          <w:sz w:val="32"/>
          <w:szCs w:val="32"/>
          <w:lang w:val="en-US" w:eastAsia="zh-CN"/>
        </w:rPr>
        <w:t>人员变动</w:t>
      </w:r>
      <w:r>
        <w:rPr>
          <w:rFonts w:hint="eastAsia" w:ascii="Times New Roman" w:hAnsi="Times New Roman" w:eastAsia="仿宋_GB2312" w:cs="Times New Roman"/>
          <w:spacing w:val="-6"/>
          <w:sz w:val="32"/>
          <w:szCs w:val="32"/>
          <w:lang w:val="en-US" w:eastAsia="zh-CN"/>
        </w:rPr>
        <w:t>工资增加</w:t>
      </w:r>
      <w:r>
        <w:rPr>
          <w:rFonts w:hint="default" w:ascii="Times New Roman" w:hAnsi="Times New Roman" w:eastAsia="仿宋_GB2312" w:cs="Times New Roman"/>
          <w:spacing w:val="-6"/>
          <w:sz w:val="32"/>
          <w:szCs w:val="32"/>
          <w:lang w:val="en-US" w:eastAsia="zh-CN"/>
        </w:rPr>
        <w:t>及工资调</w:t>
      </w:r>
      <w:r>
        <w:rPr>
          <w:rFonts w:hint="default" w:ascii="Times New Roman" w:hAnsi="Times New Roman" w:eastAsia="仿宋_GB2312" w:cs="Times New Roman"/>
          <w:sz w:val="32"/>
          <w:szCs w:val="32"/>
          <w:lang w:val="en-US" w:eastAsia="zh-CN"/>
        </w:rPr>
        <w:t>标</w:t>
      </w:r>
      <w:r>
        <w:rPr>
          <w:rFonts w:hint="eastAsia" w:ascii="Times New Roman" w:hAnsi="Times New Roman" w:eastAsia="仿宋_GB2312" w:cs="Times New Roman"/>
          <w:sz w:val="32"/>
          <w:szCs w:val="32"/>
          <w:lang w:val="en-US" w:eastAsia="zh-CN"/>
        </w:rPr>
        <w:t>导致缴费基数增加</w:t>
      </w:r>
      <w:r>
        <w:rPr>
          <w:rFonts w:hint="default" w:ascii="Times New Roman" w:hAnsi="Times New Roman" w:eastAsia="方正仿宋_GBK" w:cs="Times New Roman"/>
          <w:sz w:val="32"/>
          <w:szCs w:val="32"/>
          <w:shd w:val="clear" w:color="auto" w:fill="FFFFFF"/>
        </w:rPr>
        <w:t>。</w:t>
      </w:r>
    </w:p>
    <w:p w14:paraId="385235C2">
      <w:pPr>
        <w:keepNext w:val="0"/>
        <w:keepLines w:val="0"/>
        <w:pageBreakBefore w:val="0"/>
        <w:widowControl w:val="0"/>
        <w:kinsoku/>
        <w:wordWrap/>
        <w:overflowPunct/>
        <w:topLinePunct w:val="0"/>
        <w:autoSpaceDN/>
        <w:bidi w:val="0"/>
        <w:adjustRightInd/>
        <w:spacing w:beforeAutospacing="0" w:afterAutospacing="0" w:line="560" w:lineRule="exact"/>
        <w:ind w:firstLine="616" w:firstLineChars="200"/>
        <w:jc w:val="both"/>
        <w:textAlignment w:val="auto"/>
        <w:rPr>
          <w:rFonts w:hint="default" w:ascii="Times New Roman" w:hAnsi="Times New Roman" w:eastAsia="方正仿宋_GBK" w:cs="Times New Roman"/>
          <w:color w:val="FF0000"/>
          <w:spacing w:val="-6"/>
          <w:sz w:val="32"/>
          <w:szCs w:val="32"/>
          <w:shd w:val="clear" w:color="auto" w:fill="FFFFFF"/>
          <w:lang w:eastAsia="zh-CN"/>
        </w:rPr>
      </w:pPr>
      <w:r>
        <w:rPr>
          <w:rFonts w:hint="default" w:ascii="Times New Roman" w:hAnsi="Times New Roman" w:eastAsia="方正仿宋_GBK" w:cs="Times New Roman"/>
          <w:spacing w:val="-6"/>
          <w:sz w:val="32"/>
          <w:szCs w:val="32"/>
          <w:shd w:val="clear" w:color="auto" w:fill="FFFFFF"/>
        </w:rPr>
        <w:t>（20）</w:t>
      </w:r>
      <w:r>
        <w:rPr>
          <w:rFonts w:hint="default" w:ascii="Times New Roman" w:hAnsi="Times New Roman" w:eastAsia="方正仿宋_GBK" w:cs="Times New Roman"/>
          <w:spacing w:val="-6"/>
          <w:sz w:val="32"/>
          <w:szCs w:val="32"/>
        </w:rPr>
        <w:t>粮油物资储备支出</w:t>
      </w:r>
      <w:r>
        <w:rPr>
          <w:rFonts w:hint="eastAsia" w:ascii="Times New Roman" w:hAnsi="Times New Roman" w:eastAsia="方正仿宋_GBK" w:cs="Times New Roman"/>
          <w:spacing w:val="-6"/>
          <w:sz w:val="32"/>
          <w:szCs w:val="32"/>
          <w:lang w:eastAsia="zh-CN"/>
        </w:rPr>
        <w:t>0</w:t>
      </w:r>
      <w:r>
        <w:rPr>
          <w:rFonts w:hint="default" w:ascii="Times New Roman" w:hAnsi="Times New Roman" w:eastAsia="方正仿宋_GBK" w:cs="Times New Roman"/>
          <w:spacing w:val="-6"/>
          <w:sz w:val="32"/>
          <w:szCs w:val="32"/>
          <w:shd w:val="clear" w:color="auto" w:fill="FFFFFF"/>
        </w:rPr>
        <w:t>万元，占</w:t>
      </w:r>
      <w:r>
        <w:rPr>
          <w:rFonts w:hint="eastAsia" w:ascii="Times New Roman" w:hAnsi="Times New Roman" w:eastAsia="方正仿宋_GBK" w:cs="Times New Roman"/>
          <w:spacing w:val="-6"/>
          <w:sz w:val="32"/>
          <w:szCs w:val="32"/>
          <w:lang w:eastAsia="zh-CN"/>
        </w:rPr>
        <w:t>0%</w:t>
      </w:r>
      <w:r>
        <w:rPr>
          <w:rFonts w:hint="default" w:ascii="Times New Roman" w:hAnsi="Times New Roman" w:eastAsia="方正仿宋_GBK" w:cs="Times New Roman"/>
          <w:spacing w:val="-6"/>
          <w:sz w:val="32"/>
          <w:szCs w:val="32"/>
          <w:shd w:val="clear" w:color="auto" w:fill="FFFFFF"/>
        </w:rPr>
        <w:t>，较年初预算数无增减</w:t>
      </w:r>
      <w:r>
        <w:rPr>
          <w:rFonts w:hint="default" w:ascii="Times New Roman" w:hAnsi="Times New Roman" w:eastAsia="方正仿宋_GBK" w:cs="Times New Roman"/>
          <w:spacing w:val="-6"/>
          <w:sz w:val="32"/>
          <w:szCs w:val="32"/>
          <w:shd w:val="clear" w:color="auto" w:fill="FFFFFF"/>
          <w:lang w:eastAsia="zh-CN"/>
        </w:rPr>
        <w:t>。</w:t>
      </w:r>
    </w:p>
    <w:p w14:paraId="7D0721FD">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（21）</w:t>
      </w:r>
      <w:r>
        <w:rPr>
          <w:rFonts w:hint="default" w:ascii="Times New Roman" w:hAnsi="Times New Roman" w:eastAsia="方正仿宋_GBK" w:cs="Times New Roman"/>
          <w:sz w:val="32"/>
          <w:szCs w:val="32"/>
        </w:rPr>
        <w:t>国有资本经营预算支出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lang w:eastAsia="zh-CN"/>
        </w:rPr>
        <w:t>。</w:t>
      </w:r>
    </w:p>
    <w:p w14:paraId="12219E59">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（22）</w:t>
      </w:r>
      <w:r>
        <w:rPr>
          <w:rFonts w:hint="default" w:ascii="Times New Roman" w:hAnsi="Times New Roman" w:eastAsia="方正仿宋_GBK" w:cs="Times New Roman"/>
          <w:sz w:val="32"/>
          <w:szCs w:val="32"/>
        </w:rPr>
        <w:t>灾害防治及应急管理支出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21503269">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（23）</w:t>
      </w:r>
      <w:r>
        <w:rPr>
          <w:rFonts w:hint="default" w:ascii="Times New Roman" w:hAnsi="Times New Roman" w:eastAsia="方正仿宋_GBK" w:cs="Times New Roman"/>
          <w:sz w:val="32"/>
          <w:szCs w:val="32"/>
        </w:rPr>
        <w:t>其他支出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5D220DE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（24）</w:t>
      </w:r>
      <w:r>
        <w:rPr>
          <w:rFonts w:hint="default" w:ascii="Times New Roman" w:hAnsi="Times New Roman" w:eastAsia="方正仿宋_GBK" w:cs="Times New Roman"/>
          <w:sz w:val="32"/>
          <w:szCs w:val="32"/>
        </w:rPr>
        <w:t>债务还本支出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0DF5C818">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（25）</w:t>
      </w:r>
      <w:r>
        <w:rPr>
          <w:rFonts w:hint="default" w:ascii="Times New Roman" w:hAnsi="Times New Roman" w:eastAsia="方正仿宋_GBK" w:cs="Times New Roman"/>
          <w:sz w:val="32"/>
          <w:szCs w:val="32"/>
        </w:rPr>
        <w:t>债务付息支出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0EA34C55">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（26）</w:t>
      </w:r>
      <w:r>
        <w:rPr>
          <w:rFonts w:hint="default" w:ascii="Times New Roman" w:hAnsi="Times New Roman" w:eastAsia="方正仿宋_GBK" w:cs="Times New Roman"/>
          <w:sz w:val="32"/>
          <w:szCs w:val="32"/>
        </w:rPr>
        <w:t>抗疫特别国债安排的支出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295CAD7E">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楷体" w:cs="Times New Roman"/>
          <w:b/>
          <w:bCs/>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（四）一般公共预算财政拨款基本支出决算情况说明</w:t>
      </w:r>
    </w:p>
    <w:p w14:paraId="14D95A9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eastAsia" w:ascii="Times New Roman" w:hAnsi="Times New Roman" w:eastAsia="方正仿宋_GBK" w:cs="Times New Roman"/>
          <w:sz w:val="32"/>
          <w:szCs w:val="32"/>
          <w:lang w:val="en-US" w:eastAsia="zh-CN"/>
        </w:rPr>
        <w:t>174.32</w:t>
      </w:r>
      <w:r>
        <w:rPr>
          <w:rFonts w:hint="default" w:ascii="Times New Roman" w:hAnsi="Times New Roman" w:eastAsia="方正仿宋_GBK" w:cs="Times New Roman"/>
          <w:sz w:val="32"/>
          <w:szCs w:val="32"/>
          <w:shd w:val="clear" w:color="auto" w:fill="FFFFFF"/>
        </w:rPr>
        <w:t>万元。其中：人员经费</w:t>
      </w:r>
      <w:r>
        <w:rPr>
          <w:rFonts w:hint="eastAsia" w:ascii="Times New Roman" w:hAnsi="Times New Roman" w:eastAsia="方正仿宋_GBK" w:cs="Times New Roman"/>
          <w:sz w:val="32"/>
          <w:szCs w:val="32"/>
          <w:lang w:val="en-US" w:eastAsia="zh-CN"/>
        </w:rPr>
        <w:t>160.61</w:t>
      </w:r>
      <w:r>
        <w:rPr>
          <w:rFonts w:hint="default" w:ascii="Times New Roman" w:hAnsi="Times New Roman" w:eastAsia="方正仿宋_GBK" w:cs="Times New Roman"/>
          <w:sz w:val="32"/>
          <w:szCs w:val="32"/>
          <w:shd w:val="clear" w:color="auto" w:fill="FFFFFF"/>
        </w:rPr>
        <w:t>万元，较上年决算数增加</w:t>
      </w:r>
      <w:r>
        <w:rPr>
          <w:rFonts w:hint="eastAsia" w:ascii="Times New Roman" w:hAnsi="Times New Roman" w:eastAsia="方正仿宋_GBK" w:cs="Times New Roman"/>
          <w:sz w:val="32"/>
          <w:szCs w:val="32"/>
          <w:shd w:val="clear" w:color="auto" w:fill="FFFFFF"/>
          <w:lang w:val="en-US" w:eastAsia="zh-CN"/>
        </w:rPr>
        <w:t>29.71</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22.69</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仿宋_GB2312" w:cs="Times New Roman"/>
          <w:sz w:val="32"/>
          <w:szCs w:val="32"/>
          <w:lang w:val="en-US" w:eastAsia="zh-CN"/>
        </w:rPr>
        <w:t>人员变动</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及工资调标。</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仿宋_GB2312" w:cs="Times New Roman"/>
          <w:sz w:val="32"/>
          <w:szCs w:val="32"/>
          <w:lang w:val="en-US" w:eastAsia="zh-CN"/>
        </w:rPr>
        <w:t>基本工资、津贴补贴、奖金、基本养老保险缴费、医疗保险缴费、职业年金缴费、住房公积金缴费等。</w:t>
      </w:r>
      <w:r>
        <w:rPr>
          <w:rFonts w:hint="default"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lang w:val="en-US" w:eastAsia="zh-CN"/>
        </w:rPr>
        <w:t>13.71</w:t>
      </w:r>
      <w:r>
        <w:rPr>
          <w:rFonts w:hint="default"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lang w:val="en-US" w:eastAsia="zh-CN"/>
        </w:rPr>
        <w:t>6.55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32.33</w:t>
      </w:r>
      <w:r>
        <w:rPr>
          <w:rFonts w:hint="default" w:ascii="Times New Roman" w:hAnsi="Times New Roman" w:eastAsia="方正仿宋_GBK" w:cs="Times New Roman"/>
          <w:sz w:val="32"/>
          <w:szCs w:val="32"/>
          <w:shd w:val="clear" w:color="auto" w:fill="FFFFFF"/>
        </w:rPr>
        <w:t>%，主要原因</w:t>
      </w:r>
      <w:r>
        <w:rPr>
          <w:rFonts w:hint="eastAsia" w:ascii="Times New Roman" w:hAnsi="Times New Roman" w:eastAsia="仿宋_GB2312" w:cs="Times New Roman"/>
          <w:sz w:val="32"/>
          <w:szCs w:val="32"/>
          <w:lang w:val="en-US" w:eastAsia="zh-CN"/>
        </w:rPr>
        <w:t>厉行节约，减少对公用经费支出</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仿宋_GB2312" w:cs="Times New Roman"/>
          <w:sz w:val="32"/>
          <w:szCs w:val="32"/>
          <w:lang w:val="en-US" w:eastAsia="zh-CN"/>
        </w:rPr>
        <w:t>办公费、水电费、邮电费、差旅费、维（修）</w:t>
      </w:r>
      <w:r>
        <w:rPr>
          <w:rFonts w:hint="default" w:ascii="Times New Roman" w:hAnsi="Times New Roman" w:eastAsia="仿宋_GB2312" w:cs="Times New Roman"/>
          <w:spacing w:val="-6"/>
          <w:sz w:val="32"/>
          <w:szCs w:val="32"/>
          <w:lang w:val="en-US" w:eastAsia="zh-CN"/>
        </w:rPr>
        <w:t>护费、会议费、公务接待费、其他交通费培训费工会费、福利费等</w:t>
      </w:r>
      <w:r>
        <w:rPr>
          <w:rFonts w:hint="default" w:ascii="Times New Roman" w:hAnsi="Times New Roman" w:eastAsia="方正仿宋_GBK" w:cs="Times New Roman"/>
          <w:spacing w:val="-6"/>
          <w:sz w:val="32"/>
          <w:szCs w:val="32"/>
          <w:shd w:val="clear" w:color="auto" w:fill="FFFFFF"/>
        </w:rPr>
        <w:t>。</w:t>
      </w:r>
    </w:p>
    <w:p w14:paraId="1A888BEC">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（五）政府性基金预算收支决算情况说明</w:t>
      </w:r>
    </w:p>
    <w:p w14:paraId="385502A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万元，年末结转结余</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万元。本年收入</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14:paraId="077BA599">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（六）国有资本经营预算财政拨款支出决算情况说明</w:t>
      </w:r>
    </w:p>
    <w:p w14:paraId="6D3A581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年度国有资本经营预算财政拨本年支出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万元，基本支出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万元，项目支出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14:paraId="5371E682">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三、“三公”经费情况说明</w:t>
      </w:r>
    </w:p>
    <w:p w14:paraId="37B440E3">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（一）“三公”经费支出总体情况说明</w:t>
      </w:r>
    </w:p>
    <w:p w14:paraId="296C21E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p>
    <w:p w14:paraId="16773DBB">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（二）“三公”经费分项支出情况</w:t>
      </w:r>
    </w:p>
    <w:p w14:paraId="62F75F2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年度本部门因公出国（境）费用</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本部门属于下属事业单位。</w:t>
      </w:r>
    </w:p>
    <w:p w14:paraId="3573EF9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eastAsia" w:ascii="Times New Roman" w:hAnsi="Times New Roman" w:eastAsia="方正仿宋_GBK" w:cs="Times New Roman"/>
          <w:color w:val="auto"/>
          <w:sz w:val="32"/>
          <w:szCs w:val="32"/>
          <w:lang w:eastAsia="zh-CN"/>
        </w:rPr>
        <w:t>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w:t>
      </w:r>
      <w:r>
        <w:rPr>
          <w:rFonts w:hint="default" w:ascii="Times New Roman" w:hAnsi="Times New Roman" w:eastAsia="方正仿宋_GBK" w:cs="Times New Roman"/>
          <w:sz w:val="32"/>
          <w:szCs w:val="32"/>
          <w:shd w:val="clear" w:color="auto" w:fill="FFFFFF"/>
        </w:rPr>
        <w:t>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1479F58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1661C6B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58873504">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（三）“三公”经费实物量情况</w:t>
      </w:r>
    </w:p>
    <w:p w14:paraId="033C5BB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F90367E">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四、其他需要说明的事项</w:t>
      </w:r>
    </w:p>
    <w:p w14:paraId="0091872A">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（一）财政拨款会议费和培训费情况说明</w:t>
      </w:r>
    </w:p>
    <w:p w14:paraId="3F135ED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万元，较上年决算数无增减，本年度培训费支出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万元，较上年决算数无增减。</w:t>
      </w:r>
    </w:p>
    <w:p w14:paraId="75E3D80A">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（二）机关运行经费情况说明</w:t>
      </w:r>
    </w:p>
    <w:p w14:paraId="0EAA67B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机关运行经费较上年支出数无增减</w:t>
      </w:r>
      <w:r>
        <w:rPr>
          <w:rFonts w:hint="default" w:ascii="Times New Roman" w:hAnsi="Times New Roman" w:eastAsia="方正仿宋_GBK" w:cs="Times New Roman"/>
          <w:sz w:val="32"/>
          <w:szCs w:val="32"/>
          <w:shd w:val="clear" w:color="auto" w:fill="FFFFFF"/>
          <w:lang w:eastAsia="zh-CN"/>
        </w:rPr>
        <w:t>。</w:t>
      </w:r>
    </w:p>
    <w:p w14:paraId="61703C32">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lang w:bidi="ar"/>
        </w:rPr>
      </w:pPr>
      <w:r>
        <w:rPr>
          <w:rFonts w:hint="default" w:ascii="方正楷体_GBK" w:hAnsi="方正楷体_GBK" w:eastAsia="方正楷体_GBK" w:cs="方正楷体_GBK"/>
          <w:b w:val="0"/>
          <w:bCs w:val="0"/>
          <w:sz w:val="32"/>
          <w:szCs w:val="32"/>
          <w:shd w:val="clear" w:color="auto" w:fill="FFFFFF"/>
          <w:lang w:bidi="ar"/>
        </w:rPr>
        <w:t>（三）国有资产占用情况说明</w:t>
      </w:r>
    </w:p>
    <w:p w14:paraId="6740F5E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32EBAA3">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（四）政府采购支出情况说明</w:t>
      </w:r>
    </w:p>
    <w:p w14:paraId="3809B1AA">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eastAsia" w:ascii="宋体" w:hAnsi="宋体" w:eastAsia="宋体" w:cs="宋体"/>
          <w:color w:val="000000"/>
          <w:sz w:val="21"/>
          <w:szCs w:val="21"/>
          <w:lang w:bidi="ar"/>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年度本部门政府采购支出总额</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万元，其中：政府采购货物支出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万元、政府采购工程支出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万元、政府采购服务支出</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万元。授予中小企业合同金额</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eastAsia"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p>
    <w:p w14:paraId="20C3EE59">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eastAsia" w:ascii="宋体" w:hAnsi="宋体" w:eastAsia="宋体" w:cs="宋体"/>
          <w:kern w:val="0"/>
          <w:sz w:val="24"/>
          <w:szCs w:val="24"/>
        </w:rPr>
      </w:pPr>
      <w:r>
        <w:rPr>
          <w:rStyle w:val="8"/>
          <w:rFonts w:hint="eastAsia" w:ascii="Times New Roman" w:hAnsi="Times New Roman" w:eastAsia="方正黑体_GBK" w:cs="Times New Roman"/>
          <w:b w:val="0"/>
          <w:bCs/>
          <w:color w:val="auto"/>
          <w:sz w:val="32"/>
          <w:szCs w:val="32"/>
          <w:shd w:val="clear" w:color="auto" w:fill="FFFFFF"/>
          <w:lang w:val="en-US" w:eastAsia="zh-CN" w:bidi="ar-SA"/>
        </w:rPr>
        <w:t>五、预算绩效管理情况说明</w:t>
      </w:r>
    </w:p>
    <w:p w14:paraId="7FADBF15">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eastAsia" w:ascii="Times New Roman" w:hAnsi="Times New Roman" w:eastAsia="方正楷体_GBK" w:cs="Times New Roman"/>
          <w:b w:val="0"/>
          <w:bCs w:val="0"/>
          <w:color w:val="auto"/>
          <w:sz w:val="32"/>
          <w:szCs w:val="32"/>
          <w:shd w:val="clear" w:color="auto" w:fill="FFFFFF"/>
          <w:lang w:val="en-US" w:eastAsia="zh-CN" w:bidi="ar"/>
        </w:rPr>
      </w:pPr>
      <w:r>
        <w:rPr>
          <w:rFonts w:hint="default" w:ascii="Times New Roman" w:hAnsi="Times New Roman" w:eastAsia="方正楷体_GBK" w:cs="Times New Roman"/>
          <w:b w:val="0"/>
          <w:bCs w:val="0"/>
          <w:color w:val="auto"/>
          <w:sz w:val="32"/>
          <w:szCs w:val="32"/>
          <w:shd w:val="clear" w:color="auto" w:fill="FFFFFF"/>
          <w:lang w:bidi="ar"/>
        </w:rPr>
        <w:t>（</w:t>
      </w:r>
      <w:r>
        <w:rPr>
          <w:rFonts w:hint="eastAsia" w:ascii="Times New Roman" w:hAnsi="Times New Roman" w:eastAsia="方正楷体_GBK" w:cs="Times New Roman"/>
          <w:b w:val="0"/>
          <w:bCs w:val="0"/>
          <w:color w:val="auto"/>
          <w:sz w:val="32"/>
          <w:szCs w:val="32"/>
          <w:shd w:val="clear" w:color="auto" w:fill="FFFFFF"/>
          <w:lang w:eastAsia="zh-CN" w:bidi="ar"/>
        </w:rPr>
        <w:t>一</w:t>
      </w:r>
      <w:r>
        <w:rPr>
          <w:rFonts w:hint="default" w:ascii="Times New Roman" w:hAnsi="Times New Roman" w:eastAsia="方正楷体_GBK" w:cs="Times New Roman"/>
          <w:b w:val="0"/>
          <w:bCs w:val="0"/>
          <w:color w:val="auto"/>
          <w:sz w:val="32"/>
          <w:szCs w:val="32"/>
          <w:shd w:val="clear" w:color="auto" w:fill="FFFFFF"/>
          <w:lang w:bidi="ar"/>
        </w:rPr>
        <w:t>）</w:t>
      </w:r>
      <w:r>
        <w:rPr>
          <w:rFonts w:hint="eastAsia" w:ascii="Times New Roman" w:hAnsi="Times New Roman" w:eastAsia="方正楷体_GBK" w:cs="Times New Roman"/>
          <w:b w:val="0"/>
          <w:bCs w:val="0"/>
          <w:color w:val="auto"/>
          <w:sz w:val="32"/>
          <w:szCs w:val="32"/>
          <w:shd w:val="clear" w:color="auto" w:fill="FFFFFF"/>
          <w:lang w:val="en-US" w:eastAsia="zh-CN" w:bidi="ar"/>
        </w:rPr>
        <w:t>预算绩效管理工作开展情况</w:t>
      </w:r>
    </w:p>
    <w:p w14:paraId="5C6F7A05">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960" w:firstLineChars="3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根据预算绩效管理要求，我单位对部门整体和0个项目开展了绩效自评，其中，以填报自评表形式开展自评0个项目，涉及资金0万元；没有</w:t>
      </w:r>
      <w:r>
        <w:rPr>
          <w:rFonts w:hint="eastAsia" w:ascii="Times New Roman" w:hAnsi="Times New Roman" w:eastAsia="方正仿宋_GBK" w:cs="Times New Roman"/>
          <w:color w:val="auto"/>
          <w:sz w:val="32"/>
          <w:szCs w:val="32"/>
          <w:shd w:val="clear" w:color="auto" w:fill="FFFFFF"/>
        </w:rPr>
        <w:t>委托第三方出具报告开展绩效评价。</w:t>
      </w:r>
    </w:p>
    <w:p w14:paraId="72CEFC26">
      <w:pPr>
        <w:pStyle w:val="10"/>
        <w:keepNext w:val="0"/>
        <w:keepLines w:val="0"/>
        <w:pageBreakBefore w:val="0"/>
        <w:widowControl w:val="0"/>
        <w:numPr>
          <w:ilvl w:val="0"/>
          <w:numId w:val="2"/>
        </w:numPr>
        <w:suppressLineNumbers w:val="0"/>
        <w:kinsoku/>
        <w:wordWrap/>
        <w:overflowPunct/>
        <w:topLinePunct w:val="0"/>
        <w:autoSpaceDN/>
        <w:bidi w:val="0"/>
        <w:adjustRightInd/>
        <w:spacing w:before="0" w:beforeAutospacing="0" w:afterAutospacing="0" w:line="600" w:lineRule="exact"/>
        <w:ind w:right="0" w:rightChars="0" w:firstLine="640" w:firstLineChars="200"/>
        <w:jc w:val="both"/>
        <w:textAlignment w:val="auto"/>
        <w:rPr>
          <w:rFonts w:hint="eastAsia" w:ascii="Times New Roman" w:hAnsi="Times New Roman" w:eastAsia="方正楷体_GBK" w:cs="Times New Roman"/>
          <w:b w:val="0"/>
          <w:bCs w:val="0"/>
          <w:color w:val="auto"/>
          <w:sz w:val="32"/>
          <w:szCs w:val="32"/>
          <w:shd w:val="clear" w:color="auto" w:fill="FFFFFF"/>
          <w:lang w:bidi="ar"/>
        </w:rPr>
      </w:pPr>
      <w:r>
        <w:rPr>
          <w:rFonts w:hint="eastAsia" w:ascii="Times New Roman" w:hAnsi="Times New Roman" w:eastAsia="方正楷体_GBK" w:cs="Times New Roman"/>
          <w:b w:val="0"/>
          <w:bCs w:val="0"/>
          <w:color w:val="auto"/>
          <w:sz w:val="32"/>
          <w:szCs w:val="32"/>
          <w:shd w:val="clear" w:color="auto" w:fill="FFFFFF"/>
          <w:lang w:bidi="ar"/>
        </w:rPr>
        <w:t>绩效自评结果</w:t>
      </w:r>
    </w:p>
    <w:p w14:paraId="16582CD4">
      <w:pPr>
        <w:pStyle w:val="10"/>
        <w:keepNext w:val="0"/>
        <w:keepLines w:val="0"/>
        <w:pageBreakBefore w:val="0"/>
        <w:widowControl w:val="0"/>
        <w:numPr>
          <w:ilvl w:val="0"/>
          <w:numId w:val="3"/>
        </w:numPr>
        <w:suppressLineNumbers w:val="0"/>
        <w:kinsoku/>
        <w:wordWrap/>
        <w:overflowPunct/>
        <w:topLinePunct w:val="0"/>
        <w:autoSpaceDN/>
        <w:bidi w:val="0"/>
        <w:adjustRightInd/>
        <w:spacing w:before="0" w:beforeAutospacing="0" w:afterAutospacing="0" w:line="600" w:lineRule="exact"/>
        <w:ind w:leftChars="200" w:right="0" w:rightChars="0" w:firstLine="320" w:firstLineChars="10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sectPr>
          <w:headerReference r:id="rId3" w:type="default"/>
          <w:footerReference r:id="rId4" w:type="default"/>
          <w:pgSz w:w="11906" w:h="16838"/>
          <w:pgMar w:top="1984" w:right="1446" w:bottom="1644" w:left="1446" w:header="0" w:footer="850" w:gutter="0"/>
          <w:pgNumType w:fmt="numberInDash"/>
          <w:cols w:space="720" w:num="1"/>
          <w:docGrid w:type="lines" w:linePitch="312" w:charSpace="0"/>
        </w:sectPr>
      </w:pPr>
      <w:r>
        <w:rPr>
          <w:rFonts w:hint="eastAsia" w:ascii="Times New Roman" w:hAnsi="Times New Roman" w:eastAsia="方正仿宋_GBK" w:cs="Times New Roman"/>
          <w:b w:val="0"/>
          <w:bCs w:val="0"/>
          <w:color w:val="auto"/>
          <w:kern w:val="0"/>
          <w:sz w:val="32"/>
          <w:szCs w:val="32"/>
          <w:shd w:val="clear" w:color="auto" w:fill="FFFFFF"/>
          <w:lang w:val="en-US" w:eastAsia="zh-CN" w:bidi="ar-SA"/>
        </w:rPr>
        <w:t>绩效目标自评表</w:t>
      </w:r>
    </w:p>
    <w:p w14:paraId="69889C2F">
      <w:pPr>
        <w:pStyle w:val="10"/>
        <w:keepNext w:val="0"/>
        <w:keepLines w:val="0"/>
        <w:pageBreakBefore w:val="0"/>
        <w:widowControl w:val="0"/>
        <w:numPr>
          <w:numId w:val="0"/>
        </w:numPr>
        <w:suppressLineNumbers w:val="0"/>
        <w:kinsoku/>
        <w:wordWrap/>
        <w:overflowPunct/>
        <w:topLinePunct w:val="0"/>
        <w:autoSpaceDN/>
        <w:bidi w:val="0"/>
        <w:adjustRightInd/>
        <w:spacing w:before="0" w:beforeAutospacing="0" w:afterAutospacing="0" w:line="600" w:lineRule="exact"/>
        <w:ind w:right="0" w:rightChars="0"/>
        <w:jc w:val="both"/>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pPr>
    </w:p>
    <w:tbl>
      <w:tblPr>
        <w:tblStyle w:val="6"/>
        <w:tblpPr w:leftFromText="180" w:rightFromText="180" w:vertAnchor="text" w:tblpXSpec="center" w:tblpY="1"/>
        <w:tblOverlap w:val="never"/>
        <w:tblW w:w="15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5"/>
        <w:gridCol w:w="1314"/>
        <w:gridCol w:w="1529"/>
        <w:gridCol w:w="1399"/>
        <w:gridCol w:w="1067"/>
        <w:gridCol w:w="1397"/>
        <w:gridCol w:w="1317"/>
        <w:gridCol w:w="1397"/>
        <w:gridCol w:w="900"/>
        <w:gridCol w:w="1233"/>
        <w:gridCol w:w="1162"/>
      </w:tblGrid>
      <w:tr w14:paraId="7EAC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7F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3534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226A">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2474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5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A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奉节县生态工业园区管理委员会整体监控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43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5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50023600024P000045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9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7CB7">
            <w:pPr>
              <w:keepNext w:val="0"/>
              <w:keepLines w:val="0"/>
              <w:widowControl/>
              <w:suppressLineNumbers w:val="0"/>
              <w:ind w:firstLineChars="10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2FAF">
            <w:pPr>
              <w:jc w:val="right"/>
              <w:rPr>
                <w:rFonts w:hint="eastAsia" w:ascii="宋体" w:hAnsi="宋体" w:eastAsia="宋体" w:cs="宋体"/>
                <w:b/>
                <w:bCs/>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8EFD">
            <w:pPr>
              <w:rPr>
                <w:rFonts w:hint="eastAsia" w:ascii="宋体" w:hAnsi="宋体" w:eastAsia="宋体" w:cs="宋体"/>
                <w:i w:val="0"/>
                <w:iCs w:val="0"/>
                <w:color w:val="000000"/>
                <w:sz w:val="22"/>
                <w:szCs w:val="22"/>
                <w:u w:val="none"/>
              </w:rPr>
            </w:pPr>
          </w:p>
        </w:tc>
      </w:tr>
      <w:tr w14:paraId="7332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6E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04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149-奉节县生态工业园区管理委员会</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9E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9D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007-经济建设科</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4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14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向应平</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8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2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13896271800</w:t>
            </w:r>
          </w:p>
        </w:tc>
      </w:tr>
      <w:tr w14:paraId="4DF3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40C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FC6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39C6">
            <w:pPr>
              <w:jc w:val="center"/>
              <w:rPr>
                <w:rFonts w:hint="eastAsia" w:ascii="宋体" w:hAnsi="宋体" w:eastAsia="宋体" w:cs="宋体"/>
                <w:i w:val="0"/>
                <w:iCs w:val="0"/>
                <w:color w:val="000000"/>
                <w:sz w:val="22"/>
                <w:szCs w:val="22"/>
                <w:u w:val="none"/>
              </w:rPr>
            </w:pP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24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8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D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1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96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1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37C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nil"/>
            </w:tcBorders>
            <w:shd w:val="clear" w:color="auto" w:fill="auto"/>
            <w:vAlign w:val="center"/>
          </w:tcPr>
          <w:p w14:paraId="0842C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314" w:type="dxa"/>
            <w:tcBorders>
              <w:top w:val="single" w:color="000000" w:sz="4" w:space="0"/>
              <w:left w:val="nil"/>
              <w:bottom w:val="single" w:color="000000" w:sz="4" w:space="0"/>
              <w:right w:val="single" w:color="000000" w:sz="4" w:space="0"/>
            </w:tcBorders>
            <w:shd w:val="clear" w:color="auto" w:fill="auto"/>
            <w:noWrap/>
            <w:vAlign w:val="center"/>
          </w:tcPr>
          <w:p w14:paraId="0E47D4C5">
            <w:pPr>
              <w:rPr>
                <w:rFonts w:hint="eastAsia" w:ascii="宋体" w:hAnsi="宋体" w:eastAsia="宋体" w:cs="宋体"/>
                <w:i w:val="0"/>
                <w:iCs w:val="0"/>
                <w:color w:val="000000"/>
                <w:sz w:val="22"/>
                <w:szCs w:val="22"/>
                <w:u w:val="none"/>
              </w:rPr>
            </w:pPr>
          </w:p>
        </w:tc>
        <w:tc>
          <w:tcPr>
            <w:tcW w:w="1529" w:type="dxa"/>
            <w:tcBorders>
              <w:top w:val="single" w:color="000000" w:sz="4" w:space="0"/>
              <w:left w:val="single" w:color="000000" w:sz="4" w:space="0"/>
              <w:bottom w:val="single" w:color="000000" w:sz="4" w:space="0"/>
              <w:right w:val="nil"/>
            </w:tcBorders>
            <w:shd w:val="clear" w:color="auto" w:fill="auto"/>
            <w:noWrap/>
            <w:vAlign w:val="center"/>
          </w:tcPr>
          <w:p w14:paraId="4DD9A62C">
            <w:pPr>
              <w:rPr>
                <w:rFonts w:hint="eastAsia" w:ascii="宋体" w:hAnsi="宋体" w:eastAsia="宋体" w:cs="宋体"/>
                <w:i w:val="0"/>
                <w:iCs w:val="0"/>
                <w:color w:val="000000"/>
                <w:sz w:val="22"/>
                <w:szCs w:val="22"/>
                <w:u w:val="none"/>
              </w:rPr>
            </w:pPr>
          </w:p>
        </w:tc>
        <w:tc>
          <w:tcPr>
            <w:tcW w:w="1399" w:type="dxa"/>
            <w:tcBorders>
              <w:top w:val="single" w:color="000000" w:sz="4" w:space="0"/>
              <w:left w:val="nil"/>
              <w:bottom w:val="single" w:color="000000" w:sz="4" w:space="0"/>
              <w:right w:val="single" w:color="000000" w:sz="4" w:space="0"/>
            </w:tcBorders>
            <w:shd w:val="clear" w:color="auto" w:fill="auto"/>
            <w:noWrap/>
            <w:vAlign w:val="center"/>
          </w:tcPr>
          <w:p w14:paraId="52C0C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126.13</w:t>
            </w:r>
            <w:r>
              <w:rPr>
                <w:rFonts w:hint="eastAsia" w:ascii="宋体" w:hAnsi="宋体" w:eastAsia="宋体" w:cs="宋体"/>
                <w:i w:val="0"/>
                <w:iCs w:val="0"/>
                <w:color w:val="000000"/>
                <w:kern w:val="0"/>
                <w:sz w:val="22"/>
                <w:szCs w:val="22"/>
                <w:u w:val="none"/>
                <w:lang w:val="en-US" w:eastAsia="zh-CN" w:bidi="ar"/>
              </w:rPr>
              <w:t xml:space="preserve"> </w:t>
            </w:r>
          </w:p>
        </w:tc>
        <w:tc>
          <w:tcPr>
            <w:tcW w:w="1067" w:type="dxa"/>
            <w:tcBorders>
              <w:top w:val="single" w:color="000000" w:sz="4" w:space="0"/>
              <w:left w:val="single" w:color="000000" w:sz="4" w:space="0"/>
              <w:bottom w:val="single" w:color="000000" w:sz="4" w:space="0"/>
              <w:right w:val="nil"/>
            </w:tcBorders>
            <w:shd w:val="clear" w:color="auto" w:fill="auto"/>
            <w:noWrap/>
            <w:vAlign w:val="center"/>
          </w:tcPr>
          <w:p w14:paraId="18931539">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vAlign w:val="center"/>
          </w:tcPr>
          <w:p w14:paraId="1B95B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174.32</w:t>
            </w:r>
            <w:r>
              <w:rPr>
                <w:rFonts w:hint="eastAsia" w:ascii="宋体" w:hAnsi="宋体" w:eastAsia="宋体" w:cs="宋体"/>
                <w:i w:val="0"/>
                <w:iCs w:val="0"/>
                <w:color w:val="000000"/>
                <w:kern w:val="0"/>
                <w:sz w:val="22"/>
                <w:szCs w:val="22"/>
                <w:u w:val="none"/>
                <w:lang w:val="en-US" w:eastAsia="zh-CN" w:bidi="ar"/>
              </w:rPr>
              <w:t xml:space="preserve"> </w:t>
            </w:r>
          </w:p>
        </w:tc>
        <w:tc>
          <w:tcPr>
            <w:tcW w:w="1317" w:type="dxa"/>
            <w:tcBorders>
              <w:top w:val="single" w:color="000000" w:sz="4" w:space="0"/>
              <w:left w:val="single" w:color="000000" w:sz="4" w:space="0"/>
              <w:bottom w:val="single" w:color="000000" w:sz="4" w:space="0"/>
              <w:right w:val="nil"/>
            </w:tcBorders>
            <w:shd w:val="clear" w:color="auto" w:fill="auto"/>
            <w:noWrap/>
            <w:vAlign w:val="center"/>
          </w:tcPr>
          <w:p w14:paraId="59E6B70C">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noWrap/>
            <w:vAlign w:val="center"/>
          </w:tcPr>
          <w:p w14:paraId="426E3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174.32</w:t>
            </w:r>
            <w:r>
              <w:rPr>
                <w:rFonts w:hint="eastAsia" w:ascii="宋体" w:hAnsi="宋体" w:eastAsia="宋体" w:cs="宋体"/>
                <w:i w:val="0"/>
                <w:iCs w:val="0"/>
                <w:color w:val="000000"/>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5DBC">
            <w:pPr>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17B9">
            <w:pP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4B15">
            <w:pPr>
              <w:jc w:val="right"/>
              <w:rPr>
                <w:rFonts w:hint="eastAsia" w:ascii="宋体" w:hAnsi="宋体" w:eastAsia="宋体" w:cs="宋体"/>
                <w:i w:val="0"/>
                <w:iCs w:val="0"/>
                <w:color w:val="000000"/>
                <w:sz w:val="22"/>
                <w:szCs w:val="22"/>
                <w:u w:val="none"/>
              </w:rPr>
            </w:pPr>
          </w:p>
        </w:tc>
      </w:tr>
      <w:tr w14:paraId="4F62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nil"/>
            </w:tcBorders>
            <w:shd w:val="clear" w:color="auto" w:fill="auto"/>
            <w:vAlign w:val="center"/>
          </w:tcPr>
          <w:p w14:paraId="27AA2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314" w:type="dxa"/>
            <w:tcBorders>
              <w:top w:val="single" w:color="000000" w:sz="4" w:space="0"/>
              <w:left w:val="nil"/>
              <w:bottom w:val="single" w:color="000000" w:sz="4" w:space="0"/>
              <w:right w:val="single" w:color="000000" w:sz="4" w:space="0"/>
            </w:tcBorders>
            <w:shd w:val="clear" w:color="auto" w:fill="auto"/>
            <w:noWrap/>
            <w:vAlign w:val="center"/>
          </w:tcPr>
          <w:p w14:paraId="7D2A87A7">
            <w:pPr>
              <w:rPr>
                <w:rFonts w:hint="eastAsia" w:ascii="宋体" w:hAnsi="宋体" w:eastAsia="宋体" w:cs="宋体"/>
                <w:i w:val="0"/>
                <w:iCs w:val="0"/>
                <w:color w:val="000000"/>
                <w:sz w:val="22"/>
                <w:szCs w:val="22"/>
                <w:u w:val="none"/>
              </w:rPr>
            </w:pPr>
          </w:p>
        </w:tc>
        <w:tc>
          <w:tcPr>
            <w:tcW w:w="1529" w:type="dxa"/>
            <w:tcBorders>
              <w:top w:val="single" w:color="000000" w:sz="4" w:space="0"/>
              <w:left w:val="single" w:color="000000" w:sz="4" w:space="0"/>
              <w:bottom w:val="single" w:color="000000" w:sz="4" w:space="0"/>
              <w:right w:val="nil"/>
            </w:tcBorders>
            <w:shd w:val="clear" w:color="auto" w:fill="auto"/>
            <w:noWrap/>
            <w:vAlign w:val="center"/>
          </w:tcPr>
          <w:p w14:paraId="3D4C7D9D">
            <w:pPr>
              <w:rPr>
                <w:rFonts w:hint="eastAsia" w:ascii="宋体" w:hAnsi="宋体" w:eastAsia="宋体" w:cs="宋体"/>
                <w:i w:val="0"/>
                <w:iCs w:val="0"/>
                <w:color w:val="000000"/>
                <w:sz w:val="22"/>
                <w:szCs w:val="22"/>
                <w:u w:val="none"/>
              </w:rPr>
            </w:pPr>
          </w:p>
        </w:tc>
        <w:tc>
          <w:tcPr>
            <w:tcW w:w="1399" w:type="dxa"/>
            <w:tcBorders>
              <w:top w:val="single" w:color="000000" w:sz="4" w:space="0"/>
              <w:left w:val="nil"/>
              <w:bottom w:val="single" w:color="000000" w:sz="4" w:space="0"/>
              <w:right w:val="single" w:color="000000" w:sz="4" w:space="0"/>
            </w:tcBorders>
            <w:shd w:val="clear" w:color="auto" w:fill="auto"/>
            <w:noWrap/>
            <w:vAlign w:val="center"/>
          </w:tcPr>
          <w:p w14:paraId="67B8F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126.13</w:t>
            </w:r>
            <w:r>
              <w:rPr>
                <w:rFonts w:hint="eastAsia" w:ascii="宋体" w:hAnsi="宋体" w:eastAsia="宋体" w:cs="宋体"/>
                <w:i w:val="0"/>
                <w:iCs w:val="0"/>
                <w:color w:val="000000"/>
                <w:kern w:val="0"/>
                <w:sz w:val="22"/>
                <w:szCs w:val="22"/>
                <w:u w:val="none"/>
                <w:lang w:val="en-US" w:eastAsia="zh-CN" w:bidi="ar"/>
              </w:rPr>
              <w:t xml:space="preserve"> </w:t>
            </w:r>
          </w:p>
        </w:tc>
        <w:tc>
          <w:tcPr>
            <w:tcW w:w="1067" w:type="dxa"/>
            <w:tcBorders>
              <w:top w:val="single" w:color="000000" w:sz="4" w:space="0"/>
              <w:left w:val="single" w:color="000000" w:sz="4" w:space="0"/>
              <w:bottom w:val="single" w:color="000000" w:sz="4" w:space="0"/>
              <w:right w:val="nil"/>
            </w:tcBorders>
            <w:shd w:val="clear" w:color="auto" w:fill="auto"/>
            <w:noWrap/>
            <w:vAlign w:val="center"/>
          </w:tcPr>
          <w:p w14:paraId="0E0C7CCD">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vAlign w:val="center"/>
          </w:tcPr>
          <w:p w14:paraId="225EB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174.32</w:t>
            </w:r>
            <w:r>
              <w:rPr>
                <w:rFonts w:hint="eastAsia" w:ascii="宋体" w:hAnsi="宋体" w:eastAsia="宋体" w:cs="宋体"/>
                <w:i w:val="0"/>
                <w:iCs w:val="0"/>
                <w:color w:val="000000"/>
                <w:kern w:val="0"/>
                <w:sz w:val="22"/>
                <w:szCs w:val="22"/>
                <w:u w:val="none"/>
                <w:lang w:val="en-US" w:eastAsia="zh-CN" w:bidi="ar"/>
              </w:rPr>
              <w:t xml:space="preserve"> </w:t>
            </w:r>
          </w:p>
        </w:tc>
        <w:tc>
          <w:tcPr>
            <w:tcW w:w="1317" w:type="dxa"/>
            <w:tcBorders>
              <w:top w:val="single" w:color="000000" w:sz="4" w:space="0"/>
              <w:left w:val="single" w:color="000000" w:sz="4" w:space="0"/>
              <w:bottom w:val="single" w:color="000000" w:sz="4" w:space="0"/>
              <w:right w:val="nil"/>
            </w:tcBorders>
            <w:shd w:val="clear" w:color="auto" w:fill="auto"/>
            <w:noWrap/>
            <w:vAlign w:val="center"/>
          </w:tcPr>
          <w:p w14:paraId="42A25295">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noWrap/>
            <w:vAlign w:val="center"/>
          </w:tcPr>
          <w:p w14:paraId="2C3E8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174.32</w:t>
            </w:r>
            <w:r>
              <w:rPr>
                <w:rFonts w:hint="eastAsia" w:ascii="宋体" w:hAnsi="宋体" w:eastAsia="宋体" w:cs="宋体"/>
                <w:i w:val="0"/>
                <w:iCs w:val="0"/>
                <w:color w:val="000000"/>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D43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D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3090">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w:t>
            </w:r>
          </w:p>
        </w:tc>
      </w:tr>
      <w:tr w14:paraId="66DA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nil"/>
            </w:tcBorders>
            <w:shd w:val="clear" w:color="auto" w:fill="auto"/>
            <w:vAlign w:val="center"/>
          </w:tcPr>
          <w:p w14:paraId="6B426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314" w:type="dxa"/>
            <w:tcBorders>
              <w:top w:val="single" w:color="000000" w:sz="4" w:space="0"/>
              <w:left w:val="nil"/>
              <w:bottom w:val="single" w:color="000000" w:sz="4" w:space="0"/>
              <w:right w:val="single" w:color="000000" w:sz="4" w:space="0"/>
            </w:tcBorders>
            <w:shd w:val="clear" w:color="auto" w:fill="auto"/>
            <w:noWrap/>
            <w:vAlign w:val="center"/>
          </w:tcPr>
          <w:p w14:paraId="68B06585">
            <w:pPr>
              <w:rPr>
                <w:rFonts w:hint="eastAsia" w:ascii="宋体" w:hAnsi="宋体" w:eastAsia="宋体" w:cs="宋体"/>
                <w:i w:val="0"/>
                <w:iCs w:val="0"/>
                <w:color w:val="000000"/>
                <w:sz w:val="22"/>
                <w:szCs w:val="22"/>
                <w:u w:val="none"/>
              </w:rPr>
            </w:pPr>
          </w:p>
        </w:tc>
        <w:tc>
          <w:tcPr>
            <w:tcW w:w="1529" w:type="dxa"/>
            <w:tcBorders>
              <w:top w:val="single" w:color="000000" w:sz="4" w:space="0"/>
              <w:left w:val="single" w:color="000000" w:sz="4" w:space="0"/>
              <w:bottom w:val="single" w:color="000000" w:sz="4" w:space="0"/>
              <w:right w:val="nil"/>
            </w:tcBorders>
            <w:shd w:val="clear" w:color="auto" w:fill="auto"/>
            <w:noWrap/>
            <w:vAlign w:val="center"/>
          </w:tcPr>
          <w:p w14:paraId="3D28075D">
            <w:pPr>
              <w:rPr>
                <w:rFonts w:hint="eastAsia" w:ascii="宋体" w:hAnsi="宋体" w:eastAsia="宋体" w:cs="宋体"/>
                <w:i w:val="0"/>
                <w:iCs w:val="0"/>
                <w:color w:val="000000"/>
                <w:sz w:val="22"/>
                <w:szCs w:val="22"/>
                <w:u w:val="none"/>
              </w:rPr>
            </w:pPr>
          </w:p>
        </w:tc>
        <w:tc>
          <w:tcPr>
            <w:tcW w:w="1399" w:type="dxa"/>
            <w:tcBorders>
              <w:top w:val="single" w:color="000000" w:sz="4" w:space="0"/>
              <w:left w:val="nil"/>
              <w:bottom w:val="single" w:color="000000" w:sz="4" w:space="0"/>
              <w:right w:val="single" w:color="000000" w:sz="4" w:space="0"/>
            </w:tcBorders>
            <w:shd w:val="clear" w:color="auto" w:fill="auto"/>
            <w:noWrap/>
            <w:vAlign w:val="center"/>
          </w:tcPr>
          <w:p w14:paraId="34420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126.13</w:t>
            </w:r>
            <w:r>
              <w:rPr>
                <w:rFonts w:hint="eastAsia" w:ascii="宋体" w:hAnsi="宋体" w:eastAsia="宋体" w:cs="宋体"/>
                <w:i w:val="0"/>
                <w:iCs w:val="0"/>
                <w:color w:val="000000"/>
                <w:kern w:val="0"/>
                <w:sz w:val="22"/>
                <w:szCs w:val="22"/>
                <w:u w:val="none"/>
                <w:lang w:val="en-US" w:eastAsia="zh-CN" w:bidi="ar"/>
              </w:rPr>
              <w:t xml:space="preserve"> </w:t>
            </w:r>
          </w:p>
        </w:tc>
        <w:tc>
          <w:tcPr>
            <w:tcW w:w="1067" w:type="dxa"/>
            <w:tcBorders>
              <w:top w:val="single" w:color="000000" w:sz="4" w:space="0"/>
              <w:left w:val="single" w:color="000000" w:sz="4" w:space="0"/>
              <w:bottom w:val="single" w:color="000000" w:sz="4" w:space="0"/>
              <w:right w:val="nil"/>
            </w:tcBorders>
            <w:shd w:val="clear" w:color="auto" w:fill="auto"/>
            <w:noWrap/>
            <w:vAlign w:val="center"/>
          </w:tcPr>
          <w:p w14:paraId="60E6CB6B">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vAlign w:val="center"/>
          </w:tcPr>
          <w:p w14:paraId="0DE50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174.32</w:t>
            </w:r>
            <w:r>
              <w:rPr>
                <w:rFonts w:hint="eastAsia" w:ascii="宋体" w:hAnsi="宋体" w:eastAsia="宋体" w:cs="宋体"/>
                <w:i w:val="0"/>
                <w:iCs w:val="0"/>
                <w:color w:val="000000"/>
                <w:kern w:val="0"/>
                <w:sz w:val="22"/>
                <w:szCs w:val="22"/>
                <w:u w:val="none"/>
                <w:lang w:val="en-US" w:eastAsia="zh-CN" w:bidi="ar"/>
              </w:rPr>
              <w:t xml:space="preserve"> </w:t>
            </w:r>
          </w:p>
        </w:tc>
        <w:tc>
          <w:tcPr>
            <w:tcW w:w="1317" w:type="dxa"/>
            <w:tcBorders>
              <w:top w:val="single" w:color="000000" w:sz="4" w:space="0"/>
              <w:left w:val="single" w:color="000000" w:sz="4" w:space="0"/>
              <w:bottom w:val="single" w:color="000000" w:sz="4" w:space="0"/>
              <w:right w:val="nil"/>
            </w:tcBorders>
            <w:shd w:val="clear" w:color="auto" w:fill="auto"/>
            <w:noWrap/>
            <w:vAlign w:val="center"/>
          </w:tcPr>
          <w:p w14:paraId="3D4C0A79">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noWrap/>
            <w:vAlign w:val="center"/>
          </w:tcPr>
          <w:p w14:paraId="389CF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174.32</w:t>
            </w:r>
            <w:r>
              <w:rPr>
                <w:rFonts w:hint="eastAsia" w:ascii="宋体" w:hAnsi="宋体" w:eastAsia="宋体" w:cs="宋体"/>
                <w:i w:val="0"/>
                <w:iCs w:val="0"/>
                <w:color w:val="000000"/>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46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A46E">
            <w:pP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8659">
            <w:pPr>
              <w:jc w:val="right"/>
              <w:rPr>
                <w:rFonts w:hint="eastAsia" w:ascii="宋体" w:hAnsi="宋体" w:eastAsia="宋体" w:cs="宋体"/>
                <w:i w:val="0"/>
                <w:iCs w:val="0"/>
                <w:color w:val="000000"/>
                <w:sz w:val="22"/>
                <w:szCs w:val="22"/>
                <w:u w:val="none"/>
              </w:rPr>
            </w:pPr>
          </w:p>
        </w:tc>
      </w:tr>
      <w:tr w14:paraId="7525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91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2A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7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6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CC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2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3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A31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6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5C1D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力争引入企业50家以上，协议投资达30亿元；入驻企业达150家；确保投产企业达120家，实现税收3000万元，提供就业岗位3000人。</w:t>
            </w:r>
          </w:p>
        </w:tc>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C2A0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力争引入企业50家以上，协议投资达30亿元；入驻企业达150家；确保投产企业达120家，实现税收3000万元，提供就业岗位3000人。</w:t>
            </w:r>
          </w:p>
        </w:tc>
        <w:tc>
          <w:tcPr>
            <w:tcW w:w="3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85FE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引入企业50家以上，协议投资达30亿元；入驻企业达150家；确保投产企业达120家，实现税收3000万元，提供就业岗位3000人。</w:t>
            </w:r>
          </w:p>
        </w:tc>
      </w:tr>
      <w:tr w14:paraId="59A5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4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4F2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0C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B6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EB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EB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28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0E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79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DD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50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DE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6C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195F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3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本单位年度工作实际完成率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8E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590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DE6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77F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21B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22D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60E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491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1E8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84A0">
            <w:pPr>
              <w:jc w:val="left"/>
              <w:rPr>
                <w:rFonts w:hint="eastAsia" w:ascii="宋体" w:hAnsi="宋体" w:eastAsia="宋体" w:cs="宋体"/>
                <w:i w:val="0"/>
                <w:iCs w:val="0"/>
                <w:color w:val="000000"/>
                <w:sz w:val="20"/>
                <w:szCs w:val="20"/>
                <w:u w:val="none"/>
              </w:rPr>
            </w:pPr>
          </w:p>
        </w:tc>
      </w:tr>
      <w:tr w14:paraId="6B87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CFF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个性指标完成率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1D7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3EA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949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29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95F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3A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9BD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6C1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5FF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1E3C">
            <w:pPr>
              <w:jc w:val="left"/>
              <w:rPr>
                <w:rFonts w:hint="eastAsia" w:ascii="宋体" w:hAnsi="宋体" w:eastAsia="宋体" w:cs="宋体"/>
                <w:i w:val="0"/>
                <w:iCs w:val="0"/>
                <w:color w:val="000000"/>
                <w:sz w:val="20"/>
                <w:szCs w:val="20"/>
                <w:u w:val="none"/>
              </w:rPr>
            </w:pPr>
          </w:p>
        </w:tc>
      </w:tr>
      <w:tr w14:paraId="2E2D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AC5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共性指标完成率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6E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FAE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19B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706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353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157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EBD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2AD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B84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1A08">
            <w:pPr>
              <w:jc w:val="left"/>
              <w:rPr>
                <w:rFonts w:hint="eastAsia" w:ascii="宋体" w:hAnsi="宋体" w:eastAsia="宋体" w:cs="宋体"/>
                <w:i w:val="0"/>
                <w:iCs w:val="0"/>
                <w:color w:val="000000"/>
                <w:sz w:val="20"/>
                <w:szCs w:val="20"/>
                <w:u w:val="none"/>
              </w:rPr>
            </w:pPr>
          </w:p>
        </w:tc>
      </w:tr>
      <w:tr w14:paraId="2F74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828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公务卡刷卡率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FBA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A1B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BC4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45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626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BAE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A5F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9E5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D04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4635">
            <w:pPr>
              <w:jc w:val="left"/>
              <w:rPr>
                <w:rFonts w:hint="eastAsia" w:ascii="宋体" w:hAnsi="宋体" w:eastAsia="宋体" w:cs="宋体"/>
                <w:i w:val="0"/>
                <w:iCs w:val="0"/>
                <w:color w:val="000000"/>
                <w:sz w:val="20"/>
                <w:szCs w:val="20"/>
                <w:u w:val="none"/>
              </w:rPr>
            </w:pPr>
          </w:p>
        </w:tc>
      </w:tr>
      <w:tr w14:paraId="681F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A4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固定资产利用率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C98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5F8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21B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169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FCD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81C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1BC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19B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4E8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21B5">
            <w:pPr>
              <w:jc w:val="left"/>
              <w:rPr>
                <w:rFonts w:hint="eastAsia" w:ascii="宋体" w:hAnsi="宋体" w:eastAsia="宋体" w:cs="宋体"/>
                <w:i w:val="0"/>
                <w:iCs w:val="0"/>
                <w:color w:val="000000"/>
                <w:sz w:val="20"/>
                <w:szCs w:val="20"/>
                <w:u w:val="none"/>
              </w:rPr>
            </w:pPr>
          </w:p>
        </w:tc>
      </w:tr>
      <w:tr w14:paraId="6D2C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D3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管理制度健全性</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89C">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2E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9A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A2F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79C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B07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F51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80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06D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5581">
            <w:pPr>
              <w:jc w:val="left"/>
              <w:rPr>
                <w:rFonts w:hint="eastAsia" w:ascii="宋体" w:hAnsi="宋体" w:eastAsia="宋体" w:cs="宋体"/>
                <w:i w:val="0"/>
                <w:iCs w:val="0"/>
                <w:color w:val="000000"/>
                <w:sz w:val="20"/>
                <w:szCs w:val="20"/>
                <w:u w:val="none"/>
              </w:rPr>
            </w:pPr>
          </w:p>
        </w:tc>
      </w:tr>
      <w:tr w14:paraId="2E8F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C46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绩效目标自评率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EF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946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DA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E4F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6F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155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59D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2C4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3C7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8A99">
            <w:pPr>
              <w:jc w:val="left"/>
              <w:rPr>
                <w:rFonts w:hint="eastAsia" w:ascii="宋体" w:hAnsi="宋体" w:eastAsia="宋体" w:cs="宋体"/>
                <w:i w:val="0"/>
                <w:iCs w:val="0"/>
                <w:color w:val="000000"/>
                <w:sz w:val="20"/>
                <w:szCs w:val="20"/>
                <w:u w:val="none"/>
              </w:rPr>
            </w:pPr>
          </w:p>
        </w:tc>
      </w:tr>
      <w:tr w14:paraId="4F1B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E83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三公经费控制率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D6D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AC8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DD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D01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1C2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DC8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F3F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8D2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755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E320">
            <w:pPr>
              <w:jc w:val="left"/>
              <w:rPr>
                <w:rFonts w:hint="eastAsia" w:ascii="宋体" w:hAnsi="宋体" w:eastAsia="宋体" w:cs="宋体"/>
                <w:i w:val="0"/>
                <w:iCs w:val="0"/>
                <w:color w:val="000000"/>
                <w:sz w:val="20"/>
                <w:szCs w:val="20"/>
                <w:u w:val="none"/>
              </w:rPr>
            </w:pPr>
          </w:p>
        </w:tc>
      </w:tr>
      <w:tr w14:paraId="4E8D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8AA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项目监控到位率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74A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F8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455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7C5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DB9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DD4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8C8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20B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E18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AF9E">
            <w:pPr>
              <w:jc w:val="left"/>
              <w:rPr>
                <w:rFonts w:hint="eastAsia" w:ascii="宋体" w:hAnsi="宋体" w:eastAsia="宋体" w:cs="宋体"/>
                <w:i w:val="0"/>
                <w:iCs w:val="0"/>
                <w:color w:val="000000"/>
                <w:sz w:val="20"/>
                <w:szCs w:val="20"/>
                <w:u w:val="none"/>
              </w:rPr>
            </w:pPr>
          </w:p>
        </w:tc>
      </w:tr>
      <w:tr w14:paraId="627B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663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D2E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6F9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812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E1E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0C5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184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2A5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3AA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525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7073">
            <w:pPr>
              <w:jc w:val="left"/>
              <w:rPr>
                <w:rFonts w:hint="eastAsia" w:ascii="宋体" w:hAnsi="宋体" w:eastAsia="宋体" w:cs="宋体"/>
                <w:i w:val="0"/>
                <w:iCs w:val="0"/>
                <w:color w:val="000000"/>
                <w:sz w:val="20"/>
                <w:szCs w:val="20"/>
                <w:u w:val="none"/>
              </w:rPr>
            </w:pPr>
          </w:p>
        </w:tc>
      </w:tr>
      <w:tr w14:paraId="6800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5FB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B7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2C6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B6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99D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A5C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EAA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665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F26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812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D1A6">
            <w:pPr>
              <w:jc w:val="left"/>
              <w:rPr>
                <w:rFonts w:hint="eastAsia" w:ascii="宋体" w:hAnsi="宋体" w:eastAsia="宋体" w:cs="宋体"/>
                <w:i w:val="0"/>
                <w:iCs w:val="0"/>
                <w:color w:val="000000"/>
                <w:sz w:val="20"/>
                <w:szCs w:val="20"/>
                <w:u w:val="none"/>
              </w:rPr>
            </w:pPr>
          </w:p>
        </w:tc>
      </w:tr>
      <w:tr w14:paraId="34B1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715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政府采购执行率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6B9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05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5D4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4C5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191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F30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A76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227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FC7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E92F">
            <w:pPr>
              <w:jc w:val="left"/>
              <w:rPr>
                <w:rFonts w:hint="eastAsia" w:ascii="宋体" w:hAnsi="宋体" w:eastAsia="宋体" w:cs="宋体"/>
                <w:i w:val="0"/>
                <w:iCs w:val="0"/>
                <w:color w:val="000000"/>
                <w:sz w:val="20"/>
                <w:szCs w:val="20"/>
                <w:u w:val="none"/>
              </w:rPr>
            </w:pPr>
          </w:p>
        </w:tc>
      </w:tr>
      <w:tr w14:paraId="419A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16C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资金结转结余率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00B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159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80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64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7A2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3FC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F7D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B8E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337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5C9F">
            <w:pPr>
              <w:jc w:val="left"/>
              <w:rPr>
                <w:rFonts w:hint="eastAsia" w:ascii="宋体" w:hAnsi="宋体" w:eastAsia="宋体" w:cs="宋体"/>
                <w:i w:val="0"/>
                <w:iCs w:val="0"/>
                <w:color w:val="000000"/>
                <w:sz w:val="20"/>
                <w:szCs w:val="20"/>
                <w:u w:val="none"/>
              </w:rPr>
            </w:pPr>
          </w:p>
        </w:tc>
      </w:tr>
      <w:tr w14:paraId="34E8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B1D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A4BE">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8CB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E64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ED8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C96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062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F9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DD6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C47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4C41">
            <w:pPr>
              <w:jc w:val="left"/>
              <w:rPr>
                <w:rFonts w:hint="eastAsia" w:ascii="宋体" w:hAnsi="宋体" w:eastAsia="宋体" w:cs="宋体"/>
                <w:i w:val="0"/>
                <w:iCs w:val="0"/>
                <w:color w:val="000000"/>
                <w:sz w:val="20"/>
                <w:szCs w:val="20"/>
                <w:u w:val="none"/>
              </w:rPr>
            </w:pPr>
          </w:p>
        </w:tc>
      </w:tr>
      <w:tr w14:paraId="7EDD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D42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任务完成及时率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38A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242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B1F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F51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6B7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F43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1F8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134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974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1984">
            <w:pPr>
              <w:jc w:val="left"/>
              <w:rPr>
                <w:rFonts w:hint="eastAsia" w:ascii="宋体" w:hAnsi="宋体" w:eastAsia="宋体" w:cs="宋体"/>
                <w:i w:val="0"/>
                <w:iCs w:val="0"/>
                <w:color w:val="000000"/>
                <w:sz w:val="20"/>
                <w:szCs w:val="20"/>
                <w:u w:val="none"/>
              </w:rPr>
            </w:pPr>
          </w:p>
        </w:tc>
      </w:tr>
      <w:tr w14:paraId="152A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D81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信息公开及时率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FF9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8C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B9E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32E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12C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B08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C54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EAD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B86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1E0">
            <w:pPr>
              <w:jc w:val="left"/>
              <w:rPr>
                <w:rFonts w:hint="eastAsia" w:ascii="宋体" w:hAnsi="宋体" w:eastAsia="宋体" w:cs="宋体"/>
                <w:i w:val="0"/>
                <w:iCs w:val="0"/>
                <w:color w:val="000000"/>
                <w:sz w:val="20"/>
                <w:szCs w:val="20"/>
                <w:u w:val="none"/>
              </w:rPr>
            </w:pPr>
          </w:p>
        </w:tc>
      </w:tr>
      <w:tr w14:paraId="7770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D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单位运行人均成本降低率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E06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7C8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224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AEF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06A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FA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C1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8BB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607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3151">
            <w:pPr>
              <w:jc w:val="left"/>
              <w:rPr>
                <w:rFonts w:hint="eastAsia" w:ascii="宋体" w:hAnsi="宋体" w:eastAsia="宋体" w:cs="宋体"/>
                <w:i w:val="0"/>
                <w:iCs w:val="0"/>
                <w:color w:val="000000"/>
                <w:sz w:val="20"/>
                <w:szCs w:val="20"/>
                <w:u w:val="none"/>
              </w:rPr>
            </w:pPr>
          </w:p>
        </w:tc>
      </w:tr>
      <w:tr w14:paraId="177E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AF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财政收入计划任务完成率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E23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000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C77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BF4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EE3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4D3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80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ED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15A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1805">
            <w:pPr>
              <w:jc w:val="left"/>
              <w:rPr>
                <w:rFonts w:hint="eastAsia" w:ascii="宋体" w:hAnsi="宋体" w:eastAsia="宋体" w:cs="宋体"/>
                <w:i w:val="0"/>
                <w:iCs w:val="0"/>
                <w:color w:val="000000"/>
                <w:sz w:val="20"/>
                <w:szCs w:val="20"/>
                <w:u w:val="none"/>
              </w:rPr>
            </w:pPr>
          </w:p>
        </w:tc>
      </w:tr>
      <w:tr w14:paraId="1112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6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招商引资计划任务完成率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3C6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AFB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566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9AF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0CC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129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309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377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AAA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C948">
            <w:pPr>
              <w:jc w:val="left"/>
              <w:rPr>
                <w:rFonts w:hint="eastAsia" w:ascii="宋体" w:hAnsi="宋体" w:eastAsia="宋体" w:cs="宋体"/>
                <w:i w:val="0"/>
                <w:iCs w:val="0"/>
                <w:color w:val="000000"/>
                <w:sz w:val="20"/>
                <w:szCs w:val="20"/>
                <w:u w:val="none"/>
              </w:rPr>
            </w:pPr>
          </w:p>
        </w:tc>
      </w:tr>
      <w:tr w14:paraId="3964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6DE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争取专项资金计划任务完成率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CC8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0C0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06A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07C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22F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CD9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7D9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AD6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05D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F2EA">
            <w:pPr>
              <w:jc w:val="left"/>
              <w:rPr>
                <w:rFonts w:hint="eastAsia" w:ascii="宋体" w:hAnsi="宋体" w:eastAsia="宋体" w:cs="宋体"/>
                <w:i w:val="0"/>
                <w:iCs w:val="0"/>
                <w:color w:val="000000"/>
                <w:sz w:val="20"/>
                <w:szCs w:val="20"/>
                <w:u w:val="none"/>
              </w:rPr>
            </w:pPr>
          </w:p>
        </w:tc>
      </w:tr>
      <w:tr w14:paraId="43FC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9BD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带动经济发展</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4BF2">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A1C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04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有所增加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8A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9C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53D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C0C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4ED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814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0F8">
            <w:pPr>
              <w:jc w:val="left"/>
              <w:rPr>
                <w:rFonts w:hint="eastAsia" w:ascii="宋体" w:hAnsi="宋体" w:eastAsia="宋体" w:cs="宋体"/>
                <w:i w:val="0"/>
                <w:iCs w:val="0"/>
                <w:color w:val="000000"/>
                <w:sz w:val="20"/>
                <w:szCs w:val="20"/>
                <w:u w:val="none"/>
              </w:rPr>
            </w:pPr>
          </w:p>
        </w:tc>
      </w:tr>
      <w:tr w14:paraId="2CE4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51B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单位正常运转</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8941">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C7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679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23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98D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F30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439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22A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E33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47D8">
            <w:pPr>
              <w:jc w:val="left"/>
              <w:rPr>
                <w:rFonts w:hint="eastAsia" w:ascii="宋体" w:hAnsi="宋体" w:eastAsia="宋体" w:cs="宋体"/>
                <w:i w:val="0"/>
                <w:iCs w:val="0"/>
                <w:color w:val="000000"/>
                <w:sz w:val="20"/>
                <w:szCs w:val="20"/>
                <w:u w:val="none"/>
              </w:rPr>
            </w:pPr>
          </w:p>
        </w:tc>
      </w:tr>
      <w:tr w14:paraId="39E8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7D5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提供就业岗位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B19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F96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62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B36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92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6A6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9B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39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973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580E">
            <w:pPr>
              <w:jc w:val="left"/>
              <w:rPr>
                <w:rFonts w:hint="eastAsia" w:ascii="宋体" w:hAnsi="宋体" w:eastAsia="宋体" w:cs="宋体"/>
                <w:i w:val="0"/>
                <w:iCs w:val="0"/>
                <w:color w:val="000000"/>
                <w:sz w:val="20"/>
                <w:szCs w:val="20"/>
                <w:u w:val="none"/>
              </w:rPr>
            </w:pPr>
          </w:p>
        </w:tc>
      </w:tr>
      <w:tr w14:paraId="2AEF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6B0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5977">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026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A76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F7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DB4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0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CA0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59A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3C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00A8">
            <w:pPr>
              <w:jc w:val="left"/>
              <w:rPr>
                <w:rFonts w:hint="eastAsia" w:ascii="宋体" w:hAnsi="宋体" w:eastAsia="宋体" w:cs="宋体"/>
                <w:i w:val="0"/>
                <w:iCs w:val="0"/>
                <w:color w:val="000000"/>
                <w:sz w:val="20"/>
                <w:szCs w:val="20"/>
                <w:u w:val="none"/>
              </w:rPr>
            </w:pPr>
          </w:p>
        </w:tc>
      </w:tr>
      <w:tr w14:paraId="4C8F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5CF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单位节能降耗</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EAD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B8A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ACD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FD4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449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DF6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507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1B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68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C205">
            <w:pPr>
              <w:jc w:val="left"/>
              <w:rPr>
                <w:rFonts w:hint="eastAsia" w:ascii="宋体" w:hAnsi="宋体" w:eastAsia="宋体" w:cs="宋体"/>
                <w:i w:val="0"/>
                <w:iCs w:val="0"/>
                <w:color w:val="000000"/>
                <w:sz w:val="20"/>
                <w:szCs w:val="20"/>
                <w:u w:val="none"/>
              </w:rPr>
            </w:pPr>
          </w:p>
        </w:tc>
      </w:tr>
      <w:tr w14:paraId="0368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B57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内控制度可持续性</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89CC">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0AB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B62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E44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4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6C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FC8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EF9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D1F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9944">
            <w:pPr>
              <w:jc w:val="left"/>
              <w:rPr>
                <w:rFonts w:hint="eastAsia" w:ascii="宋体" w:hAnsi="宋体" w:eastAsia="宋体" w:cs="宋体"/>
                <w:i w:val="0"/>
                <w:iCs w:val="0"/>
                <w:color w:val="000000"/>
                <w:sz w:val="20"/>
                <w:szCs w:val="20"/>
                <w:u w:val="none"/>
              </w:rPr>
            </w:pPr>
          </w:p>
        </w:tc>
      </w:tr>
      <w:tr w14:paraId="04C3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0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经济发展规划可持续性</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A0B4">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89C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A08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C12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D1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ED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0BB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4D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5D4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94F0">
            <w:pPr>
              <w:jc w:val="left"/>
              <w:rPr>
                <w:rFonts w:hint="eastAsia" w:ascii="宋体" w:hAnsi="宋体" w:eastAsia="宋体" w:cs="宋体"/>
                <w:i w:val="0"/>
                <w:iCs w:val="0"/>
                <w:color w:val="000000"/>
                <w:sz w:val="20"/>
                <w:szCs w:val="20"/>
                <w:u w:val="none"/>
              </w:rPr>
            </w:pPr>
          </w:p>
        </w:tc>
      </w:tr>
      <w:tr w14:paraId="5EC0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8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26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B03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010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29D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811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91F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953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F49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DB5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10CD">
            <w:pPr>
              <w:jc w:val="left"/>
              <w:rPr>
                <w:rFonts w:hint="eastAsia" w:ascii="宋体" w:hAnsi="宋体" w:eastAsia="宋体" w:cs="宋体"/>
                <w:i w:val="0"/>
                <w:iCs w:val="0"/>
                <w:color w:val="000000"/>
                <w:sz w:val="20"/>
                <w:szCs w:val="20"/>
                <w:u w:val="none"/>
              </w:rPr>
            </w:pPr>
          </w:p>
        </w:tc>
      </w:tr>
    </w:tbl>
    <w:p w14:paraId="07AD8656">
      <w:pPr>
        <w:pStyle w:val="5"/>
        <w:keepNext w:val="0"/>
        <w:keepLines w:val="0"/>
        <w:pageBreakBefore w:val="0"/>
        <w:widowControl w:val="0"/>
        <w:numPr>
          <w:numId w:val="0"/>
        </w:numPr>
        <w:kinsoku/>
        <w:wordWrap/>
        <w:overflowPunct/>
        <w:topLinePunct w:val="0"/>
        <w:autoSpaceDN/>
        <w:bidi w:val="0"/>
        <w:adjustRightInd/>
        <w:snapToGrid w:val="0"/>
        <w:spacing w:before="0" w:beforeAutospacing="0" w:after="0" w:afterAutospacing="0" w:line="600" w:lineRule="exact"/>
        <w:ind w:leftChars="300"/>
        <w:jc w:val="both"/>
        <w:textAlignment w:val="auto"/>
        <w:rPr>
          <w:rFonts w:hint="eastAsia" w:ascii="Times New Roman" w:hAnsi="Times New Roman" w:eastAsia="方正仿宋_GBK" w:cs="Times New Roman"/>
          <w:b w:val="0"/>
          <w:bCs w:val="0"/>
          <w:color w:val="auto"/>
          <w:sz w:val="32"/>
          <w:szCs w:val="32"/>
          <w:shd w:val="clear" w:color="auto" w:fill="FFFFFF"/>
        </w:rPr>
      </w:pPr>
    </w:p>
    <w:p w14:paraId="5A0749A6">
      <w:pPr>
        <w:pStyle w:val="5"/>
        <w:keepNext w:val="0"/>
        <w:keepLines w:val="0"/>
        <w:pageBreakBefore w:val="0"/>
        <w:widowControl w:val="0"/>
        <w:numPr>
          <w:numId w:val="0"/>
        </w:numPr>
        <w:kinsoku/>
        <w:wordWrap/>
        <w:overflowPunct/>
        <w:topLinePunct w:val="0"/>
        <w:autoSpaceDN/>
        <w:bidi w:val="0"/>
        <w:adjustRightInd/>
        <w:snapToGrid w:val="0"/>
        <w:spacing w:before="0" w:beforeAutospacing="0" w:after="0" w:afterAutospacing="0" w:line="600" w:lineRule="exact"/>
        <w:ind w:leftChars="300"/>
        <w:jc w:val="both"/>
        <w:textAlignment w:val="auto"/>
        <w:rPr>
          <w:rFonts w:hint="eastAsia" w:ascii="Times New Roman" w:hAnsi="Times New Roman" w:eastAsia="方正仿宋_GBK" w:cs="Times New Roman"/>
          <w:b w:val="0"/>
          <w:bCs w:val="0"/>
          <w:color w:val="auto"/>
          <w:sz w:val="32"/>
          <w:szCs w:val="32"/>
          <w:shd w:val="clear" w:color="auto" w:fill="FFFFFF"/>
        </w:rPr>
      </w:pPr>
    </w:p>
    <w:p w14:paraId="1B2D179E">
      <w:pPr>
        <w:pStyle w:val="5"/>
        <w:keepNext w:val="0"/>
        <w:keepLines w:val="0"/>
        <w:pageBreakBefore w:val="0"/>
        <w:widowControl w:val="0"/>
        <w:numPr>
          <w:numId w:val="0"/>
        </w:numPr>
        <w:kinsoku/>
        <w:wordWrap/>
        <w:overflowPunct/>
        <w:topLinePunct w:val="0"/>
        <w:autoSpaceDN/>
        <w:bidi w:val="0"/>
        <w:adjustRightInd/>
        <w:snapToGrid w:val="0"/>
        <w:spacing w:before="0" w:beforeAutospacing="0" w:after="0" w:afterAutospacing="0" w:line="600" w:lineRule="exact"/>
        <w:jc w:val="both"/>
        <w:textAlignment w:val="auto"/>
        <w:rPr>
          <w:rFonts w:hint="eastAsia" w:ascii="Times New Roman" w:hAnsi="Times New Roman" w:eastAsia="方正仿宋_GBK" w:cs="Times New Roman"/>
          <w:b w:val="0"/>
          <w:bCs w:val="0"/>
          <w:color w:val="auto"/>
          <w:sz w:val="32"/>
          <w:szCs w:val="32"/>
          <w:shd w:val="clear" w:color="auto" w:fill="FFFFFF"/>
        </w:rPr>
        <w:sectPr>
          <w:pgSz w:w="16838" w:h="11906" w:orient="landscape"/>
          <w:pgMar w:top="1446" w:right="1984" w:bottom="1446" w:left="1644" w:header="0" w:footer="850" w:gutter="0"/>
          <w:paperSrc/>
          <w:pgNumType w:fmt="numberInDash"/>
          <w:cols w:space="0" w:num="1"/>
          <w:rtlGutter w:val="0"/>
          <w:docGrid w:type="lines" w:linePitch="333" w:charSpace="0"/>
        </w:sectPr>
      </w:pPr>
    </w:p>
    <w:p w14:paraId="5ED800FB">
      <w:pPr>
        <w:pStyle w:val="5"/>
        <w:keepNext w:val="0"/>
        <w:keepLines w:val="0"/>
        <w:pageBreakBefore w:val="0"/>
        <w:widowControl w:val="0"/>
        <w:numPr>
          <w:numId w:val="0"/>
        </w:numPr>
        <w:kinsoku/>
        <w:wordWrap/>
        <w:overflowPunct/>
        <w:topLinePunct w:val="0"/>
        <w:autoSpaceDN/>
        <w:bidi w:val="0"/>
        <w:adjustRightInd/>
        <w:snapToGrid w:val="0"/>
        <w:spacing w:before="0" w:beforeAutospacing="0" w:after="0" w:afterAutospacing="0" w:line="600" w:lineRule="exact"/>
        <w:jc w:val="both"/>
        <w:textAlignment w:val="auto"/>
        <w:rPr>
          <w:rFonts w:hint="eastAsia" w:ascii="Times New Roman" w:hAnsi="Times New Roman" w:eastAsia="方正仿宋_GBK" w:cs="Times New Roman"/>
          <w:b w:val="0"/>
          <w:bCs w:val="0"/>
          <w:color w:val="auto"/>
          <w:sz w:val="32"/>
          <w:szCs w:val="32"/>
          <w:shd w:val="clear" w:color="auto" w:fill="FFFFFF"/>
        </w:rPr>
      </w:pPr>
    </w:p>
    <w:p w14:paraId="611E237C">
      <w:pPr>
        <w:pStyle w:val="5"/>
        <w:keepNext w:val="0"/>
        <w:keepLines w:val="0"/>
        <w:pageBreakBefore w:val="0"/>
        <w:widowControl w:val="0"/>
        <w:numPr>
          <w:ilvl w:val="0"/>
          <w:numId w:val="3"/>
        </w:numPr>
        <w:kinsoku/>
        <w:wordWrap/>
        <w:overflowPunct/>
        <w:topLinePunct w:val="0"/>
        <w:autoSpaceDN/>
        <w:bidi w:val="0"/>
        <w:adjustRightInd/>
        <w:snapToGrid w:val="0"/>
        <w:spacing w:before="0" w:beforeAutospacing="0" w:after="0" w:afterAutospacing="0" w:line="600" w:lineRule="exact"/>
        <w:ind w:left="480" w:leftChars="200" w:firstLine="320" w:firstLineChars="1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shd w:val="clear" w:color="auto" w:fill="FFFFFF"/>
        </w:rPr>
        <w:t>绩效自评报告或案例</w:t>
      </w:r>
    </w:p>
    <w:p w14:paraId="7D8B8D4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shd w:val="clear" w:color="auto" w:fill="FFFFFF"/>
          <w:lang w:val="en-US" w:eastAsia="zh-CN"/>
        </w:rPr>
        <w:t>本单位2024年度没有</w:t>
      </w:r>
      <w:r>
        <w:rPr>
          <w:rFonts w:hint="eastAsia" w:ascii="Times New Roman" w:hAnsi="Times New Roman" w:eastAsia="方正仿宋_GBK" w:cs="Times New Roman"/>
          <w:b w:val="0"/>
          <w:bCs w:val="0"/>
          <w:color w:val="auto"/>
          <w:sz w:val="32"/>
          <w:szCs w:val="32"/>
          <w:shd w:val="clear" w:color="auto" w:fill="FFFFFF"/>
        </w:rPr>
        <w:t>委托第三方出具报告开展绩效评价。</w:t>
      </w:r>
    </w:p>
    <w:p w14:paraId="4F17992A">
      <w:pPr>
        <w:pStyle w:val="5"/>
        <w:keepNext w:val="0"/>
        <w:keepLines w:val="0"/>
        <w:pageBreakBefore w:val="0"/>
        <w:widowControl w:val="0"/>
        <w:numPr>
          <w:ilvl w:val="0"/>
          <w:numId w:val="3"/>
        </w:numPr>
        <w:kinsoku/>
        <w:wordWrap/>
        <w:overflowPunct/>
        <w:topLinePunct w:val="0"/>
        <w:autoSpaceDN/>
        <w:bidi w:val="0"/>
        <w:adjustRightInd/>
        <w:snapToGrid w:val="0"/>
        <w:spacing w:before="0" w:beforeAutospacing="0" w:after="0" w:afterAutospacing="0" w:line="600" w:lineRule="exact"/>
        <w:ind w:left="480" w:leftChars="200" w:firstLine="320" w:firstLineChars="1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shd w:val="clear" w:color="auto" w:fill="FFFFFF"/>
        </w:rPr>
        <w:t>关于绩效自评结果的说明</w:t>
      </w:r>
    </w:p>
    <w:p w14:paraId="16656DD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val="en-US" w:eastAsia="zh-CN"/>
        </w:rPr>
      </w:pPr>
      <w:r>
        <w:rPr>
          <w:rFonts w:hint="eastAsia" w:ascii="Times New Roman" w:hAnsi="Times New Roman" w:eastAsia="方正仿宋_GBK" w:cs="Times New Roman"/>
          <w:b w:val="0"/>
          <w:bCs w:val="0"/>
          <w:color w:val="auto"/>
          <w:sz w:val="32"/>
          <w:szCs w:val="32"/>
          <w:shd w:val="clear" w:color="auto" w:fill="FFFFFF"/>
          <w:lang w:val="en-US" w:eastAsia="zh-CN"/>
        </w:rPr>
        <w:t>本单位2024年度按要求完成部门整体绩效自评工作。</w:t>
      </w:r>
    </w:p>
    <w:p w14:paraId="0612A363">
      <w:pPr>
        <w:pStyle w:val="10"/>
        <w:keepNext w:val="0"/>
        <w:keepLines w:val="0"/>
        <w:pageBreakBefore w:val="0"/>
        <w:widowControl w:val="0"/>
        <w:numPr>
          <w:ilvl w:val="0"/>
          <w:numId w:val="2"/>
        </w:numPr>
        <w:suppressLineNumbers w:val="0"/>
        <w:shd w:val="clear" w:fill="FFFFFF"/>
        <w:kinsoku/>
        <w:wordWrap/>
        <w:overflowPunct/>
        <w:topLinePunct w:val="0"/>
        <w:autoSpaceDE w:val="0"/>
        <w:autoSpaceDN/>
        <w:bidi w:val="0"/>
        <w:adjustRightInd/>
        <w:spacing w:before="0" w:beforeAutospacing="0" w:after="0" w:afterAutospacing="0" w:line="600" w:lineRule="exact"/>
        <w:ind w:left="0" w:leftChars="0" w:right="0"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重点绩效评价结果</w:t>
      </w:r>
    </w:p>
    <w:p w14:paraId="7E455FBD">
      <w:pPr>
        <w:pStyle w:val="10"/>
        <w:keepNext w:val="0"/>
        <w:keepLines w:val="0"/>
        <w:pageBreakBefore w:val="0"/>
        <w:widowControl w:val="0"/>
        <w:numPr>
          <w:ilvl w:val="0"/>
          <w:numId w:val="0"/>
        </w:numPr>
        <w:suppressLineNumbers w:val="0"/>
        <w:shd w:val="clear" w:fill="FFFFFF"/>
        <w:kinsoku/>
        <w:wordWrap/>
        <w:overflowPunct/>
        <w:topLinePunct w:val="0"/>
        <w:autoSpaceDE w:val="0"/>
        <w:autoSpaceDN/>
        <w:bidi w:val="0"/>
        <w:adjustRightIn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年本单位没有财政局委托第三方对部门政策或项</w:t>
      </w:r>
      <w:r>
        <w:rPr>
          <w:rFonts w:hint="eastAsia" w:ascii="方正仿宋_GBK" w:hAnsi="方正仿宋_GBK" w:eastAsia="方正仿宋_GBK" w:cs="方正仿宋_GBK"/>
          <w:kern w:val="0"/>
          <w:sz w:val="32"/>
          <w:szCs w:val="32"/>
          <w:shd w:val="clear" w:fill="FFFFFF"/>
          <w:lang w:eastAsia="zh-CN"/>
        </w:rPr>
        <w:t>目</w:t>
      </w:r>
      <w:r>
        <w:rPr>
          <w:rFonts w:hint="eastAsia" w:ascii="方正仿宋_GBK" w:hAnsi="方正仿宋_GBK" w:eastAsia="方正仿宋_GBK" w:cs="方正仿宋_GBK"/>
          <w:kern w:val="0"/>
          <w:sz w:val="32"/>
          <w:szCs w:val="32"/>
          <w:shd w:val="clear" w:fill="FFFFFF"/>
        </w:rPr>
        <w:t>开展重点绩效评价的。</w:t>
      </w:r>
    </w:p>
    <w:p w14:paraId="499CBD1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六、专业名词解释</w:t>
      </w:r>
    </w:p>
    <w:p w14:paraId="1B83266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（一）财政拨款收入</w:t>
      </w:r>
      <w:r>
        <w:rPr>
          <w:rFonts w:hint="eastAsia" w:ascii="Times New Roman" w:hAnsi="Times New Roman" w:eastAsia="方正仿宋_GBK" w:cs="Times New Roman"/>
          <w:b w:val="0"/>
          <w:bCs w:val="0"/>
          <w:color w:val="auto"/>
          <w:sz w:val="32"/>
          <w:szCs w:val="32"/>
          <w:shd w:val="clear" w:color="auto" w:fill="FFFFFF"/>
        </w:rPr>
        <w:t>：指本年度从本级财政部门取得的财政拨款，包括一般公共预算财政拨款和政府性基金预算财政拨款。</w:t>
      </w:r>
    </w:p>
    <w:p w14:paraId="673A6CD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（二）事业收入</w:t>
      </w:r>
      <w:r>
        <w:rPr>
          <w:rFonts w:hint="eastAsia" w:ascii="Times New Roman" w:hAnsi="Times New Roman" w:eastAsia="方正仿宋_GBK" w:cs="Times New Roman"/>
          <w:b w:val="0"/>
          <w:bCs w:val="0"/>
          <w:color w:val="auto"/>
          <w:sz w:val="32"/>
          <w:szCs w:val="32"/>
          <w:shd w:val="clear" w:color="auto" w:fill="FFFFFF"/>
        </w:rPr>
        <w:t>：指事业单位开展专业业务活动及其辅助活动取得的现金流入；事业单位收到的财政专户实际核拨的教育收费等资金在此反映。</w:t>
      </w:r>
    </w:p>
    <w:p w14:paraId="5A5030B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（三）经营收入</w:t>
      </w:r>
      <w:r>
        <w:rPr>
          <w:rFonts w:hint="eastAsia" w:ascii="Times New Roman" w:hAnsi="Times New Roman" w:eastAsia="方正仿宋_GBK" w:cs="Times New Roman"/>
          <w:b w:val="0"/>
          <w:bCs w:val="0"/>
          <w:color w:val="auto"/>
          <w:sz w:val="32"/>
          <w:szCs w:val="32"/>
          <w:shd w:val="clear" w:color="auto" w:fill="FFFFFF"/>
        </w:rPr>
        <w:t>：指事业单位在专业业务活动及其辅助活动之外开展非独立核算经营活动取得的现金流入。</w:t>
      </w:r>
    </w:p>
    <w:p w14:paraId="2527A83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（四）其他收入</w:t>
      </w:r>
      <w:r>
        <w:rPr>
          <w:rFonts w:hint="eastAsia" w:ascii="Times New Roman" w:hAnsi="Times New Roman" w:eastAsia="方正仿宋_GBK" w:cs="Times New Roman"/>
          <w:b w:val="0"/>
          <w:bCs w:val="0"/>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3EAD22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（五）使用非财政拨款结余</w:t>
      </w:r>
      <w:r>
        <w:rPr>
          <w:rFonts w:hint="eastAsia" w:ascii="Times New Roman" w:hAnsi="Times New Roman" w:eastAsia="方正仿宋_GBK" w:cs="Times New Roman"/>
          <w:b w:val="0"/>
          <w:bCs w:val="0"/>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726ABD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（六）年初结转和结余</w:t>
      </w:r>
      <w:r>
        <w:rPr>
          <w:rFonts w:hint="eastAsia" w:ascii="Times New Roman" w:hAnsi="Times New Roman" w:eastAsia="方正仿宋_GBK" w:cs="Times New Roman"/>
          <w:b w:val="0"/>
          <w:bCs w:val="0"/>
          <w:color w:val="auto"/>
          <w:sz w:val="32"/>
          <w:szCs w:val="32"/>
          <w:shd w:val="clear" w:color="auto" w:fill="FFFFFF"/>
        </w:rPr>
        <w:t>：指单位上年结转本年使用的基本支出结转、项目支出结转和结余、经营结余。</w:t>
      </w:r>
    </w:p>
    <w:p w14:paraId="1D10AE7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（七）结余分配</w:t>
      </w:r>
      <w:r>
        <w:rPr>
          <w:rFonts w:hint="eastAsia" w:ascii="Times New Roman" w:hAnsi="Times New Roman" w:eastAsia="方正仿宋_GBK" w:cs="Times New Roman"/>
          <w:b w:val="0"/>
          <w:bCs w:val="0"/>
          <w:color w:val="auto"/>
          <w:sz w:val="32"/>
          <w:szCs w:val="32"/>
          <w:shd w:val="clear" w:color="auto" w:fill="FFFFFF"/>
        </w:rPr>
        <w:t>：指单位按照国家有关规定，缴纳所得税、提取专用基金、转入非财政拨款结余等当年结余的分配情况。</w:t>
      </w:r>
    </w:p>
    <w:p w14:paraId="6BD88C3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（八）年末结转和结余</w:t>
      </w:r>
      <w:r>
        <w:rPr>
          <w:rFonts w:hint="eastAsia" w:ascii="Times New Roman" w:hAnsi="Times New Roman" w:eastAsia="方正仿宋_GBK" w:cs="Times New Roman"/>
          <w:b w:val="0"/>
          <w:bCs w:val="0"/>
          <w:color w:val="auto"/>
          <w:sz w:val="32"/>
          <w:szCs w:val="32"/>
          <w:shd w:val="clear" w:color="auto" w:fill="FFFFFF"/>
        </w:rPr>
        <w:t>：指单位结转下年的基本支出结转、</w:t>
      </w:r>
      <w:r>
        <w:rPr>
          <w:rFonts w:hint="eastAsia" w:ascii="方正仿宋_GBK" w:hAnsi="方正仿宋_GBK" w:eastAsia="方正仿宋_GBK" w:cs="方正仿宋_GBK"/>
          <w:b w:val="0"/>
          <w:bCs w:val="0"/>
          <w:color w:val="auto"/>
          <w:sz w:val="32"/>
          <w:szCs w:val="32"/>
          <w:shd w:val="clear" w:color="auto" w:fill="FFFFFF"/>
        </w:rPr>
        <w:t>项目支出结转和结余、经营结余。</w:t>
      </w:r>
    </w:p>
    <w:p w14:paraId="5FA33A5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（九）基本支出</w:t>
      </w:r>
      <w:r>
        <w:rPr>
          <w:rFonts w:hint="eastAsia" w:ascii="Times New Roman" w:hAnsi="Times New Roman" w:eastAsia="方正仿宋_GBK" w:cs="Times New Roman"/>
          <w:b w:val="0"/>
          <w:bCs w:val="0"/>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52F662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（十）项目支出</w:t>
      </w:r>
      <w:r>
        <w:rPr>
          <w:rFonts w:hint="eastAsia" w:ascii="Times New Roman" w:hAnsi="Times New Roman" w:eastAsia="方正仿宋_GBK" w:cs="Times New Roman"/>
          <w:b w:val="0"/>
          <w:bCs w:val="0"/>
          <w:color w:val="auto"/>
          <w:sz w:val="32"/>
          <w:szCs w:val="32"/>
          <w:shd w:val="clear" w:color="auto" w:fill="FFFFFF"/>
        </w:rPr>
        <w:t>：指在基本支出之外为完成特定行政任务和事业发展目标所发生的支出。</w:t>
      </w:r>
    </w:p>
    <w:p w14:paraId="0E03EAF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（十一）经营支出</w:t>
      </w:r>
      <w:r>
        <w:rPr>
          <w:rFonts w:hint="eastAsia" w:ascii="Times New Roman" w:hAnsi="Times New Roman" w:eastAsia="方正仿宋_GBK" w:cs="Times New Roman"/>
          <w:b w:val="0"/>
          <w:bCs w:val="0"/>
          <w:color w:val="auto"/>
          <w:sz w:val="32"/>
          <w:szCs w:val="32"/>
          <w:shd w:val="clear" w:color="auto" w:fill="FFFFFF"/>
        </w:rPr>
        <w:t>：指事业单位在专业业务活动及其辅助活动之外开展非独立核算经营活动发生的支出。</w:t>
      </w:r>
    </w:p>
    <w:p w14:paraId="195D974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（十二）“三公”经费</w:t>
      </w:r>
      <w:r>
        <w:rPr>
          <w:rFonts w:hint="eastAsia" w:ascii="Times New Roman" w:hAnsi="Times New Roman" w:eastAsia="方正仿宋_GBK" w:cs="Times New Roman"/>
          <w:b w:val="0"/>
          <w:bCs w:val="0"/>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7251B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（十三）机关运行经费</w:t>
      </w:r>
      <w:r>
        <w:rPr>
          <w:rFonts w:hint="eastAsia" w:ascii="Times New Roman" w:hAnsi="Times New Roman" w:eastAsia="方正仿宋_GBK" w:cs="Times New Roman"/>
          <w:b w:val="0"/>
          <w:bCs w:val="0"/>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hint="eastAsia" w:ascii="Times New Roman" w:hAnsi="Times New Roman" w:eastAsia="方正仿宋_GBK" w:cs="Times New Roman"/>
          <w:b w:val="0"/>
          <w:bCs w:val="0"/>
          <w:color w:val="auto"/>
          <w:spacing w:val="-6"/>
          <w:sz w:val="32"/>
          <w:szCs w:val="32"/>
          <w:shd w:val="clear" w:color="auto" w:fill="FFFFFF"/>
        </w:rPr>
        <w:t>取暖费、办公用房物业管理费、公务用车运行维护费以及其他费用。</w:t>
      </w:r>
    </w:p>
    <w:p w14:paraId="26C7FA3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（十四）工资福利支出</w:t>
      </w:r>
      <w:r>
        <w:rPr>
          <w:rFonts w:hint="eastAsia" w:ascii="Times New Roman" w:hAnsi="Times New Roman" w:eastAsia="方正仿宋_GBK" w:cs="Times New Roman"/>
          <w:b w:val="0"/>
          <w:bCs w:val="0"/>
          <w:color w:val="auto"/>
          <w:sz w:val="32"/>
          <w:szCs w:val="32"/>
          <w:shd w:val="clear" w:color="auto" w:fill="FFFFFF"/>
        </w:rPr>
        <w:t>（支出经济分类科目类级）：反映单位开支的在职职工和编制外长期聘用人员的各类劳动报酬，以及为上述人员缴纳的各项社会保险费等。</w:t>
      </w:r>
    </w:p>
    <w:p w14:paraId="5810FB7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（十五）商品和服务支出</w:t>
      </w:r>
      <w:r>
        <w:rPr>
          <w:rFonts w:hint="eastAsia" w:ascii="Times New Roman" w:hAnsi="Times New Roman" w:eastAsia="方正仿宋_GBK" w:cs="Times New Roman"/>
          <w:b w:val="0"/>
          <w:bCs w:val="0"/>
          <w:color w:val="auto"/>
          <w:sz w:val="32"/>
          <w:szCs w:val="32"/>
          <w:shd w:val="clear" w:color="auto" w:fill="FFFFFF"/>
        </w:rPr>
        <w:t>（支出经济分类科目类级）：反映单位购买商品和服务的支出（不包括用于购置固定资产的支出、战略性和应急储备支出）。</w:t>
      </w:r>
    </w:p>
    <w:p w14:paraId="336C4AB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（十六）对个人和家庭的补助</w:t>
      </w:r>
      <w:r>
        <w:rPr>
          <w:rFonts w:hint="eastAsia" w:ascii="Times New Roman" w:hAnsi="Times New Roman" w:eastAsia="方正仿宋_GBK" w:cs="Times New Roman"/>
          <w:b w:val="0"/>
          <w:bCs w:val="0"/>
          <w:color w:val="auto"/>
          <w:sz w:val="32"/>
          <w:szCs w:val="32"/>
          <w:shd w:val="clear" w:color="auto" w:fill="FFFFFF"/>
        </w:rPr>
        <w:t>（支出经济分类科目类级）：反映用于对个人和家庭的补助支出。</w:t>
      </w:r>
    </w:p>
    <w:p w14:paraId="1E6C0C7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（十七）其他资本性支出</w:t>
      </w:r>
      <w:r>
        <w:rPr>
          <w:rFonts w:hint="eastAsia" w:ascii="方正仿宋_GBK" w:hAnsi="方正仿宋_GBK" w:eastAsia="方正仿宋_GBK" w:cs="方正仿宋_GBK"/>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rPr>
        <w:t>支出经济分类科目类级）：反映非各级发展与改革部门集中安排的用于购置固定资产、战略性和应急性储备、土地和无形资产，以及构建基础设施、大型修缮和财政支持企业更新改造所发生的支出。</w:t>
      </w:r>
    </w:p>
    <w:p w14:paraId="5A1A280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七、决算公开联系方式及信息反馈渠道</w:t>
      </w:r>
    </w:p>
    <w:p w14:paraId="1B4158F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rPr>
        <w:t>本单位决算公开信息反馈和联系方式：</w:t>
      </w:r>
    </w:p>
    <w:p w14:paraId="09BAFF65">
      <w:pPr>
        <w:pStyle w:val="10"/>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向应平</w:t>
      </w:r>
      <w:r>
        <w:rPr>
          <w:rFonts w:hint="default" w:ascii="Times New Roman" w:hAnsi="Times New Roman" w:eastAsia="方正仿宋_GBK" w:cs="Times New Roman"/>
          <w:kern w:val="0"/>
          <w:sz w:val="32"/>
          <w:szCs w:val="32"/>
          <w:shd w:val="clear" w:fill="FFFFFF"/>
        </w:rPr>
        <w:t xml:space="preserve">   023-56</w:t>
      </w:r>
      <w:r>
        <w:rPr>
          <w:rFonts w:hint="eastAsia" w:ascii="Times New Roman" w:hAnsi="Times New Roman" w:eastAsia="方正仿宋_GBK" w:cs="Times New Roman"/>
          <w:kern w:val="0"/>
          <w:sz w:val="32"/>
          <w:szCs w:val="32"/>
          <w:shd w:val="clear" w:fill="FFFFFF"/>
          <w:lang w:val="en-US" w:eastAsia="zh-CN"/>
        </w:rPr>
        <w:t>557116</w:t>
      </w:r>
    </w:p>
    <w:p w14:paraId="18590EDF">
      <w:pPr>
        <w:keepNext w:val="0"/>
        <w:keepLines w:val="0"/>
        <w:pageBreakBefore w:val="0"/>
        <w:widowControl w:val="0"/>
        <w:kinsoku/>
        <w:wordWrap/>
        <w:overflowPunct/>
        <w:topLinePunct w:val="0"/>
        <w:autoSpaceDN/>
        <w:bidi w:val="0"/>
        <w:adjustRightInd/>
        <w:spacing w:line="600" w:lineRule="exact"/>
        <w:textAlignment w:val="auto"/>
        <w:rPr>
          <w:rFonts w:hint="eastAsia" w:ascii="宋体" w:hAnsi="宋体" w:eastAsia="宋体" w:cs="宋体"/>
          <w:color w:val="000000"/>
          <w:sz w:val="21"/>
          <w:szCs w:val="21"/>
          <w:lang w:bidi="ar"/>
        </w:rPr>
      </w:pPr>
    </w:p>
    <w:p w14:paraId="7C4B5AE9">
      <w:pPr>
        <w:pStyle w:val="9"/>
        <w:keepNext w:val="0"/>
        <w:keepLines w:val="0"/>
        <w:pageBreakBefore w:val="0"/>
        <w:widowControl w:val="0"/>
        <w:kinsoku/>
        <w:wordWrap/>
        <w:overflowPunct/>
        <w:topLinePunct w:val="0"/>
        <w:autoSpaceDE w:val="0"/>
        <w:autoSpaceDN/>
        <w:bidi w:val="0"/>
        <w:adjustRightInd/>
        <w:spacing w:line="600" w:lineRule="exact"/>
        <w:ind w:firstLine="0" w:firstLineChars="0"/>
        <w:textAlignment w:val="auto"/>
        <w:rPr>
          <w:rFonts w:hint="default" w:ascii="宋体" w:hAnsi="宋体" w:eastAsia="宋体" w:cs="宋体"/>
          <w:sz w:val="21"/>
          <w:szCs w:val="21"/>
        </w:rPr>
      </w:pPr>
    </w:p>
    <w:sectPr>
      <w:pgSz w:w="11906" w:h="16838"/>
      <w:pgMar w:top="1984" w:right="1446" w:bottom="1644" w:left="1446" w:header="0" w:footer="850" w:gutter="0"/>
      <w:paperSrc/>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7FA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D28A0B">
                          <w:pPr>
                            <w:pStyle w:val="2"/>
                            <w:rPr>
                              <w:rFonts w:hint="default"/>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6D28A0B">
                    <w:pPr>
                      <w:pStyle w:val="2"/>
                      <w:rPr>
                        <w:rFonts w:hint="default"/>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FDA27D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FDA27D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217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1A01D"/>
    <w:multiLevelType w:val="singleLevel"/>
    <w:tmpl w:val="86A1A01D"/>
    <w:lvl w:ilvl="0" w:tentative="0">
      <w:start w:val="2"/>
      <w:numFmt w:val="chineseCounting"/>
      <w:suff w:val="nothing"/>
      <w:lvlText w:val="（%1）"/>
      <w:lvlJc w:val="left"/>
      <w:rPr>
        <w:rFonts w:hint="eastAsia"/>
      </w:rPr>
    </w:lvl>
  </w:abstractNum>
  <w:abstractNum w:abstractNumId="1">
    <w:nsid w:val="9D6FEC83"/>
    <w:multiLevelType w:val="singleLevel"/>
    <w:tmpl w:val="9D6FEC83"/>
    <w:lvl w:ilvl="0" w:tentative="0">
      <w:start w:val="1"/>
      <w:numFmt w:val="decimal"/>
      <w:suff w:val="space"/>
      <w:lvlText w:val="%1."/>
      <w:lvlJc w:val="left"/>
    </w:lvl>
  </w:abstractNum>
  <w:abstractNum w:abstractNumId="2">
    <w:nsid w:val="3C7A62C7"/>
    <w:multiLevelType w:val="singleLevel"/>
    <w:tmpl w:val="3C7A62C7"/>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TJmYTNlYmY5YWViMmM0MDM1OThkMWQwZWIxMjgifQ=="/>
  </w:docVars>
  <w:rsids>
    <w:rsidRoot w:val="00B03CCD"/>
    <w:rsid w:val="00550ABE"/>
    <w:rsid w:val="007B419D"/>
    <w:rsid w:val="009B67B8"/>
    <w:rsid w:val="00B03CCD"/>
    <w:rsid w:val="01474EBF"/>
    <w:rsid w:val="01F3521E"/>
    <w:rsid w:val="03E3214F"/>
    <w:rsid w:val="04446191"/>
    <w:rsid w:val="044C50BA"/>
    <w:rsid w:val="06A2550B"/>
    <w:rsid w:val="06F80EE2"/>
    <w:rsid w:val="07001CCA"/>
    <w:rsid w:val="075678DB"/>
    <w:rsid w:val="08051BCA"/>
    <w:rsid w:val="08BA052C"/>
    <w:rsid w:val="08DB07BA"/>
    <w:rsid w:val="098305D0"/>
    <w:rsid w:val="09B72B6E"/>
    <w:rsid w:val="0A5C4B69"/>
    <w:rsid w:val="0B9335CE"/>
    <w:rsid w:val="0C7927C4"/>
    <w:rsid w:val="0C9B098C"/>
    <w:rsid w:val="0D673E11"/>
    <w:rsid w:val="0DDA54E4"/>
    <w:rsid w:val="0E3A5F83"/>
    <w:rsid w:val="0F836721"/>
    <w:rsid w:val="107B59E5"/>
    <w:rsid w:val="11003CB0"/>
    <w:rsid w:val="111445C7"/>
    <w:rsid w:val="1158083A"/>
    <w:rsid w:val="11F03528"/>
    <w:rsid w:val="12C921C4"/>
    <w:rsid w:val="13871C70"/>
    <w:rsid w:val="13A71CB4"/>
    <w:rsid w:val="13AF1D43"/>
    <w:rsid w:val="13CE1647"/>
    <w:rsid w:val="14200702"/>
    <w:rsid w:val="1580711B"/>
    <w:rsid w:val="185A7ADD"/>
    <w:rsid w:val="189B0D0B"/>
    <w:rsid w:val="194A1770"/>
    <w:rsid w:val="19B906A4"/>
    <w:rsid w:val="1B6F15B6"/>
    <w:rsid w:val="1BAA2EDC"/>
    <w:rsid w:val="1D014A01"/>
    <w:rsid w:val="1D022362"/>
    <w:rsid w:val="1DD26311"/>
    <w:rsid w:val="1EF67CA4"/>
    <w:rsid w:val="1EFB7151"/>
    <w:rsid w:val="1FCD26AF"/>
    <w:rsid w:val="20642787"/>
    <w:rsid w:val="20A20384"/>
    <w:rsid w:val="21556F04"/>
    <w:rsid w:val="22403BD3"/>
    <w:rsid w:val="24B92327"/>
    <w:rsid w:val="2533755C"/>
    <w:rsid w:val="26396DF4"/>
    <w:rsid w:val="27167136"/>
    <w:rsid w:val="27B23302"/>
    <w:rsid w:val="28E67E55"/>
    <w:rsid w:val="29310A5F"/>
    <w:rsid w:val="29C37A35"/>
    <w:rsid w:val="2A076083"/>
    <w:rsid w:val="2A73162E"/>
    <w:rsid w:val="2B167953"/>
    <w:rsid w:val="2B200583"/>
    <w:rsid w:val="2B8209DE"/>
    <w:rsid w:val="2C6762A3"/>
    <w:rsid w:val="2E0877D6"/>
    <w:rsid w:val="2FE029D7"/>
    <w:rsid w:val="2FF06E00"/>
    <w:rsid w:val="31366197"/>
    <w:rsid w:val="315F0B22"/>
    <w:rsid w:val="31D84415"/>
    <w:rsid w:val="32285F6F"/>
    <w:rsid w:val="32770556"/>
    <w:rsid w:val="329C0913"/>
    <w:rsid w:val="3337290D"/>
    <w:rsid w:val="352930DB"/>
    <w:rsid w:val="35573069"/>
    <w:rsid w:val="358C217E"/>
    <w:rsid w:val="359F188C"/>
    <w:rsid w:val="36C9128A"/>
    <w:rsid w:val="37841E99"/>
    <w:rsid w:val="37BF1123"/>
    <w:rsid w:val="38BE4696"/>
    <w:rsid w:val="39B82A39"/>
    <w:rsid w:val="39F33306"/>
    <w:rsid w:val="3B1705E5"/>
    <w:rsid w:val="3B18334B"/>
    <w:rsid w:val="3B36794F"/>
    <w:rsid w:val="3C6A5B02"/>
    <w:rsid w:val="3D2757A1"/>
    <w:rsid w:val="3D3D4FC4"/>
    <w:rsid w:val="3DB2528A"/>
    <w:rsid w:val="3DDF3AB1"/>
    <w:rsid w:val="3E1D0952"/>
    <w:rsid w:val="3E42660A"/>
    <w:rsid w:val="3E7555B1"/>
    <w:rsid w:val="3F0527E5"/>
    <w:rsid w:val="3F16459E"/>
    <w:rsid w:val="3FD629C7"/>
    <w:rsid w:val="4004000C"/>
    <w:rsid w:val="411B6CE5"/>
    <w:rsid w:val="412070D7"/>
    <w:rsid w:val="41314E40"/>
    <w:rsid w:val="415C674B"/>
    <w:rsid w:val="426C1EA8"/>
    <w:rsid w:val="42E86A87"/>
    <w:rsid w:val="43136432"/>
    <w:rsid w:val="454D5685"/>
    <w:rsid w:val="45730231"/>
    <w:rsid w:val="465B470D"/>
    <w:rsid w:val="469D6AD4"/>
    <w:rsid w:val="47674801"/>
    <w:rsid w:val="48225EF7"/>
    <w:rsid w:val="495C4A24"/>
    <w:rsid w:val="4B7951CB"/>
    <w:rsid w:val="4B7C315C"/>
    <w:rsid w:val="4DAC4ACA"/>
    <w:rsid w:val="4DBC4DF2"/>
    <w:rsid w:val="4F186D58"/>
    <w:rsid w:val="522F6E0C"/>
    <w:rsid w:val="52463BA1"/>
    <w:rsid w:val="53C0244D"/>
    <w:rsid w:val="53DD4D4E"/>
    <w:rsid w:val="53E578CE"/>
    <w:rsid w:val="543B029D"/>
    <w:rsid w:val="554E5773"/>
    <w:rsid w:val="555A3CBC"/>
    <w:rsid w:val="55B91406"/>
    <w:rsid w:val="56530F5D"/>
    <w:rsid w:val="57846245"/>
    <w:rsid w:val="5842572D"/>
    <w:rsid w:val="5C263CE4"/>
    <w:rsid w:val="5C5D2777"/>
    <w:rsid w:val="5D290C69"/>
    <w:rsid w:val="5D8F37AF"/>
    <w:rsid w:val="5F0247F9"/>
    <w:rsid w:val="5F2D4A41"/>
    <w:rsid w:val="61025A59"/>
    <w:rsid w:val="613D5BBC"/>
    <w:rsid w:val="61536C39"/>
    <w:rsid w:val="62944DD7"/>
    <w:rsid w:val="62D27B2A"/>
    <w:rsid w:val="63C25DC5"/>
    <w:rsid w:val="63C62057"/>
    <w:rsid w:val="63C73832"/>
    <w:rsid w:val="64FB113D"/>
    <w:rsid w:val="656152C6"/>
    <w:rsid w:val="6587477F"/>
    <w:rsid w:val="658C3A08"/>
    <w:rsid w:val="65C031CA"/>
    <w:rsid w:val="65CE6852"/>
    <w:rsid w:val="66267C04"/>
    <w:rsid w:val="663F505A"/>
    <w:rsid w:val="66EE5541"/>
    <w:rsid w:val="6B474EF5"/>
    <w:rsid w:val="6C560CAE"/>
    <w:rsid w:val="6D903FF5"/>
    <w:rsid w:val="6DA955B8"/>
    <w:rsid w:val="6DE346AB"/>
    <w:rsid w:val="6FFB2E76"/>
    <w:rsid w:val="71C34D91"/>
    <w:rsid w:val="71ED38AA"/>
    <w:rsid w:val="72DB435C"/>
    <w:rsid w:val="750837F0"/>
    <w:rsid w:val="764F62AB"/>
    <w:rsid w:val="765C45EC"/>
    <w:rsid w:val="768A7619"/>
    <w:rsid w:val="796D60A4"/>
    <w:rsid w:val="79A031D5"/>
    <w:rsid w:val="7A1525F7"/>
    <w:rsid w:val="7A2C0507"/>
    <w:rsid w:val="7B420052"/>
    <w:rsid w:val="7BD06A28"/>
    <w:rsid w:val="7C1E4CD7"/>
    <w:rsid w:val="7C3A7C0B"/>
    <w:rsid w:val="7C5248E4"/>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6846</Words>
  <Characters>7412</Characters>
  <Lines>161</Lines>
  <Paragraphs>45</Paragraphs>
  <TotalTime>19</TotalTime>
  <ScaleCrop>false</ScaleCrop>
  <LinksUpToDate>false</LinksUpToDate>
  <CharactersWithSpaces>7463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向应平</cp:lastModifiedBy>
  <dcterms:modified xsi:type="dcterms:W3CDTF">2025-09-26T05:30:06Z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eyJoZGlkIjoiNzA0ZTVjY2FiOGYxZTRiZTIwZDU3ZWVmNWExMTE4YmIiLCJ1c2VySWQiOiI0MTc3NjI2ODgifQ==</vt:lpwstr>
  </property>
</Properties>
</file>