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0" w:lineRule="atLeast"/>
        <w:jc w:val="center"/>
        <w:rPr>
          <w:rFonts w:ascii="微软雅黑" w:hAnsi="微软雅黑" w:eastAsia="微软雅黑" w:cs="微软雅黑"/>
          <w:color w:val="262626"/>
          <w:sz w:val="27"/>
          <w:szCs w:val="27"/>
        </w:rPr>
      </w:pPr>
      <w:r>
        <w:rPr>
          <w:rFonts w:ascii="方正小标宋_GBK" w:hAnsi="方正小标宋_GBK" w:eastAsia="方正小标宋_GBK" w:cs="方正小标宋_GBK"/>
          <w:color w:val="262626"/>
          <w:sz w:val="44"/>
          <w:szCs w:val="44"/>
        </w:rPr>
        <w:t>奉节县人民政府办公室</w:t>
      </w:r>
    </w:p>
    <w:p>
      <w:pPr>
        <w:pStyle w:val="2"/>
        <w:widowControl/>
        <w:spacing w:beforeAutospacing="0" w:afterAutospacing="0" w:line="600" w:lineRule="atLeast"/>
        <w:jc w:val="center"/>
        <w:rPr>
          <w:rFonts w:ascii="微软雅黑" w:hAnsi="微软雅黑" w:eastAsia="微软雅黑" w:cs="微软雅黑"/>
          <w:color w:val="262626"/>
          <w:sz w:val="27"/>
          <w:szCs w:val="27"/>
        </w:rPr>
      </w:pPr>
      <w:r>
        <w:rPr>
          <w:rFonts w:hint="eastAsia" w:ascii="方正小标宋_GBK" w:hAnsi="方正小标宋_GBK" w:eastAsia="方正小标宋_GBK" w:cs="方正小标宋_GBK"/>
          <w:color w:val="262626"/>
          <w:sz w:val="44"/>
          <w:szCs w:val="44"/>
        </w:rPr>
        <w:t>关于印发奉节县推动教育高质量发展</w:t>
      </w:r>
    </w:p>
    <w:p>
      <w:pPr>
        <w:pStyle w:val="2"/>
        <w:widowControl/>
        <w:spacing w:beforeAutospacing="0" w:afterAutospacing="0" w:line="600" w:lineRule="atLeast"/>
        <w:jc w:val="center"/>
        <w:rPr>
          <w:rFonts w:ascii="微软雅黑" w:hAnsi="微软雅黑" w:eastAsia="微软雅黑" w:cs="微软雅黑"/>
          <w:color w:val="262626"/>
          <w:sz w:val="27"/>
          <w:szCs w:val="27"/>
        </w:rPr>
      </w:pPr>
      <w:r>
        <w:rPr>
          <w:rFonts w:hint="eastAsia" w:ascii="方正小标宋_GBK" w:hAnsi="方正小标宋_GBK" w:eastAsia="方正小标宋_GBK" w:cs="方正小标宋_GBK"/>
          <w:color w:val="262626"/>
          <w:sz w:val="44"/>
          <w:szCs w:val="44"/>
        </w:rPr>
        <w:t>若干措施的通知 </w:t>
      </w:r>
    </w:p>
    <w:p>
      <w:pPr>
        <w:pStyle w:val="2"/>
        <w:widowControl/>
        <w:spacing w:beforeAutospacing="0" w:afterAutospacing="0" w:line="444" w:lineRule="atLeast"/>
        <w:jc w:val="center"/>
        <w:rPr>
          <w:rFonts w:ascii="微软雅黑" w:hAnsi="微软雅黑" w:eastAsia="微软雅黑" w:cs="微软雅黑"/>
          <w:color w:val="262626"/>
          <w:sz w:val="27"/>
          <w:szCs w:val="27"/>
        </w:rPr>
      </w:pPr>
      <w:r>
        <w:rPr>
          <w:rFonts w:ascii="方正仿宋_GBK" w:hAnsi="方正仿宋_GBK" w:eastAsia="方正仿宋_GBK" w:cs="方正仿宋_GBK"/>
          <w:color w:val="262626"/>
          <w:sz w:val="25"/>
          <w:szCs w:val="25"/>
        </w:rPr>
        <w:t>奉节府办发〔2023〕65号</w:t>
      </w:r>
    </w:p>
    <w:p>
      <w:pPr>
        <w:widowControl/>
        <w:jc w:val="left"/>
        <w:rPr>
          <w:rFonts w:ascii="微软雅黑" w:hAnsi="微软雅黑" w:eastAsia="微软雅黑" w:cs="微软雅黑"/>
          <w:color w:val="262626"/>
          <w:sz w:val="27"/>
          <w:szCs w:val="27"/>
        </w:rPr>
      </w:pPr>
    </w:p>
    <w:p>
      <w:pPr>
        <w:pStyle w:val="2"/>
        <w:widowControl/>
        <w:spacing w:beforeAutospacing="0" w:afterAutospacing="0" w:line="600" w:lineRule="atLeast"/>
        <w:jc w:val="center"/>
        <w:rPr>
          <w:rFonts w:ascii="微软雅黑" w:hAnsi="微软雅黑" w:eastAsia="微软雅黑" w:cs="微软雅黑"/>
          <w:color w:val="262626"/>
          <w:sz w:val="27"/>
          <w:szCs w:val="27"/>
        </w:rPr>
      </w:pPr>
    </w:p>
    <w:p>
      <w:pPr>
        <w:pStyle w:val="2"/>
        <w:widowControl/>
        <w:spacing w:beforeAutospacing="0" w:afterAutospacing="0" w:line="600" w:lineRule="atLeast"/>
        <w:rPr>
          <w:rFonts w:ascii="微软雅黑" w:hAnsi="微软雅黑" w:eastAsia="微软雅黑" w:cs="微软雅黑"/>
          <w:color w:val="262626"/>
          <w:sz w:val="27"/>
          <w:szCs w:val="27"/>
        </w:rPr>
      </w:pPr>
      <w:r>
        <w:rPr>
          <w:rFonts w:hint="eastAsia" w:ascii="方正仿宋_GBK" w:hAnsi="方正仿宋_GBK" w:eastAsia="方正仿宋_GBK" w:cs="方正仿宋_GBK"/>
          <w:color w:val="262626"/>
          <w:sz w:val="32"/>
          <w:szCs w:val="32"/>
        </w:rPr>
        <w:t>各乡镇人民政府、街道办事处，县政府各部门，有关单位：</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仿宋_GBK" w:hAnsi="方正仿宋_GBK" w:eastAsia="方正仿宋_GBK" w:cs="方正仿宋_GBK"/>
          <w:color w:val="262626"/>
          <w:sz w:val="32"/>
          <w:szCs w:val="32"/>
        </w:rPr>
        <w:t>《奉节县推动教育高质量发展若干措施》已经县政府同意，现印发给你们，请认真抓好落实。</w:t>
      </w:r>
    </w:p>
    <w:p>
      <w:pPr>
        <w:pStyle w:val="2"/>
        <w:widowControl/>
        <w:spacing w:beforeAutospacing="0" w:afterAutospacing="0" w:line="600" w:lineRule="atLeast"/>
        <w:rPr>
          <w:rFonts w:ascii="微软雅黑" w:hAnsi="微软雅黑" w:eastAsia="微软雅黑" w:cs="微软雅黑"/>
          <w:color w:val="262626"/>
          <w:sz w:val="27"/>
          <w:szCs w:val="27"/>
        </w:rPr>
      </w:pPr>
      <w:r>
        <w:rPr>
          <w:rFonts w:hint="eastAsia" w:ascii="方正仿宋_GBK" w:hAnsi="方正仿宋_GBK" w:eastAsia="方正仿宋_GBK" w:cs="方正仿宋_GBK"/>
          <w:color w:val="262626"/>
          <w:sz w:val="32"/>
          <w:szCs w:val="32"/>
        </w:rPr>
        <w:t> </w:t>
      </w:r>
    </w:p>
    <w:p>
      <w:pPr>
        <w:pStyle w:val="2"/>
        <w:widowControl/>
        <w:spacing w:beforeAutospacing="0" w:afterAutospacing="0" w:line="600" w:lineRule="atLeast"/>
        <w:rPr>
          <w:rFonts w:ascii="微软雅黑" w:hAnsi="微软雅黑" w:eastAsia="微软雅黑" w:cs="微软雅黑"/>
          <w:color w:val="262626"/>
          <w:sz w:val="27"/>
          <w:szCs w:val="27"/>
        </w:rPr>
      </w:pPr>
      <w:r>
        <w:rPr>
          <w:rFonts w:hint="eastAsia" w:ascii="方正仿宋_GBK" w:hAnsi="方正仿宋_GBK" w:eastAsia="方正仿宋_GBK" w:cs="方正仿宋_GBK"/>
          <w:color w:val="262626"/>
          <w:sz w:val="27"/>
          <w:szCs w:val="27"/>
        </w:rPr>
        <w:t> </w:t>
      </w:r>
    </w:p>
    <w:p>
      <w:pPr>
        <w:pStyle w:val="2"/>
        <w:widowControl/>
        <w:spacing w:beforeAutospacing="0" w:afterAutospacing="0" w:line="600" w:lineRule="atLeast"/>
        <w:ind w:right="620"/>
        <w:jc w:val="center"/>
        <w:rPr>
          <w:rFonts w:ascii="微软雅黑" w:hAnsi="微软雅黑" w:eastAsia="微软雅黑" w:cs="微软雅黑"/>
          <w:color w:val="262626"/>
          <w:sz w:val="27"/>
          <w:szCs w:val="27"/>
        </w:rPr>
      </w:pPr>
      <w:r>
        <w:rPr>
          <w:rFonts w:hint="eastAsia" w:ascii="方正仿宋_GBK" w:hAnsi="方正仿宋_GBK" w:eastAsia="方正仿宋_GBK" w:cs="方正仿宋_GBK"/>
          <w:color w:val="262626"/>
          <w:sz w:val="27"/>
          <w:szCs w:val="27"/>
        </w:rPr>
        <w:t>                              </w:t>
      </w:r>
      <w:r>
        <w:rPr>
          <w:rFonts w:hint="eastAsia" w:ascii="方正仿宋_GBK" w:hAnsi="方正仿宋_GBK" w:eastAsia="方正仿宋_GBK" w:cs="方正仿宋_GBK"/>
          <w:color w:val="262626"/>
          <w:sz w:val="32"/>
          <w:szCs w:val="32"/>
        </w:rPr>
        <w:t> 奉节县人民政府办公室</w:t>
      </w:r>
    </w:p>
    <w:p>
      <w:pPr>
        <w:pStyle w:val="2"/>
        <w:widowControl/>
        <w:spacing w:beforeAutospacing="0" w:afterAutospacing="0" w:line="600" w:lineRule="atLeast"/>
        <w:jc w:val="center"/>
        <w:rPr>
          <w:rFonts w:ascii="方正仿宋_GBK" w:hAnsi="方正仿宋_GBK" w:eastAsia="方正仿宋_GBK" w:cs="方正仿宋_GBK"/>
          <w:color w:val="262626"/>
          <w:sz w:val="32"/>
          <w:szCs w:val="32"/>
        </w:rPr>
      </w:pPr>
      <w:r>
        <w:rPr>
          <w:rFonts w:hint="eastAsia" w:ascii="方正仿宋_GBK" w:hAnsi="方正仿宋_GBK" w:eastAsia="方正仿宋_GBK" w:cs="方正仿宋_GBK"/>
          <w:color w:val="262626"/>
          <w:sz w:val="32"/>
          <w:szCs w:val="32"/>
        </w:rPr>
        <w:t>                          </w:t>
      </w:r>
    </w:p>
    <w:p>
      <w:pPr>
        <w:pStyle w:val="2"/>
        <w:widowControl/>
        <w:spacing w:beforeAutospacing="0" w:afterAutospacing="0" w:line="600" w:lineRule="atLeast"/>
        <w:jc w:val="center"/>
        <w:rPr>
          <w:rFonts w:ascii="微软雅黑" w:hAnsi="微软雅黑" w:eastAsia="微软雅黑" w:cs="微软雅黑"/>
          <w:color w:val="262626"/>
          <w:sz w:val="27"/>
          <w:szCs w:val="27"/>
        </w:rPr>
      </w:pPr>
      <w:r>
        <w:rPr>
          <w:rFonts w:hint="eastAsia" w:ascii="方正仿宋_GBK" w:hAnsi="方正仿宋_GBK" w:eastAsia="方正仿宋_GBK" w:cs="方正仿宋_GBK"/>
          <w:color w:val="262626"/>
          <w:sz w:val="32"/>
          <w:szCs w:val="32"/>
          <w:lang w:val="en-US" w:eastAsia="zh-CN"/>
        </w:rPr>
        <w:t xml:space="preserve">                     </w:t>
      </w:r>
      <w:bookmarkStart w:id="0" w:name="_GoBack"/>
      <w:bookmarkEnd w:id="0"/>
      <w:r>
        <w:rPr>
          <w:rFonts w:hint="eastAsia" w:ascii="方正仿宋_GBK" w:hAnsi="方正仿宋_GBK" w:eastAsia="方正仿宋_GBK" w:cs="方正仿宋_GBK"/>
          <w:color w:val="262626"/>
          <w:sz w:val="32"/>
          <w:szCs w:val="32"/>
        </w:rPr>
        <w:t>2023年9月20日</w:t>
      </w:r>
    </w:p>
    <w:p>
      <w:pPr>
        <w:pStyle w:val="2"/>
        <w:widowControl/>
        <w:spacing w:beforeAutospacing="0" w:afterAutospacing="0" w:line="600" w:lineRule="atLeast"/>
        <w:ind w:firstLine="640"/>
        <w:rPr>
          <w:rFonts w:ascii="方正仿宋_GBK" w:hAnsi="方正仿宋_GBK" w:eastAsia="方正仿宋_GBK" w:cs="方正仿宋_GBK"/>
          <w:color w:val="262626"/>
          <w:sz w:val="32"/>
          <w:szCs w:val="32"/>
        </w:rPr>
      </w:pPr>
    </w:p>
    <w:p>
      <w:pPr>
        <w:pStyle w:val="2"/>
        <w:widowControl/>
        <w:spacing w:beforeAutospacing="0" w:afterAutospacing="0" w:line="600" w:lineRule="atLeast"/>
        <w:ind w:firstLine="640"/>
        <w:rPr>
          <w:rFonts w:ascii="方正仿宋_GBK" w:hAnsi="方正仿宋_GBK" w:eastAsia="方正仿宋_GBK" w:cs="方正仿宋_GBK"/>
          <w:color w:val="262626"/>
          <w:sz w:val="32"/>
          <w:szCs w:val="32"/>
        </w:rPr>
      </w:pPr>
    </w:p>
    <w:p>
      <w:pPr>
        <w:pStyle w:val="2"/>
        <w:widowControl/>
        <w:spacing w:beforeAutospacing="0" w:afterAutospacing="0" w:line="600" w:lineRule="atLeast"/>
        <w:ind w:firstLine="640"/>
        <w:rPr>
          <w:rFonts w:ascii="方正仿宋_GBK" w:hAnsi="方正仿宋_GBK" w:eastAsia="方正仿宋_GBK" w:cs="方正仿宋_GBK"/>
          <w:color w:val="262626"/>
          <w:sz w:val="32"/>
          <w:szCs w:val="32"/>
        </w:rPr>
      </w:pP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仿宋_GBK" w:hAnsi="方正仿宋_GBK" w:eastAsia="方正仿宋_GBK" w:cs="方正仿宋_GBK"/>
          <w:color w:val="262626"/>
          <w:sz w:val="32"/>
          <w:szCs w:val="32"/>
        </w:rPr>
        <w:t>（此件公开发布）</w:t>
      </w:r>
    </w:p>
    <w:p>
      <w:pPr>
        <w:pStyle w:val="2"/>
        <w:widowControl/>
        <w:spacing w:beforeAutospacing="0" w:afterAutospacing="0" w:line="600" w:lineRule="atLeast"/>
        <w:jc w:val="center"/>
        <w:rPr>
          <w:rFonts w:ascii="方正小标宋_GBK" w:hAnsi="方正小标宋_GBK" w:eastAsia="方正小标宋_GBK" w:cs="方正小标宋_GBK"/>
          <w:color w:val="262626"/>
          <w:spacing w:val="20"/>
          <w:sz w:val="44"/>
          <w:szCs w:val="44"/>
        </w:rPr>
      </w:pPr>
    </w:p>
    <w:p>
      <w:pPr>
        <w:pStyle w:val="2"/>
        <w:widowControl/>
        <w:spacing w:beforeAutospacing="0" w:afterAutospacing="0" w:line="600" w:lineRule="atLeast"/>
        <w:jc w:val="center"/>
        <w:rPr>
          <w:rFonts w:ascii="方正小标宋_GBK" w:hAnsi="方正小标宋_GBK" w:eastAsia="方正小标宋_GBK" w:cs="方正小标宋_GBK"/>
          <w:color w:val="262626"/>
          <w:spacing w:val="20"/>
          <w:sz w:val="44"/>
          <w:szCs w:val="44"/>
        </w:rPr>
      </w:pPr>
    </w:p>
    <w:p>
      <w:pPr>
        <w:pStyle w:val="2"/>
        <w:widowControl/>
        <w:spacing w:beforeAutospacing="0" w:afterAutospacing="0" w:line="600" w:lineRule="atLeast"/>
        <w:jc w:val="center"/>
        <w:rPr>
          <w:rFonts w:ascii="方正小标宋_GBK" w:hAnsi="方正小标宋_GBK" w:eastAsia="方正小标宋_GBK" w:cs="方正小标宋_GBK"/>
          <w:color w:val="262626"/>
          <w:spacing w:val="20"/>
          <w:sz w:val="44"/>
          <w:szCs w:val="44"/>
        </w:rPr>
      </w:pPr>
    </w:p>
    <w:p>
      <w:pPr>
        <w:pStyle w:val="2"/>
        <w:widowControl/>
        <w:spacing w:beforeAutospacing="0" w:afterAutospacing="0" w:line="600" w:lineRule="atLeast"/>
        <w:jc w:val="center"/>
        <w:rPr>
          <w:rFonts w:ascii="方正小标宋_GBK" w:hAnsi="方正小标宋_GBK" w:eastAsia="方正小标宋_GBK" w:cs="方正小标宋_GBK"/>
          <w:color w:val="262626"/>
          <w:spacing w:val="20"/>
          <w:sz w:val="44"/>
          <w:szCs w:val="44"/>
        </w:rPr>
      </w:pPr>
    </w:p>
    <w:p>
      <w:pPr>
        <w:pStyle w:val="2"/>
        <w:widowControl/>
        <w:spacing w:beforeAutospacing="0" w:afterAutospacing="0" w:line="600" w:lineRule="atLeast"/>
        <w:jc w:val="center"/>
        <w:rPr>
          <w:rFonts w:ascii="微软雅黑" w:hAnsi="微软雅黑" w:eastAsia="微软雅黑" w:cs="微软雅黑"/>
          <w:color w:val="262626"/>
          <w:sz w:val="27"/>
          <w:szCs w:val="27"/>
        </w:rPr>
      </w:pPr>
      <w:r>
        <w:rPr>
          <w:rFonts w:hint="eastAsia" w:ascii="方正小标宋_GBK" w:hAnsi="方正小标宋_GBK" w:eastAsia="方正小标宋_GBK" w:cs="方正小标宋_GBK"/>
          <w:color w:val="262626"/>
          <w:spacing w:val="20"/>
          <w:sz w:val="44"/>
          <w:szCs w:val="44"/>
        </w:rPr>
        <w:t>奉节县推动教育高质量发展若干措施</w:t>
      </w:r>
    </w:p>
    <w:p>
      <w:pPr>
        <w:pStyle w:val="2"/>
        <w:widowControl/>
        <w:spacing w:beforeAutospacing="0" w:afterAutospacing="0" w:line="600" w:lineRule="atLeast"/>
        <w:jc w:val="center"/>
        <w:rPr>
          <w:rFonts w:ascii="微软雅黑" w:hAnsi="微软雅黑" w:eastAsia="微软雅黑" w:cs="微软雅黑"/>
          <w:color w:val="262626"/>
          <w:sz w:val="27"/>
          <w:szCs w:val="27"/>
        </w:rPr>
      </w:pPr>
      <w:r>
        <w:rPr>
          <w:rFonts w:ascii="Times New Roman" w:hAnsi="Times New Roman" w:eastAsia="微软雅黑"/>
          <w:color w:val="262626"/>
          <w:sz w:val="44"/>
          <w:szCs w:val="44"/>
        </w:rPr>
        <w:t> </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方正黑体_GBK" w:hAnsi="方正黑体_GBK" w:eastAsia="方正黑体_GBK" w:cs="方正黑体_GBK"/>
          <w:color w:val="262626"/>
          <w:sz w:val="32"/>
          <w:szCs w:val="32"/>
        </w:rPr>
        <w:t>一、指导思想</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仿宋_GBK" w:hAnsi="方正仿宋_GBK" w:eastAsia="方正仿宋_GBK" w:cs="方正仿宋_GBK"/>
          <w:color w:val="262626"/>
          <w:sz w:val="32"/>
          <w:szCs w:val="32"/>
        </w:rPr>
        <w:t>以习近平新时代中国特色社会主义思想为指导，认真落实习近平总书记关于教育的重要论述，全面贯彻党的教育方针，认真落实“立德树人”根本任务，坚守“为党育人、为国育才”初心使命，注重党建引领示范，推进教育教学改革，加强教师队伍建设，统筹强化教育保障，努力促进优质均衡和教育公平，不断推动县域教育事业高质量发展。</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黑体_GBK" w:hAnsi="方正黑体_GBK" w:eastAsia="方正黑体_GBK" w:cs="方正黑体_GBK"/>
          <w:color w:val="262626"/>
          <w:sz w:val="32"/>
          <w:szCs w:val="32"/>
        </w:rPr>
        <w:t>二、发展目标</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仿宋_GBK" w:hAnsi="方正仿宋_GBK" w:eastAsia="方正仿宋_GBK" w:cs="方正仿宋_GBK"/>
          <w:color w:val="262626"/>
          <w:sz w:val="32"/>
          <w:szCs w:val="32"/>
        </w:rPr>
        <w:t>通过抓党建、促改革、强队伍、提保障一系列措施，全面提升教育教学质量和水平，办好人民满意的教育。到</w:t>
      </w:r>
      <w:r>
        <w:rPr>
          <w:rFonts w:ascii="Times New Roman" w:hAnsi="Times New Roman" w:eastAsia="微软雅黑"/>
          <w:color w:val="262626"/>
          <w:sz w:val="32"/>
          <w:szCs w:val="32"/>
        </w:rPr>
        <w:t>2027</w:t>
      </w:r>
      <w:r>
        <w:rPr>
          <w:rFonts w:hint="eastAsia" w:ascii="方正仿宋_GBK" w:hAnsi="方正仿宋_GBK" w:eastAsia="方正仿宋_GBK" w:cs="方正仿宋_GBK"/>
          <w:color w:val="262626"/>
          <w:sz w:val="32"/>
          <w:szCs w:val="32"/>
        </w:rPr>
        <w:t>年，实现学前教育优质普惠，创建“义务教育优质均衡发展县”，高中形成“龙头学校引领带动、三驾马车协同并进”的发展局面，高考特殊资格线上线率和“双一流”高校上线率位列渝东北前三，职业教育库区领先，教育满意度排名保持全市前三，初步形成区域性教育高地。</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黑体_GBK" w:hAnsi="方正黑体_GBK" w:eastAsia="方正黑体_GBK" w:cs="方正黑体_GBK"/>
          <w:color w:val="262626"/>
          <w:sz w:val="32"/>
          <w:szCs w:val="32"/>
        </w:rPr>
        <w:t>三、具体举措</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方正楷体_GBK" w:hAnsi="方正楷体_GBK" w:eastAsia="方正楷体_GBK" w:cs="方正楷体_GBK"/>
          <w:color w:val="262626"/>
          <w:sz w:val="32"/>
          <w:szCs w:val="32"/>
        </w:rPr>
        <w:t>（一）聚焦党的建设，着力加强党建引领示范。</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1.</w:t>
      </w:r>
      <w:r>
        <w:rPr>
          <w:rFonts w:hint="eastAsia" w:ascii="方正仿宋_GBK" w:hAnsi="方正仿宋_GBK" w:eastAsia="方正仿宋_GBK" w:cs="方正仿宋_GBK"/>
          <w:color w:val="262626"/>
          <w:sz w:val="32"/>
          <w:szCs w:val="32"/>
        </w:rPr>
        <w:t>打造党建示范点。以打造新时代“红岩先锋”变革型组织和创建清廉学校试点示范校为牵引，健全完善教育系统党的基层组织，营造风清气正教育生态和良好育人环境。</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2.</w:t>
      </w:r>
      <w:r>
        <w:rPr>
          <w:rFonts w:hint="eastAsia" w:ascii="方正仿宋_GBK" w:hAnsi="方正仿宋_GBK" w:eastAsia="方正仿宋_GBK" w:cs="方正仿宋_GBK"/>
          <w:color w:val="262626"/>
          <w:sz w:val="32"/>
          <w:szCs w:val="32"/>
        </w:rPr>
        <w:t>培养党员带头人。建立把骨干教师培养成党员、把党员教师培养成骨干的“双培养”机制，打造教育系统“书记上党课、党员强党性”品牌。健全师德师风教育和监督长效机制。落实师德师风负面清单、惩戒师德失范等相关制度。</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楷体_GBK" w:hAnsi="方正楷体_GBK" w:eastAsia="方正楷体_GBK" w:cs="方正楷体_GBK"/>
          <w:color w:val="262626"/>
          <w:sz w:val="32"/>
          <w:szCs w:val="32"/>
        </w:rPr>
        <w:t>（二）聚焦改革求变，着力构建现代办学体系。</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3.</w:t>
      </w:r>
      <w:r>
        <w:rPr>
          <w:rFonts w:hint="eastAsia" w:ascii="方正仿宋_GBK" w:hAnsi="方正仿宋_GBK" w:eastAsia="方正仿宋_GBK" w:cs="方正仿宋_GBK"/>
          <w:color w:val="262626"/>
          <w:sz w:val="32"/>
          <w:szCs w:val="32"/>
        </w:rPr>
        <w:t>鼓励支持综合改革。鼓励支持学校开展教育综合改革试验，增强学校办学内生动力。首批从中小学各确立</w:t>
      </w:r>
      <w:r>
        <w:rPr>
          <w:rFonts w:ascii="Times New Roman" w:hAnsi="Times New Roman" w:eastAsia="微软雅黑"/>
          <w:color w:val="262626"/>
          <w:sz w:val="32"/>
          <w:szCs w:val="32"/>
        </w:rPr>
        <w:t>1</w:t>
      </w:r>
      <w:r>
        <w:rPr>
          <w:rFonts w:hint="eastAsia" w:ascii="方正仿宋_GBK" w:hAnsi="方正仿宋_GBK" w:eastAsia="方正仿宋_GBK" w:cs="方正仿宋_GBK"/>
          <w:color w:val="262626"/>
          <w:sz w:val="32"/>
          <w:szCs w:val="32"/>
        </w:rPr>
        <w:t>所综合改革试验校，下放人权、事权、财力分配权，试点项目“一事一议”“一校一策”，打造在重庆范围内具有较大影响力的名校，及时总结典型经验做法，探索形成可推广、可复制的样本。</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4.</w:t>
      </w:r>
      <w:r>
        <w:rPr>
          <w:rFonts w:hint="eastAsia" w:ascii="方正仿宋_GBK" w:hAnsi="方正仿宋_GBK" w:eastAsia="方正仿宋_GBK" w:cs="方正仿宋_GBK"/>
          <w:color w:val="262626"/>
          <w:sz w:val="32"/>
          <w:szCs w:val="32"/>
        </w:rPr>
        <w:t>鼓励支持开放合作。积极引进优秀教育教学资源，深化实施奉节与重庆市人民小学、重庆八中“校地共建”，奉节职业教育中心与重庆电子工程职业学院合办高职。</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5.</w:t>
      </w:r>
      <w:r>
        <w:rPr>
          <w:rFonts w:hint="eastAsia" w:ascii="方正仿宋_GBK" w:hAnsi="方正仿宋_GBK" w:eastAsia="方正仿宋_GBK" w:cs="方正仿宋_GBK"/>
          <w:color w:val="262626"/>
          <w:sz w:val="32"/>
          <w:szCs w:val="32"/>
        </w:rPr>
        <w:t>促进办学模式改革。采取“领军校+成员校”模式，培育</w:t>
      </w:r>
      <w:r>
        <w:rPr>
          <w:rFonts w:ascii="Times New Roman" w:hAnsi="Times New Roman" w:eastAsia="微软雅黑"/>
          <w:color w:val="262626"/>
          <w:sz w:val="32"/>
          <w:szCs w:val="32"/>
        </w:rPr>
        <w:t>5</w:t>
      </w:r>
      <w:r>
        <w:rPr>
          <w:rFonts w:hint="eastAsia" w:ascii="方正仿宋_GBK" w:hAnsi="方正仿宋_GBK" w:eastAsia="方正仿宋_GBK" w:cs="方正仿宋_GBK"/>
          <w:color w:val="262626"/>
          <w:sz w:val="32"/>
          <w:szCs w:val="32"/>
        </w:rPr>
        <w:t>个优质中学教育集团，</w:t>
      </w:r>
      <w:r>
        <w:rPr>
          <w:rFonts w:ascii="Times New Roman" w:hAnsi="Times New Roman" w:eastAsia="微软雅黑"/>
          <w:color w:val="262626"/>
          <w:sz w:val="32"/>
          <w:szCs w:val="32"/>
        </w:rPr>
        <w:t>6</w:t>
      </w:r>
      <w:r>
        <w:rPr>
          <w:rFonts w:hint="eastAsia" w:ascii="方正仿宋_GBK" w:hAnsi="方正仿宋_GBK" w:eastAsia="方正仿宋_GBK" w:cs="方正仿宋_GBK"/>
          <w:color w:val="262626"/>
          <w:sz w:val="32"/>
          <w:szCs w:val="32"/>
        </w:rPr>
        <w:t>个优质小学教育集团，</w:t>
      </w:r>
      <w:r>
        <w:rPr>
          <w:rFonts w:ascii="Times New Roman" w:hAnsi="Times New Roman" w:eastAsia="微软雅黑"/>
          <w:color w:val="262626"/>
          <w:sz w:val="32"/>
          <w:szCs w:val="32"/>
        </w:rPr>
        <w:t>3</w:t>
      </w:r>
      <w:r>
        <w:rPr>
          <w:rFonts w:hint="eastAsia" w:ascii="方正仿宋_GBK" w:hAnsi="方正仿宋_GBK" w:eastAsia="方正仿宋_GBK" w:cs="方正仿宋_GBK"/>
          <w:color w:val="262626"/>
          <w:sz w:val="32"/>
          <w:szCs w:val="32"/>
        </w:rPr>
        <w:t>个优质学前教育集团。领军校与成员校之间每年互派干部教师不低于教师总数的</w:t>
      </w:r>
      <w:r>
        <w:rPr>
          <w:rFonts w:ascii="Times New Roman" w:hAnsi="Times New Roman" w:eastAsia="微软雅黑"/>
          <w:color w:val="262626"/>
          <w:sz w:val="32"/>
          <w:szCs w:val="32"/>
        </w:rPr>
        <w:t>2%</w:t>
      </w:r>
      <w:r>
        <w:rPr>
          <w:rFonts w:hint="eastAsia" w:ascii="方正仿宋_GBK" w:hAnsi="方正仿宋_GBK" w:eastAsia="方正仿宋_GBK" w:cs="方正仿宋_GBK"/>
          <w:color w:val="262626"/>
          <w:sz w:val="32"/>
          <w:szCs w:val="32"/>
        </w:rPr>
        <w:t>。集团内学校多元互动、资源共享、文化互融、研修互助、捆绑考核，鼓励支持其他非集团校参加集团校活动。</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6.</w:t>
      </w:r>
      <w:r>
        <w:rPr>
          <w:rFonts w:hint="eastAsia" w:ascii="方正仿宋_GBK" w:hAnsi="方正仿宋_GBK" w:eastAsia="方正仿宋_GBK" w:cs="方正仿宋_GBK"/>
          <w:color w:val="262626"/>
          <w:sz w:val="32"/>
          <w:szCs w:val="32"/>
        </w:rPr>
        <w:t>促进课程教学改革。持续推进教学方式、学习方式的深刻变革，建立首批县级实验学校</w:t>
      </w:r>
      <w:r>
        <w:rPr>
          <w:rFonts w:ascii="Times New Roman" w:hAnsi="Times New Roman" w:eastAsia="微软雅黑"/>
          <w:color w:val="262626"/>
          <w:sz w:val="32"/>
          <w:szCs w:val="32"/>
        </w:rPr>
        <w:t>15</w:t>
      </w:r>
      <w:r>
        <w:rPr>
          <w:rFonts w:hint="eastAsia" w:ascii="方正仿宋_GBK" w:hAnsi="方正仿宋_GBK" w:eastAsia="方正仿宋_GBK" w:cs="方正仿宋_GBK"/>
          <w:color w:val="262626"/>
          <w:sz w:val="32"/>
          <w:szCs w:val="32"/>
        </w:rPr>
        <w:t>所，培育市、县级示范校</w:t>
      </w:r>
      <w:r>
        <w:rPr>
          <w:rFonts w:ascii="Times New Roman" w:hAnsi="Times New Roman" w:eastAsia="微软雅黑"/>
          <w:color w:val="262626"/>
          <w:sz w:val="32"/>
          <w:szCs w:val="32"/>
        </w:rPr>
        <w:t>3-5</w:t>
      </w:r>
      <w:r>
        <w:rPr>
          <w:rFonts w:hint="eastAsia" w:ascii="方正仿宋_GBK" w:hAnsi="方正仿宋_GBK" w:eastAsia="方正仿宋_GBK" w:cs="方正仿宋_GBK"/>
          <w:color w:val="262626"/>
          <w:sz w:val="32"/>
          <w:szCs w:val="32"/>
        </w:rPr>
        <w:t>所。定期邀请高校、名校名师作专题讲座、主题研讨、案例分享等、指导课程教学改革。每年组织一次基础教育课程教学改革推进会或高端论坛。到</w:t>
      </w:r>
      <w:r>
        <w:rPr>
          <w:rFonts w:ascii="Times New Roman" w:hAnsi="Times New Roman" w:eastAsia="微软雅黑"/>
          <w:color w:val="262626"/>
          <w:sz w:val="32"/>
          <w:szCs w:val="32"/>
        </w:rPr>
        <w:t>2027</w:t>
      </w:r>
      <w:r>
        <w:rPr>
          <w:rFonts w:hint="eastAsia" w:ascii="方正仿宋_GBK" w:hAnsi="方正仿宋_GBK" w:eastAsia="方正仿宋_GBK" w:cs="方正仿宋_GBK"/>
          <w:color w:val="262626"/>
          <w:sz w:val="32"/>
          <w:szCs w:val="32"/>
        </w:rPr>
        <w:t>年，课程教学改革形成配套性的常态长效工作机制，申报评选市级课程创新基地</w:t>
      </w:r>
      <w:r>
        <w:rPr>
          <w:rFonts w:ascii="Times New Roman" w:hAnsi="Times New Roman" w:eastAsia="微软雅黑"/>
          <w:color w:val="262626"/>
          <w:sz w:val="32"/>
          <w:szCs w:val="32"/>
        </w:rPr>
        <w:t>2</w:t>
      </w:r>
      <w:r>
        <w:rPr>
          <w:rFonts w:hint="eastAsia" w:ascii="方正仿宋_GBK" w:hAnsi="方正仿宋_GBK" w:eastAsia="方正仿宋_GBK" w:cs="方正仿宋_GBK"/>
          <w:color w:val="262626"/>
          <w:sz w:val="32"/>
          <w:szCs w:val="32"/>
        </w:rPr>
        <w:t>个、优秀教学成果</w:t>
      </w:r>
      <w:r>
        <w:rPr>
          <w:rFonts w:ascii="Times New Roman" w:hAnsi="Times New Roman" w:eastAsia="微软雅黑"/>
          <w:color w:val="262626"/>
          <w:sz w:val="32"/>
          <w:szCs w:val="32"/>
        </w:rPr>
        <w:t>10</w:t>
      </w:r>
      <w:r>
        <w:rPr>
          <w:rFonts w:hint="eastAsia" w:ascii="方正仿宋_GBK" w:hAnsi="方正仿宋_GBK" w:eastAsia="方正仿宋_GBK" w:cs="方正仿宋_GBK"/>
          <w:color w:val="262626"/>
          <w:sz w:val="32"/>
          <w:szCs w:val="32"/>
        </w:rPr>
        <w:t>项、精品课程</w:t>
      </w:r>
      <w:r>
        <w:rPr>
          <w:rFonts w:ascii="Times New Roman" w:hAnsi="Times New Roman" w:eastAsia="微软雅黑"/>
          <w:color w:val="262626"/>
          <w:sz w:val="32"/>
          <w:szCs w:val="32"/>
        </w:rPr>
        <w:t>10</w:t>
      </w:r>
      <w:r>
        <w:rPr>
          <w:rFonts w:hint="eastAsia" w:ascii="方正仿宋_GBK" w:hAnsi="方正仿宋_GBK" w:eastAsia="方正仿宋_GBK" w:cs="方正仿宋_GBK"/>
          <w:color w:val="262626"/>
          <w:sz w:val="32"/>
          <w:szCs w:val="32"/>
        </w:rPr>
        <w:t>门、优秀社团</w:t>
      </w:r>
      <w:r>
        <w:rPr>
          <w:rFonts w:ascii="Times New Roman" w:hAnsi="Times New Roman" w:eastAsia="微软雅黑"/>
          <w:color w:val="262626"/>
          <w:sz w:val="32"/>
          <w:szCs w:val="32"/>
        </w:rPr>
        <w:t>10</w:t>
      </w:r>
      <w:r>
        <w:rPr>
          <w:rFonts w:hint="eastAsia" w:ascii="方正仿宋_GBK" w:hAnsi="方正仿宋_GBK" w:eastAsia="方正仿宋_GBK" w:cs="方正仿宋_GBK"/>
          <w:color w:val="262626"/>
          <w:sz w:val="32"/>
          <w:szCs w:val="32"/>
        </w:rPr>
        <w:t>个。</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7.</w:t>
      </w:r>
      <w:r>
        <w:rPr>
          <w:rFonts w:hint="eastAsia" w:ascii="方正仿宋_GBK" w:hAnsi="方正仿宋_GBK" w:eastAsia="方正仿宋_GBK" w:cs="方正仿宋_GBK"/>
          <w:color w:val="262626"/>
          <w:sz w:val="32"/>
          <w:szCs w:val="32"/>
        </w:rPr>
        <w:t>改革考核评价标准。坚持效果导向，建立健全“党建、质量、民调”三位一体的考核评价机制，纳入学校选人用人的考核评价标准。抓好教学质量监测，优化教学质量考核，高中学校建立从“入口看出口”动态考核机制，比变化比进步。</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8.</w:t>
      </w:r>
      <w:r>
        <w:rPr>
          <w:rFonts w:hint="eastAsia" w:ascii="方正仿宋_GBK" w:hAnsi="方正仿宋_GBK" w:eastAsia="方正仿宋_GBK" w:cs="方正仿宋_GBK"/>
          <w:color w:val="262626"/>
          <w:sz w:val="32"/>
          <w:szCs w:val="32"/>
        </w:rPr>
        <w:t>提升职业教育水平。加强校企合作、产教融合，对接县域产业发展，优化专业设置，建立政企校企深度融合的现代职教体系，创新技能人才培养，拓展升学就业渠道，完成职教中心二期扩建工程，创建国家级优质中等职业学校，筹建高等职业学院。</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楷体_GBK" w:hAnsi="方正楷体_GBK" w:eastAsia="方正楷体_GBK" w:cs="方正楷体_GBK"/>
          <w:color w:val="262626"/>
          <w:sz w:val="32"/>
          <w:szCs w:val="32"/>
        </w:rPr>
        <w:t>（三）聚焦立德树人，着力促进学生全面发展。</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9.</w:t>
      </w:r>
      <w:r>
        <w:rPr>
          <w:rFonts w:hint="eastAsia" w:ascii="方正仿宋_GBK" w:hAnsi="方正仿宋_GBK" w:eastAsia="方正仿宋_GBK" w:cs="方正仿宋_GBK"/>
          <w:color w:val="262626"/>
          <w:sz w:val="32"/>
          <w:szCs w:val="32"/>
        </w:rPr>
        <w:t>始终坚持“五育并举”。加强中小幼德育规范化、思政课一体化建设，争创国家级、市级德育特色和品牌。坚决落实好体育课程，保障在校学生每天校园体育活动时间超过</w:t>
      </w:r>
      <w:r>
        <w:rPr>
          <w:rFonts w:ascii="Times New Roman" w:hAnsi="Times New Roman" w:eastAsia="微软雅黑"/>
          <w:color w:val="262626"/>
          <w:sz w:val="32"/>
          <w:szCs w:val="32"/>
        </w:rPr>
        <w:t>1</w:t>
      </w:r>
      <w:r>
        <w:rPr>
          <w:rFonts w:hint="eastAsia" w:ascii="方正仿宋_GBK" w:hAnsi="方正仿宋_GBK" w:eastAsia="方正仿宋_GBK" w:cs="方正仿宋_GBK"/>
          <w:color w:val="262626"/>
          <w:sz w:val="32"/>
          <w:szCs w:val="32"/>
        </w:rPr>
        <w:t>小时，组织开展好县级、校级运动会。督促指导学校开齐开足美育课程，上好劳动教育课程。</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10.</w:t>
      </w:r>
      <w:r>
        <w:rPr>
          <w:rFonts w:hint="eastAsia" w:ascii="方正仿宋_GBK" w:hAnsi="方正仿宋_GBK" w:eastAsia="方正仿宋_GBK" w:cs="方正仿宋_GBK"/>
          <w:color w:val="262626"/>
          <w:sz w:val="32"/>
          <w:szCs w:val="32"/>
        </w:rPr>
        <w:t>加强心理健康教育。加强心理健康教育，配备专兼职教师，加快建设心理咨询室，完善心理健康预警机制、家校警共建共育机制、防溺水等安全管理机制，促进在校学生非正常死亡低于渝东北平均水平。</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11.</w:t>
      </w:r>
      <w:r>
        <w:rPr>
          <w:rFonts w:hint="eastAsia" w:ascii="方正仿宋_GBK" w:hAnsi="方正仿宋_GBK" w:eastAsia="方正仿宋_GBK" w:cs="方正仿宋_GBK"/>
          <w:color w:val="262626"/>
          <w:sz w:val="32"/>
          <w:szCs w:val="32"/>
        </w:rPr>
        <w:t>切实加强乡土教育。以夔州诗词文化为重点，抓好乡土教材编辑更新，积极融入科技、地理地质等内容，鼓励学校结合实际开展诗词研学旅行活动，激发学生热爱家乡建设家乡积极性。</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12.</w:t>
      </w:r>
      <w:r>
        <w:rPr>
          <w:rFonts w:hint="eastAsia" w:ascii="方正仿宋_GBK" w:hAnsi="方正仿宋_GBK" w:eastAsia="方正仿宋_GBK" w:cs="方正仿宋_GBK"/>
          <w:color w:val="262626"/>
          <w:sz w:val="32"/>
          <w:szCs w:val="32"/>
        </w:rPr>
        <w:t>积极推进科技教育。大力弘扬科技创新精神，把科技创新教育纳入课后服务项目，支持学校组建科技社团和兴趣小组，遴选培育一批科技创新教育示范学校和青少年，力争每年获得青少年科技创新县长奖、提名奖达到</w:t>
      </w:r>
      <w:r>
        <w:rPr>
          <w:rFonts w:ascii="Times New Roman" w:hAnsi="Times New Roman" w:eastAsia="微软雅黑"/>
          <w:color w:val="262626"/>
          <w:sz w:val="32"/>
          <w:szCs w:val="32"/>
        </w:rPr>
        <w:t>50</w:t>
      </w:r>
      <w:r>
        <w:rPr>
          <w:rFonts w:hint="eastAsia" w:ascii="方正仿宋_GBK" w:hAnsi="方正仿宋_GBK" w:eastAsia="方正仿宋_GBK" w:cs="方正仿宋_GBK"/>
          <w:color w:val="262626"/>
          <w:sz w:val="32"/>
          <w:szCs w:val="32"/>
        </w:rPr>
        <w:t>人以上。</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楷体_GBK" w:hAnsi="方正楷体_GBK" w:eastAsia="方正楷体_GBK" w:cs="方正楷体_GBK"/>
          <w:color w:val="262626"/>
          <w:sz w:val="32"/>
          <w:szCs w:val="32"/>
        </w:rPr>
        <w:t>（四）聚焦队伍建设，着力打造优秀师资力量。</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13.</w:t>
      </w:r>
      <w:r>
        <w:rPr>
          <w:rFonts w:hint="eastAsia" w:ascii="方正仿宋_GBK" w:hAnsi="方正仿宋_GBK" w:eastAsia="方正仿宋_GBK" w:cs="方正仿宋_GBK"/>
          <w:color w:val="262626"/>
          <w:sz w:val="32"/>
          <w:szCs w:val="32"/>
        </w:rPr>
        <w:t>打造“名校长”队伍。加大名校长培养力度，定期举办学校领导干部高级研修班、校长论坛，到</w:t>
      </w:r>
      <w:r>
        <w:rPr>
          <w:rFonts w:ascii="Times New Roman" w:hAnsi="Times New Roman" w:eastAsia="微软雅黑"/>
          <w:color w:val="262626"/>
          <w:sz w:val="32"/>
          <w:szCs w:val="32"/>
        </w:rPr>
        <w:t>2027</w:t>
      </w:r>
      <w:r>
        <w:rPr>
          <w:rFonts w:hint="eastAsia" w:ascii="方正仿宋_GBK" w:hAnsi="方正仿宋_GBK" w:eastAsia="方正仿宋_GBK" w:cs="方正仿宋_GBK"/>
          <w:color w:val="262626"/>
          <w:sz w:val="32"/>
          <w:szCs w:val="32"/>
        </w:rPr>
        <w:t>年，创建市级名校长工作室</w:t>
      </w:r>
      <w:r>
        <w:rPr>
          <w:rFonts w:ascii="Times New Roman" w:hAnsi="Times New Roman" w:eastAsia="微软雅黑"/>
          <w:color w:val="262626"/>
          <w:sz w:val="32"/>
          <w:szCs w:val="32"/>
        </w:rPr>
        <w:t>5</w:t>
      </w:r>
      <w:r>
        <w:rPr>
          <w:rFonts w:hint="eastAsia" w:ascii="方正仿宋_GBK" w:hAnsi="方正仿宋_GBK" w:eastAsia="方正仿宋_GBK" w:cs="方正仿宋_GBK"/>
          <w:color w:val="262626"/>
          <w:sz w:val="32"/>
          <w:szCs w:val="32"/>
        </w:rPr>
        <w:t>个。</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14.</w:t>
      </w:r>
      <w:r>
        <w:rPr>
          <w:rFonts w:hint="eastAsia" w:ascii="方正仿宋_GBK" w:hAnsi="方正仿宋_GBK" w:eastAsia="方正仿宋_GBK" w:cs="方正仿宋_GBK"/>
          <w:color w:val="262626"/>
          <w:sz w:val="32"/>
          <w:szCs w:val="32"/>
        </w:rPr>
        <w:t>打造“名班主任”队伍。完善班主任成长体系，强化班主任业务培训，到</w:t>
      </w:r>
      <w:r>
        <w:rPr>
          <w:rFonts w:ascii="Times New Roman" w:hAnsi="Times New Roman" w:eastAsia="微软雅黑"/>
          <w:color w:val="262626"/>
          <w:sz w:val="32"/>
          <w:szCs w:val="32"/>
        </w:rPr>
        <w:t>2027</w:t>
      </w:r>
      <w:r>
        <w:rPr>
          <w:rFonts w:hint="eastAsia" w:ascii="方正仿宋_GBK" w:hAnsi="方正仿宋_GBK" w:eastAsia="方正仿宋_GBK" w:cs="方正仿宋_GBK"/>
          <w:color w:val="262626"/>
          <w:sz w:val="32"/>
          <w:szCs w:val="32"/>
        </w:rPr>
        <w:t>年，争创市级班主任工作室</w:t>
      </w:r>
      <w:r>
        <w:rPr>
          <w:rFonts w:ascii="Times New Roman" w:hAnsi="Times New Roman" w:eastAsia="微软雅黑"/>
          <w:color w:val="262626"/>
          <w:sz w:val="32"/>
          <w:szCs w:val="32"/>
        </w:rPr>
        <w:t>3</w:t>
      </w:r>
      <w:r>
        <w:rPr>
          <w:rFonts w:hint="eastAsia" w:ascii="方正仿宋_GBK" w:hAnsi="方正仿宋_GBK" w:eastAsia="方正仿宋_GBK" w:cs="方正仿宋_GBK"/>
          <w:color w:val="262626"/>
          <w:sz w:val="32"/>
          <w:szCs w:val="32"/>
        </w:rPr>
        <w:t>个，建设县级班主任工作室</w:t>
      </w:r>
      <w:r>
        <w:rPr>
          <w:rFonts w:ascii="Times New Roman" w:hAnsi="Times New Roman" w:eastAsia="微软雅黑"/>
          <w:color w:val="262626"/>
          <w:sz w:val="32"/>
          <w:szCs w:val="32"/>
        </w:rPr>
        <w:t>10</w:t>
      </w:r>
      <w:r>
        <w:rPr>
          <w:rFonts w:hint="eastAsia" w:ascii="方正仿宋_GBK" w:hAnsi="方正仿宋_GBK" w:eastAsia="方正仿宋_GBK" w:cs="方正仿宋_GBK"/>
          <w:color w:val="262626"/>
          <w:sz w:val="32"/>
          <w:szCs w:val="32"/>
        </w:rPr>
        <w:t>个，鼓励学校建设班主任工作室。</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15.</w:t>
      </w:r>
      <w:r>
        <w:rPr>
          <w:rFonts w:hint="eastAsia" w:ascii="方正仿宋_GBK" w:hAnsi="方正仿宋_GBK" w:eastAsia="方正仿宋_GBK" w:cs="方正仿宋_GBK"/>
          <w:color w:val="262626"/>
          <w:sz w:val="32"/>
          <w:szCs w:val="32"/>
        </w:rPr>
        <w:t>打造“名师”队伍。每两年举办一届教师大练兵、大比武，每三年举办一届教师基本功竞赛。到</w:t>
      </w:r>
      <w:r>
        <w:rPr>
          <w:rFonts w:ascii="Times New Roman" w:hAnsi="Times New Roman" w:eastAsia="微软雅黑"/>
          <w:color w:val="262626"/>
          <w:sz w:val="32"/>
          <w:szCs w:val="32"/>
        </w:rPr>
        <w:t>2027</w:t>
      </w:r>
      <w:r>
        <w:rPr>
          <w:rFonts w:hint="eastAsia" w:ascii="方正仿宋_GBK" w:hAnsi="方正仿宋_GBK" w:eastAsia="方正仿宋_GBK" w:cs="方正仿宋_GBK"/>
          <w:color w:val="262626"/>
          <w:sz w:val="32"/>
          <w:szCs w:val="32"/>
        </w:rPr>
        <w:t>年，培养市级骨干教师</w:t>
      </w:r>
      <w:r>
        <w:rPr>
          <w:rFonts w:ascii="Times New Roman" w:hAnsi="Times New Roman" w:eastAsia="微软雅黑"/>
          <w:color w:val="262626"/>
          <w:sz w:val="32"/>
          <w:szCs w:val="32"/>
        </w:rPr>
        <w:t>200</w:t>
      </w:r>
      <w:r>
        <w:rPr>
          <w:rFonts w:hint="eastAsia" w:ascii="方正仿宋_GBK" w:hAnsi="方正仿宋_GBK" w:eastAsia="方正仿宋_GBK" w:cs="方正仿宋_GBK"/>
          <w:color w:val="262626"/>
          <w:sz w:val="32"/>
          <w:szCs w:val="32"/>
        </w:rPr>
        <w:t>名、名师</w:t>
      </w:r>
      <w:r>
        <w:rPr>
          <w:rFonts w:ascii="Times New Roman" w:hAnsi="Times New Roman" w:eastAsia="微软雅黑"/>
          <w:color w:val="262626"/>
          <w:sz w:val="32"/>
          <w:szCs w:val="32"/>
        </w:rPr>
        <w:t>30</w:t>
      </w:r>
      <w:r>
        <w:rPr>
          <w:rFonts w:hint="eastAsia" w:ascii="方正仿宋_GBK" w:hAnsi="方正仿宋_GBK" w:eastAsia="方正仿宋_GBK" w:cs="方正仿宋_GBK"/>
          <w:color w:val="262626"/>
          <w:sz w:val="32"/>
          <w:szCs w:val="32"/>
        </w:rPr>
        <w:t>名，争取建设市级名师工作室</w:t>
      </w:r>
      <w:r>
        <w:rPr>
          <w:rFonts w:ascii="Times New Roman" w:hAnsi="Times New Roman" w:eastAsia="微软雅黑"/>
          <w:color w:val="262626"/>
          <w:sz w:val="32"/>
          <w:szCs w:val="32"/>
        </w:rPr>
        <w:t>3</w:t>
      </w:r>
      <w:r>
        <w:rPr>
          <w:rFonts w:hint="eastAsia" w:ascii="方正仿宋_GBK" w:hAnsi="方正仿宋_GBK" w:eastAsia="方正仿宋_GBK" w:cs="方正仿宋_GBK"/>
          <w:color w:val="262626"/>
          <w:sz w:val="32"/>
          <w:szCs w:val="32"/>
        </w:rPr>
        <w:t>个；培养县级骨干教师</w:t>
      </w:r>
      <w:r>
        <w:rPr>
          <w:rFonts w:ascii="Times New Roman" w:hAnsi="Times New Roman" w:eastAsia="微软雅黑"/>
          <w:color w:val="262626"/>
          <w:sz w:val="32"/>
          <w:szCs w:val="32"/>
        </w:rPr>
        <w:t>600</w:t>
      </w:r>
      <w:r>
        <w:rPr>
          <w:rFonts w:hint="eastAsia" w:ascii="方正仿宋_GBK" w:hAnsi="方正仿宋_GBK" w:eastAsia="方正仿宋_GBK" w:cs="方正仿宋_GBK"/>
          <w:color w:val="262626"/>
          <w:sz w:val="32"/>
          <w:szCs w:val="32"/>
        </w:rPr>
        <w:t>名、夔州名师</w:t>
      </w:r>
      <w:r>
        <w:rPr>
          <w:rFonts w:ascii="Times New Roman" w:hAnsi="Times New Roman" w:eastAsia="微软雅黑"/>
          <w:color w:val="262626"/>
          <w:sz w:val="32"/>
          <w:szCs w:val="32"/>
        </w:rPr>
        <w:t>30</w:t>
      </w:r>
      <w:r>
        <w:rPr>
          <w:rFonts w:hint="eastAsia" w:ascii="方正仿宋_GBK" w:hAnsi="方正仿宋_GBK" w:eastAsia="方正仿宋_GBK" w:cs="方正仿宋_GBK"/>
          <w:color w:val="262626"/>
          <w:sz w:val="32"/>
          <w:szCs w:val="32"/>
        </w:rPr>
        <w:t>名，建设名师工作室</w:t>
      </w:r>
      <w:r>
        <w:rPr>
          <w:rFonts w:ascii="Times New Roman" w:hAnsi="Times New Roman" w:eastAsia="微软雅黑"/>
          <w:color w:val="262626"/>
          <w:sz w:val="32"/>
          <w:szCs w:val="32"/>
        </w:rPr>
        <w:t>30</w:t>
      </w:r>
      <w:r>
        <w:rPr>
          <w:rFonts w:hint="eastAsia" w:ascii="方正仿宋_GBK" w:hAnsi="方正仿宋_GBK" w:eastAsia="方正仿宋_GBK" w:cs="方正仿宋_GBK"/>
          <w:color w:val="262626"/>
          <w:sz w:val="32"/>
          <w:szCs w:val="32"/>
        </w:rPr>
        <w:t>个。评选为市县级名师、骨干教师后在县内教育服务期满</w:t>
      </w:r>
      <w:r>
        <w:rPr>
          <w:rFonts w:ascii="Times New Roman" w:hAnsi="Times New Roman" w:eastAsia="微软雅黑"/>
          <w:color w:val="262626"/>
          <w:sz w:val="32"/>
          <w:szCs w:val="32"/>
        </w:rPr>
        <w:t>5</w:t>
      </w:r>
      <w:r>
        <w:rPr>
          <w:rFonts w:hint="eastAsia" w:ascii="方正仿宋_GBK" w:hAnsi="方正仿宋_GBK" w:eastAsia="方正仿宋_GBK" w:cs="方正仿宋_GBK"/>
          <w:color w:val="262626"/>
          <w:sz w:val="32"/>
          <w:szCs w:val="32"/>
        </w:rPr>
        <w:t>年方可申请调出县外。市级及以上优质课一等奖获得者获奖后在县内教育服务期满</w:t>
      </w:r>
      <w:r>
        <w:rPr>
          <w:rFonts w:ascii="Times New Roman" w:hAnsi="Times New Roman" w:eastAsia="微软雅黑"/>
          <w:color w:val="262626"/>
          <w:sz w:val="32"/>
          <w:szCs w:val="32"/>
        </w:rPr>
        <w:t>3</w:t>
      </w:r>
      <w:r>
        <w:rPr>
          <w:rFonts w:hint="eastAsia" w:ascii="方正仿宋_GBK" w:hAnsi="方正仿宋_GBK" w:eastAsia="方正仿宋_GBK" w:cs="方正仿宋_GBK"/>
          <w:color w:val="262626"/>
          <w:sz w:val="32"/>
          <w:szCs w:val="32"/>
        </w:rPr>
        <w:t>年方可申请调出县外。</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楷体_GBK" w:hAnsi="方正楷体_GBK" w:eastAsia="方正楷体_GBK" w:cs="方正楷体_GBK"/>
          <w:color w:val="262626"/>
          <w:sz w:val="32"/>
          <w:szCs w:val="32"/>
        </w:rPr>
        <w:t>（五）聚焦发展基础，着力提升教育保障水平。</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16.</w:t>
      </w:r>
      <w:r>
        <w:rPr>
          <w:rFonts w:hint="eastAsia" w:ascii="方正仿宋_GBK" w:hAnsi="方正仿宋_GBK" w:eastAsia="方正仿宋_GBK" w:cs="方正仿宋_GBK"/>
          <w:color w:val="262626"/>
          <w:sz w:val="32"/>
          <w:szCs w:val="32"/>
        </w:rPr>
        <w:t>强化统筹支持。教育非税收入全额用于教育事业，高中学校非税收入全额拨付到学校。多方筹措资金，做大县教育基金会，支持教育事业发展。</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17.</w:t>
      </w:r>
      <w:r>
        <w:rPr>
          <w:rFonts w:hint="eastAsia" w:ascii="方正仿宋_GBK" w:hAnsi="方正仿宋_GBK" w:eastAsia="方正仿宋_GBK" w:cs="方正仿宋_GBK"/>
          <w:color w:val="262626"/>
          <w:sz w:val="32"/>
          <w:szCs w:val="32"/>
        </w:rPr>
        <w:t>强化经费保障。县财政每年设立</w:t>
      </w:r>
      <w:r>
        <w:rPr>
          <w:rFonts w:ascii="Times New Roman" w:hAnsi="Times New Roman" w:eastAsia="微软雅黑"/>
          <w:color w:val="262626"/>
          <w:sz w:val="32"/>
          <w:szCs w:val="32"/>
        </w:rPr>
        <w:t>1000-1500</w:t>
      </w:r>
      <w:r>
        <w:rPr>
          <w:rFonts w:hint="eastAsia" w:ascii="方正仿宋_GBK" w:hAnsi="方正仿宋_GBK" w:eastAsia="方正仿宋_GBK" w:cs="方正仿宋_GBK"/>
          <w:color w:val="262626"/>
          <w:sz w:val="32"/>
          <w:szCs w:val="32"/>
        </w:rPr>
        <w:t>万元教育教学质量建设资金，用于教书育人成果奖、教学质量抽测、市县级学科名师教育科研、名师名校长名班主任工作室、教师研修共同体、培优保优等。按全县教师工资总额</w:t>
      </w:r>
      <w:r>
        <w:rPr>
          <w:rFonts w:ascii="Times New Roman" w:hAnsi="Times New Roman" w:eastAsia="微软雅黑"/>
          <w:color w:val="262626"/>
          <w:sz w:val="32"/>
          <w:szCs w:val="32"/>
        </w:rPr>
        <w:t>2.5%</w:t>
      </w:r>
      <w:r>
        <w:rPr>
          <w:rFonts w:hint="eastAsia" w:ascii="方正仿宋_GBK" w:hAnsi="方正仿宋_GBK" w:eastAsia="方正仿宋_GBK" w:cs="方正仿宋_GBK"/>
          <w:color w:val="262626"/>
          <w:sz w:val="32"/>
          <w:szCs w:val="32"/>
        </w:rPr>
        <w:t>的标准预算教师培训经费。</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18.</w:t>
      </w:r>
      <w:r>
        <w:rPr>
          <w:rFonts w:hint="eastAsia" w:ascii="方正仿宋_GBK" w:hAnsi="方正仿宋_GBK" w:eastAsia="方正仿宋_GBK" w:cs="方正仿宋_GBK"/>
          <w:color w:val="262626"/>
          <w:sz w:val="32"/>
          <w:szCs w:val="32"/>
        </w:rPr>
        <w:t>强化评比奖励。每年举办一次教育高质量发展大会。评比奖励课程改革先进学校、教育教学质量先进学校，优秀校（园）长、优秀班主任、优秀教师、优秀学生。在集中发放的绩效工资中拿出</w:t>
      </w:r>
      <w:r>
        <w:rPr>
          <w:rFonts w:ascii="Times New Roman" w:hAnsi="Times New Roman" w:eastAsia="微软雅黑"/>
          <w:color w:val="262626"/>
          <w:sz w:val="32"/>
          <w:szCs w:val="32"/>
        </w:rPr>
        <w:t>30%</w:t>
      </w:r>
      <w:r>
        <w:rPr>
          <w:rFonts w:hint="eastAsia" w:ascii="方正仿宋_GBK" w:hAnsi="方正仿宋_GBK" w:eastAsia="方正仿宋_GBK" w:cs="方正仿宋_GBK"/>
          <w:color w:val="262626"/>
          <w:sz w:val="32"/>
          <w:szCs w:val="32"/>
        </w:rPr>
        <w:t>经费由单位分配，用于工作量、教学成果等考核。</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19.</w:t>
      </w:r>
      <w:r>
        <w:rPr>
          <w:rFonts w:hint="eastAsia" w:ascii="方正仿宋_GBK" w:hAnsi="方正仿宋_GBK" w:eastAsia="方正仿宋_GBK" w:cs="方正仿宋_GBK"/>
          <w:color w:val="262626"/>
          <w:sz w:val="32"/>
          <w:szCs w:val="32"/>
        </w:rPr>
        <w:t>强化人才服务。重点高中每年引进世界一流大学建设高校毕业生、世界一流学科建设高校师范专业毕业生</w:t>
      </w:r>
      <w:r>
        <w:rPr>
          <w:rFonts w:ascii="Times New Roman" w:hAnsi="Times New Roman" w:eastAsia="微软雅黑"/>
          <w:color w:val="262626"/>
          <w:sz w:val="32"/>
          <w:szCs w:val="32"/>
        </w:rPr>
        <w:t>50</w:t>
      </w:r>
      <w:r>
        <w:rPr>
          <w:rFonts w:hint="eastAsia" w:ascii="方正仿宋_GBK" w:hAnsi="方正仿宋_GBK" w:eastAsia="方正仿宋_GBK" w:cs="方正仿宋_GBK"/>
          <w:color w:val="262626"/>
          <w:sz w:val="32"/>
          <w:szCs w:val="32"/>
        </w:rPr>
        <w:t>名，提供人才公寓或</w:t>
      </w:r>
      <w:r>
        <w:rPr>
          <w:rFonts w:ascii="Times New Roman" w:hAnsi="Times New Roman" w:eastAsia="微软雅黑"/>
          <w:color w:val="262626"/>
          <w:sz w:val="32"/>
          <w:szCs w:val="32"/>
        </w:rPr>
        <w:t>1-3</w:t>
      </w:r>
      <w:r>
        <w:rPr>
          <w:rFonts w:hint="eastAsia" w:ascii="方正仿宋_GBK" w:hAnsi="方正仿宋_GBK" w:eastAsia="方正仿宋_GBK" w:cs="方正仿宋_GBK"/>
          <w:color w:val="262626"/>
          <w:sz w:val="32"/>
          <w:szCs w:val="32"/>
        </w:rPr>
        <w:t>万元住房补贴，并提前一年招聘后送名校跟岗培训。</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20.</w:t>
      </w:r>
      <w:r>
        <w:rPr>
          <w:rFonts w:hint="eastAsia" w:ascii="方正仿宋_GBK" w:hAnsi="方正仿宋_GBK" w:eastAsia="方正仿宋_GBK" w:cs="方正仿宋_GBK"/>
          <w:color w:val="262626"/>
          <w:sz w:val="32"/>
          <w:szCs w:val="32"/>
        </w:rPr>
        <w:t>强化科研支持。获评国家级、省市级的名校长（骨干校长、卓越校长），给予</w:t>
      </w:r>
      <w:r>
        <w:rPr>
          <w:rFonts w:ascii="Times New Roman" w:hAnsi="Times New Roman" w:eastAsia="微软雅黑"/>
          <w:color w:val="262626"/>
          <w:sz w:val="32"/>
          <w:szCs w:val="32"/>
        </w:rPr>
        <w:t>3-5</w:t>
      </w:r>
      <w:r>
        <w:rPr>
          <w:rFonts w:hint="eastAsia" w:ascii="方正仿宋_GBK" w:hAnsi="方正仿宋_GBK" w:eastAsia="方正仿宋_GBK" w:cs="方正仿宋_GBK"/>
          <w:color w:val="262626"/>
          <w:sz w:val="32"/>
          <w:szCs w:val="32"/>
        </w:rPr>
        <w:t>万元教育科研经费支持。获评市级学科名师、“夔州名师”给予</w:t>
      </w:r>
      <w:r>
        <w:rPr>
          <w:rFonts w:ascii="Times New Roman" w:hAnsi="Times New Roman" w:eastAsia="微软雅黑"/>
          <w:color w:val="262626"/>
          <w:sz w:val="32"/>
          <w:szCs w:val="32"/>
        </w:rPr>
        <w:t>1-3</w:t>
      </w:r>
      <w:r>
        <w:rPr>
          <w:rFonts w:hint="eastAsia" w:ascii="方正仿宋_GBK" w:hAnsi="方正仿宋_GBK" w:eastAsia="方正仿宋_GBK" w:cs="方正仿宋_GBK"/>
          <w:color w:val="262626"/>
          <w:sz w:val="32"/>
          <w:szCs w:val="32"/>
        </w:rPr>
        <w:t>万元教科研经费支持。</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21.</w:t>
      </w:r>
      <w:r>
        <w:rPr>
          <w:rFonts w:hint="eastAsia" w:ascii="方正仿宋_GBK" w:hAnsi="方正仿宋_GBK" w:eastAsia="方正仿宋_GBK" w:cs="方正仿宋_GBK"/>
          <w:color w:val="262626"/>
          <w:sz w:val="32"/>
          <w:szCs w:val="32"/>
        </w:rPr>
        <w:t>强化名师关怀。市级学科名师、“夔州名师”本人，市级优质课一等奖、县级优质课第一名且教学质量监测全县第一名的教师本人可调入城区工作，其配偶可商调到县内就近单位工作。</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ascii="Times New Roman" w:hAnsi="Times New Roman" w:eastAsia="微软雅黑"/>
          <w:color w:val="262626"/>
          <w:sz w:val="32"/>
          <w:szCs w:val="32"/>
        </w:rPr>
        <w:t>22.</w:t>
      </w:r>
      <w:r>
        <w:rPr>
          <w:rFonts w:hint="eastAsia" w:ascii="方正仿宋_GBK" w:hAnsi="方正仿宋_GBK" w:eastAsia="方正仿宋_GBK" w:cs="方正仿宋_GBK"/>
          <w:color w:val="262626"/>
          <w:sz w:val="32"/>
          <w:szCs w:val="32"/>
        </w:rPr>
        <w:t>强化资源配置。主动适应人口发展和城镇化发展趋势，着力推动教育资源和学生向城区和中心乡镇集中，支持城区重点办好普通高中学校、中心场镇重点办好初中学校、一般乡镇办好小学和幼儿园。</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黑体_GBK" w:hAnsi="方正黑体_GBK" w:eastAsia="方正黑体_GBK" w:cs="方正黑体_GBK"/>
          <w:color w:val="262626"/>
          <w:sz w:val="32"/>
          <w:szCs w:val="32"/>
        </w:rPr>
        <w:t>四、保障措施</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楷体_GBK" w:hAnsi="方正楷体_GBK" w:eastAsia="方正楷体_GBK" w:cs="方正楷体_GBK"/>
          <w:color w:val="262626"/>
          <w:sz w:val="32"/>
          <w:szCs w:val="32"/>
        </w:rPr>
        <w:t>（一）加强组织领导。</w:t>
      </w:r>
      <w:r>
        <w:rPr>
          <w:rFonts w:hint="eastAsia" w:ascii="方正仿宋_GBK" w:hAnsi="方正仿宋_GBK" w:eastAsia="方正仿宋_GBK" w:cs="方正仿宋_GBK"/>
          <w:color w:val="262626"/>
          <w:sz w:val="32"/>
          <w:szCs w:val="32"/>
        </w:rPr>
        <w:t>建立县级联席会议制度，由县委、县政府主要领导担任联席会议主召集人，县政府分管负责人担任副召集人，成员由县委教育工作领导小组成员单位主要负责人组成，联席会议原则上每半年召开一次例会，及时研究解决教育高质量发展中的重大问题。联席会议下设办公室在县教委，负责日常工作的统筹协调沟通，重要事项定期或及时向县委、县政府报告。</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楷体_GBK" w:hAnsi="方正楷体_GBK" w:eastAsia="方正楷体_GBK" w:cs="方正楷体_GBK"/>
          <w:color w:val="262626"/>
          <w:sz w:val="32"/>
          <w:szCs w:val="32"/>
        </w:rPr>
        <w:t>（二）加强协调协同。</w:t>
      </w:r>
      <w:r>
        <w:rPr>
          <w:rFonts w:hint="eastAsia" w:ascii="方正仿宋_GBK" w:hAnsi="方正仿宋_GBK" w:eastAsia="方正仿宋_GBK" w:cs="方正仿宋_GBK"/>
          <w:color w:val="262626"/>
          <w:sz w:val="32"/>
          <w:szCs w:val="32"/>
        </w:rPr>
        <w:t>各成员单位及相关单位要以推动教育高质量发展为己任，认真履行教育职责，及时认领工作任务，积极主动支持教育事业，把工作责任落实到具体岗位，落实好具体人员，不断汇聚工作合力。</w:t>
      </w:r>
    </w:p>
    <w:p>
      <w:pPr>
        <w:pStyle w:val="2"/>
        <w:widowControl/>
        <w:spacing w:beforeAutospacing="0" w:afterAutospacing="0" w:line="600" w:lineRule="atLeast"/>
        <w:ind w:firstLine="640"/>
        <w:rPr>
          <w:rFonts w:ascii="微软雅黑" w:hAnsi="微软雅黑" w:eastAsia="微软雅黑" w:cs="微软雅黑"/>
          <w:color w:val="262626"/>
          <w:sz w:val="27"/>
          <w:szCs w:val="27"/>
        </w:rPr>
      </w:pPr>
      <w:r>
        <w:rPr>
          <w:rFonts w:hint="eastAsia" w:ascii="方正楷体_GBK" w:hAnsi="方正楷体_GBK" w:eastAsia="方正楷体_GBK" w:cs="方正楷体_GBK"/>
          <w:color w:val="262626"/>
          <w:sz w:val="32"/>
          <w:szCs w:val="32"/>
        </w:rPr>
        <w:t>（三）加强督促落实。</w:t>
      </w:r>
      <w:r>
        <w:rPr>
          <w:rFonts w:hint="eastAsia" w:ascii="方正仿宋_GBK" w:hAnsi="方正仿宋_GBK" w:eastAsia="方正仿宋_GBK" w:cs="方正仿宋_GBK"/>
          <w:color w:val="262626"/>
          <w:sz w:val="32"/>
          <w:szCs w:val="32"/>
        </w:rPr>
        <w:t>联席会议办公室加强对重要工作任务及相关议定事项的督促落实，及时向各相关单位通报有关工作进展情况，对工作落实不力或落实进展滞后的单位予以提醒，必要时报请县委、县政府研究处理，各成员单位的履行教育职责情况纳入年终述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MmE3ZTVhYTI3NWYxNjRkODUwZjUyOGU5NWY2ZDYifQ=="/>
  </w:docVars>
  <w:rsids>
    <w:rsidRoot w:val="006051DD"/>
    <w:rsid w:val="006051DD"/>
    <w:rsid w:val="009233D0"/>
    <w:rsid w:val="03950A84"/>
    <w:rsid w:val="1B8F65BB"/>
    <w:rsid w:val="36C15E68"/>
    <w:rsid w:val="41A9467C"/>
    <w:rsid w:val="420F6C16"/>
    <w:rsid w:val="44CB3050"/>
    <w:rsid w:val="47AB6AFA"/>
    <w:rsid w:val="4D5A0DB6"/>
    <w:rsid w:val="5E2C0C2B"/>
    <w:rsid w:val="67B619F4"/>
    <w:rsid w:val="762C4CFA"/>
    <w:rsid w:val="7F67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508</Words>
  <Characters>2902</Characters>
  <Lines>24</Lines>
  <Paragraphs>6</Paragraphs>
  <TotalTime>3</TotalTime>
  <ScaleCrop>false</ScaleCrop>
  <LinksUpToDate>false</LinksUpToDate>
  <CharactersWithSpaces>3404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2023-09-26T09:02:00Z</dcterms:created>
  <dc:creator>Administrator</dc:creator>
  <cp:lastModifiedBy>蓝色星空</cp:lastModifiedBy>
  <dcterms:modified xsi:type="dcterms:W3CDTF">2024-02-21T06:00:09Z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8294121AE25A4F9C88B09B78AA355B2D_12</vt:lpwstr>
  </property>
</Properties>
</file>