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sz w:val="52"/>
          <w:szCs w:val="52"/>
        </w:rPr>
      </w:pPr>
      <w:bookmarkStart w:id="0" w:name="_Toc429553087"/>
      <w:bookmarkStart w:id="1" w:name="_Toc476231622"/>
      <w:bookmarkStart w:id="2" w:name="_Toc429558928"/>
      <w:bookmarkStart w:id="3" w:name="_Toc429559902"/>
      <w:r>
        <w:rPr>
          <w:rFonts w:hint="eastAsia" w:ascii="仿宋" w:hAnsi="仿宋" w:eastAsia="仿宋" w:cs="仿宋"/>
          <w:sz w:val="52"/>
          <w:szCs w:val="52"/>
        </w:rPr>
        <w:t>附件：</w:t>
      </w:r>
    </w:p>
    <w:p>
      <w:pPr>
        <w:spacing w:line="2200" w:lineRule="exact"/>
        <w:jc w:val="center"/>
        <w:rPr>
          <w:rFonts w:ascii="方正楷体_GBK" w:hAnsi="黑体" w:eastAsia="方正楷体_GBK"/>
          <w:b/>
          <w:sz w:val="112"/>
          <w:szCs w:val="112"/>
        </w:rPr>
      </w:pPr>
      <w:r>
        <w:rPr>
          <w:rFonts w:hint="eastAsia" w:ascii="方正楷体_GBK" w:hAnsi="黑体" w:eastAsia="方正楷体_GBK"/>
          <w:b/>
          <w:sz w:val="112"/>
          <w:szCs w:val="112"/>
        </w:rPr>
        <w:t>招标采购文件</w:t>
      </w:r>
      <w:bookmarkEnd w:id="0"/>
      <w:bookmarkEnd w:id="1"/>
      <w:bookmarkEnd w:id="2"/>
      <w:bookmarkEnd w:id="3"/>
    </w:p>
    <w:p>
      <w:pPr>
        <w:jc w:val="center"/>
      </w:pPr>
    </w:p>
    <w:p>
      <w:pPr>
        <w:spacing w:line="600" w:lineRule="exact"/>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分包2：第二次</w:t>
      </w:r>
      <w:r>
        <w:rPr>
          <w:rFonts w:hint="eastAsia" w:ascii="方正小标宋_GBK" w:eastAsia="方正小标宋_GBK"/>
          <w:sz w:val="44"/>
          <w:szCs w:val="44"/>
          <w:lang w:eastAsia="zh-CN"/>
        </w:rPr>
        <w:t>）</w:t>
      </w:r>
    </w:p>
    <w:p>
      <w:pPr>
        <w:wordWrap w:val="0"/>
        <w:autoSpaceDE w:val="0"/>
        <w:autoSpaceDN w:val="0"/>
        <w:adjustRightInd w:val="0"/>
        <w:snapToGrid w:val="0"/>
        <w:spacing w:line="500" w:lineRule="exact"/>
        <w:rPr>
          <w:rFonts w:ascii="方正小标宋_GBK" w:hAnsi="宋体" w:eastAsia="方正小标宋_GBK"/>
          <w:sz w:val="32"/>
          <w:szCs w:val="32"/>
        </w:rPr>
      </w:pPr>
      <w:bookmarkStart w:id="4" w:name="_Hlk8038062"/>
    </w:p>
    <w:p>
      <w:pPr>
        <w:spacing w:line="500" w:lineRule="exact"/>
        <w:rPr>
          <w:rFonts w:ascii="方正小标宋_GBK" w:hAnsi="宋体"/>
          <w:sz w:val="32"/>
          <w:szCs w:val="32"/>
          <w:u w:val="single"/>
        </w:rPr>
      </w:pPr>
      <w:r>
        <w:rPr>
          <w:rFonts w:hint="eastAsia" w:ascii="方正小标宋_GBK" w:hAnsi="宋体" w:eastAsia="方正小标宋_GBK"/>
          <w:sz w:val="32"/>
          <w:szCs w:val="32"/>
        </w:rPr>
        <w:t>招标编号：</w:t>
      </w:r>
      <w:r>
        <w:rPr>
          <w:rFonts w:hint="eastAsia" w:ascii="宋体" w:hAnsi="宋体"/>
          <w:w w:val="90"/>
          <w:sz w:val="28"/>
        </w:rPr>
        <w:t>FJNJZX（2022）003</w:t>
      </w:r>
    </w:p>
    <w:p>
      <w:pPr>
        <w:pStyle w:val="9"/>
        <w:spacing w:line="500" w:lineRule="exact"/>
        <w:ind w:left="1600" w:hanging="1600" w:hangingChars="500"/>
        <w:rPr>
          <w:rFonts w:hint="default" w:ascii="宋体" w:hAnsi="宋体" w:eastAsia="宋体"/>
          <w:w w:val="90"/>
          <w:sz w:val="28"/>
          <w:lang w:val="en-US" w:eastAsia="zh-CN"/>
        </w:rPr>
      </w:pPr>
      <w:r>
        <w:rPr>
          <w:rFonts w:hint="eastAsia" w:ascii="方正小标宋_GBK" w:hAnsi="宋体" w:eastAsia="方正小标宋_GBK"/>
          <w:sz w:val="32"/>
          <w:szCs w:val="32"/>
        </w:rPr>
        <w:t>招标项目：</w:t>
      </w:r>
      <w:r>
        <w:rPr>
          <w:rFonts w:hint="eastAsia" w:ascii="宋体" w:hAnsi="宋体"/>
          <w:w w:val="90"/>
          <w:sz w:val="28"/>
        </w:rPr>
        <w:t>奉节县脆李避雨设施栽培探索试验项目</w:t>
      </w:r>
      <w:r>
        <w:rPr>
          <w:rFonts w:hint="eastAsia" w:ascii="宋体" w:hAnsi="宋体"/>
          <w:w w:val="90"/>
          <w:sz w:val="28"/>
          <w:lang w:eastAsia="zh-CN"/>
        </w:rPr>
        <w:t>（</w:t>
      </w:r>
      <w:r>
        <w:rPr>
          <w:rFonts w:hint="eastAsia" w:ascii="宋体" w:hAnsi="宋体"/>
          <w:w w:val="90"/>
          <w:sz w:val="28"/>
          <w:lang w:val="en-US" w:eastAsia="zh-CN"/>
        </w:rPr>
        <w:t>分包2  第二次）</w:t>
      </w:r>
    </w:p>
    <w:p>
      <w:pPr>
        <w:pStyle w:val="9"/>
        <w:spacing w:line="500" w:lineRule="exact"/>
        <w:ind w:left="2080" w:hanging="2080" w:hangingChars="650"/>
        <w:rPr>
          <w:rFonts w:ascii="方正小标宋_GBK" w:hAnsi="宋体" w:eastAsia="方正小标宋_GBK"/>
          <w:sz w:val="32"/>
          <w:szCs w:val="32"/>
        </w:rPr>
      </w:pPr>
      <w:r>
        <w:rPr>
          <w:rFonts w:hint="eastAsia" w:ascii="方正小标宋_GBK" w:hAnsi="宋体" w:eastAsia="方正小标宋_GBK"/>
          <w:sz w:val="32"/>
          <w:szCs w:val="32"/>
        </w:rPr>
        <w:t>招标单位：</w:t>
      </w:r>
      <w:r>
        <w:rPr>
          <w:rFonts w:hint="eastAsia" w:ascii="宋体" w:hAnsi="宋体"/>
          <w:w w:val="90"/>
          <w:sz w:val="28"/>
        </w:rPr>
        <w:t>奉节县农业技术服务中心</w:t>
      </w:r>
    </w:p>
    <w:bookmarkEnd w:id="4"/>
    <w:p>
      <w:pPr>
        <w:spacing w:line="500" w:lineRule="exact"/>
        <w:jc w:val="center"/>
        <w:rPr>
          <w:rFonts w:ascii="方正小标宋_GBK" w:eastAsia="方正小标宋_GBK"/>
          <w:sz w:val="32"/>
        </w:rPr>
      </w:pPr>
    </w:p>
    <w:p>
      <w:pPr>
        <w:jc w:val="center"/>
        <w:rPr>
          <w:rFonts w:ascii="方正小标宋_GBK" w:eastAsia="方正小标宋_GBK"/>
          <w:sz w:val="32"/>
        </w:rPr>
      </w:pPr>
    </w:p>
    <w:p>
      <w:pPr>
        <w:jc w:val="center"/>
        <w:rPr>
          <w:rFonts w:ascii="方正小标宋_GBK" w:eastAsia="方正小标宋_GBK"/>
          <w:sz w:val="32"/>
        </w:rPr>
      </w:pPr>
    </w:p>
    <w:p>
      <w:pPr>
        <w:autoSpaceDE w:val="0"/>
        <w:autoSpaceDN w:val="0"/>
        <w:adjustRightInd w:val="0"/>
        <w:snapToGrid w:val="0"/>
        <w:spacing w:line="360" w:lineRule="auto"/>
        <w:jc w:val="center"/>
        <w:rPr>
          <w:rFonts w:cs="宋体" w:asciiTheme="minorEastAsia" w:hAnsiTheme="minorEastAsia" w:eastAsiaTheme="minorEastAsia"/>
          <w:kern w:val="0"/>
          <w:sz w:val="24"/>
        </w:rPr>
      </w:pPr>
    </w:p>
    <w:p>
      <w:pPr>
        <w:pStyle w:val="2"/>
        <w:ind w:left="63" w:right="63"/>
        <w:rPr>
          <w:rFonts w:cs="宋体" w:asciiTheme="minorEastAsia" w:hAnsiTheme="minorEastAsia" w:eastAsiaTheme="minorEastAsia"/>
          <w:kern w:val="0"/>
          <w:sz w:val="24"/>
        </w:rPr>
      </w:pPr>
    </w:p>
    <w:p>
      <w:pPr>
        <w:pStyle w:val="2"/>
        <w:ind w:left="63" w:right="63"/>
        <w:rPr>
          <w:rFonts w:cs="宋体" w:asciiTheme="minorEastAsia" w:hAnsiTheme="minorEastAsia" w:eastAsiaTheme="minorEastAsia"/>
          <w:kern w:val="0"/>
          <w:sz w:val="24"/>
        </w:rPr>
      </w:pPr>
    </w:p>
    <w:p>
      <w:pPr>
        <w:pStyle w:val="2"/>
        <w:ind w:left="63" w:right="63"/>
        <w:rPr>
          <w:rFonts w:cs="宋体" w:asciiTheme="minorEastAsia" w:hAnsiTheme="minorEastAsia" w:eastAsiaTheme="minorEastAsia"/>
          <w:kern w:val="0"/>
          <w:sz w:val="24"/>
        </w:rPr>
      </w:pPr>
    </w:p>
    <w:p>
      <w:pPr>
        <w:pStyle w:val="2"/>
        <w:ind w:left="63" w:right="63"/>
        <w:rPr>
          <w:rFonts w:cs="宋体" w:asciiTheme="minorEastAsia" w:hAnsiTheme="minorEastAsia" w:eastAsiaTheme="minorEastAsia"/>
          <w:kern w:val="0"/>
          <w:sz w:val="24"/>
        </w:rPr>
      </w:pPr>
    </w:p>
    <w:p>
      <w:pPr>
        <w:autoSpaceDE w:val="0"/>
        <w:autoSpaceDN w:val="0"/>
        <w:adjustRightInd w:val="0"/>
        <w:snapToGrid w:val="0"/>
        <w:spacing w:line="360" w:lineRule="auto"/>
        <w:jc w:val="center"/>
        <w:rPr>
          <w:rFonts w:cs="宋体" w:asciiTheme="minorEastAsia" w:hAnsiTheme="minorEastAsia" w:eastAsiaTheme="minorEastAsia"/>
          <w:kern w:val="0"/>
          <w:sz w:val="24"/>
        </w:rPr>
      </w:pPr>
    </w:p>
    <w:p>
      <w:pPr>
        <w:autoSpaceDE w:val="0"/>
        <w:autoSpaceDN w:val="0"/>
        <w:adjustRightInd w:val="0"/>
        <w:snapToGrid w:val="0"/>
        <w:spacing w:line="360" w:lineRule="auto"/>
        <w:jc w:val="center"/>
        <w:rPr>
          <w:rFonts w:cs="宋体" w:asciiTheme="minorEastAsia" w:hAnsiTheme="minorEastAsia" w:eastAsiaTheme="minorEastAsia"/>
          <w:kern w:val="0"/>
          <w:shd w:val="clear" w:color="auto" w:fill="FFFFFF"/>
        </w:rPr>
      </w:pPr>
    </w:p>
    <w:p>
      <w:pPr>
        <w:tabs>
          <w:tab w:val="left" w:pos="3885"/>
          <w:tab w:val="left" w:pos="6219"/>
        </w:tabs>
        <w:autoSpaceDE w:val="0"/>
        <w:autoSpaceDN w:val="0"/>
        <w:adjustRightInd w:val="0"/>
        <w:snapToGrid w:val="0"/>
        <w:spacing w:line="360" w:lineRule="auto"/>
        <w:jc w:val="center"/>
        <w:rPr>
          <w:rFonts w:cs="宋体" w:asciiTheme="minorEastAsia" w:hAnsiTheme="minorEastAsia" w:eastAsiaTheme="minorEastAsia"/>
          <w:b/>
          <w:bCs/>
          <w:w w:val="99"/>
          <w:kern w:val="0"/>
          <w:sz w:val="28"/>
          <w:szCs w:val="28"/>
        </w:rPr>
      </w:pPr>
      <w:r>
        <w:rPr>
          <w:rFonts w:hint="eastAsia" w:cs="宋体" w:asciiTheme="minorEastAsia" w:hAnsiTheme="minorEastAsia" w:eastAsiaTheme="minorEastAsia"/>
          <w:b/>
          <w:bCs/>
          <w:w w:val="99"/>
          <w:kern w:val="0"/>
          <w:sz w:val="28"/>
          <w:szCs w:val="28"/>
        </w:rPr>
        <w:t>采   购   人：</w:t>
      </w:r>
      <w:r>
        <w:rPr>
          <w:rFonts w:hint="eastAsia" w:cs="宋体" w:asciiTheme="minorEastAsia" w:hAnsiTheme="minorEastAsia" w:eastAsiaTheme="minorEastAsia"/>
          <w:b/>
          <w:bCs/>
          <w:w w:val="99"/>
          <w:kern w:val="0"/>
          <w:sz w:val="28"/>
          <w:szCs w:val="28"/>
          <w:u w:val="single"/>
        </w:rPr>
        <w:t xml:space="preserve"> 奉节县农业技术服务中心</w:t>
      </w:r>
      <w:r>
        <w:rPr>
          <w:rFonts w:hint="eastAsia" w:cs="宋体" w:asciiTheme="minorEastAsia" w:hAnsiTheme="minorEastAsia" w:eastAsiaTheme="minorEastAsia"/>
          <w:b/>
          <w:bCs/>
          <w:spacing w:val="-10"/>
          <w:sz w:val="28"/>
          <w:szCs w:val="28"/>
          <w:u w:val="single"/>
        </w:rPr>
        <w:t xml:space="preserve">  </w:t>
      </w:r>
      <w:r>
        <w:rPr>
          <w:rFonts w:hint="eastAsia" w:cs="宋体" w:asciiTheme="minorEastAsia" w:hAnsiTheme="minorEastAsia" w:eastAsiaTheme="minorEastAsia"/>
          <w:b/>
          <w:bCs/>
          <w:spacing w:val="-16"/>
          <w:sz w:val="28"/>
          <w:szCs w:val="28"/>
        </w:rPr>
        <w:t>（盖单位公章）</w:t>
      </w:r>
    </w:p>
    <w:p>
      <w:pPr>
        <w:autoSpaceDE w:val="0"/>
        <w:autoSpaceDN w:val="0"/>
        <w:snapToGrid w:val="0"/>
        <w:spacing w:line="360" w:lineRule="auto"/>
        <w:rPr>
          <w:rFonts w:cs="宋体" w:asciiTheme="minorEastAsia" w:hAnsiTheme="minorEastAsia" w:eastAsiaTheme="minorEastAsia"/>
          <w:b/>
          <w:bCs/>
          <w:kern w:val="0"/>
          <w:sz w:val="30"/>
          <w:szCs w:val="30"/>
          <w:u w:val="single"/>
        </w:rPr>
      </w:pPr>
    </w:p>
    <w:p>
      <w:pPr>
        <w:tabs>
          <w:tab w:val="left" w:pos="3200"/>
          <w:tab w:val="left" w:pos="4320"/>
          <w:tab w:val="left" w:pos="5420"/>
        </w:tabs>
        <w:autoSpaceDE w:val="0"/>
        <w:autoSpaceDN w:val="0"/>
        <w:adjustRightInd w:val="0"/>
        <w:snapToGrid w:val="0"/>
        <w:spacing w:line="600" w:lineRule="exact"/>
        <w:jc w:val="center"/>
      </w:pPr>
      <w:r>
        <w:rPr>
          <w:rFonts w:hint="eastAsia" w:cs="宋体" w:asciiTheme="minorEastAsia" w:hAnsiTheme="minorEastAsia" w:eastAsiaTheme="minorEastAsia"/>
          <w:b/>
          <w:bCs/>
          <w:kern w:val="0"/>
          <w:sz w:val="30"/>
          <w:szCs w:val="30"/>
        </w:rPr>
        <w:t>2022年09月</w:t>
      </w:r>
      <w:bookmarkStart w:id="5" w:name="_Toc21100"/>
      <w:bookmarkStart w:id="6" w:name="_Toc456"/>
      <w:bookmarkStart w:id="7" w:name="_Toc179632527"/>
      <w:bookmarkStart w:id="8" w:name="_Toc27997"/>
      <w:bookmarkStart w:id="9" w:name="A3"/>
    </w:p>
    <w:p>
      <w:pPr>
        <w:pStyle w:val="20"/>
      </w:pPr>
      <w:bookmarkStart w:id="10" w:name="_Toc13356"/>
      <w:bookmarkStart w:id="11" w:name="_Toc17156"/>
    </w:p>
    <w:bookmarkEnd w:id="5"/>
    <w:bookmarkEnd w:id="6"/>
    <w:bookmarkEnd w:id="7"/>
    <w:bookmarkEnd w:id="8"/>
    <w:bookmarkEnd w:id="10"/>
    <w:bookmarkEnd w:id="11"/>
    <w:p>
      <w:pPr>
        <w:pStyle w:val="20"/>
      </w:pPr>
    </w:p>
    <w:p>
      <w:pPr>
        <w:pStyle w:val="20"/>
      </w:pPr>
    </w:p>
    <w:p>
      <w:pPr>
        <w:pStyle w:val="20"/>
      </w:pPr>
      <w:r>
        <w:rPr>
          <w:rFonts w:hint="eastAsia"/>
        </w:rPr>
        <w:t>第一章  招标采购邀请函</w:t>
      </w:r>
    </w:p>
    <w:p>
      <w:pPr>
        <w:pStyle w:val="20"/>
      </w:pPr>
    </w:p>
    <w:bookmarkEnd w:id="9"/>
    <w:p>
      <w:pPr>
        <w:snapToGrid w:val="0"/>
        <w:spacing w:line="360" w:lineRule="auto"/>
        <w:ind w:firstLine="560" w:firstLineChars="200"/>
        <w:rPr>
          <w:rFonts w:ascii="方正仿宋_GBK" w:hAnsi="方正仿宋_GBK" w:eastAsia="方正仿宋_GBK" w:cs="方正仿宋_GBK"/>
          <w:sz w:val="28"/>
          <w:szCs w:val="28"/>
        </w:rPr>
      </w:pPr>
      <w:bookmarkStart w:id="12" w:name="_Toc17015"/>
      <w:bookmarkStart w:id="13" w:name="_Toc46319861"/>
      <w:bookmarkStart w:id="14" w:name="_Toc46271576"/>
      <w:bookmarkStart w:id="15" w:name="_Toc144974482"/>
      <w:bookmarkStart w:id="16" w:name="_Toc152045514"/>
      <w:bookmarkStart w:id="17" w:name="_Toc46319863"/>
      <w:bookmarkStart w:id="18" w:name="_Toc179632530"/>
      <w:bookmarkStart w:id="19" w:name="_Toc152042290"/>
      <w:bookmarkStart w:id="20" w:name="_Toc46271578"/>
      <w:bookmarkStart w:id="21" w:name="_Toc152042293"/>
      <w:bookmarkStart w:id="22" w:name="_Toc179632534"/>
      <w:bookmarkStart w:id="23" w:name="_Toc144974485"/>
      <w:bookmarkStart w:id="24" w:name="_Toc152045517"/>
      <w:bookmarkStart w:id="25" w:name="_Toc152042303"/>
      <w:bookmarkStart w:id="26" w:name="_Toc179632544"/>
      <w:bookmarkStart w:id="27" w:name="_Toc144974495"/>
      <w:bookmarkStart w:id="28" w:name="A4"/>
      <w:bookmarkStart w:id="29" w:name="_Toc152045527"/>
      <w:r>
        <w:rPr>
          <w:rFonts w:hint="eastAsia" w:ascii="方正仿宋_GBK" w:hAnsi="方正仿宋_GBK" w:eastAsia="方正仿宋_GBK" w:cs="方正仿宋_GBK"/>
          <w:sz w:val="28"/>
          <w:szCs w:val="28"/>
        </w:rPr>
        <w:t>按照县农业农村委对《县农技中心关于脆李避雨设施栽培探索试验项目实施方式的审议事项》的要求，我中心拟对脆李避雨设施栽培探索试验项目</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分包2第二次）</w:t>
      </w:r>
      <w:r>
        <w:rPr>
          <w:rFonts w:hint="eastAsia" w:ascii="方正仿宋_GBK" w:hAnsi="方正仿宋_GBK" w:eastAsia="方正仿宋_GBK" w:cs="方正仿宋_GBK"/>
          <w:sz w:val="28"/>
          <w:szCs w:val="28"/>
        </w:rPr>
        <w:t>相关试验设备进行招标采购，现就招标采购相关内容要求如下：</w:t>
      </w:r>
    </w:p>
    <w:p>
      <w:pPr>
        <w:snapToGrid w:val="0"/>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一、项目名称</w:t>
      </w:r>
      <w:r>
        <w:rPr>
          <w:rFonts w:hint="eastAsia" w:ascii="方正仿宋_GBK" w:hAnsi="方正仿宋_GBK" w:eastAsia="方正仿宋_GBK" w:cs="方正仿宋_GBK"/>
          <w:sz w:val="28"/>
          <w:szCs w:val="28"/>
        </w:rPr>
        <w:t>：奉节县脆李避雨设施栽培探索试验项目。</w:t>
      </w:r>
    </w:p>
    <w:p>
      <w:pPr>
        <w:snapToGrid w:val="0"/>
        <w:spacing w:line="500" w:lineRule="exact"/>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二、资金来源：</w:t>
      </w:r>
      <w:r>
        <w:rPr>
          <w:rFonts w:ascii="方正仿宋_GBK" w:hAnsi="方正仿宋_GBK" w:eastAsia="方正仿宋_GBK" w:cs="方正仿宋_GBK"/>
          <w:sz w:val="28"/>
          <w:szCs w:val="28"/>
        </w:rPr>
        <w:t>奉节县202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年财政涉农统筹整合资金农业产业项目</w:t>
      </w:r>
      <w:r>
        <w:rPr>
          <w:rFonts w:hint="eastAsia" w:ascii="方正仿宋_GBK" w:hAnsi="方正仿宋_GBK" w:eastAsia="方正仿宋_GBK" w:cs="方正仿宋_GBK"/>
          <w:sz w:val="28"/>
          <w:szCs w:val="28"/>
        </w:rPr>
        <w:t>。</w:t>
      </w:r>
    </w:p>
    <w:p>
      <w:pPr>
        <w:spacing w:line="500" w:lineRule="exact"/>
        <w:ind w:left="420" w:leftChars="200"/>
        <w:rPr>
          <w:rFonts w:ascii="仿宋" w:hAnsi="仿宋" w:eastAsia="仿宋" w:cs="仿宋"/>
          <w:b/>
          <w:bCs/>
          <w:sz w:val="28"/>
          <w:szCs w:val="28"/>
        </w:rPr>
      </w:pPr>
      <w:r>
        <w:rPr>
          <w:rFonts w:hint="eastAsia" w:ascii="仿宋" w:hAnsi="仿宋" w:eastAsia="仿宋" w:cs="仿宋"/>
          <w:b/>
          <w:bCs/>
          <w:sz w:val="28"/>
          <w:szCs w:val="28"/>
        </w:rPr>
        <w:t>三、招标内容及限价：</w:t>
      </w:r>
      <w:bookmarkEnd w:id="12"/>
      <w:bookmarkEnd w:id="13"/>
      <w:bookmarkEnd w:id="14"/>
    </w:p>
    <w:p>
      <w:pPr>
        <w:pStyle w:val="6"/>
        <w:spacing w:line="360" w:lineRule="exact"/>
        <w:ind w:firstLine="281" w:firstLineChars="100"/>
        <w:jc w:val="both"/>
        <w:rPr>
          <w:rFonts w:ascii="方正仿宋_GBK" w:hAnsi="方正仿宋_GBK" w:eastAsia="方正仿宋_GBK" w:cs="方正仿宋_GBK"/>
          <w:sz w:val="28"/>
        </w:rPr>
      </w:pPr>
      <w:r>
        <w:rPr>
          <w:rFonts w:hint="eastAsia" w:ascii="仿宋" w:hAnsi="仿宋" w:eastAsia="仿宋" w:cs="仿宋"/>
          <w:sz w:val="28"/>
        </w:rPr>
        <w:t>分包2：</w:t>
      </w:r>
    </w:p>
    <w:p>
      <w:pPr>
        <w:pStyle w:val="6"/>
        <w:spacing w:line="360"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脆李避雨设施栽培试验基地监测仪器设备数量、限价</w:t>
      </w:r>
    </w:p>
    <w:tbl>
      <w:tblPr>
        <w:tblStyle w:val="23"/>
        <w:tblW w:w="51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3"/>
        <w:gridCol w:w="992"/>
        <w:gridCol w:w="727"/>
        <w:gridCol w:w="1522"/>
        <w:gridCol w:w="15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sz w:val="24"/>
              </w:rPr>
            </w:pPr>
            <w:r>
              <w:rPr>
                <w:rFonts w:hint="eastAsia" w:ascii="方正仿宋_GBK" w:hAnsi="宋体" w:eastAsia="方正仿宋_GBK" w:cs="宋体"/>
                <w:sz w:val="24"/>
              </w:rPr>
              <w:t>序号</w:t>
            </w:r>
          </w:p>
        </w:tc>
        <w:tc>
          <w:tcPr>
            <w:tcW w:w="2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名称</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单位</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数量</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最高单价（元）</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小计（元）</w:t>
            </w:r>
          </w:p>
        </w:tc>
        <w:tc>
          <w:tcPr>
            <w:tcW w:w="15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作物生长环境监测站</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套</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1</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26800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26800</w:t>
            </w:r>
          </w:p>
        </w:tc>
        <w:tc>
          <w:tcPr>
            <w:tcW w:w="151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sz w:val="24"/>
              </w:rPr>
              <w:t>需配备物联网监测系统（软件平台）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宋体" w:eastAsia="方正仿宋_GBK" w:cs="宋体"/>
                <w:color w:val="000000"/>
                <w:szCs w:val="21"/>
              </w:rPr>
            </w:pPr>
            <w:r>
              <w:rPr>
                <w:rFonts w:hint="eastAsia" w:ascii="方正仿宋_GBK" w:hAnsi="宋体" w:eastAsia="方正仿宋_GBK" w:cs="宋体"/>
                <w:color w:val="000000"/>
                <w:kern w:val="0"/>
                <w:szCs w:val="21"/>
              </w:rPr>
              <w:t>2</w:t>
            </w:r>
          </w:p>
        </w:tc>
        <w:tc>
          <w:tcPr>
            <w:tcW w:w="2817"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eastAsia="方正仿宋_GBK"/>
                <w:kern w:val="0"/>
                <w:sz w:val="22"/>
                <w:szCs w:val="22"/>
              </w:rPr>
            </w:pPr>
            <w:r>
              <w:rPr>
                <w:rFonts w:hint="eastAsia" w:eastAsia="方正仿宋_GBK"/>
                <w:kern w:val="0"/>
                <w:sz w:val="22"/>
                <w:szCs w:val="22"/>
              </w:rPr>
              <w:t>气候+作物生长环境监测站</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套</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1</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37800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37800</w:t>
            </w:r>
          </w:p>
        </w:tc>
        <w:tc>
          <w:tcPr>
            <w:tcW w:w="1511" w:type="dxa"/>
            <w:vMerge w:val="continue"/>
            <w:tcBorders>
              <w:left w:val="single" w:color="auto" w:sz="4" w:space="0"/>
              <w:right w:val="single" w:color="auto" w:sz="4" w:space="0"/>
            </w:tcBorders>
            <w:vAlign w:val="center"/>
          </w:tcPr>
          <w:p>
            <w:pPr>
              <w:widowControl/>
              <w:jc w:val="center"/>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3</w:t>
            </w:r>
          </w:p>
        </w:tc>
        <w:tc>
          <w:tcPr>
            <w:tcW w:w="2817"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eastAsia="方正仿宋_GBK"/>
                <w:kern w:val="0"/>
                <w:sz w:val="22"/>
                <w:szCs w:val="22"/>
              </w:rPr>
            </w:pPr>
            <w:r>
              <w:rPr>
                <w:rFonts w:hint="eastAsia" w:eastAsia="方正仿宋_GBK"/>
                <w:kern w:val="0"/>
                <w:sz w:val="22"/>
                <w:szCs w:val="22"/>
              </w:rPr>
              <w:t>智能视频监控系统</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套</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1</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9600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9600</w:t>
            </w:r>
          </w:p>
        </w:tc>
        <w:tc>
          <w:tcPr>
            <w:tcW w:w="1511" w:type="dxa"/>
            <w:vMerge w:val="continue"/>
            <w:tcBorders>
              <w:left w:val="single" w:color="auto" w:sz="4" w:space="0"/>
              <w:right w:val="single" w:color="auto" w:sz="4" w:space="0"/>
            </w:tcBorders>
            <w:vAlign w:val="center"/>
          </w:tcPr>
          <w:p>
            <w:pPr>
              <w:widowControl/>
              <w:jc w:val="center"/>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2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总计</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74200</w:t>
            </w:r>
          </w:p>
        </w:tc>
        <w:tc>
          <w:tcPr>
            <w:tcW w:w="1511" w:type="dxa"/>
            <w:vMerge w:val="continue"/>
            <w:tcBorders>
              <w:left w:val="single" w:color="auto" w:sz="4" w:space="0"/>
              <w:right w:val="single" w:color="auto" w:sz="4" w:space="0"/>
            </w:tcBorders>
            <w:vAlign w:val="center"/>
          </w:tcPr>
          <w:p>
            <w:pPr>
              <w:widowControl/>
              <w:jc w:val="center"/>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66"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eastAsia="方正仿宋_GBK" w:cs="宋体"/>
                <w:kern w:val="0"/>
                <w:sz w:val="24"/>
              </w:rPr>
            </w:pPr>
            <w:r>
              <w:rPr>
                <w:rFonts w:hint="eastAsia" w:eastAsia="方正仿宋_GBK"/>
                <w:kern w:val="0"/>
                <w:sz w:val="22"/>
                <w:szCs w:val="22"/>
              </w:rPr>
              <w:t>报价供应商的报价为人民币一次性报价，含所投产品购置费、运输费、下车费、培训费、安装调试费、售后服务费以及其它一切税费。邀请报价超过限价的报价无效。</w:t>
            </w:r>
          </w:p>
        </w:tc>
      </w:tr>
    </w:tbl>
    <w:p>
      <w:pPr>
        <w:rPr>
          <w:rFonts w:ascii="仿宋" w:hAnsi="仿宋" w:eastAsia="仿宋" w:cs="仿宋"/>
          <w:b/>
          <w:sz w:val="28"/>
          <w:szCs w:val="28"/>
        </w:rPr>
      </w:pPr>
    </w:p>
    <w:p>
      <w:pPr>
        <w:ind w:firstLine="562" w:firstLineChars="200"/>
        <w:rPr>
          <w:rFonts w:ascii="仿宋" w:hAnsi="仿宋" w:eastAsia="仿宋" w:cs="仿宋"/>
          <w:b/>
          <w:sz w:val="28"/>
          <w:szCs w:val="28"/>
        </w:rPr>
      </w:pPr>
      <w:r>
        <w:rPr>
          <w:rFonts w:hint="eastAsia" w:ascii="仿宋" w:hAnsi="仿宋" w:eastAsia="仿宋" w:cs="仿宋"/>
          <w:b/>
          <w:sz w:val="28"/>
          <w:szCs w:val="28"/>
        </w:rPr>
        <w:t>四、资格要求</w:t>
      </w:r>
    </w:p>
    <w:bookmarkEnd w:id="15"/>
    <w:bookmarkEnd w:id="16"/>
    <w:bookmarkEnd w:id="17"/>
    <w:bookmarkEnd w:id="18"/>
    <w:bookmarkEnd w:id="19"/>
    <w:bookmarkEnd w:id="20"/>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（一）基本资格条件</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报价人应符合《中华人民共和国政府采购法》第二十二条及相关法律法规的规定：</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具有独立法人资格；</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具有良好的商业信誉；</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 具有履行合同所需专业技术能力。</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 参加本次招标活动前三年内，在经营活动中没有重大违法记录。</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5.投标人所提供的一切资料必须真实可靠，如资料不实将取消其中标资格，竞标供应商须对所造成不良后果负法律责任。</w:t>
      </w:r>
    </w:p>
    <w:p>
      <w:pPr>
        <w:snapToGrid w:val="0"/>
        <w:spacing w:line="440" w:lineRule="exact"/>
        <w:ind w:firstLine="560" w:firstLineChars="200"/>
        <w:rPr>
          <w:rFonts w:hint="eastAsia" w:ascii="方正仿宋_GBK" w:hAnsi="方正仿宋_GBK" w:eastAsia="方正仿宋_GBK" w:cs="方正仿宋_GBK"/>
          <w:sz w:val="28"/>
          <w:szCs w:val="28"/>
        </w:rPr>
      </w:pPr>
      <w:bookmarkStart w:id="30" w:name="_Toc32030"/>
      <w:bookmarkStart w:id="31" w:name="_Toc46319870"/>
      <w:bookmarkStart w:id="32" w:name="_Toc46271585"/>
      <w:r>
        <w:rPr>
          <w:rFonts w:hint="eastAsia" w:ascii="方正仿宋_GBK" w:hAnsi="方正仿宋_GBK" w:eastAsia="方正仿宋_GBK" w:cs="方正仿宋_GBK"/>
          <w:sz w:val="28"/>
          <w:szCs w:val="28"/>
        </w:rPr>
        <w:t>（二）特定资格条件</w:t>
      </w:r>
    </w:p>
    <w:p>
      <w:pPr>
        <w:snapToGrid w:val="0"/>
        <w:spacing w:line="440" w:lineRule="exact"/>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分包2 ：投标人经营范围包含</w:t>
      </w:r>
      <w:r>
        <w:rPr>
          <w:rFonts w:hint="eastAsia" w:ascii="仿宋" w:hAnsi="仿宋" w:eastAsia="仿宋" w:cs="宋体"/>
          <w:sz w:val="28"/>
          <w:szCs w:val="28"/>
        </w:rPr>
        <w:t>仪</w:t>
      </w:r>
      <w:r>
        <w:rPr>
          <w:rFonts w:hint="eastAsia" w:ascii="仿宋" w:hAnsi="仿宋" w:eastAsia="仿宋" w:cs="___WRD_EMBED_SUB_46"/>
          <w:sz w:val="28"/>
          <w:szCs w:val="28"/>
        </w:rPr>
        <w:t>器仪表或信</w:t>
      </w:r>
      <w:r>
        <w:rPr>
          <w:rFonts w:hint="eastAsia" w:ascii="仿宋" w:hAnsi="仿宋" w:eastAsia="仿宋" w:cs="宋体"/>
          <w:sz w:val="28"/>
          <w:szCs w:val="28"/>
        </w:rPr>
        <w:t>息</w:t>
      </w:r>
      <w:r>
        <w:rPr>
          <w:rFonts w:hint="eastAsia" w:ascii="仿宋" w:hAnsi="仿宋" w:eastAsia="仿宋" w:cs="___WRD_EMBED_SUB_46"/>
          <w:sz w:val="28"/>
          <w:szCs w:val="28"/>
        </w:rPr>
        <w:t>系统集成服务等经营范围。（需提供营业执照复印件加盖公章，原件备查）。重庆市内有环境或气象设备安装业绩（提供业绩建设合同）。</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仿宋" w:hAnsi="仿宋" w:eastAsia="仿宋" w:cs="宋体"/>
          <w:sz w:val="28"/>
          <w:szCs w:val="28"/>
        </w:rPr>
        <w:t>五</w:t>
      </w:r>
      <w:r>
        <w:rPr>
          <w:rFonts w:hint="eastAsia" w:ascii="仿宋" w:hAnsi="仿宋" w:eastAsia="仿宋" w:cs="___WRD_EMBED_SUB_46"/>
          <w:sz w:val="28"/>
          <w:szCs w:val="28"/>
        </w:rPr>
        <w:t>、招标文件的</w:t>
      </w:r>
      <w:r>
        <w:rPr>
          <w:rFonts w:hint="eastAsia" w:ascii="仿宋" w:hAnsi="仿宋" w:eastAsia="仿宋" w:cs="宋体"/>
          <w:sz w:val="28"/>
          <w:szCs w:val="28"/>
        </w:rPr>
        <w:t>获</w:t>
      </w:r>
      <w:r>
        <w:rPr>
          <w:rFonts w:hint="eastAsia" w:ascii="仿宋" w:hAnsi="仿宋" w:eastAsia="仿宋" w:cs="___WRD_EMBED_SUB_46"/>
          <w:sz w:val="28"/>
          <w:szCs w:val="28"/>
        </w:rPr>
        <w:t>取</w:t>
      </w:r>
      <w:r>
        <w:rPr>
          <w:rFonts w:hint="eastAsia" w:ascii="仿宋" w:hAnsi="仿宋" w:eastAsia="仿宋" w:cs="方正仿宋_GBK"/>
          <w:sz w:val="28"/>
          <w:szCs w:val="28"/>
        </w:rPr>
        <w:t>有意愿参加招标采</w:t>
      </w:r>
      <w:r>
        <w:rPr>
          <w:rFonts w:hint="eastAsia" w:ascii="方正仿宋_GBK" w:hAnsi="方正仿宋_GBK" w:eastAsia="方正仿宋_GBK" w:cs="方正仿宋_GBK"/>
          <w:sz w:val="28"/>
          <w:szCs w:val="28"/>
        </w:rPr>
        <w:t>购的供应商，请于2022年9月2</w:t>
      </w: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日至</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r>
        <w:rPr>
          <w:rFonts w:hint="eastAsia" w:ascii="方正仿宋_GBK" w:hAnsi="方正仿宋_GBK" w:eastAsia="方正仿宋_GBK" w:cs="方正仿宋_GBK"/>
          <w:sz w:val="28"/>
          <w:szCs w:val="28"/>
        </w:rPr>
        <w:t>日内，登录重庆市奉节县人民政府网下载招标文件及相关资料。下载网址：</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（http://www.cqfj.gov.cn/index/bm_168/nyncwyh/zwxx_61704/gsgg_107031/）。</w:t>
      </w:r>
    </w:p>
    <w:p>
      <w:pPr>
        <w:snapToGrid w:val="0"/>
        <w:spacing w:line="440" w:lineRule="exact"/>
        <w:ind w:firstLine="560" w:firstLineChars="200"/>
        <w:rPr>
          <w:rFonts w:hint="eastAsia" w:ascii="___WRD_EMBED_SUB_46" w:hAnsi="___WRD_EMBED_SUB_46" w:eastAsia="___WRD_EMBED_SUB_46" w:cs="___WRD_EMBED_SUB_46"/>
          <w:sz w:val="28"/>
          <w:szCs w:val="28"/>
        </w:rPr>
      </w:pPr>
      <w:r>
        <w:rPr>
          <w:rFonts w:hint="eastAsia" w:ascii="宋体" w:hAnsi="宋体" w:cs="宋体"/>
          <w:sz w:val="28"/>
          <w:szCs w:val="28"/>
        </w:rPr>
        <w:t>六</w:t>
      </w:r>
      <w:r>
        <w:rPr>
          <w:rFonts w:hint="eastAsia" w:ascii="___WRD_EMBED_SUB_46" w:hAnsi="___WRD_EMBED_SUB_46" w:eastAsia="___WRD_EMBED_SUB_46" w:cs="___WRD_EMBED_SUB_46"/>
          <w:sz w:val="28"/>
          <w:szCs w:val="28"/>
        </w:rPr>
        <w:t>、开标时间及地点</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1.递交竞标文件的时间及地点</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1.1递交截止时间：2022年</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:30</w:t>
      </w:r>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1.2.递交的地点：奉节县农业农村委员会3楼会议室（奉节县夔州路388号）2.开标的时间：2022年</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：30。</w:t>
      </w:r>
    </w:p>
    <w:p>
      <w:pPr>
        <w:snapToGrid w:val="0"/>
        <w:spacing w:line="440" w:lineRule="exact"/>
        <w:ind w:firstLine="560" w:firstLineChars="200"/>
        <w:rPr>
          <w:rFonts w:ascii="方正仿宋_GBK" w:hAnsi="方正仿宋_GBK" w:eastAsia="方正仿宋_GBK" w:cs="方正仿宋_GBK"/>
          <w:sz w:val="28"/>
          <w:szCs w:val="28"/>
        </w:rPr>
      </w:pPr>
      <w:bookmarkStart w:id="33" w:name="_Toc1896"/>
      <w:bookmarkStart w:id="34" w:name="_Toc8858"/>
      <w:r>
        <w:rPr>
          <w:rFonts w:hint="eastAsia" w:ascii="方正仿宋_GBK" w:hAnsi="方正仿宋_GBK" w:eastAsia="方正仿宋_GBK" w:cs="方正仿宋_GBK"/>
          <w:sz w:val="28"/>
          <w:szCs w:val="28"/>
        </w:rPr>
        <w:t>3.开标的地点：奉节县农业农村委员会3楼会议室</w:t>
      </w:r>
      <w:bookmarkEnd w:id="33"/>
      <w:bookmarkEnd w:id="34"/>
    </w:p>
    <w:p>
      <w:pPr>
        <w:spacing w:line="520" w:lineRule="exact"/>
        <w:ind w:firstLine="562" w:firstLineChars="200"/>
        <w:outlineLvl w:val="2"/>
        <w:rPr>
          <w:rFonts w:ascii="仿宋" w:hAnsi="仿宋" w:eastAsia="仿宋" w:cs="仿宋"/>
          <w:b/>
          <w:bCs/>
          <w:sz w:val="28"/>
          <w:szCs w:val="28"/>
        </w:rPr>
      </w:pPr>
      <w:bookmarkStart w:id="35" w:name="_Toc23688"/>
      <w:bookmarkStart w:id="36" w:name="_Toc11905"/>
      <w:r>
        <w:rPr>
          <w:rFonts w:hint="eastAsia" w:ascii="仿宋" w:hAnsi="仿宋" w:eastAsia="仿宋" w:cs="仿宋"/>
          <w:b/>
          <w:bCs/>
          <w:sz w:val="28"/>
          <w:szCs w:val="28"/>
        </w:rPr>
        <w:t>七、其他要求</w:t>
      </w:r>
      <w:bookmarkEnd w:id="35"/>
      <w:bookmarkEnd w:id="36"/>
    </w:p>
    <w:p>
      <w:pPr>
        <w:snapToGrid w:val="0"/>
        <w:spacing w:line="44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1.无论投标结果如何，供应商参与本项目投标的所有费用、责任和风险均应由供应商自行承担。</w:t>
      </w:r>
    </w:p>
    <w:p>
      <w:pPr>
        <w:snapToGrid w:val="0"/>
        <w:spacing w:line="44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2.响应文件A4幅面，双面或单面打印简装成册，投标文件正本一份，副本两份，副本为正本的复印件。</w:t>
      </w:r>
    </w:p>
    <w:p>
      <w:pPr>
        <w:pStyle w:val="2"/>
        <w:ind w:firstLine="560" w:firstLineChars="200"/>
        <w:jc w:val="left"/>
        <w:rPr>
          <w:rFonts w:hint="default" w:eastAsia="方正仿宋_GBK"/>
          <w:lang w:val="en-US" w:eastAsia="zh-CN"/>
        </w:rPr>
      </w:pPr>
      <w:r>
        <w:rPr>
          <w:rFonts w:hint="eastAsia" w:ascii="方正仿宋_GBK" w:hAnsi="方正仿宋_GBK" w:eastAsia="方正仿宋_GBK" w:cs="方正仿宋_GBK"/>
          <w:sz w:val="28"/>
          <w:szCs w:val="28"/>
          <w:lang w:val="en-US" w:eastAsia="zh-CN"/>
        </w:rPr>
        <w:t>3.本次招标采购不收投标保证金。</w:t>
      </w:r>
    </w:p>
    <w:p>
      <w:pPr>
        <w:pStyle w:val="2"/>
        <w:ind w:left="63" w:right="63"/>
        <w:jc w:val="both"/>
        <w:rPr>
          <w:rFonts w:eastAsia="方正仿宋_GBK"/>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.中标单位必须保证建设工期30天完成，即在中标后一个月内（2022年10月30日前）完成全部建设内容并通过验收交付使用。</w:t>
      </w:r>
    </w:p>
    <w:p>
      <w:pPr>
        <w:spacing w:line="520" w:lineRule="exact"/>
        <w:ind w:firstLine="562" w:firstLineChars="200"/>
        <w:outlineLvl w:val="2"/>
        <w:rPr>
          <w:rFonts w:ascii="仿宋" w:hAnsi="仿宋" w:eastAsia="仿宋" w:cs="仿宋"/>
          <w:sz w:val="28"/>
          <w:szCs w:val="28"/>
        </w:rPr>
      </w:pPr>
      <w:bookmarkStart w:id="37" w:name="_Toc3122"/>
      <w:bookmarkStart w:id="38" w:name="_Toc6121"/>
      <w:r>
        <w:rPr>
          <w:rFonts w:hint="eastAsia" w:ascii="仿宋" w:hAnsi="仿宋" w:eastAsia="仿宋" w:cs="仿宋"/>
          <w:b/>
          <w:bCs/>
          <w:sz w:val="28"/>
          <w:szCs w:val="28"/>
        </w:rPr>
        <w:t>八、联系方式</w:t>
      </w:r>
      <w:bookmarkEnd w:id="21"/>
      <w:bookmarkEnd w:id="22"/>
      <w:bookmarkEnd w:id="23"/>
      <w:bookmarkEnd w:id="24"/>
      <w:bookmarkEnd w:id="30"/>
      <w:bookmarkEnd w:id="31"/>
      <w:bookmarkEnd w:id="32"/>
      <w:bookmarkEnd w:id="37"/>
      <w:bookmarkEnd w:id="38"/>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招标人： 奉节县农业技术服务中心</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地址：奉节县永安街道彩云街106号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联系人：邓龙辉  电话：023--56510926   13594808628</w:t>
      </w:r>
    </w:p>
    <w:p>
      <w:pPr>
        <w:spacing w:line="520" w:lineRule="exact"/>
        <w:jc w:val="center"/>
        <w:rPr>
          <w:rFonts w:ascii="仿宋" w:hAnsi="仿宋" w:eastAsia="仿宋" w:cs="仿宋"/>
          <w:sz w:val="28"/>
          <w:szCs w:val="28"/>
        </w:rPr>
      </w:pPr>
    </w:p>
    <w:p>
      <w:pPr>
        <w:spacing w:line="520" w:lineRule="exact"/>
        <w:jc w:val="center"/>
        <w:rPr>
          <w:rFonts w:ascii="仿宋" w:hAnsi="仿宋" w:eastAsia="仿宋" w:cs="仿宋"/>
          <w:sz w:val="28"/>
          <w:szCs w:val="28"/>
        </w:rPr>
      </w:pPr>
      <w:r>
        <w:rPr>
          <w:rFonts w:hint="eastAsia" w:ascii="仿宋" w:hAnsi="仿宋" w:eastAsia="仿宋" w:cs="仿宋"/>
          <w:sz w:val="28"/>
          <w:szCs w:val="28"/>
        </w:rPr>
        <w:t xml:space="preserve">                            2022年9月</w:t>
      </w:r>
      <w:r>
        <w:rPr>
          <w:rFonts w:hint="eastAsia" w:ascii="仿宋" w:hAnsi="仿宋" w:eastAsia="仿宋" w:cs="仿宋"/>
          <w:sz w:val="28"/>
          <w:szCs w:val="28"/>
          <w:lang w:val="en-US" w:eastAsia="zh-CN"/>
        </w:rPr>
        <w:t>26</w:t>
      </w:r>
      <w:r>
        <w:rPr>
          <w:rFonts w:hint="eastAsia" w:ascii="仿宋" w:hAnsi="仿宋" w:eastAsia="仿宋" w:cs="仿宋"/>
          <w:sz w:val="28"/>
          <w:szCs w:val="28"/>
        </w:rPr>
        <w:t>日</w:t>
      </w:r>
    </w:p>
    <w:p>
      <w:pPr>
        <w:spacing w:line="52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br w:type="page"/>
      </w:r>
    </w:p>
    <w:bookmarkEnd w:id="25"/>
    <w:bookmarkEnd w:id="26"/>
    <w:bookmarkEnd w:id="27"/>
    <w:bookmarkEnd w:id="28"/>
    <w:bookmarkEnd w:id="29"/>
    <w:p>
      <w:pPr>
        <w:pStyle w:val="20"/>
        <w:rPr>
          <w:color w:val="000000"/>
        </w:rPr>
      </w:pPr>
      <w:bookmarkStart w:id="39" w:name="_Toc8406"/>
      <w:bookmarkStart w:id="40" w:name="_Toc28229"/>
      <w:bookmarkStart w:id="41" w:name="A16"/>
      <w:r>
        <w:rPr>
          <w:rFonts w:hint="eastAsia"/>
          <w:color w:val="000000"/>
        </w:rPr>
        <w:t>第二章</w:t>
      </w:r>
      <w:bookmarkEnd w:id="39"/>
      <w:r>
        <w:rPr>
          <w:rFonts w:hint="eastAsia"/>
          <w:color w:val="000000"/>
        </w:rPr>
        <w:t xml:space="preserve">  质量技术指标要求</w:t>
      </w:r>
      <w:bookmarkEnd w:id="40"/>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奉节县脆李避雨设施栽培探索试验项目相关试验设备建设内容及技术要求如下：</w:t>
      </w:r>
    </w:p>
    <w:p>
      <w:pPr>
        <w:spacing w:line="360" w:lineRule="auto"/>
        <w:ind w:firstLine="482" w:firstLineChars="200"/>
        <w:rPr>
          <w:rFonts w:ascii="仿宋" w:hAnsi="仿宋" w:eastAsia="仿宋" w:cs="仿宋"/>
        </w:rPr>
      </w:pPr>
      <w:r>
        <w:rPr>
          <w:rFonts w:hint="eastAsia" w:ascii="仿宋" w:hAnsi="仿宋" w:eastAsia="仿宋" w:cs="仿宋"/>
          <w:b/>
          <w:bCs/>
          <w:sz w:val="24"/>
        </w:rPr>
        <w:t>分包2：监测仪器设备技术指标要</w:t>
      </w:r>
      <w:bookmarkStart w:id="42" w:name="_Toc46271601"/>
      <w:bookmarkStart w:id="43" w:name="_Toc46319886"/>
      <w:bookmarkStart w:id="44" w:name="_Toc24861"/>
      <w:bookmarkStart w:id="45" w:name="_Toc14916"/>
      <w:bookmarkStart w:id="46" w:name="_Toc11685"/>
      <w:r>
        <w:rPr>
          <w:rFonts w:hint="eastAsia" w:ascii="仿宋" w:hAnsi="仿宋" w:eastAsia="仿宋" w:cs="仿宋"/>
          <w:b/>
          <w:bCs/>
          <w:sz w:val="24"/>
        </w:rPr>
        <w:t>求</w:t>
      </w:r>
      <w:bookmarkEnd w:id="42"/>
      <w:bookmarkEnd w:id="43"/>
      <w:bookmarkEnd w:id="44"/>
      <w:bookmarkEnd w:id="45"/>
      <w:bookmarkEnd w:id="46"/>
      <w:r>
        <w:rPr>
          <w:rFonts w:hint="eastAsia" w:ascii="仿宋" w:hAnsi="仿宋" w:eastAsia="仿宋" w:cs="仿宋"/>
          <w:b/>
          <w:bCs/>
          <w:sz w:val="24"/>
        </w:rPr>
        <w:t>：</w:t>
      </w:r>
      <w:bookmarkStart w:id="47" w:name="_Toc46319906"/>
      <w:bookmarkStart w:id="48" w:name="_Toc46271621"/>
    </w:p>
    <w:tbl>
      <w:tblPr>
        <w:tblStyle w:val="23"/>
        <w:tblW w:w="9187" w:type="dxa"/>
        <w:tblInd w:w="-57" w:type="dxa"/>
        <w:tblLayout w:type="fixed"/>
        <w:tblCellMar>
          <w:top w:w="0" w:type="dxa"/>
          <w:left w:w="0" w:type="dxa"/>
          <w:bottom w:w="0" w:type="dxa"/>
          <w:right w:w="0" w:type="dxa"/>
        </w:tblCellMar>
      </w:tblPr>
      <w:tblGrid>
        <w:gridCol w:w="608"/>
        <w:gridCol w:w="881"/>
        <w:gridCol w:w="7698"/>
      </w:tblGrid>
      <w:tr>
        <w:tblPrEx>
          <w:tblCellMar>
            <w:top w:w="0" w:type="dxa"/>
            <w:left w:w="0" w:type="dxa"/>
            <w:bottom w:w="0" w:type="dxa"/>
            <w:right w:w="0" w:type="dxa"/>
          </w:tblCellMar>
        </w:tblPrEx>
        <w:tc>
          <w:tcPr>
            <w:tcW w:w="608"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widowControl/>
              <w:adjustRightInd w:val="0"/>
              <w:snapToGrid w:val="0"/>
              <w:spacing w:line="240" w:lineRule="atLeast"/>
              <w:jc w:val="center"/>
              <w:textAlignment w:val="top"/>
              <w:rPr>
                <w:rFonts w:ascii="宋体" w:cs="宋体"/>
                <w:color w:val="000000"/>
              </w:rPr>
            </w:pPr>
            <w:r>
              <w:rPr>
                <w:rFonts w:hint="eastAsia" w:ascii="宋体" w:hAnsi="宋体" w:cs="宋体"/>
                <w:color w:val="000000"/>
                <w:kern w:val="0"/>
              </w:rPr>
              <w:t>序号</w:t>
            </w:r>
          </w:p>
        </w:tc>
        <w:tc>
          <w:tcPr>
            <w:tcW w:w="8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widowControl/>
              <w:adjustRightInd w:val="0"/>
              <w:snapToGrid w:val="0"/>
              <w:spacing w:line="240" w:lineRule="atLeast"/>
              <w:jc w:val="center"/>
              <w:textAlignment w:val="top"/>
              <w:rPr>
                <w:rFonts w:ascii="宋体" w:cs="宋体"/>
                <w:color w:val="000000"/>
              </w:rPr>
            </w:pPr>
            <w:r>
              <w:rPr>
                <w:rFonts w:hint="eastAsia" w:ascii="宋体" w:hAnsi="宋体" w:cs="宋体"/>
                <w:color w:val="000000"/>
              </w:rPr>
              <w:t>采购货物</w:t>
            </w:r>
          </w:p>
        </w:tc>
        <w:tc>
          <w:tcPr>
            <w:tcW w:w="769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top"/>
              <w:rPr>
                <w:rFonts w:ascii="宋体" w:cs="宋体"/>
                <w:color w:val="000000"/>
                <w:kern w:val="0"/>
              </w:rPr>
            </w:pPr>
            <w:r>
              <w:rPr>
                <w:rFonts w:hint="eastAsia" w:ascii="宋体" w:hAnsi="宋体" w:cs="宋体"/>
                <w:color w:val="000000"/>
                <w:kern w:val="0"/>
              </w:rPr>
              <w:t>技术参数</w:t>
            </w:r>
          </w:p>
        </w:tc>
      </w:tr>
      <w:tr>
        <w:tblPrEx>
          <w:tblCellMar>
            <w:top w:w="0" w:type="dxa"/>
            <w:left w:w="0" w:type="dxa"/>
            <w:bottom w:w="0" w:type="dxa"/>
            <w:right w:w="0" w:type="dxa"/>
          </w:tblCellMar>
        </w:tblPrEx>
        <w:tc>
          <w:tcPr>
            <w:tcW w:w="60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center"/>
              <w:rPr>
                <w:rFonts w:ascii="宋体" w:cs="宋体"/>
                <w:color w:val="000000"/>
              </w:rPr>
            </w:pPr>
            <w:r>
              <w:rPr>
                <w:rFonts w:ascii="宋体" w:hAnsi="宋体" w:cs="宋体"/>
                <w:color w:val="000000"/>
                <w:kern w:val="0"/>
              </w:rPr>
              <w:t>1</w:t>
            </w:r>
          </w:p>
        </w:tc>
        <w:tc>
          <w:tcPr>
            <w:tcW w:w="8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top"/>
              <w:rPr>
                <w:rFonts w:ascii="宋体" w:cs="宋体"/>
                <w:color w:val="000000"/>
              </w:rPr>
            </w:pPr>
            <w:r>
              <w:rPr>
                <w:rFonts w:hint="eastAsia" w:ascii="宋体" w:hAnsi="宋体" w:cs="宋体"/>
                <w:color w:val="000000"/>
                <w:kern w:val="0"/>
              </w:rPr>
              <w:t>物联网环境监测系统（软件平台）</w:t>
            </w:r>
          </w:p>
        </w:tc>
        <w:tc>
          <w:tcPr>
            <w:tcW w:w="769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pStyle w:val="60"/>
              <w:ind w:firstLine="0" w:firstLineChars="0"/>
              <w:rPr>
                <w:rFonts w:ascii="方正仿宋_GBK" w:hAnsi="宋体" w:eastAsia="方正仿宋_GBK" w:cs="宋体"/>
              </w:rPr>
            </w:pPr>
            <w:r>
              <w:rPr>
                <w:rFonts w:hint="eastAsia" w:ascii="方正仿宋_GBK" w:hAnsi="宋体" w:eastAsia="方正仿宋_GBK" w:cs="宋体"/>
                <w:color w:val="000000"/>
                <w:kern w:val="0"/>
              </w:rPr>
              <w:t>其中物联网环境监测系统主要功能如下：</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（1）</w:t>
            </w:r>
            <w:r>
              <w:rPr>
                <w:rFonts w:hint="eastAsia"/>
              </w:rPr>
              <w:t>★</w:t>
            </w:r>
            <w:r>
              <w:rPr>
                <w:rFonts w:hint="eastAsia" w:ascii="方正仿宋_GBK" w:hAnsi="宋体" w:eastAsia="方正仿宋_GBK" w:cs="宋体"/>
              </w:rPr>
              <w:t>云平台应具备设备展示功能；其中应包含实时数据、历史数据、数据报表、单个图和比对图等子功能。</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（2）</w:t>
            </w:r>
            <w:r>
              <w:rPr>
                <w:rFonts w:hint="eastAsia"/>
              </w:rPr>
              <w:t>★</w:t>
            </w:r>
            <w:r>
              <w:rPr>
                <w:rFonts w:hint="eastAsia" w:ascii="方正仿宋_GBK" w:hAnsi="宋体" w:eastAsia="方正仿宋_GBK" w:cs="宋体"/>
              </w:rPr>
              <w:t>具有GIS地图查看功能</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（3）</w:t>
            </w:r>
            <w:r>
              <w:rPr>
                <w:rFonts w:hint="eastAsia"/>
              </w:rPr>
              <w:t>★</w:t>
            </w:r>
            <w:r>
              <w:rPr>
                <w:rFonts w:hint="eastAsia" w:ascii="方正仿宋_GBK" w:hAnsi="宋体" w:eastAsia="方正仿宋_GBK" w:cs="宋体"/>
              </w:rPr>
              <w:t>具有设备查看功能</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（4）</w:t>
            </w:r>
            <w:r>
              <w:rPr>
                <w:rFonts w:hint="eastAsia"/>
              </w:rPr>
              <w:t>★</w:t>
            </w:r>
            <w:r>
              <w:rPr>
                <w:rFonts w:hint="eastAsia" w:ascii="方正仿宋_GBK" w:hAnsi="宋体" w:eastAsia="方正仿宋_GBK" w:cs="宋体"/>
              </w:rPr>
              <w:t>具有设备管理功能</w:t>
            </w:r>
          </w:p>
          <w:p>
            <w:pPr>
              <w:pStyle w:val="2"/>
              <w:ind w:left="63" w:right="63"/>
              <w:jc w:val="both"/>
              <w:rPr>
                <w:rFonts w:ascii="方正仿宋_GBK" w:hAnsi="方正仿宋_GBK" w:eastAsia="方正仿宋_GBK"/>
              </w:rPr>
            </w:pPr>
            <w:r>
              <w:rPr>
                <w:rFonts w:hint="eastAsia" w:ascii="方正仿宋_GBK" w:hAnsi="方正仿宋_GBK" w:eastAsia="方正仿宋_GBK"/>
              </w:rPr>
              <w:t>（5）</w:t>
            </w:r>
            <w:r>
              <w:rPr>
                <w:rFonts w:hint="eastAsia"/>
              </w:rPr>
              <w:t>★</w:t>
            </w:r>
            <w:r>
              <w:rPr>
                <w:rFonts w:hint="eastAsia" w:ascii="方正仿宋_GBK" w:hAnsi="方正仿宋_GBK" w:eastAsia="方正仿宋_GBK"/>
              </w:rPr>
              <w:t>应支持web、微信公众号、微信二维码扫一扫访问。</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（6）</w:t>
            </w:r>
            <w:r>
              <w:rPr>
                <w:rFonts w:hint="eastAsia"/>
              </w:rPr>
              <w:t>★</w:t>
            </w:r>
            <w:r>
              <w:rPr>
                <w:rFonts w:hint="eastAsia" w:ascii="方正仿宋_GBK" w:hAnsi="宋体" w:eastAsia="方正仿宋_GBK" w:cs="宋体"/>
              </w:rPr>
              <w:t>物联网云平台支持实时监控视频查看。</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（7）</w:t>
            </w:r>
            <w:r>
              <w:rPr>
                <w:rFonts w:hint="eastAsia"/>
              </w:rPr>
              <w:t>★</w:t>
            </w:r>
            <w:r>
              <w:rPr>
                <w:rFonts w:hint="eastAsia" w:ascii="方正仿宋_GBK" w:hAnsi="宋体" w:eastAsia="方正仿宋_GBK" w:cs="宋体"/>
              </w:rPr>
              <w:t>平台中的设备应具有关联其它监测站点数据的功能（即一台设备可以关联另一台设备的数据）。</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（8）设备展示里面包括数据导出功能。</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（9）设备地图能够查找出自动气象站设备的安装位置，以百度地图展示。</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（10）设备查看能够将所监测到的自动气象站以表格、曲线形式对比展示。</w:t>
            </w:r>
          </w:p>
          <w:p>
            <w:pPr>
              <w:adjustRightInd w:val="0"/>
              <w:snapToGrid w:val="0"/>
              <w:spacing w:line="240" w:lineRule="atLeast"/>
              <w:jc w:val="left"/>
              <w:rPr>
                <w:rFonts w:ascii="方正仿宋_GBK" w:hAnsi="宋体" w:eastAsia="方正仿宋_GBK" w:cs="宋体"/>
              </w:rPr>
            </w:pPr>
            <w:r>
              <w:rPr>
                <w:rFonts w:hint="eastAsia" w:ascii="方正仿宋_GBK" w:hAnsi="宋体" w:eastAsia="方正仿宋_GBK" w:cs="宋体"/>
              </w:rPr>
              <w:t>（11）设备管理能够对各站点的访问权限进行修改。</w:t>
            </w:r>
          </w:p>
          <w:p>
            <w:pPr>
              <w:adjustRightInd w:val="0"/>
              <w:snapToGrid w:val="0"/>
              <w:spacing w:line="240" w:lineRule="atLeast"/>
              <w:jc w:val="left"/>
              <w:rPr>
                <w:rFonts w:ascii="方正仿宋_GBK" w:hAnsi="方正仿宋_GBK" w:eastAsia="方正仿宋_GBK" w:cs="宋体"/>
              </w:rPr>
            </w:pPr>
            <w:r>
              <w:rPr>
                <w:rFonts w:hint="eastAsia" w:ascii="方正仿宋_GBK" w:hAnsi="宋体" w:eastAsia="方正仿宋_GBK" w:cs="宋体"/>
              </w:rPr>
              <w:t>通过手机微信扫一扫设备二维码能够有如下功能：</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（1）实时数据显示</w:t>
            </w:r>
          </w:p>
          <w:p>
            <w:pPr>
              <w:pStyle w:val="60"/>
              <w:ind w:firstLine="0" w:firstLineChars="0"/>
              <w:rPr>
                <w:rFonts w:ascii="方正仿宋_GBK" w:hAnsi="方正仿宋_GBK" w:eastAsia="方正仿宋_GBK" w:cs="宋体"/>
              </w:rPr>
            </w:pPr>
            <w:r>
              <w:rPr>
                <w:rFonts w:hint="eastAsia" w:ascii="方正仿宋_GBK" w:hAnsi="宋体" w:eastAsia="方正仿宋_GBK" w:cs="宋体"/>
              </w:rPr>
              <w:t>（2）历史记录；历史记录能够记录出存储的历史数据，且能够计算出最大值、最小值和平均值功能，以表格形式展示。</w:t>
            </w:r>
          </w:p>
          <w:p>
            <w:pPr>
              <w:pStyle w:val="60"/>
              <w:ind w:firstLine="0" w:firstLineChars="0"/>
              <w:rPr>
                <w:rFonts w:ascii="宋体" w:cs="宋体"/>
              </w:rPr>
            </w:pPr>
            <w:r>
              <w:rPr>
                <w:rFonts w:hint="eastAsia" w:ascii="方正仿宋_GBK" w:hAnsi="方正仿宋_GBK" w:eastAsia="方正仿宋_GBK"/>
              </w:rPr>
              <w:t>（3）历史数据曲线图展示功能。</w:t>
            </w:r>
          </w:p>
        </w:tc>
      </w:tr>
      <w:tr>
        <w:tblPrEx>
          <w:tblCellMar>
            <w:top w:w="0" w:type="dxa"/>
            <w:left w:w="0" w:type="dxa"/>
            <w:bottom w:w="0" w:type="dxa"/>
            <w:right w:w="0" w:type="dxa"/>
          </w:tblCellMar>
        </w:tblPrEx>
        <w:trPr>
          <w:trHeight w:val="1687" w:hRule="atLeast"/>
        </w:trPr>
        <w:tc>
          <w:tcPr>
            <w:tcW w:w="60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center"/>
              <w:rPr>
                <w:rFonts w:ascii="宋体" w:cs="宋体"/>
                <w:color w:val="000000"/>
              </w:rPr>
            </w:pPr>
            <w:r>
              <w:rPr>
                <w:rFonts w:ascii="宋体" w:hAnsi="宋体" w:cs="宋体"/>
                <w:color w:val="000000"/>
                <w:kern w:val="0"/>
              </w:rPr>
              <w:t>2</w:t>
            </w:r>
          </w:p>
        </w:tc>
        <w:tc>
          <w:tcPr>
            <w:tcW w:w="8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top"/>
              <w:rPr>
                <w:rFonts w:ascii="宋体" w:cs="宋体"/>
                <w:color w:val="000000"/>
              </w:rPr>
            </w:pPr>
            <w:r>
              <w:rPr>
                <w:rFonts w:hint="eastAsia" w:ascii="宋体" w:hAnsi="宋体" w:cs="宋体"/>
                <w:color w:val="000000"/>
                <w:kern w:val="0"/>
              </w:rPr>
              <w:t>作物生长环境监测站</w:t>
            </w:r>
          </w:p>
        </w:tc>
        <w:tc>
          <w:tcPr>
            <w:tcW w:w="769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pStyle w:val="19"/>
              <w:widowControl/>
              <w:adjustRightInd w:val="0"/>
              <w:snapToGrid w:val="0"/>
              <w:spacing w:before="0" w:beforeAutospacing="0" w:after="0" w:afterAutospacing="0" w:line="240" w:lineRule="atLeast"/>
              <w:rPr>
                <w:rFonts w:ascii="宋体" w:cs="宋体"/>
                <w:color w:val="000000"/>
                <w:sz w:val="21"/>
                <w:szCs w:val="21"/>
              </w:rPr>
            </w:pPr>
            <w:r>
              <w:rPr>
                <w:rFonts w:hint="eastAsia" w:ascii="宋体" w:hAnsi="宋体" w:cs="宋体"/>
                <w:color w:val="000000"/>
                <w:sz w:val="21"/>
                <w:szCs w:val="21"/>
              </w:rPr>
              <w:t>主机要求：</w:t>
            </w:r>
          </w:p>
          <w:p>
            <w:pPr>
              <w:pStyle w:val="19"/>
              <w:widowControl/>
              <w:adjustRightInd w:val="0"/>
              <w:snapToGrid w:val="0"/>
              <w:spacing w:before="0" w:beforeAutospacing="0" w:after="0" w:afterAutospacing="0" w:line="240" w:lineRule="atLeast"/>
              <w:rPr>
                <w:rFonts w:asci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rPr>
              <w:t>、监测站智能遥测终端系统内置</w:t>
            </w:r>
            <w:r>
              <w:rPr>
                <w:rFonts w:ascii="宋体" w:hAnsi="宋体" w:cs="宋体"/>
                <w:color w:val="000000"/>
                <w:sz w:val="21"/>
                <w:szCs w:val="21"/>
              </w:rPr>
              <w:t>10.1</w:t>
            </w:r>
            <w:r>
              <w:rPr>
                <w:rFonts w:hint="eastAsia" w:ascii="宋体" w:hAnsi="宋体" w:cs="宋体"/>
                <w:color w:val="000000"/>
                <w:sz w:val="21"/>
                <w:szCs w:val="21"/>
              </w:rPr>
              <w:t>寸可触摸操作液晶显示屏（全彩屏分辨率≧</w:t>
            </w:r>
            <w:r>
              <w:rPr>
                <w:rFonts w:ascii="宋体" w:hAnsi="宋体" w:cs="宋体"/>
                <w:color w:val="000000"/>
                <w:sz w:val="21"/>
                <w:szCs w:val="21"/>
              </w:rPr>
              <w:t>1366</w:t>
            </w:r>
            <w:r>
              <w:rPr>
                <w:rFonts w:hint="eastAsia" w:ascii="宋体" w:hAnsi="宋体" w:cs="宋体"/>
                <w:color w:val="000000"/>
                <w:sz w:val="21"/>
                <w:szCs w:val="21"/>
              </w:rPr>
              <w:t>×</w:t>
            </w:r>
            <w:r>
              <w:rPr>
                <w:rFonts w:ascii="宋体" w:hAnsi="宋体" w:cs="宋体"/>
                <w:color w:val="000000"/>
                <w:sz w:val="21"/>
                <w:szCs w:val="21"/>
              </w:rPr>
              <w:t>768</w:t>
            </w:r>
            <w:r>
              <w:rPr>
                <w:rFonts w:hint="eastAsia" w:ascii="宋体" w:hAnsi="宋体" w:cs="宋体"/>
                <w:color w:val="000000"/>
                <w:sz w:val="21"/>
                <w:szCs w:val="21"/>
              </w:rPr>
              <w:t>）；数据采集系统为</w:t>
            </w:r>
            <w:r>
              <w:rPr>
                <w:rFonts w:ascii="宋体" w:hAnsi="宋体" w:cs="宋体"/>
                <w:color w:val="000000"/>
                <w:sz w:val="21"/>
                <w:szCs w:val="21"/>
              </w:rPr>
              <w:t>windows</w:t>
            </w:r>
            <w:r>
              <w:rPr>
                <w:rFonts w:hint="eastAsia" w:ascii="宋体" w:hAnsi="宋体" w:cs="宋体"/>
                <w:color w:val="000000"/>
                <w:sz w:val="21"/>
                <w:szCs w:val="21"/>
              </w:rPr>
              <w:t>操作系统；串口≧</w:t>
            </w:r>
            <w:r>
              <w:rPr>
                <w:rFonts w:ascii="宋体" w:hAnsi="宋体" w:cs="宋体"/>
                <w:color w:val="000000"/>
                <w:sz w:val="21"/>
                <w:szCs w:val="21"/>
              </w:rPr>
              <w:t>4</w:t>
            </w:r>
            <w:r>
              <w:rPr>
                <w:rFonts w:hint="eastAsia" w:ascii="宋体" w:hAnsi="宋体" w:cs="宋体"/>
                <w:color w:val="000000"/>
                <w:sz w:val="21"/>
                <w:szCs w:val="21"/>
              </w:rPr>
              <w:t>个；内存≧</w:t>
            </w:r>
            <w:r>
              <w:rPr>
                <w:rFonts w:ascii="宋体" w:hAnsi="宋体" w:cs="宋体"/>
                <w:color w:val="000000"/>
                <w:sz w:val="21"/>
                <w:szCs w:val="21"/>
              </w:rPr>
              <w:t>2G</w:t>
            </w:r>
            <w:r>
              <w:rPr>
                <w:rFonts w:hint="eastAsia" w:ascii="宋体" w:hAnsi="宋体" w:cs="宋体"/>
                <w:color w:val="000000"/>
                <w:sz w:val="21"/>
                <w:szCs w:val="21"/>
              </w:rPr>
              <w:t>；必须具有实时数据显示，具有</w:t>
            </w:r>
            <w:r>
              <w:rPr>
                <w:rFonts w:ascii="宋体" w:hAnsi="宋体" w:cs="宋体"/>
                <w:color w:val="000000"/>
                <w:sz w:val="21"/>
                <w:szCs w:val="21"/>
              </w:rPr>
              <w:t>LED</w:t>
            </w:r>
            <w:r>
              <w:rPr>
                <w:rFonts w:hint="eastAsia" w:ascii="宋体" w:hAnsi="宋体" w:cs="宋体"/>
                <w:color w:val="000000"/>
                <w:sz w:val="21"/>
                <w:szCs w:val="21"/>
              </w:rPr>
              <w:t>显示屏通讯接口功能（</w:t>
            </w:r>
            <w:r>
              <w:rPr>
                <w:rFonts w:hint="eastAsia" w:ascii="仿宋" w:hAnsi="仿宋" w:eastAsia="仿宋" w:cs="仿宋"/>
                <w:b/>
                <w:bCs/>
              </w:rPr>
              <w:t>提供制造厂家的不小于10.1寸的智能遥测终端系统软件著作权复印件加盖公章和厂家的授权书</w:t>
            </w:r>
            <w:r>
              <w:rPr>
                <w:rFonts w:hint="eastAsia" w:ascii="宋体" w:hAnsi="宋体" w:cs="宋体"/>
                <w:b/>
                <w:bCs/>
                <w:color w:val="000000"/>
                <w:sz w:val="21"/>
                <w:szCs w:val="21"/>
              </w:rPr>
              <w:t>）；</w:t>
            </w:r>
            <w:r>
              <w:rPr>
                <w:rFonts w:ascii="宋体" w:cs="宋体"/>
                <w:b/>
                <w:bCs/>
                <w:color w:val="000000"/>
                <w:sz w:val="21"/>
                <w:szCs w:val="21"/>
              </w:rPr>
              <w:t xml:space="preserve"> </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2</w:t>
            </w:r>
            <w:r>
              <w:rPr>
                <w:rFonts w:hint="eastAsia" w:ascii="宋体" w:hAnsi="宋体" w:cs="宋体"/>
                <w:color w:val="000000"/>
                <w:sz w:val="21"/>
                <w:szCs w:val="21"/>
              </w:rPr>
              <w:t>、数据查看：网络查看和微信查看，用户在任何一台联网的电脑和手机微信扫设备二维码登录即可查看及分析数据信息，实现数据远程监控的目的。数据都可存储到云端或下载到本地电脑中进行存储和分析，永不丢失。</w:t>
            </w:r>
          </w:p>
          <w:p>
            <w:pPr>
              <w:pStyle w:val="19"/>
              <w:widowControl/>
              <w:adjustRightInd w:val="0"/>
              <w:snapToGrid w:val="0"/>
              <w:spacing w:before="0" w:beforeAutospacing="0" w:after="0" w:afterAutospacing="0" w:line="240" w:lineRule="atLeast"/>
              <w:rPr>
                <w:rFonts w:ascii="宋体" w:cs="宋体"/>
                <w:sz w:val="21"/>
                <w:szCs w:val="21"/>
              </w:rPr>
            </w:pPr>
            <w:r>
              <w:rPr>
                <w:rFonts w:hint="eastAsia" w:ascii="宋体" w:hAnsi="宋体" w:cs="宋体"/>
                <w:color w:val="000000"/>
                <w:sz w:val="21"/>
                <w:szCs w:val="21"/>
              </w:rPr>
              <w:t>云平台功能：</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1</w:t>
            </w:r>
            <w:r>
              <w:rPr>
                <w:rFonts w:hint="eastAsia" w:ascii="宋体" w:hAnsi="宋体" w:cs="宋体"/>
                <w:color w:val="000000"/>
                <w:sz w:val="21"/>
                <w:szCs w:val="21"/>
              </w:rPr>
              <w:t>、可将所有硬件数据上传到</w:t>
            </w:r>
            <w:r>
              <w:rPr>
                <w:rFonts w:hint="eastAsia" w:ascii="宋体" w:hAnsi="宋体" w:cs="宋体"/>
                <w:sz w:val="21"/>
                <w:szCs w:val="21"/>
              </w:rPr>
              <w:t>物联网平台</w:t>
            </w:r>
            <w:r>
              <w:rPr>
                <w:rFonts w:hint="eastAsia" w:ascii="宋体" w:hAnsi="宋体" w:cs="宋体"/>
                <w:color w:val="000000"/>
                <w:sz w:val="21"/>
                <w:szCs w:val="21"/>
              </w:rPr>
              <w:t>。</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2</w:t>
            </w:r>
            <w:r>
              <w:rPr>
                <w:rFonts w:hint="eastAsia" w:ascii="宋体" w:hAnsi="宋体" w:cs="宋体"/>
                <w:color w:val="000000"/>
                <w:sz w:val="21"/>
                <w:szCs w:val="21"/>
              </w:rPr>
              <w:t>、要求包含手机微信直接扫描设备二维码，查看数据以及报表、曲线分析数据。</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3</w:t>
            </w:r>
            <w:r>
              <w:rPr>
                <w:rFonts w:hint="eastAsia" w:ascii="宋体" w:hAnsi="宋体" w:cs="宋体"/>
                <w:color w:val="000000"/>
                <w:sz w:val="21"/>
                <w:szCs w:val="21"/>
              </w:rPr>
              <w:t>、可查看某个站点指定传感器在指定时间范围内的数据报表信息，也可将结果导出到</w:t>
            </w:r>
            <w:r>
              <w:rPr>
                <w:rFonts w:ascii="宋体" w:hAnsi="宋体" w:cs="宋体"/>
                <w:color w:val="000000"/>
                <w:sz w:val="21"/>
                <w:szCs w:val="21"/>
              </w:rPr>
              <w:t>Excel</w:t>
            </w:r>
            <w:r>
              <w:rPr>
                <w:rFonts w:hint="eastAsia" w:ascii="宋体" w:hAnsi="宋体" w:cs="宋体"/>
                <w:color w:val="000000"/>
                <w:sz w:val="21"/>
                <w:szCs w:val="21"/>
              </w:rPr>
              <w:t>。</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4</w:t>
            </w:r>
            <w:r>
              <w:rPr>
                <w:rFonts w:hint="eastAsia" w:ascii="宋体" w:hAnsi="宋体" w:cs="宋体"/>
                <w:color w:val="000000"/>
                <w:sz w:val="21"/>
                <w:szCs w:val="21"/>
              </w:rPr>
              <w:t>、可查看某个站点在指定时间月份、年份的数据报表信息。</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5</w:t>
            </w:r>
            <w:r>
              <w:rPr>
                <w:rFonts w:hint="eastAsia" w:ascii="宋体" w:hAnsi="宋体" w:cs="宋体"/>
                <w:color w:val="000000"/>
                <w:sz w:val="21"/>
                <w:szCs w:val="21"/>
              </w:rPr>
              <w:t>、可将备份的数据或本地整理的数据导入到数据库，也可将导入的数据删除。</w:t>
            </w:r>
          </w:p>
          <w:p>
            <w:pPr>
              <w:pStyle w:val="19"/>
              <w:widowControl/>
              <w:shd w:val="clear" w:color="auto" w:fill="FFFFFF"/>
              <w:adjustRightInd w:val="0"/>
              <w:snapToGrid w:val="0"/>
              <w:spacing w:before="0" w:beforeAutospacing="0" w:after="0" w:afterAutospacing="0" w:line="240" w:lineRule="atLeast"/>
              <w:rPr>
                <w:rFonts w:ascii="宋体" w:cs="宋体"/>
                <w:color w:val="000000"/>
                <w:sz w:val="21"/>
                <w:szCs w:val="21"/>
              </w:rPr>
            </w:pPr>
            <w:r>
              <w:rPr>
                <w:rFonts w:ascii="宋体" w:hAnsi="宋体" w:cs="宋体"/>
                <w:color w:val="000000"/>
                <w:sz w:val="21"/>
                <w:szCs w:val="21"/>
              </w:rPr>
              <w:t>6</w:t>
            </w:r>
            <w:r>
              <w:rPr>
                <w:rFonts w:hint="eastAsia" w:ascii="宋体" w:hAnsi="宋体" w:cs="宋体"/>
                <w:color w:val="000000"/>
                <w:sz w:val="21"/>
                <w:szCs w:val="21"/>
              </w:rPr>
              <w:t>、作物生长环境传感器技术参数：</w:t>
            </w:r>
          </w:p>
          <w:p>
            <w:pPr>
              <w:pStyle w:val="19"/>
              <w:widowControl/>
              <w:shd w:val="clear" w:color="auto" w:fill="FFFFFF"/>
              <w:adjustRightInd w:val="0"/>
              <w:snapToGrid w:val="0"/>
              <w:spacing w:before="0" w:beforeAutospacing="0" w:after="0" w:afterAutospacing="0" w:line="240" w:lineRule="atLeast"/>
              <w:rPr>
                <w:rFonts w:ascii="宋体" w:cs="宋体"/>
                <w:color w:val="000000"/>
                <w:sz w:val="21"/>
                <w:szCs w:val="21"/>
              </w:rPr>
            </w:pPr>
            <w:r>
              <w:rPr>
                <w:rFonts w:hint="eastAsia" w:ascii="宋体" w:hAnsi="宋体" w:cs="宋体"/>
                <w:color w:val="000000"/>
                <w:sz w:val="21"/>
                <w:szCs w:val="21"/>
              </w:rPr>
              <w:t>土壤水分</w:t>
            </w:r>
            <w:r>
              <w:rPr>
                <w:rFonts w:ascii="宋体" w:hAnsi="宋体" w:cs="宋体"/>
                <w:color w:val="000000"/>
                <w:sz w:val="21"/>
                <w:szCs w:val="21"/>
              </w:rPr>
              <w:t>(3</w:t>
            </w:r>
            <w:r>
              <w:rPr>
                <w:rFonts w:hint="eastAsia" w:ascii="宋体" w:hAnsi="宋体" w:cs="宋体"/>
                <w:color w:val="000000"/>
                <w:sz w:val="21"/>
                <w:szCs w:val="21"/>
              </w:rPr>
              <w:t>个</w:t>
            </w:r>
            <w:r>
              <w:rPr>
                <w:rFonts w:ascii="宋体" w:hAnsi="宋体" w:cs="宋体"/>
                <w:color w:val="000000"/>
                <w:sz w:val="21"/>
                <w:szCs w:val="21"/>
              </w:rPr>
              <w:t>)</w:t>
            </w:r>
            <w:r>
              <w:rPr>
                <w:rFonts w:hint="eastAsia" w:ascii="宋体" w:hAnsi="宋体" w:cs="宋体"/>
                <w:color w:val="000000"/>
                <w:sz w:val="21"/>
                <w:szCs w:val="21"/>
              </w:rPr>
              <w:t>测量范围：</w:t>
            </w:r>
            <w:r>
              <w:rPr>
                <w:rFonts w:ascii="宋体" w:hAnsi="宋体" w:cs="宋体"/>
                <w:color w:val="000000"/>
                <w:sz w:val="21"/>
                <w:szCs w:val="21"/>
              </w:rPr>
              <w:t>0-100%</w:t>
            </w:r>
            <w:r>
              <w:rPr>
                <w:rFonts w:hint="eastAsia" w:ascii="宋体" w:hAnsi="宋体" w:cs="宋体"/>
                <w:color w:val="000000"/>
                <w:sz w:val="21"/>
                <w:szCs w:val="21"/>
              </w:rPr>
              <w:t>，分辨率：</w:t>
            </w:r>
            <w:r>
              <w:rPr>
                <w:rFonts w:ascii="宋体" w:hAnsi="宋体" w:cs="宋体"/>
                <w:color w:val="000000"/>
                <w:sz w:val="21"/>
                <w:szCs w:val="21"/>
              </w:rPr>
              <w:t>0.01%</w:t>
            </w:r>
            <w:r>
              <w:rPr>
                <w:rFonts w:hint="eastAsia" w:ascii="宋体" w:hAnsi="宋体" w:cs="宋体"/>
                <w:color w:val="000000"/>
                <w:sz w:val="21"/>
                <w:szCs w:val="21"/>
              </w:rPr>
              <w:t>，准确度：±</w:t>
            </w:r>
            <w:r>
              <w:rPr>
                <w:rFonts w:ascii="宋体" w:hAnsi="宋体" w:cs="宋体"/>
                <w:color w:val="000000"/>
                <w:sz w:val="21"/>
                <w:szCs w:val="21"/>
              </w:rPr>
              <w:t>2%</w:t>
            </w:r>
            <w:r>
              <w:rPr>
                <w:rFonts w:hint="eastAsia" w:ascii="宋体" w:hAnsi="宋体" w:cs="宋体"/>
                <w:color w:val="000000"/>
                <w:sz w:val="21"/>
                <w:szCs w:val="21"/>
              </w:rPr>
              <w:t>。</w:t>
            </w:r>
          </w:p>
          <w:p>
            <w:pPr>
              <w:pStyle w:val="19"/>
              <w:widowControl/>
              <w:shd w:val="clear" w:color="auto" w:fill="FFFFFF"/>
              <w:adjustRightInd w:val="0"/>
              <w:snapToGrid w:val="0"/>
              <w:spacing w:before="0" w:beforeAutospacing="0" w:after="0" w:afterAutospacing="0" w:line="240" w:lineRule="atLeast"/>
              <w:rPr>
                <w:rFonts w:ascii="宋体" w:hAnsi="宋体" w:cs="宋体"/>
                <w:color w:val="000000"/>
                <w:sz w:val="21"/>
                <w:szCs w:val="21"/>
              </w:rPr>
            </w:pPr>
            <w:r>
              <w:rPr>
                <w:rFonts w:hint="eastAsia" w:ascii="宋体" w:hAnsi="宋体" w:cs="宋体"/>
                <w:color w:val="000000"/>
                <w:sz w:val="21"/>
                <w:szCs w:val="21"/>
              </w:rPr>
              <w:t>土壤温度（</w:t>
            </w:r>
            <w:r>
              <w:rPr>
                <w:rFonts w:ascii="宋体" w:hAnsi="宋体" w:cs="宋体"/>
                <w:color w:val="000000"/>
                <w:sz w:val="21"/>
                <w:szCs w:val="21"/>
              </w:rPr>
              <w:t>3</w:t>
            </w:r>
            <w:r>
              <w:rPr>
                <w:rFonts w:hint="eastAsia" w:ascii="宋体" w:hAnsi="宋体" w:cs="宋体"/>
                <w:color w:val="000000"/>
                <w:sz w:val="21"/>
                <w:szCs w:val="21"/>
              </w:rPr>
              <w:t>个</w:t>
            </w:r>
            <w:r>
              <w:rPr>
                <w:rFonts w:ascii="宋体" w:hAnsi="宋体" w:cs="宋体"/>
                <w:color w:val="000000"/>
                <w:sz w:val="21"/>
                <w:szCs w:val="21"/>
              </w:rPr>
              <w:t>)</w:t>
            </w:r>
            <w:r>
              <w:rPr>
                <w:rFonts w:hint="eastAsia" w:ascii="宋体" w:hAnsi="宋体" w:cs="宋体"/>
                <w:color w:val="000000"/>
                <w:sz w:val="21"/>
                <w:szCs w:val="21"/>
              </w:rPr>
              <w:t>测量范围：</w:t>
            </w:r>
            <w:r>
              <w:rPr>
                <w:rFonts w:ascii="宋体" w:hAnsi="宋体" w:cs="宋体"/>
                <w:color w:val="000000"/>
                <w:sz w:val="21"/>
                <w:szCs w:val="21"/>
              </w:rPr>
              <w:t>-50-80</w:t>
            </w:r>
            <w:r>
              <w:rPr>
                <w:rFonts w:hint="eastAsia" w:ascii="宋体" w:hAnsi="宋体" w:cs="宋体"/>
                <w:color w:val="000000"/>
                <w:sz w:val="21"/>
                <w:szCs w:val="21"/>
              </w:rPr>
              <w:t>℃，分辨率：</w:t>
            </w:r>
            <w:r>
              <w:rPr>
                <w:rFonts w:ascii="宋体" w:hAnsi="宋体" w:cs="宋体"/>
                <w:color w:val="000000"/>
                <w:sz w:val="21"/>
                <w:szCs w:val="21"/>
              </w:rPr>
              <w:t>0.01</w:t>
            </w:r>
            <w:r>
              <w:rPr>
                <w:rFonts w:hint="eastAsia" w:ascii="宋体" w:hAnsi="宋体" w:cs="宋体"/>
                <w:color w:val="000000"/>
                <w:sz w:val="21"/>
                <w:szCs w:val="21"/>
              </w:rPr>
              <w:t>℃，准确度：</w:t>
            </w:r>
            <w:r>
              <w:rPr>
                <w:rFonts w:ascii="宋体" w:hAnsi="宋体" w:cs="宋体"/>
                <w:color w:val="000000"/>
                <w:sz w:val="21"/>
                <w:szCs w:val="21"/>
              </w:rPr>
              <w:t>0.2</w:t>
            </w:r>
            <w:r>
              <w:rPr>
                <w:rFonts w:hint="eastAsia" w:ascii="宋体" w:hAnsi="宋体" w:cs="宋体"/>
                <w:color w:val="000000"/>
                <w:sz w:val="21"/>
                <w:szCs w:val="21"/>
              </w:rPr>
              <w:t>℃。</w:t>
            </w:r>
          </w:p>
          <w:p>
            <w:pPr>
              <w:pStyle w:val="19"/>
              <w:widowControl/>
              <w:shd w:val="clear" w:color="auto" w:fill="FFFFFF"/>
              <w:adjustRightInd w:val="0"/>
              <w:snapToGrid w:val="0"/>
              <w:spacing w:before="0" w:beforeAutospacing="0" w:after="0" w:afterAutospacing="0" w:line="240" w:lineRule="atLeast"/>
              <w:rPr>
                <w:rFonts w:ascii="宋体" w:hAnsi="宋体" w:cs="宋体"/>
                <w:color w:val="000000"/>
                <w:sz w:val="21"/>
                <w:szCs w:val="21"/>
              </w:rPr>
            </w:pPr>
            <w:r>
              <w:rPr>
                <w:rFonts w:hint="eastAsia" w:ascii="宋体" w:hAnsi="宋体" w:cs="宋体"/>
                <w:color w:val="000000"/>
                <w:sz w:val="21"/>
                <w:szCs w:val="21"/>
              </w:rPr>
              <w:t>土壤盐分（</w:t>
            </w:r>
            <w:r>
              <w:rPr>
                <w:rFonts w:ascii="宋体" w:hAnsi="宋体" w:cs="宋体"/>
                <w:color w:val="000000"/>
                <w:sz w:val="21"/>
                <w:szCs w:val="21"/>
              </w:rPr>
              <w:t>3</w:t>
            </w:r>
            <w:r>
              <w:rPr>
                <w:rFonts w:hint="eastAsia" w:ascii="宋体" w:hAnsi="宋体" w:cs="宋体"/>
                <w:color w:val="000000"/>
                <w:sz w:val="21"/>
                <w:szCs w:val="21"/>
              </w:rPr>
              <w:t>个</w:t>
            </w:r>
            <w:r>
              <w:rPr>
                <w:rFonts w:ascii="宋体" w:hAnsi="宋体" w:cs="宋体"/>
                <w:color w:val="000000"/>
                <w:sz w:val="21"/>
                <w:szCs w:val="21"/>
              </w:rPr>
              <w:t>)</w:t>
            </w:r>
            <w:r>
              <w:rPr>
                <w:rFonts w:hint="eastAsia"/>
              </w:rPr>
              <w:t xml:space="preserve"> 测量范围：</w:t>
            </w:r>
            <w:r>
              <w:t>0</w:t>
            </w:r>
            <w:r>
              <w:rPr>
                <w:rFonts w:hint="eastAsia"/>
              </w:rPr>
              <w:t>～</w:t>
            </w:r>
            <w:r>
              <w:t>8000mg/L</w:t>
            </w:r>
            <w:r>
              <w:rPr>
                <w:rFonts w:hint="eastAsia"/>
              </w:rPr>
              <w:t>，测量精度：±</w:t>
            </w:r>
            <w:r>
              <w:t>2%</w:t>
            </w:r>
            <w:r>
              <w:rPr>
                <w:rFonts w:hint="eastAsia"/>
              </w:rPr>
              <w:t>，分辨率：</w:t>
            </w:r>
            <w:r>
              <w:t>0.1mg/L</w:t>
            </w:r>
            <w:r>
              <w:rPr>
                <w:rFonts w:hint="eastAsia"/>
              </w:rPr>
              <w:t>。</w:t>
            </w:r>
          </w:p>
          <w:p>
            <w:pPr>
              <w:shd w:val="clear" w:color="auto" w:fill="FFFFFF"/>
              <w:adjustRightInd w:val="0"/>
              <w:snapToGrid w:val="0"/>
              <w:spacing w:line="240" w:lineRule="atLeast"/>
            </w:pPr>
            <w:r>
              <w:rPr>
                <w:rFonts w:hint="eastAsia"/>
              </w:rPr>
              <w:t>作物树中温度（</w:t>
            </w:r>
            <w:r>
              <w:t>3</w:t>
            </w:r>
            <w:r>
              <w:rPr>
                <w:rFonts w:hint="eastAsia"/>
              </w:rPr>
              <w:t>个</w:t>
            </w:r>
            <w:r>
              <w:t>)</w:t>
            </w:r>
            <w:r>
              <w:rPr>
                <w:rFonts w:hint="eastAsia"/>
              </w:rPr>
              <w:t>测量范围：</w:t>
            </w:r>
            <w:r>
              <w:rPr>
                <w:rFonts w:ascii="宋体" w:hAnsi="宋体" w:cs="宋体"/>
                <w:color w:val="000000"/>
                <w:szCs w:val="21"/>
              </w:rPr>
              <w:t>-50-100</w:t>
            </w:r>
            <w:r>
              <w:rPr>
                <w:rFonts w:hint="eastAsia" w:ascii="宋体" w:hAnsi="宋体" w:cs="宋体"/>
                <w:color w:val="000000"/>
                <w:szCs w:val="21"/>
              </w:rPr>
              <w:t>℃，分辨率：</w:t>
            </w:r>
            <w:r>
              <w:rPr>
                <w:rFonts w:ascii="宋体" w:hAnsi="宋体" w:cs="宋体"/>
                <w:color w:val="000000"/>
                <w:szCs w:val="21"/>
              </w:rPr>
              <w:t>0.01</w:t>
            </w:r>
            <w:r>
              <w:rPr>
                <w:rFonts w:hint="eastAsia" w:ascii="宋体" w:hAnsi="宋体" w:cs="宋体"/>
                <w:color w:val="000000"/>
                <w:szCs w:val="21"/>
              </w:rPr>
              <w:t>℃，准确度：</w:t>
            </w:r>
            <w:r>
              <w:rPr>
                <w:rFonts w:ascii="宋体" w:hAnsi="宋体" w:cs="宋体"/>
                <w:color w:val="000000"/>
                <w:szCs w:val="21"/>
              </w:rPr>
              <w:t>0.2</w:t>
            </w:r>
            <w:r>
              <w:rPr>
                <w:rFonts w:hint="eastAsia" w:ascii="宋体" w:hAnsi="宋体" w:cs="宋体"/>
                <w:color w:val="000000"/>
                <w:szCs w:val="21"/>
              </w:rPr>
              <w:t>℃。</w:t>
            </w:r>
          </w:p>
          <w:p>
            <w:pPr>
              <w:shd w:val="clear" w:color="auto" w:fill="FFFFFF"/>
              <w:adjustRightInd w:val="0"/>
              <w:snapToGrid w:val="0"/>
              <w:spacing w:line="240" w:lineRule="atLeast"/>
            </w:pPr>
            <w:r>
              <w:rPr>
                <w:rFonts w:hint="eastAsia"/>
              </w:rPr>
              <w:t>作物树中湿度（3个</w:t>
            </w:r>
            <w:r>
              <w:t>)</w:t>
            </w:r>
            <w:r>
              <w:rPr>
                <w:rFonts w:hint="eastAsia"/>
              </w:rPr>
              <w:t>测量范围：</w:t>
            </w:r>
            <w:r>
              <w:rPr>
                <w:rFonts w:ascii="宋体" w:hAnsi="宋体" w:cs="宋体"/>
                <w:color w:val="000000"/>
                <w:szCs w:val="21"/>
              </w:rPr>
              <w:t>0-100%</w:t>
            </w:r>
            <w:r>
              <w:rPr>
                <w:rFonts w:hint="eastAsia" w:ascii="宋体" w:hAnsi="宋体" w:cs="宋体"/>
                <w:color w:val="000000"/>
                <w:szCs w:val="21"/>
              </w:rPr>
              <w:t>，分辨率：</w:t>
            </w:r>
            <w:r>
              <w:rPr>
                <w:rFonts w:ascii="宋体" w:hAnsi="宋体" w:cs="宋体"/>
                <w:color w:val="000000"/>
                <w:szCs w:val="21"/>
              </w:rPr>
              <w:t>0.01%</w:t>
            </w:r>
            <w:r>
              <w:rPr>
                <w:rFonts w:hint="eastAsia" w:ascii="宋体" w:hAnsi="宋体" w:cs="宋体"/>
                <w:color w:val="000000"/>
                <w:szCs w:val="21"/>
              </w:rPr>
              <w:t>，准确度：±</w:t>
            </w:r>
            <w:r>
              <w:rPr>
                <w:rFonts w:ascii="宋体" w:hAnsi="宋体" w:cs="宋体"/>
                <w:color w:val="000000"/>
                <w:szCs w:val="21"/>
              </w:rPr>
              <w:t>2%</w:t>
            </w:r>
            <w:r>
              <w:rPr>
                <w:rFonts w:hint="eastAsia" w:ascii="宋体" w:hAnsi="宋体" w:cs="宋体"/>
                <w:color w:val="000000"/>
                <w:szCs w:val="21"/>
              </w:rPr>
              <w:t>。</w:t>
            </w:r>
          </w:p>
          <w:p>
            <w:pPr>
              <w:pStyle w:val="2"/>
              <w:ind w:left="0" w:leftChars="0" w:right="63"/>
              <w:jc w:val="both"/>
            </w:pPr>
            <w:r>
              <w:rPr>
                <w:rFonts w:hint="eastAsia"/>
              </w:rPr>
              <w:t>作物树冠温度传感器（3个</w:t>
            </w:r>
            <w:r>
              <w:t>)</w:t>
            </w:r>
            <w:r>
              <w:rPr>
                <w:rFonts w:hint="eastAsia"/>
              </w:rPr>
              <w:t>：</w:t>
            </w:r>
            <w:r>
              <w:t>-50-100</w:t>
            </w:r>
            <w:r>
              <w:rPr>
                <w:rFonts w:hint="eastAsia"/>
              </w:rPr>
              <w:t>℃，分辨率：</w:t>
            </w:r>
            <w:r>
              <w:t>0.01</w:t>
            </w:r>
            <w:r>
              <w:rPr>
                <w:rFonts w:hint="eastAsia"/>
              </w:rPr>
              <w:t>℃，准确度：</w:t>
            </w:r>
            <w:r>
              <w:t>0.2</w:t>
            </w:r>
            <w:r>
              <w:rPr>
                <w:rFonts w:hint="eastAsia"/>
              </w:rPr>
              <w:t>℃。</w:t>
            </w:r>
          </w:p>
          <w:p>
            <w:pPr>
              <w:pStyle w:val="2"/>
              <w:ind w:left="0" w:leftChars="0" w:right="63"/>
              <w:jc w:val="both"/>
            </w:pPr>
            <w:r>
              <w:rPr>
                <w:rFonts w:hint="eastAsia"/>
              </w:rPr>
              <w:t>作物树冠湿度传感器（3个</w:t>
            </w:r>
            <w:r>
              <w:t>)</w:t>
            </w:r>
            <w:r>
              <w:rPr>
                <w:rFonts w:hint="eastAsia"/>
              </w:rPr>
              <w:t>：</w:t>
            </w:r>
            <w:r>
              <w:t>0-100%</w:t>
            </w:r>
            <w:r>
              <w:rPr>
                <w:rFonts w:hint="eastAsia"/>
              </w:rPr>
              <w:t>，分辨率：</w:t>
            </w:r>
            <w:r>
              <w:t>0.01%</w:t>
            </w:r>
            <w:r>
              <w:rPr>
                <w:rFonts w:hint="eastAsia"/>
              </w:rPr>
              <w:t>，准确度：±</w:t>
            </w:r>
            <w:r>
              <w:t>2%</w:t>
            </w:r>
            <w:r>
              <w:rPr>
                <w:rFonts w:hint="eastAsia"/>
              </w:rPr>
              <w:t>。</w:t>
            </w:r>
          </w:p>
          <w:p>
            <w:pPr>
              <w:widowControl/>
              <w:shd w:val="clear" w:color="auto" w:fill="FFFFFF"/>
              <w:adjustRightInd w:val="0"/>
              <w:snapToGrid w:val="0"/>
              <w:spacing w:line="240" w:lineRule="atLeast"/>
              <w:textAlignment w:val="center"/>
              <w:rPr>
                <w:rFonts w:ascii="宋体" w:cs="宋体"/>
                <w:color w:val="000000"/>
              </w:rPr>
            </w:pPr>
            <w:r>
              <w:rPr>
                <w:rFonts w:hint="eastAsia"/>
              </w:rPr>
              <w:t>标准配置：远程传输系统一套，安装支架一套，太阳能供电系统一套，温度、湿度、盐分、水分传感器一套，</w:t>
            </w:r>
            <w:r>
              <w:rPr>
                <w:rFonts w:hint="eastAsia" w:ascii="宋体" w:hAnsi="宋体" w:cs="宋体"/>
                <w:color w:val="000000"/>
              </w:rPr>
              <w:t>智能遥测终端系统一套，</w:t>
            </w:r>
            <w:r>
              <w:rPr>
                <w:rFonts w:hint="eastAsia"/>
              </w:rPr>
              <w:t>物联网卡一张（含5年的流量费用）。</w:t>
            </w:r>
          </w:p>
          <w:p>
            <w:pPr>
              <w:pStyle w:val="31"/>
              <w:adjustRightInd w:val="0"/>
              <w:snapToGrid w:val="0"/>
              <w:spacing w:line="240" w:lineRule="atLeast"/>
              <w:jc w:val="left"/>
            </w:pPr>
          </w:p>
        </w:tc>
      </w:tr>
      <w:tr>
        <w:tblPrEx>
          <w:tblCellMar>
            <w:top w:w="0" w:type="dxa"/>
            <w:left w:w="0" w:type="dxa"/>
            <w:bottom w:w="0" w:type="dxa"/>
            <w:right w:w="0" w:type="dxa"/>
          </w:tblCellMar>
        </w:tblPrEx>
        <w:tc>
          <w:tcPr>
            <w:tcW w:w="60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adjustRightInd w:val="0"/>
              <w:snapToGrid w:val="0"/>
              <w:spacing w:line="240" w:lineRule="atLeast"/>
              <w:jc w:val="center"/>
              <w:rPr>
                <w:rFonts w:ascii="宋体" w:cs="宋体"/>
                <w:color w:val="000000"/>
              </w:rPr>
            </w:pPr>
            <w:r>
              <w:rPr>
                <w:rFonts w:ascii="宋体" w:hAnsi="宋体" w:cs="宋体"/>
                <w:color w:val="000000"/>
              </w:rPr>
              <w:t>3</w:t>
            </w:r>
          </w:p>
        </w:tc>
        <w:tc>
          <w:tcPr>
            <w:tcW w:w="8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top"/>
              <w:rPr>
                <w:rFonts w:ascii="宋体" w:cs="宋体"/>
                <w:color w:val="000000"/>
              </w:rPr>
            </w:pPr>
            <w:r>
              <w:rPr>
                <w:rFonts w:hint="eastAsia" w:ascii="宋体" w:hAnsi="宋体" w:cs="宋体"/>
                <w:color w:val="000000"/>
                <w:kern w:val="0"/>
              </w:rPr>
              <w:t>气候+作物生长环境监测站</w:t>
            </w:r>
          </w:p>
        </w:tc>
        <w:tc>
          <w:tcPr>
            <w:tcW w:w="769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pStyle w:val="19"/>
              <w:widowControl/>
              <w:adjustRightInd w:val="0"/>
              <w:snapToGrid w:val="0"/>
              <w:spacing w:before="0" w:beforeAutospacing="0" w:after="0" w:afterAutospacing="0" w:line="240" w:lineRule="atLeast"/>
              <w:rPr>
                <w:rFonts w:ascii="宋体" w:cs="宋体"/>
                <w:color w:val="000000"/>
                <w:sz w:val="21"/>
                <w:szCs w:val="21"/>
              </w:rPr>
            </w:pPr>
            <w:r>
              <w:rPr>
                <w:rFonts w:hint="eastAsia" w:ascii="宋体" w:hAnsi="宋体" w:cs="宋体"/>
                <w:color w:val="000000"/>
                <w:sz w:val="21"/>
                <w:szCs w:val="21"/>
              </w:rPr>
              <w:t>主机要求：</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1</w:t>
            </w:r>
            <w:r>
              <w:rPr>
                <w:rFonts w:hint="eastAsia" w:ascii="宋体" w:hAnsi="宋体" w:cs="宋体"/>
                <w:color w:val="000000"/>
                <w:sz w:val="21"/>
                <w:szCs w:val="21"/>
              </w:rPr>
              <w:t>、监测站智能遥测终端系统内置不小于</w:t>
            </w:r>
            <w:r>
              <w:rPr>
                <w:rFonts w:ascii="宋体" w:hAnsi="宋体" w:cs="宋体"/>
                <w:color w:val="000000"/>
                <w:sz w:val="21"/>
                <w:szCs w:val="21"/>
              </w:rPr>
              <w:t>10.1</w:t>
            </w:r>
            <w:r>
              <w:rPr>
                <w:rFonts w:hint="eastAsia" w:ascii="宋体" w:hAnsi="宋体" w:cs="宋体"/>
                <w:color w:val="000000"/>
                <w:sz w:val="21"/>
                <w:szCs w:val="21"/>
              </w:rPr>
              <w:t>寸可触摸操作液晶显示屏（全彩屏分辨率≧</w:t>
            </w:r>
            <w:r>
              <w:rPr>
                <w:rFonts w:ascii="宋体" w:hAnsi="宋体" w:cs="宋体"/>
                <w:color w:val="000000"/>
                <w:sz w:val="21"/>
                <w:szCs w:val="21"/>
              </w:rPr>
              <w:t>1366</w:t>
            </w:r>
            <w:r>
              <w:rPr>
                <w:rFonts w:hint="eastAsia" w:ascii="宋体" w:hAnsi="宋体" w:cs="宋体"/>
                <w:color w:val="000000"/>
                <w:sz w:val="21"/>
                <w:szCs w:val="21"/>
              </w:rPr>
              <w:t>×</w:t>
            </w:r>
            <w:r>
              <w:rPr>
                <w:rFonts w:ascii="宋体" w:hAnsi="宋体" w:cs="宋体"/>
                <w:color w:val="000000"/>
                <w:sz w:val="21"/>
                <w:szCs w:val="21"/>
              </w:rPr>
              <w:t>768</w:t>
            </w:r>
            <w:r>
              <w:rPr>
                <w:rFonts w:hint="eastAsia" w:ascii="宋体" w:hAnsi="宋体" w:cs="宋体"/>
                <w:color w:val="000000"/>
                <w:sz w:val="21"/>
                <w:szCs w:val="21"/>
              </w:rPr>
              <w:t>）；数据采集系统为</w:t>
            </w:r>
            <w:r>
              <w:rPr>
                <w:rFonts w:ascii="宋体" w:hAnsi="宋体" w:cs="宋体"/>
                <w:color w:val="000000"/>
                <w:sz w:val="21"/>
                <w:szCs w:val="21"/>
              </w:rPr>
              <w:t>windows</w:t>
            </w:r>
            <w:r>
              <w:rPr>
                <w:rFonts w:hint="eastAsia" w:ascii="宋体" w:hAnsi="宋体" w:cs="宋体"/>
                <w:color w:val="000000"/>
                <w:sz w:val="21"/>
                <w:szCs w:val="21"/>
              </w:rPr>
              <w:t>操作系统；串口≧</w:t>
            </w:r>
            <w:r>
              <w:rPr>
                <w:rFonts w:ascii="宋体" w:hAnsi="宋体" w:cs="宋体"/>
                <w:color w:val="000000"/>
                <w:sz w:val="21"/>
                <w:szCs w:val="21"/>
              </w:rPr>
              <w:t>4</w:t>
            </w:r>
            <w:r>
              <w:rPr>
                <w:rFonts w:hint="eastAsia" w:ascii="宋体" w:hAnsi="宋体" w:cs="宋体"/>
                <w:color w:val="000000"/>
                <w:sz w:val="21"/>
                <w:szCs w:val="21"/>
              </w:rPr>
              <w:t>个；内存≧</w:t>
            </w:r>
            <w:r>
              <w:rPr>
                <w:rFonts w:ascii="宋体" w:hAnsi="宋体" w:cs="宋体"/>
                <w:color w:val="000000"/>
                <w:sz w:val="21"/>
                <w:szCs w:val="21"/>
              </w:rPr>
              <w:t>2G</w:t>
            </w:r>
            <w:r>
              <w:rPr>
                <w:rFonts w:hint="eastAsia" w:ascii="宋体" w:hAnsi="宋体" w:cs="宋体"/>
                <w:color w:val="000000"/>
                <w:sz w:val="21"/>
                <w:szCs w:val="21"/>
              </w:rPr>
              <w:t>；必须具有实时数据显示，具有</w:t>
            </w:r>
            <w:r>
              <w:rPr>
                <w:rFonts w:ascii="宋体" w:hAnsi="宋体" w:cs="宋体"/>
                <w:color w:val="000000"/>
                <w:sz w:val="21"/>
                <w:szCs w:val="21"/>
              </w:rPr>
              <w:t>LED</w:t>
            </w:r>
            <w:r>
              <w:rPr>
                <w:rFonts w:hint="eastAsia" w:ascii="宋体" w:hAnsi="宋体" w:cs="宋体"/>
                <w:color w:val="000000"/>
                <w:sz w:val="21"/>
                <w:szCs w:val="21"/>
              </w:rPr>
              <w:t>显示屏通讯接口功能（</w:t>
            </w:r>
            <w:r>
              <w:rPr>
                <w:rFonts w:hint="eastAsia" w:ascii="仿宋" w:hAnsi="仿宋" w:eastAsia="仿宋" w:cs="仿宋"/>
                <w:b/>
                <w:bCs/>
              </w:rPr>
              <w:t>提供制造厂家的不小于10.1寸触摸屏的智能遥测终端系统软件著作权复印件加盖公章和厂家的授权书</w:t>
            </w:r>
            <w:r>
              <w:rPr>
                <w:rFonts w:hint="eastAsia" w:ascii="宋体" w:hAnsi="宋体" w:cs="宋体"/>
                <w:b/>
                <w:bCs/>
                <w:color w:val="000000"/>
                <w:sz w:val="21"/>
                <w:szCs w:val="21"/>
              </w:rPr>
              <w:t>）；</w:t>
            </w:r>
            <w:r>
              <w:rPr>
                <w:rFonts w:ascii="宋体" w:hAnsi="宋体" w:cs="宋体"/>
                <w:color w:val="000000"/>
                <w:sz w:val="21"/>
                <w:szCs w:val="21"/>
              </w:rPr>
              <w:t>2</w:t>
            </w:r>
            <w:r>
              <w:rPr>
                <w:rFonts w:hint="eastAsia" w:ascii="宋体" w:hAnsi="宋体" w:cs="宋体"/>
                <w:color w:val="000000"/>
                <w:sz w:val="21"/>
                <w:szCs w:val="21"/>
              </w:rPr>
              <w:t>、数据查看：网络查看和微信查看，用户在任何一台联网的电脑和手机微信扫设备二维码登录即可查看及分析数据信息，实现数据远程监控的目的。数据都可存储到云端或下载到本地电脑中进行存储和分析，永不丢失。</w:t>
            </w:r>
          </w:p>
          <w:p>
            <w:pPr>
              <w:pStyle w:val="19"/>
              <w:widowControl/>
              <w:adjustRightInd w:val="0"/>
              <w:snapToGrid w:val="0"/>
              <w:spacing w:before="0" w:beforeAutospacing="0" w:after="0" w:afterAutospacing="0" w:line="240" w:lineRule="atLeast"/>
              <w:rPr>
                <w:rFonts w:ascii="宋体" w:cs="宋体"/>
                <w:sz w:val="21"/>
                <w:szCs w:val="21"/>
              </w:rPr>
            </w:pPr>
            <w:r>
              <w:rPr>
                <w:rFonts w:hint="eastAsia" w:ascii="宋体" w:hAnsi="宋体" w:cs="宋体"/>
                <w:color w:val="000000"/>
                <w:sz w:val="21"/>
                <w:szCs w:val="21"/>
              </w:rPr>
              <w:t>云平台功能：</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1</w:t>
            </w:r>
            <w:r>
              <w:rPr>
                <w:rFonts w:hint="eastAsia" w:ascii="宋体" w:hAnsi="宋体" w:cs="宋体"/>
                <w:color w:val="000000"/>
                <w:sz w:val="21"/>
                <w:szCs w:val="21"/>
              </w:rPr>
              <w:t>、可将所有硬件数据上传到</w:t>
            </w:r>
            <w:r>
              <w:rPr>
                <w:rFonts w:hint="eastAsia" w:ascii="宋体" w:hAnsi="宋体" w:cs="宋体"/>
                <w:sz w:val="21"/>
                <w:szCs w:val="21"/>
              </w:rPr>
              <w:t>物联网平台</w:t>
            </w:r>
            <w:r>
              <w:rPr>
                <w:rFonts w:hint="eastAsia" w:ascii="宋体" w:hAnsi="宋体" w:cs="宋体"/>
                <w:color w:val="000000"/>
                <w:sz w:val="21"/>
                <w:szCs w:val="21"/>
              </w:rPr>
              <w:t>。</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2</w:t>
            </w:r>
            <w:r>
              <w:rPr>
                <w:rFonts w:hint="eastAsia" w:ascii="宋体" w:hAnsi="宋体" w:cs="宋体"/>
                <w:color w:val="000000"/>
                <w:sz w:val="21"/>
                <w:szCs w:val="21"/>
              </w:rPr>
              <w:t>、要求包含手机微信直接扫描设备二维码，查看数据以及报表、曲线分析数据。</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3</w:t>
            </w:r>
            <w:r>
              <w:rPr>
                <w:rFonts w:hint="eastAsia" w:ascii="宋体" w:hAnsi="宋体" w:cs="宋体"/>
                <w:color w:val="000000"/>
                <w:sz w:val="21"/>
                <w:szCs w:val="21"/>
              </w:rPr>
              <w:t>、可查看某个站点指定传感器在指定时间范围内的数据报表信息，也可将结果导出到</w:t>
            </w:r>
            <w:r>
              <w:rPr>
                <w:rFonts w:ascii="宋体" w:hAnsi="宋体" w:cs="宋体"/>
                <w:color w:val="000000"/>
                <w:sz w:val="21"/>
                <w:szCs w:val="21"/>
              </w:rPr>
              <w:t>Excel</w:t>
            </w:r>
            <w:r>
              <w:rPr>
                <w:rFonts w:hint="eastAsia" w:ascii="宋体" w:hAnsi="宋体" w:cs="宋体"/>
                <w:color w:val="000000"/>
                <w:sz w:val="21"/>
                <w:szCs w:val="21"/>
              </w:rPr>
              <w:t>。</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4</w:t>
            </w:r>
            <w:r>
              <w:rPr>
                <w:rFonts w:hint="eastAsia" w:ascii="宋体" w:hAnsi="宋体" w:cs="宋体"/>
                <w:color w:val="000000"/>
                <w:sz w:val="21"/>
                <w:szCs w:val="21"/>
              </w:rPr>
              <w:t>、可查看某个站点在指定时间月份、年份的数据报表信息。</w:t>
            </w:r>
          </w:p>
          <w:p>
            <w:pPr>
              <w:pStyle w:val="19"/>
              <w:widowControl/>
              <w:adjustRightInd w:val="0"/>
              <w:snapToGrid w:val="0"/>
              <w:spacing w:before="0" w:beforeAutospacing="0" w:after="0" w:afterAutospacing="0" w:line="240" w:lineRule="atLeast"/>
              <w:rPr>
                <w:rFonts w:ascii="宋体" w:cs="宋体"/>
                <w:sz w:val="21"/>
                <w:szCs w:val="21"/>
              </w:rPr>
            </w:pPr>
            <w:r>
              <w:rPr>
                <w:rFonts w:ascii="宋体" w:hAnsi="宋体" w:cs="宋体"/>
                <w:color w:val="000000"/>
                <w:sz w:val="21"/>
                <w:szCs w:val="21"/>
              </w:rPr>
              <w:t>5</w:t>
            </w:r>
            <w:r>
              <w:rPr>
                <w:rFonts w:hint="eastAsia" w:ascii="宋体" w:hAnsi="宋体" w:cs="宋体"/>
                <w:color w:val="000000"/>
                <w:sz w:val="21"/>
                <w:szCs w:val="21"/>
              </w:rPr>
              <w:t>、可将备份的数据或本地整理的数据导入到数据库，也可将导入的数据删除。</w:t>
            </w:r>
          </w:p>
          <w:p>
            <w:pPr>
              <w:pStyle w:val="19"/>
              <w:widowControl/>
              <w:shd w:val="clear" w:color="auto" w:fill="FFFFFF"/>
              <w:adjustRightInd w:val="0"/>
              <w:snapToGrid w:val="0"/>
              <w:spacing w:before="0" w:beforeAutospacing="0" w:after="0" w:afterAutospacing="0" w:line="240" w:lineRule="atLeast"/>
              <w:rPr>
                <w:rFonts w:ascii="宋体" w:cs="宋体"/>
                <w:color w:val="000000"/>
                <w:sz w:val="21"/>
                <w:szCs w:val="21"/>
              </w:rPr>
            </w:pPr>
            <w:r>
              <w:rPr>
                <w:rFonts w:ascii="宋体" w:hAnsi="宋体" w:cs="宋体"/>
                <w:color w:val="000000"/>
                <w:sz w:val="21"/>
                <w:szCs w:val="21"/>
              </w:rPr>
              <w:t>6</w:t>
            </w:r>
            <w:r>
              <w:rPr>
                <w:rFonts w:hint="eastAsia" w:ascii="宋体" w:hAnsi="宋体" w:cs="宋体"/>
                <w:color w:val="000000"/>
                <w:sz w:val="21"/>
                <w:szCs w:val="21"/>
              </w:rPr>
              <w:t>、作物生长环境传感器技术参数：</w:t>
            </w:r>
          </w:p>
          <w:p>
            <w:pPr>
              <w:pStyle w:val="19"/>
              <w:widowControl/>
              <w:shd w:val="clear" w:color="auto" w:fill="FFFFFF"/>
              <w:adjustRightInd w:val="0"/>
              <w:snapToGrid w:val="0"/>
              <w:spacing w:before="0" w:beforeAutospacing="0" w:after="0" w:afterAutospacing="0" w:line="240" w:lineRule="atLeast"/>
              <w:rPr>
                <w:rFonts w:ascii="宋体" w:cs="宋体"/>
                <w:color w:val="000000"/>
                <w:sz w:val="21"/>
                <w:szCs w:val="21"/>
              </w:rPr>
            </w:pPr>
            <w:r>
              <w:rPr>
                <w:rFonts w:hint="eastAsia" w:ascii="宋体" w:hAnsi="宋体" w:cs="宋体"/>
                <w:color w:val="000000"/>
                <w:sz w:val="21"/>
                <w:szCs w:val="21"/>
              </w:rPr>
              <w:t>土壤水分</w:t>
            </w:r>
            <w:r>
              <w:rPr>
                <w:rFonts w:ascii="宋体" w:hAnsi="宋体" w:cs="宋体"/>
                <w:color w:val="000000"/>
                <w:sz w:val="21"/>
                <w:szCs w:val="21"/>
              </w:rPr>
              <w:t>(3</w:t>
            </w:r>
            <w:r>
              <w:rPr>
                <w:rFonts w:hint="eastAsia" w:ascii="宋体" w:hAnsi="宋体" w:cs="宋体"/>
                <w:color w:val="000000"/>
                <w:sz w:val="21"/>
                <w:szCs w:val="21"/>
              </w:rPr>
              <w:t>个</w:t>
            </w:r>
            <w:r>
              <w:rPr>
                <w:rFonts w:ascii="宋体" w:hAnsi="宋体" w:cs="宋体"/>
                <w:color w:val="000000"/>
                <w:sz w:val="21"/>
                <w:szCs w:val="21"/>
              </w:rPr>
              <w:t>)</w:t>
            </w:r>
            <w:r>
              <w:rPr>
                <w:rFonts w:hint="eastAsia" w:ascii="宋体" w:hAnsi="宋体" w:cs="宋体"/>
                <w:color w:val="000000"/>
                <w:sz w:val="21"/>
                <w:szCs w:val="21"/>
              </w:rPr>
              <w:t>测量范围：</w:t>
            </w:r>
            <w:r>
              <w:rPr>
                <w:rFonts w:ascii="宋体" w:hAnsi="宋体" w:cs="宋体"/>
                <w:color w:val="000000"/>
                <w:sz w:val="21"/>
                <w:szCs w:val="21"/>
              </w:rPr>
              <w:t>0-100%</w:t>
            </w:r>
            <w:r>
              <w:rPr>
                <w:rFonts w:hint="eastAsia" w:ascii="宋体" w:hAnsi="宋体" w:cs="宋体"/>
                <w:color w:val="000000"/>
                <w:sz w:val="21"/>
                <w:szCs w:val="21"/>
              </w:rPr>
              <w:t>，分辨率：</w:t>
            </w:r>
            <w:r>
              <w:rPr>
                <w:rFonts w:ascii="宋体" w:hAnsi="宋体" w:cs="宋体"/>
                <w:color w:val="000000"/>
                <w:sz w:val="21"/>
                <w:szCs w:val="21"/>
              </w:rPr>
              <w:t>0.01%</w:t>
            </w:r>
            <w:r>
              <w:rPr>
                <w:rFonts w:hint="eastAsia" w:ascii="宋体" w:hAnsi="宋体" w:cs="宋体"/>
                <w:color w:val="000000"/>
                <w:sz w:val="21"/>
                <w:szCs w:val="21"/>
              </w:rPr>
              <w:t>，准确度：±</w:t>
            </w:r>
            <w:r>
              <w:rPr>
                <w:rFonts w:ascii="宋体" w:hAnsi="宋体" w:cs="宋体"/>
                <w:color w:val="000000"/>
                <w:sz w:val="21"/>
                <w:szCs w:val="21"/>
              </w:rPr>
              <w:t>2%</w:t>
            </w:r>
            <w:r>
              <w:rPr>
                <w:rFonts w:hint="eastAsia" w:ascii="宋体" w:hAnsi="宋体" w:cs="宋体"/>
                <w:color w:val="000000"/>
                <w:sz w:val="21"/>
                <w:szCs w:val="21"/>
              </w:rPr>
              <w:t>。</w:t>
            </w:r>
          </w:p>
          <w:p>
            <w:pPr>
              <w:pStyle w:val="19"/>
              <w:widowControl/>
              <w:shd w:val="clear" w:color="auto" w:fill="FFFFFF"/>
              <w:adjustRightInd w:val="0"/>
              <w:snapToGrid w:val="0"/>
              <w:spacing w:before="0" w:beforeAutospacing="0" w:after="0" w:afterAutospacing="0" w:line="240" w:lineRule="atLeast"/>
              <w:rPr>
                <w:rFonts w:ascii="宋体" w:hAnsi="宋体" w:cs="宋体"/>
                <w:color w:val="000000"/>
                <w:sz w:val="21"/>
                <w:szCs w:val="21"/>
              </w:rPr>
            </w:pPr>
            <w:r>
              <w:rPr>
                <w:rFonts w:hint="eastAsia" w:ascii="宋体" w:hAnsi="宋体" w:cs="宋体"/>
                <w:color w:val="000000"/>
                <w:sz w:val="21"/>
                <w:szCs w:val="21"/>
              </w:rPr>
              <w:t>土壤温度（</w:t>
            </w:r>
            <w:r>
              <w:rPr>
                <w:rFonts w:ascii="宋体" w:hAnsi="宋体" w:cs="宋体"/>
                <w:color w:val="000000"/>
                <w:sz w:val="21"/>
                <w:szCs w:val="21"/>
              </w:rPr>
              <w:t>3</w:t>
            </w:r>
            <w:r>
              <w:rPr>
                <w:rFonts w:hint="eastAsia" w:ascii="宋体" w:hAnsi="宋体" w:cs="宋体"/>
                <w:color w:val="000000"/>
                <w:sz w:val="21"/>
                <w:szCs w:val="21"/>
              </w:rPr>
              <w:t>个</w:t>
            </w:r>
            <w:r>
              <w:rPr>
                <w:rFonts w:ascii="宋体" w:hAnsi="宋体" w:cs="宋体"/>
                <w:color w:val="000000"/>
                <w:sz w:val="21"/>
                <w:szCs w:val="21"/>
              </w:rPr>
              <w:t>)</w:t>
            </w:r>
            <w:r>
              <w:rPr>
                <w:rFonts w:hint="eastAsia" w:ascii="宋体" w:hAnsi="宋体" w:cs="宋体"/>
                <w:color w:val="000000"/>
                <w:sz w:val="21"/>
                <w:szCs w:val="21"/>
              </w:rPr>
              <w:t>测量范围：</w:t>
            </w:r>
            <w:r>
              <w:rPr>
                <w:rFonts w:ascii="宋体" w:hAnsi="宋体" w:cs="宋体"/>
                <w:color w:val="000000"/>
                <w:sz w:val="21"/>
                <w:szCs w:val="21"/>
              </w:rPr>
              <w:t>-50-80</w:t>
            </w:r>
            <w:r>
              <w:rPr>
                <w:rFonts w:hint="eastAsia" w:ascii="宋体" w:hAnsi="宋体" w:cs="宋体"/>
                <w:color w:val="000000"/>
                <w:sz w:val="21"/>
                <w:szCs w:val="21"/>
              </w:rPr>
              <w:t>℃，分辨率：</w:t>
            </w:r>
            <w:r>
              <w:rPr>
                <w:rFonts w:ascii="宋体" w:hAnsi="宋体" w:cs="宋体"/>
                <w:color w:val="000000"/>
                <w:sz w:val="21"/>
                <w:szCs w:val="21"/>
              </w:rPr>
              <w:t>0.01</w:t>
            </w:r>
            <w:r>
              <w:rPr>
                <w:rFonts w:hint="eastAsia" w:ascii="宋体" w:hAnsi="宋体" w:cs="宋体"/>
                <w:color w:val="000000"/>
                <w:sz w:val="21"/>
                <w:szCs w:val="21"/>
              </w:rPr>
              <w:t>℃，准确度：</w:t>
            </w:r>
            <w:r>
              <w:rPr>
                <w:rFonts w:ascii="宋体" w:hAnsi="宋体" w:cs="宋体"/>
                <w:color w:val="000000"/>
                <w:sz w:val="21"/>
                <w:szCs w:val="21"/>
              </w:rPr>
              <w:t>0.2</w:t>
            </w:r>
            <w:r>
              <w:rPr>
                <w:rFonts w:hint="eastAsia" w:ascii="宋体" w:hAnsi="宋体" w:cs="宋体"/>
                <w:color w:val="000000"/>
                <w:sz w:val="21"/>
                <w:szCs w:val="21"/>
              </w:rPr>
              <w:t>℃。</w:t>
            </w:r>
          </w:p>
          <w:p>
            <w:pPr>
              <w:pStyle w:val="19"/>
              <w:widowControl/>
              <w:shd w:val="clear" w:color="auto" w:fill="FFFFFF"/>
              <w:adjustRightInd w:val="0"/>
              <w:snapToGrid w:val="0"/>
              <w:spacing w:before="0" w:beforeAutospacing="0" w:after="0" w:afterAutospacing="0" w:line="240" w:lineRule="atLeast"/>
              <w:rPr>
                <w:rFonts w:ascii="宋体" w:hAnsi="宋体" w:cs="宋体"/>
                <w:color w:val="000000"/>
                <w:sz w:val="21"/>
                <w:szCs w:val="21"/>
              </w:rPr>
            </w:pPr>
            <w:r>
              <w:rPr>
                <w:rFonts w:hint="eastAsia" w:ascii="宋体" w:hAnsi="宋体" w:cs="宋体"/>
                <w:color w:val="000000"/>
                <w:sz w:val="21"/>
                <w:szCs w:val="21"/>
              </w:rPr>
              <w:t>土壤盐分（</w:t>
            </w:r>
            <w:r>
              <w:rPr>
                <w:rFonts w:ascii="宋体" w:hAnsi="宋体" w:cs="宋体"/>
                <w:color w:val="000000"/>
                <w:sz w:val="21"/>
                <w:szCs w:val="21"/>
              </w:rPr>
              <w:t>3</w:t>
            </w:r>
            <w:r>
              <w:rPr>
                <w:rFonts w:hint="eastAsia" w:ascii="宋体" w:hAnsi="宋体" w:cs="宋体"/>
                <w:color w:val="000000"/>
                <w:sz w:val="21"/>
                <w:szCs w:val="21"/>
              </w:rPr>
              <w:t>个</w:t>
            </w:r>
            <w:r>
              <w:rPr>
                <w:rFonts w:ascii="宋体" w:hAnsi="宋体" w:cs="宋体"/>
                <w:color w:val="000000"/>
                <w:sz w:val="21"/>
                <w:szCs w:val="21"/>
              </w:rPr>
              <w:t>)</w:t>
            </w:r>
            <w:r>
              <w:rPr>
                <w:rFonts w:hint="eastAsia"/>
              </w:rPr>
              <w:t xml:space="preserve"> 测量范围：</w:t>
            </w:r>
            <w:r>
              <w:t>0</w:t>
            </w:r>
            <w:r>
              <w:rPr>
                <w:rFonts w:hint="eastAsia"/>
              </w:rPr>
              <w:t>～</w:t>
            </w:r>
            <w:r>
              <w:t>8000mg/L</w:t>
            </w:r>
            <w:r>
              <w:rPr>
                <w:rFonts w:hint="eastAsia"/>
              </w:rPr>
              <w:t>，测量精度：±</w:t>
            </w:r>
            <w:r>
              <w:t>2%</w:t>
            </w:r>
            <w:r>
              <w:rPr>
                <w:rFonts w:hint="eastAsia"/>
              </w:rPr>
              <w:t>，分辨率：</w:t>
            </w:r>
            <w:r>
              <w:t>0.1mg/L</w:t>
            </w:r>
            <w:r>
              <w:rPr>
                <w:rFonts w:hint="eastAsia"/>
              </w:rPr>
              <w:t>。</w:t>
            </w:r>
          </w:p>
          <w:p>
            <w:pPr>
              <w:shd w:val="clear" w:color="auto" w:fill="FFFFFF"/>
              <w:adjustRightInd w:val="0"/>
              <w:snapToGrid w:val="0"/>
              <w:spacing w:line="240" w:lineRule="atLeast"/>
            </w:pPr>
            <w:r>
              <w:rPr>
                <w:rFonts w:hint="eastAsia"/>
              </w:rPr>
              <w:t>作物树中温度（</w:t>
            </w:r>
            <w:r>
              <w:t>3</w:t>
            </w:r>
            <w:r>
              <w:rPr>
                <w:rFonts w:hint="eastAsia"/>
              </w:rPr>
              <w:t>个</w:t>
            </w:r>
            <w:r>
              <w:t>)</w:t>
            </w:r>
            <w:r>
              <w:rPr>
                <w:rFonts w:hint="eastAsia"/>
              </w:rPr>
              <w:t>测量范围：</w:t>
            </w:r>
            <w:r>
              <w:rPr>
                <w:rFonts w:ascii="宋体" w:hAnsi="宋体" w:cs="宋体"/>
                <w:color w:val="000000"/>
                <w:szCs w:val="21"/>
              </w:rPr>
              <w:t>-50-100</w:t>
            </w:r>
            <w:r>
              <w:rPr>
                <w:rFonts w:hint="eastAsia" w:ascii="宋体" w:hAnsi="宋体" w:cs="宋体"/>
                <w:color w:val="000000"/>
                <w:szCs w:val="21"/>
              </w:rPr>
              <w:t>℃，分辨率：</w:t>
            </w:r>
            <w:r>
              <w:rPr>
                <w:rFonts w:ascii="宋体" w:hAnsi="宋体" w:cs="宋体"/>
                <w:color w:val="000000"/>
                <w:szCs w:val="21"/>
              </w:rPr>
              <w:t>0.01</w:t>
            </w:r>
            <w:r>
              <w:rPr>
                <w:rFonts w:hint="eastAsia" w:ascii="宋体" w:hAnsi="宋体" w:cs="宋体"/>
                <w:color w:val="000000"/>
                <w:szCs w:val="21"/>
              </w:rPr>
              <w:t>℃，准确度：</w:t>
            </w:r>
            <w:r>
              <w:rPr>
                <w:rFonts w:ascii="宋体" w:hAnsi="宋体" w:cs="宋体"/>
                <w:color w:val="000000"/>
                <w:szCs w:val="21"/>
              </w:rPr>
              <w:t>0.2</w:t>
            </w:r>
            <w:r>
              <w:rPr>
                <w:rFonts w:hint="eastAsia" w:ascii="宋体" w:hAnsi="宋体" w:cs="宋体"/>
                <w:color w:val="000000"/>
                <w:szCs w:val="21"/>
              </w:rPr>
              <w:t>℃。</w:t>
            </w:r>
          </w:p>
          <w:p>
            <w:pPr>
              <w:shd w:val="clear" w:color="auto" w:fill="FFFFFF"/>
              <w:adjustRightInd w:val="0"/>
              <w:snapToGrid w:val="0"/>
              <w:spacing w:line="240" w:lineRule="atLeast"/>
            </w:pPr>
            <w:r>
              <w:rPr>
                <w:rFonts w:hint="eastAsia"/>
              </w:rPr>
              <w:t>作物树中湿度（3个</w:t>
            </w:r>
            <w:r>
              <w:t>)</w:t>
            </w:r>
            <w:r>
              <w:rPr>
                <w:rFonts w:hint="eastAsia"/>
              </w:rPr>
              <w:t>测量范围：</w:t>
            </w:r>
            <w:r>
              <w:rPr>
                <w:rFonts w:ascii="宋体" w:hAnsi="宋体" w:cs="宋体"/>
                <w:color w:val="000000"/>
                <w:szCs w:val="21"/>
              </w:rPr>
              <w:t>0-100%</w:t>
            </w:r>
            <w:r>
              <w:rPr>
                <w:rFonts w:hint="eastAsia" w:ascii="宋体" w:hAnsi="宋体" w:cs="宋体"/>
                <w:color w:val="000000"/>
                <w:szCs w:val="21"/>
              </w:rPr>
              <w:t>，分辨率：</w:t>
            </w:r>
            <w:r>
              <w:rPr>
                <w:rFonts w:ascii="宋体" w:hAnsi="宋体" w:cs="宋体"/>
                <w:color w:val="000000"/>
                <w:szCs w:val="21"/>
              </w:rPr>
              <w:t>0.01%</w:t>
            </w:r>
            <w:r>
              <w:rPr>
                <w:rFonts w:hint="eastAsia" w:ascii="宋体" w:hAnsi="宋体" w:cs="宋体"/>
                <w:color w:val="000000"/>
                <w:szCs w:val="21"/>
              </w:rPr>
              <w:t>，准确度：±</w:t>
            </w:r>
            <w:r>
              <w:rPr>
                <w:rFonts w:ascii="宋体" w:hAnsi="宋体" w:cs="宋体"/>
                <w:color w:val="000000"/>
                <w:szCs w:val="21"/>
              </w:rPr>
              <w:t>2%</w:t>
            </w:r>
            <w:r>
              <w:rPr>
                <w:rFonts w:hint="eastAsia" w:ascii="宋体" w:hAnsi="宋体" w:cs="宋体"/>
                <w:color w:val="000000"/>
                <w:szCs w:val="21"/>
              </w:rPr>
              <w:t>。</w:t>
            </w:r>
          </w:p>
          <w:p>
            <w:pPr>
              <w:pStyle w:val="2"/>
              <w:ind w:left="63" w:right="63"/>
              <w:jc w:val="both"/>
            </w:pPr>
            <w:r>
              <w:rPr>
                <w:rFonts w:hint="eastAsia"/>
              </w:rPr>
              <w:t>作物树冠温度传感器（3个</w:t>
            </w:r>
            <w:r>
              <w:t>)</w:t>
            </w:r>
            <w:r>
              <w:rPr>
                <w:rFonts w:hint="eastAsia"/>
              </w:rPr>
              <w:t>：</w:t>
            </w:r>
            <w:r>
              <w:t>-50-100</w:t>
            </w:r>
            <w:r>
              <w:rPr>
                <w:rFonts w:hint="eastAsia"/>
              </w:rPr>
              <w:t>℃，分辨率：</w:t>
            </w:r>
            <w:r>
              <w:t>0.01</w:t>
            </w:r>
            <w:r>
              <w:rPr>
                <w:rFonts w:hint="eastAsia"/>
              </w:rPr>
              <w:t>℃，准确度：</w:t>
            </w:r>
            <w:r>
              <w:t>0.2</w:t>
            </w:r>
            <w:r>
              <w:rPr>
                <w:rFonts w:hint="eastAsia"/>
              </w:rPr>
              <w:t>℃。</w:t>
            </w:r>
          </w:p>
          <w:p>
            <w:pPr>
              <w:pStyle w:val="2"/>
              <w:ind w:left="63" w:right="63"/>
              <w:jc w:val="both"/>
            </w:pPr>
            <w:r>
              <w:rPr>
                <w:rFonts w:hint="eastAsia"/>
              </w:rPr>
              <w:t>作物树冠湿度传感器（3个</w:t>
            </w:r>
            <w:r>
              <w:t>)</w:t>
            </w:r>
            <w:r>
              <w:rPr>
                <w:rFonts w:hint="eastAsia"/>
              </w:rPr>
              <w:t>：</w:t>
            </w:r>
            <w:r>
              <w:t>0-100%</w:t>
            </w:r>
            <w:r>
              <w:rPr>
                <w:rFonts w:hint="eastAsia"/>
              </w:rPr>
              <w:t>，分辨率：</w:t>
            </w:r>
            <w:r>
              <w:t>0.01%</w:t>
            </w:r>
            <w:r>
              <w:rPr>
                <w:rFonts w:hint="eastAsia"/>
              </w:rPr>
              <w:t>，准确度：±</w:t>
            </w:r>
            <w:r>
              <w:t>2%</w:t>
            </w:r>
            <w:r>
              <w:rPr>
                <w:rFonts w:hint="eastAsia"/>
              </w:rPr>
              <w:t>。</w:t>
            </w:r>
          </w:p>
          <w:p>
            <w:pPr>
              <w:tabs>
                <w:tab w:val="left" w:pos="4558"/>
              </w:tabs>
              <w:adjustRightInd w:val="0"/>
              <w:snapToGrid w:val="0"/>
              <w:spacing w:line="240" w:lineRule="atLeast"/>
              <w:rPr>
                <w:rFonts w:ascii="方正仿宋_GBK" w:hAnsi="方正仿宋_GBK" w:eastAsia="方正仿宋_GBK" w:cs="宋体"/>
              </w:rPr>
            </w:pPr>
            <w:r>
              <w:rPr>
                <w:rFonts w:hint="eastAsia" w:ascii="方正仿宋_GBK" w:hAnsi="宋体" w:eastAsia="方正仿宋_GBK" w:cs="宋体"/>
              </w:rPr>
              <w:t>气候传感器技术参数：</w:t>
            </w:r>
          </w:p>
          <w:p>
            <w:pPr>
              <w:tabs>
                <w:tab w:val="left" w:pos="4558"/>
              </w:tabs>
              <w:adjustRightInd w:val="0"/>
              <w:snapToGrid w:val="0"/>
              <w:spacing w:line="240" w:lineRule="atLeast"/>
              <w:rPr>
                <w:rFonts w:ascii="方正仿宋_GBK" w:hAnsi="方正仿宋_GBK" w:eastAsia="方正仿宋_GBK" w:cs="宋体"/>
              </w:rPr>
            </w:pPr>
            <w:r>
              <w:rPr>
                <w:rFonts w:hint="eastAsia" w:ascii="方正仿宋_GBK" w:hAnsi="宋体" w:eastAsia="方正仿宋_GBK" w:cs="宋体"/>
              </w:rPr>
              <w:t>空气温度测量范围：-</w:t>
            </w:r>
            <w:r>
              <w:rPr>
                <w:rFonts w:ascii="方正仿宋_GBK" w:hAnsi="宋体" w:eastAsia="方正仿宋_GBK" w:cs="宋体"/>
              </w:rPr>
              <w:t>5</w:t>
            </w:r>
            <w:r>
              <w:rPr>
                <w:rFonts w:hint="eastAsia" w:ascii="方正仿宋_GBK" w:hAnsi="宋体" w:eastAsia="方正仿宋_GBK" w:cs="宋体"/>
              </w:rPr>
              <w:t>0-1</w:t>
            </w:r>
            <w:r>
              <w:rPr>
                <w:rFonts w:ascii="方正仿宋_GBK" w:hAnsi="宋体" w:eastAsia="方正仿宋_GBK" w:cs="宋体"/>
              </w:rPr>
              <w:t>0</w:t>
            </w:r>
            <w:r>
              <w:rPr>
                <w:rFonts w:hint="eastAsia" w:ascii="方正仿宋_GBK" w:hAnsi="宋体" w:eastAsia="方正仿宋_GBK" w:cs="宋体"/>
              </w:rPr>
              <w:t>0℃，分辨率：0.1℃，准确度：±0.3℃。</w:t>
            </w:r>
          </w:p>
          <w:p>
            <w:pPr>
              <w:tabs>
                <w:tab w:val="left" w:pos="4558"/>
              </w:tabs>
              <w:adjustRightInd w:val="0"/>
              <w:snapToGrid w:val="0"/>
              <w:spacing w:line="240" w:lineRule="atLeast"/>
              <w:rPr>
                <w:rFonts w:ascii="方正仿宋_GBK" w:hAnsi="方正仿宋_GBK" w:eastAsia="方正仿宋_GBK" w:cs="宋体"/>
              </w:rPr>
            </w:pPr>
            <w:r>
              <w:rPr>
                <w:rFonts w:hint="eastAsia" w:ascii="方正仿宋_GBK" w:hAnsi="宋体" w:eastAsia="方正仿宋_GBK" w:cs="宋体"/>
              </w:rPr>
              <w:t>空气湿度测量范围：</w:t>
            </w:r>
            <w:r>
              <w:rPr>
                <w:rFonts w:hint="eastAsia" w:ascii="方正仿宋_GBK" w:hAnsi="方正仿宋_GBK" w:eastAsia="方正仿宋_GBK" w:cs="宋体"/>
              </w:rPr>
              <w:t>0</w:t>
            </w:r>
            <w:r>
              <w:rPr>
                <w:rFonts w:hint="eastAsia" w:ascii="方正仿宋_GBK" w:hAnsi="宋体" w:eastAsia="方正仿宋_GBK" w:cs="宋体"/>
              </w:rPr>
              <w:t>～100%，分辨率：0.1%，准确度：±2%。</w:t>
            </w:r>
          </w:p>
          <w:p>
            <w:pPr>
              <w:tabs>
                <w:tab w:val="left" w:pos="4558"/>
              </w:tabs>
              <w:adjustRightInd w:val="0"/>
              <w:snapToGrid w:val="0"/>
              <w:spacing w:line="240" w:lineRule="atLeast"/>
              <w:rPr>
                <w:rFonts w:ascii="方正仿宋_GBK" w:hAnsi="宋体" w:eastAsia="方正仿宋_GBK" w:cs="宋体"/>
              </w:rPr>
            </w:pPr>
            <w:r>
              <w:rPr>
                <w:rFonts w:hint="eastAsia" w:ascii="方正仿宋_GBK" w:hAnsi="宋体" w:eastAsia="方正仿宋_GBK" w:cs="宋体"/>
              </w:rPr>
              <w:t>光照强度范围：0-200000Lux；精度：±2%（0~20000LUX)；分辨率：1Lux。</w:t>
            </w:r>
          </w:p>
          <w:p>
            <w:pPr>
              <w:tabs>
                <w:tab w:val="left" w:pos="4558"/>
              </w:tabs>
              <w:adjustRightInd w:val="0"/>
              <w:snapToGrid w:val="0"/>
              <w:spacing w:line="240" w:lineRule="atLeast"/>
              <w:rPr>
                <w:rFonts w:ascii="方正仿宋_GBK" w:hAnsi="宋体" w:eastAsia="方正仿宋_GBK" w:cs="宋体"/>
              </w:rPr>
            </w:pPr>
            <w:r>
              <w:rPr>
                <w:rFonts w:hint="eastAsia" w:ascii="方正仿宋_GBK" w:hAnsi="宋体" w:eastAsia="方正仿宋_GBK" w:cs="宋体"/>
              </w:rPr>
              <w:t>日照时数：量程：0-24h，分辨率：0.1h，光谱范围：0.3～3μm，响应时间：＜5s，</w:t>
            </w:r>
          </w:p>
          <w:p>
            <w:pPr>
              <w:tabs>
                <w:tab w:val="left" w:pos="4558"/>
              </w:tabs>
              <w:adjustRightInd w:val="0"/>
              <w:snapToGrid w:val="0"/>
              <w:spacing w:line="240" w:lineRule="atLeast"/>
              <w:rPr>
                <w:rFonts w:ascii="方正仿宋_GBK" w:hAnsi="宋体" w:eastAsia="方正仿宋_GBK" w:cs="宋体"/>
              </w:rPr>
            </w:pPr>
            <w:r>
              <w:rPr>
                <w:rFonts w:hint="eastAsia" w:ascii="方正仿宋_GBK" w:hAnsi="宋体" w:eastAsia="方正仿宋_GBK" w:cs="宋体"/>
              </w:rPr>
              <w:t>温度相关：＜±0.08%℃，余弦响应：＜±10%（太阳高度角10°时）非线性  ：＜±2%，年变化率：＜±2%</w:t>
            </w:r>
          </w:p>
          <w:p>
            <w:pPr>
              <w:tabs>
                <w:tab w:val="left" w:pos="4558"/>
              </w:tabs>
              <w:adjustRightInd w:val="0"/>
              <w:snapToGrid w:val="0"/>
              <w:spacing w:line="240" w:lineRule="atLeast"/>
              <w:rPr>
                <w:rFonts w:ascii="方正仿宋_GBK" w:hAnsi="方正仿宋_GBK" w:eastAsia="方正仿宋_GBK" w:cs="宋体"/>
              </w:rPr>
            </w:pPr>
            <w:r>
              <w:rPr>
                <w:rFonts w:hint="eastAsia" w:ascii="方正仿宋_GBK" w:hAnsi="宋体" w:eastAsia="方正仿宋_GBK" w:cs="宋体"/>
              </w:rPr>
              <w:t>风向测量范围：</w:t>
            </w:r>
            <w:r>
              <w:rPr>
                <w:rFonts w:hint="eastAsia" w:ascii="方正仿宋_GBK" w:hAnsi="方正仿宋_GBK" w:eastAsia="方正仿宋_GBK" w:cs="宋体"/>
              </w:rPr>
              <w:t>0</w:t>
            </w:r>
            <w:r>
              <w:rPr>
                <w:rFonts w:hint="eastAsia" w:ascii="方正仿宋_GBK" w:hAnsi="宋体" w:eastAsia="方正仿宋_GBK" w:cs="宋体"/>
              </w:rPr>
              <w:t>～360°，分辨率：1，准确度：±1。</w:t>
            </w:r>
          </w:p>
          <w:p>
            <w:pPr>
              <w:tabs>
                <w:tab w:val="left" w:pos="4558"/>
              </w:tabs>
              <w:adjustRightInd w:val="0"/>
              <w:snapToGrid w:val="0"/>
              <w:spacing w:line="240" w:lineRule="atLeast"/>
              <w:rPr>
                <w:rFonts w:ascii="方正仿宋_GBK" w:hAnsi="方正仿宋_GBK" w:eastAsia="方正仿宋_GBK" w:cs="宋体"/>
              </w:rPr>
            </w:pPr>
            <w:r>
              <w:rPr>
                <w:rFonts w:hint="eastAsia" w:ascii="方正仿宋_GBK" w:hAnsi="宋体" w:eastAsia="方正仿宋_GBK" w:cs="宋体"/>
              </w:rPr>
              <w:t>风速测量范围：0-60m/s分辨率：±0.1m/s准确度：±(0.3+0.03V)m/s（V:风速）</w:t>
            </w:r>
          </w:p>
          <w:p>
            <w:pPr>
              <w:tabs>
                <w:tab w:val="left" w:pos="4558"/>
              </w:tabs>
              <w:adjustRightInd w:val="0"/>
              <w:snapToGrid w:val="0"/>
              <w:spacing w:line="240" w:lineRule="atLeast"/>
              <w:rPr>
                <w:rFonts w:ascii="方正仿宋_GBK" w:hAnsi="方正仿宋_GBK" w:eastAsia="方正仿宋_GBK" w:cs="宋体"/>
              </w:rPr>
            </w:pPr>
            <w:r>
              <w:rPr>
                <w:rFonts w:hint="eastAsia" w:ascii="方正仿宋_GBK" w:hAnsi="宋体" w:eastAsia="方正仿宋_GBK" w:cs="宋体"/>
              </w:rPr>
              <w:t>降雨量测量范围：</w:t>
            </w:r>
            <w:r>
              <w:rPr>
                <w:rFonts w:hint="eastAsia" w:ascii="方正仿宋_GBK" w:hAnsi="方正仿宋_GBK" w:eastAsia="方正仿宋_GBK" w:cs="宋体"/>
              </w:rPr>
              <w:t>0</w:t>
            </w:r>
            <w:r>
              <w:rPr>
                <w:rFonts w:hint="eastAsia" w:ascii="方正仿宋_GBK" w:hAnsi="宋体" w:eastAsia="方正仿宋_GBK" w:cs="宋体"/>
              </w:rPr>
              <w:t>～6553mm，分辨率：0.1mm，准确度：±0.1mm。</w:t>
            </w:r>
          </w:p>
          <w:p>
            <w:pPr>
              <w:adjustRightInd w:val="0"/>
              <w:snapToGrid w:val="0"/>
              <w:spacing w:line="240" w:lineRule="atLeast"/>
              <w:rPr>
                <w:rFonts w:ascii="方正仿宋_GBK" w:hAnsi="方正仿宋_GBK" w:eastAsia="方正仿宋_GBK" w:cs="宋体"/>
                <w:color w:val="000000"/>
              </w:rPr>
            </w:pPr>
            <w:r>
              <w:rPr>
                <w:rFonts w:hint="eastAsia" w:ascii="方正仿宋_GBK" w:hAnsi="宋体" w:eastAsia="方正仿宋_GBK" w:cs="宋体"/>
                <w:color w:val="000000"/>
              </w:rPr>
              <w:t>大气压力测量精度：±1hPa，测量范围： 300.0hPa～1100.0hPa。</w:t>
            </w:r>
          </w:p>
          <w:p>
            <w:pPr>
              <w:widowControl/>
              <w:adjustRightInd w:val="0"/>
              <w:snapToGrid w:val="0"/>
              <w:spacing w:line="240" w:lineRule="atLeast"/>
              <w:textAlignment w:val="center"/>
              <w:rPr>
                <w:rFonts w:ascii="方正仿宋_GBK" w:hAnsi="方正仿宋_GBK" w:eastAsia="方正仿宋_GBK"/>
              </w:rPr>
            </w:pPr>
            <w:r>
              <w:rPr>
                <w:rFonts w:hint="eastAsia" w:ascii="方正仿宋_GBK" w:hAnsi="方正仿宋_GBK" w:eastAsia="方正仿宋_GBK"/>
              </w:rPr>
              <w:t>标准配置：远程传输系统一套，室外支架一套，太阳能系统一套，空气温湿度传感器一套，光照强度传感器一只，风向风速传感器一只，雨量传感器一只，大气压一个，日照时数一个，</w:t>
            </w:r>
            <w:r>
              <w:rPr>
                <w:rFonts w:hint="eastAsia"/>
              </w:rPr>
              <w:t>温度、湿度、盐分、水分传感器一套，</w:t>
            </w:r>
            <w:r>
              <w:rPr>
                <w:rFonts w:hint="eastAsia" w:ascii="方正仿宋_GBK" w:hAnsi="宋体" w:eastAsia="方正仿宋_GBK" w:cs="宋体"/>
                <w:color w:val="000000"/>
                <w:kern w:val="0"/>
                <w:szCs w:val="21"/>
              </w:rPr>
              <w:t>遥测终端系统</w:t>
            </w:r>
            <w:r>
              <w:rPr>
                <w:rFonts w:hint="eastAsia" w:ascii="方正仿宋_GBK" w:hAnsi="方正仿宋_GBK" w:eastAsia="方正仿宋_GBK"/>
                <w:color w:val="000000"/>
              </w:rPr>
              <w:t>一套</w:t>
            </w:r>
            <w:r>
              <w:rPr>
                <w:rFonts w:hint="eastAsia" w:ascii="方正仿宋_GBK" w:hAnsi="方正仿宋_GBK" w:eastAsia="方正仿宋_GBK"/>
              </w:rPr>
              <w:t>，物联网卡一张（</w:t>
            </w:r>
            <w:r>
              <w:rPr>
                <w:rFonts w:hint="eastAsia"/>
              </w:rPr>
              <w:t>含5年的流量费用）</w:t>
            </w:r>
            <w:r>
              <w:rPr>
                <w:rFonts w:hint="eastAsia" w:ascii="方正仿宋_GBK" w:hAnsi="方正仿宋_GBK" w:eastAsia="方正仿宋_GBK"/>
              </w:rPr>
              <w:t>。</w:t>
            </w:r>
            <w:r>
              <w:rPr>
                <w:rFonts w:hint="eastAsia" w:ascii="仿宋" w:hAnsi="仿宋" w:eastAsia="仿宋" w:cs="仿宋"/>
                <w:b/>
                <w:bCs/>
                <w:kern w:val="0"/>
                <w:sz w:val="24"/>
              </w:rPr>
              <w:t>（提供制造厂家的气象站设备数据监测服务软件著作权复印件加盖公章及授权书）</w:t>
            </w:r>
          </w:p>
        </w:tc>
      </w:tr>
      <w:tr>
        <w:tblPrEx>
          <w:tblCellMar>
            <w:top w:w="0" w:type="dxa"/>
            <w:left w:w="0" w:type="dxa"/>
            <w:bottom w:w="0" w:type="dxa"/>
            <w:right w:w="0" w:type="dxa"/>
          </w:tblCellMar>
        </w:tblPrEx>
        <w:tc>
          <w:tcPr>
            <w:tcW w:w="60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adjustRightInd w:val="0"/>
              <w:snapToGrid w:val="0"/>
              <w:spacing w:line="240" w:lineRule="atLeast"/>
              <w:jc w:val="center"/>
              <w:rPr>
                <w:rFonts w:ascii="宋体" w:hAnsi="宋体" w:cs="宋体"/>
                <w:color w:val="000000"/>
              </w:rPr>
            </w:pPr>
            <w:r>
              <w:rPr>
                <w:rFonts w:hint="eastAsia" w:ascii="宋体" w:hAnsi="宋体" w:cs="宋体"/>
                <w:color w:val="000000"/>
              </w:rPr>
              <w:t>4</w:t>
            </w:r>
          </w:p>
        </w:tc>
        <w:tc>
          <w:tcPr>
            <w:tcW w:w="8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center"/>
              <w:textAlignment w:val="top"/>
              <w:rPr>
                <w:rFonts w:ascii="宋体" w:hAnsi="宋体" w:cs="宋体"/>
                <w:color w:val="000000"/>
                <w:kern w:val="0"/>
              </w:rPr>
            </w:pPr>
            <w:r>
              <w:rPr>
                <w:rFonts w:hint="eastAsia" w:ascii="宋体" w:hAnsi="宋体" w:cs="宋体"/>
                <w:color w:val="000000"/>
                <w:kern w:val="0"/>
              </w:rPr>
              <w:t>智能视频监控系统</w:t>
            </w:r>
          </w:p>
        </w:tc>
        <w:tc>
          <w:tcPr>
            <w:tcW w:w="769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adjustRightInd w:val="0"/>
              <w:snapToGrid w:val="0"/>
              <w:spacing w:line="240" w:lineRule="atLeast"/>
              <w:jc w:val="left"/>
              <w:textAlignment w:val="center"/>
              <w:rPr>
                <w:rFonts w:ascii="方正仿宋_GBK" w:hAnsi="宋体" w:eastAsia="方正仿宋_GBK" w:cs="宋体"/>
              </w:rPr>
            </w:pPr>
            <w:r>
              <w:rPr>
                <w:rFonts w:hint="eastAsia" w:ascii="方正仿宋_GBK" w:hAnsi="宋体" w:eastAsia="方正仿宋_GBK" w:cs="宋体"/>
              </w:rPr>
              <w:t>球机：</w:t>
            </w:r>
            <w:r>
              <w:rPr>
                <w:rFonts w:ascii="方正仿宋_GBK" w:hAnsi="宋体" w:eastAsia="方正仿宋_GBK" w:cs="宋体"/>
              </w:rPr>
              <w:t>4</w:t>
            </w:r>
            <w:r>
              <w:rPr>
                <w:rFonts w:hint="eastAsia" w:ascii="方正仿宋_GBK" w:hAnsi="宋体" w:eastAsia="方正仿宋_GBK" w:cs="宋体"/>
              </w:rPr>
              <w:t xml:space="preserve">00万 红外；1920×1080@60fps；星光级超低照度：0.0005Lux/F1.5(彩色),0.0001Lux/F1.5(黑白)，0 Lux with IR；200米红外照射距离；焦距：6-186mm，31倍光学变倍；支持音频、报警；支持120dB宽动态、光学透雾、强光抑制、Smart IR 、电子防抖、3D数字降噪；支持智能运动跟踪；支持区域入侵、越界、进入区域、离开区域、徘徊、人员聚集、快速移动、停车、物品遗留、物品拿取、音频异常、人脸、移动侦测；支持车牌识别；水平键控速度最大160°/s，垂直键控速度最大120°/s，垂直范围-20°~90°；H.265/H.264/MJPEG；最大支持128GB Micro SD卡；电源：AC24V/DC12V，50W max；支持IP66；工作温度：-40℃-70℃。 </w:t>
            </w:r>
            <w:r>
              <w:rPr>
                <w:rFonts w:ascii="方正仿宋_GBK" w:hAnsi="宋体" w:eastAsia="方正仿宋_GBK" w:cs="宋体"/>
              </w:rPr>
              <w:t xml:space="preserve"> </w:t>
            </w:r>
          </w:p>
          <w:p>
            <w:pPr>
              <w:widowControl/>
              <w:adjustRightInd w:val="0"/>
              <w:snapToGrid w:val="0"/>
              <w:spacing w:line="240" w:lineRule="atLeast"/>
              <w:jc w:val="left"/>
              <w:textAlignment w:val="center"/>
              <w:rPr>
                <w:rFonts w:ascii="方正仿宋_GBK" w:hAnsi="宋体" w:eastAsia="方正仿宋_GBK" w:cs="宋体"/>
                <w:color w:val="000000"/>
              </w:rPr>
            </w:pPr>
            <w:r>
              <w:rPr>
                <w:rFonts w:hint="eastAsia" w:ascii="方正仿宋_GBK" w:hAnsi="宋体" w:eastAsia="方正仿宋_GBK" w:cs="宋体"/>
              </w:rPr>
              <w:t>录像机：</w:t>
            </w:r>
            <w:r>
              <w:rPr>
                <w:rFonts w:hint="eastAsia" w:ascii="方正仿宋_GBK" w:hAnsi="宋体" w:eastAsia="方正仿宋_GBK" w:cs="宋体"/>
                <w:color w:val="000000"/>
                <w:kern w:val="0"/>
              </w:rPr>
              <w:t>1.5U标准机架式IP存储/嵌入式处理器/嵌入式软硬件设计/8路/80M接入/160M转发/4盘位</w:t>
            </w:r>
            <w:r>
              <w:rPr>
                <w:rFonts w:hint="eastAsia" w:ascii="方正仿宋_GBK" w:hAnsi="宋体" w:eastAsia="方正仿宋_GBK" w:cs="宋体"/>
                <w:color w:val="000000"/>
              </w:rPr>
              <w:t>。</w:t>
            </w:r>
          </w:p>
          <w:p>
            <w:pPr>
              <w:widowControl/>
              <w:adjustRightInd w:val="0"/>
              <w:snapToGrid w:val="0"/>
              <w:spacing w:line="240" w:lineRule="atLeast"/>
              <w:jc w:val="left"/>
              <w:textAlignment w:val="center"/>
              <w:rPr>
                <w:rFonts w:ascii="方正仿宋_GBK" w:hAnsi="宋体" w:eastAsia="方正仿宋_GBK" w:cs="宋体"/>
                <w:color w:val="000000"/>
              </w:rPr>
            </w:pPr>
            <w:r>
              <w:rPr>
                <w:rFonts w:hint="eastAsia" w:ascii="方正仿宋_GBK" w:hAnsi="宋体" w:eastAsia="方正仿宋_GBK" w:cs="宋体"/>
                <w:color w:val="000000"/>
              </w:rPr>
              <w:t>硬盘：</w:t>
            </w:r>
            <w:r>
              <w:rPr>
                <w:rFonts w:hint="eastAsia" w:ascii="方正仿宋_GBK" w:hAnsi="宋体" w:eastAsia="方正仿宋_GBK" w:cs="宋体"/>
                <w:color w:val="000000"/>
                <w:kern w:val="0"/>
              </w:rPr>
              <w:t>4TB 监控级接口SATA 转速7200 缓存64M 3.5寸</w:t>
            </w:r>
            <w:r>
              <w:rPr>
                <w:rFonts w:hint="eastAsia" w:ascii="方正仿宋_GBK" w:hAnsi="宋体" w:eastAsia="方正仿宋_GBK" w:cs="宋体"/>
                <w:color w:val="000000"/>
              </w:rPr>
              <w:t xml:space="preserve"> 。</w:t>
            </w:r>
          </w:p>
          <w:p>
            <w:pPr>
              <w:widowControl/>
              <w:adjustRightInd w:val="0"/>
              <w:snapToGrid w:val="0"/>
              <w:spacing w:line="240" w:lineRule="atLeast"/>
              <w:jc w:val="left"/>
              <w:textAlignment w:val="center"/>
              <w:rPr>
                <w:rFonts w:ascii="方正仿宋_GBK" w:hAnsi="方正仿宋_GBK" w:eastAsia="方正仿宋_GBK" w:cs="宋体"/>
                <w:color w:val="000000"/>
                <w:kern w:val="0"/>
              </w:rPr>
            </w:pPr>
            <w:r>
              <w:rPr>
                <w:rFonts w:hint="eastAsia" w:ascii="方正仿宋_GBK" w:hAnsi="宋体" w:eastAsia="方正仿宋_GBK" w:cs="宋体"/>
                <w:color w:val="000000"/>
              </w:rPr>
              <w:t>交换机：</w:t>
            </w:r>
            <w:r>
              <w:rPr>
                <w:rFonts w:ascii="方正仿宋_GBK" w:hAnsi="方正仿宋_GBK" w:eastAsia="方正仿宋_GBK" w:cs="宋体"/>
                <w:color w:val="000000"/>
                <w:kern w:val="0"/>
              </w:rPr>
              <w:t xml:space="preserve"> </w:t>
            </w:r>
            <w:r>
              <w:rPr>
                <w:rFonts w:hint="eastAsia" w:ascii="方正仿宋_GBK" w:hAnsi="宋体" w:eastAsia="方正仿宋_GBK" w:cs="宋体"/>
                <w:color w:val="000000"/>
                <w:kern w:val="0"/>
              </w:rPr>
              <w:t>8口交换机 。</w:t>
            </w:r>
          </w:p>
          <w:p>
            <w:pPr>
              <w:pStyle w:val="19"/>
              <w:widowControl/>
              <w:adjustRightInd w:val="0"/>
              <w:snapToGrid w:val="0"/>
              <w:spacing w:before="0" w:beforeAutospacing="0" w:after="0" w:afterAutospacing="0" w:line="240" w:lineRule="atLeast"/>
              <w:rPr>
                <w:rFonts w:ascii="方正仿宋_GBK" w:hAnsi="宋体" w:eastAsia="方正仿宋_GBK" w:cs="宋体"/>
                <w:color w:val="000000"/>
              </w:rPr>
            </w:pPr>
            <w:r>
              <w:rPr>
                <w:rFonts w:hint="eastAsia" w:ascii="方正仿宋_GBK" w:hAnsi="宋体" w:eastAsia="方正仿宋_GBK" w:cs="宋体"/>
                <w:color w:val="000000"/>
              </w:rPr>
              <w:t>路由器：工业级路由器 。</w:t>
            </w:r>
          </w:p>
          <w:p>
            <w:pPr>
              <w:pStyle w:val="19"/>
              <w:widowControl/>
              <w:adjustRightInd w:val="0"/>
              <w:snapToGrid w:val="0"/>
              <w:spacing w:before="0" w:beforeAutospacing="0" w:after="0" w:afterAutospacing="0" w:line="240" w:lineRule="atLeast"/>
              <w:rPr>
                <w:rFonts w:ascii="方正仿宋_GBK" w:hAnsi="宋体" w:eastAsia="方正仿宋_GBK" w:cs="宋体"/>
                <w:color w:val="000000"/>
              </w:rPr>
            </w:pPr>
            <w:r>
              <w:rPr>
                <w:rFonts w:hint="eastAsia" w:ascii="方正仿宋_GBK" w:hAnsi="宋体" w:eastAsia="方正仿宋_GBK" w:cs="宋体"/>
                <w:color w:val="000000"/>
              </w:rPr>
              <w:t>球机立杆：材料直径：114 厚5mm, 热镀锌管（含：地笼、避雷针、防水箱）</w:t>
            </w:r>
          </w:p>
          <w:p>
            <w:pPr>
              <w:pStyle w:val="19"/>
              <w:widowControl/>
              <w:adjustRightInd w:val="0"/>
              <w:snapToGrid w:val="0"/>
              <w:spacing w:before="0" w:beforeAutospacing="0" w:after="0" w:afterAutospacing="0" w:line="240" w:lineRule="atLeast"/>
              <w:rPr>
                <w:rFonts w:ascii="宋体" w:hAnsi="宋体" w:cs="宋体"/>
                <w:color w:val="000000"/>
                <w:sz w:val="21"/>
                <w:szCs w:val="21"/>
              </w:rPr>
            </w:pPr>
            <w:r>
              <w:rPr>
                <w:rFonts w:hint="eastAsia" w:ascii="方正仿宋_GBK" w:hAnsi="方正仿宋_GBK" w:eastAsia="方正仿宋_GBK"/>
              </w:rPr>
              <w:t>物联网卡一张（</w:t>
            </w:r>
            <w:r>
              <w:rPr>
                <w:rFonts w:hint="eastAsia"/>
              </w:rPr>
              <w:t>含5年的流量费用）</w:t>
            </w:r>
          </w:p>
        </w:tc>
      </w:tr>
      <w:tr>
        <w:tblPrEx>
          <w:tblCellMar>
            <w:top w:w="0" w:type="dxa"/>
            <w:left w:w="0" w:type="dxa"/>
            <w:bottom w:w="0" w:type="dxa"/>
            <w:right w:w="0" w:type="dxa"/>
          </w:tblCellMar>
        </w:tblPrEx>
        <w:tc>
          <w:tcPr>
            <w:tcW w:w="9187"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pStyle w:val="19"/>
              <w:widowControl/>
              <w:adjustRightInd w:val="0"/>
              <w:snapToGrid w:val="0"/>
              <w:spacing w:before="0" w:beforeAutospacing="0" w:after="0" w:afterAutospacing="0" w:line="240" w:lineRule="atLeast"/>
              <w:ind w:firstLine="480" w:firstLineChars="200"/>
            </w:pPr>
            <w:r>
              <w:rPr>
                <w:rFonts w:hint="eastAsia"/>
              </w:rPr>
              <w:t xml:space="preserve"> 带★的物联网环境监测系统功能，需提供制造厂家的第三方权威机构出具的带CNAS标志的类似功能检测报告复印件加盖公章以及制造厂家针对本项目的销售授权资格证书原件。（检测报告检测日期、软件著作权授权日期需在采购公告发布日之前，投标时需提供原件核查，否则作废标处理，并追究相关责任）</w:t>
            </w:r>
            <w:bookmarkStart w:id="96" w:name="_GoBack"/>
            <w:bookmarkEnd w:id="96"/>
          </w:p>
          <w:p>
            <w:pPr>
              <w:pStyle w:val="19"/>
              <w:widowControl/>
              <w:adjustRightInd w:val="0"/>
              <w:snapToGrid w:val="0"/>
              <w:spacing w:before="0" w:beforeAutospacing="0" w:after="0" w:afterAutospacing="0" w:line="240" w:lineRule="atLeast"/>
              <w:ind w:firstLine="480" w:firstLineChars="200"/>
              <w:rPr>
                <w:rFonts w:ascii="方正仿宋_GBK" w:hAnsi="方正仿宋_GBK" w:eastAsia="方正仿宋_GBK"/>
              </w:rPr>
            </w:pPr>
            <w:r>
              <w:rPr>
                <w:rFonts w:hint="eastAsia"/>
              </w:rPr>
              <w:t>要求所有智能设备必须能在手机上和后台设备显示，必须接入重庆土壤信息服务和我县大数据相关信息平台，能与其它设备兼容等。监测软件的数据能导成EXCLE表格并保存到电脑上</w:t>
            </w:r>
          </w:p>
        </w:tc>
      </w:tr>
    </w:tbl>
    <w:p>
      <w:pPr>
        <w:pStyle w:val="6"/>
        <w:jc w:val="center"/>
        <w:rPr>
          <w:rFonts w:ascii="仿宋" w:hAnsi="仿宋" w:eastAsia="仿宋" w:cs="仿宋"/>
        </w:rPr>
      </w:pPr>
    </w:p>
    <w:bookmarkEnd w:id="47"/>
    <w:bookmarkEnd w:id="48"/>
    <w:p>
      <w:pPr>
        <w:pStyle w:val="20"/>
      </w:pPr>
      <w:bookmarkStart w:id="49" w:name="_Toc11924"/>
      <w:bookmarkStart w:id="50" w:name="_Toc11917"/>
    </w:p>
    <w:p/>
    <w:p>
      <w:pPr>
        <w:pStyle w:val="20"/>
      </w:pPr>
    </w:p>
    <w:p>
      <w:pPr>
        <w:pStyle w:val="20"/>
      </w:pPr>
    </w:p>
    <w:p>
      <w:pPr>
        <w:pStyle w:val="20"/>
      </w:pPr>
    </w:p>
    <w:p>
      <w:pPr>
        <w:pStyle w:val="20"/>
      </w:pPr>
    </w:p>
    <w:p>
      <w:pPr>
        <w:pStyle w:val="20"/>
      </w:pPr>
    </w:p>
    <w:p>
      <w:pPr>
        <w:pStyle w:val="20"/>
      </w:pPr>
    </w:p>
    <w:p>
      <w:pPr>
        <w:pStyle w:val="20"/>
      </w:pPr>
    </w:p>
    <w:p/>
    <w:p>
      <w:pPr>
        <w:pStyle w:val="2"/>
      </w:pPr>
    </w:p>
    <w:p>
      <w:pPr>
        <w:pStyle w:val="3"/>
      </w:pPr>
    </w:p>
    <w:p/>
    <w:p>
      <w:pPr>
        <w:pStyle w:val="20"/>
      </w:pPr>
    </w:p>
    <w:p>
      <w:pPr>
        <w:pStyle w:val="20"/>
      </w:pPr>
      <w:r>
        <w:rPr>
          <w:rFonts w:hint="eastAsia"/>
        </w:rPr>
        <w:t>第三章 邀请评审原则</w:t>
      </w:r>
      <w:bookmarkEnd w:id="49"/>
      <w:bookmarkEnd w:id="50"/>
    </w:p>
    <w:p>
      <w:pPr>
        <w:spacing w:line="360" w:lineRule="auto"/>
        <w:ind w:firstLine="480" w:firstLineChars="200"/>
        <w:rPr>
          <w:rFonts w:ascii="仿宋" w:hAnsi="仿宋" w:eastAsia="仿宋" w:cs="仿宋"/>
          <w:sz w:val="24"/>
        </w:rPr>
      </w:pPr>
      <w:bookmarkStart w:id="51" w:name="_Toc46319917"/>
      <w:bookmarkStart w:id="52" w:name="_Toc46271632"/>
      <w:bookmarkStart w:id="53" w:name="_Toc19996"/>
      <w:r>
        <w:rPr>
          <w:rFonts w:hint="eastAsia" w:ascii="仿宋" w:hAnsi="仿宋" w:eastAsia="仿宋" w:cs="仿宋"/>
          <w:sz w:val="24"/>
        </w:rPr>
        <w:t>一、</w:t>
      </w:r>
      <w:bookmarkEnd w:id="41"/>
      <w:bookmarkEnd w:id="51"/>
      <w:bookmarkEnd w:id="52"/>
      <w:bookmarkEnd w:id="53"/>
      <w:r>
        <w:rPr>
          <w:rFonts w:hint="eastAsia" w:ascii="仿宋" w:hAnsi="仿宋" w:eastAsia="仿宋" w:cs="仿宋"/>
          <w:sz w:val="24"/>
        </w:rPr>
        <w:t>评审原则</w:t>
      </w:r>
    </w:p>
    <w:p>
      <w:pPr>
        <w:spacing w:line="360" w:lineRule="auto"/>
        <w:ind w:firstLine="480" w:firstLineChars="200"/>
        <w:rPr>
          <w:rFonts w:ascii="仿宋" w:hAnsi="仿宋" w:eastAsia="仿宋" w:cs="仿宋"/>
          <w:sz w:val="24"/>
        </w:rPr>
      </w:pPr>
      <w:bookmarkStart w:id="54" w:name="_Toc24268"/>
      <w:r>
        <w:rPr>
          <w:rFonts w:hint="eastAsia" w:ascii="方正仿宋_GBK" w:hAnsi="方正仿宋_GBK" w:eastAsia="方正仿宋_GBK" w:cs="方正仿宋_GBK"/>
          <w:sz w:val="24"/>
        </w:rPr>
        <w:t>抽取</w:t>
      </w:r>
      <w:r>
        <w:rPr>
          <w:rFonts w:hint="eastAsia" w:ascii="方正仿宋_GBK" w:hAnsi="方正仿宋_GBK" w:eastAsia="方正仿宋_GBK" w:cs="方正仿宋_GBK"/>
          <w:sz w:val="24"/>
          <w:lang w:val="en-US" w:eastAsia="zh-CN"/>
        </w:rPr>
        <w:t>3</w:t>
      </w:r>
      <w:r>
        <w:rPr>
          <w:rFonts w:hint="eastAsia" w:ascii="方正仿宋_GBK" w:hAnsi="方正仿宋_GBK" w:eastAsia="方正仿宋_GBK" w:cs="方正仿宋_GBK"/>
          <w:sz w:val="24"/>
        </w:rPr>
        <w:t>人组成评标委员会，由采购人代表</w:t>
      </w:r>
      <w:r>
        <w:rPr>
          <w:rFonts w:ascii="方正仿宋_GBK" w:hAnsi="方正仿宋_GBK" w:eastAsia="方正仿宋_GBK" w:cs="方正仿宋_GBK"/>
          <w:sz w:val="24"/>
        </w:rPr>
        <w:t>1</w:t>
      </w:r>
      <w:r>
        <w:rPr>
          <w:rFonts w:hint="eastAsia" w:ascii="方正仿宋_GBK" w:hAnsi="方正仿宋_GBK" w:eastAsia="方正仿宋_GBK" w:cs="方正仿宋_GBK"/>
          <w:sz w:val="24"/>
        </w:rPr>
        <w:t>人和在县农业农村委专家库中随机抽取</w:t>
      </w: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rPr>
        <w:t>人组成评标委员会，评标委员会对投标人的资格进行审查，资格审查符合者为有效投标人，不接受联合体投标。由评标委员会对通过资格审查的服务商进行比选，同等条件下低价优先中标原则，</w:t>
      </w:r>
      <w:r>
        <w:rPr>
          <w:rFonts w:hint="eastAsia" w:ascii="仿宋" w:hAnsi="仿宋" w:eastAsia="仿宋" w:cs="仿宋"/>
          <w:sz w:val="24"/>
        </w:rPr>
        <w:t>确定成交供应商，并将结果通知参加本次采购的其他供应商。</w:t>
      </w:r>
    </w:p>
    <w:p>
      <w:pPr>
        <w:pStyle w:val="6"/>
        <w:spacing w:before="0" w:line="400" w:lineRule="exact"/>
        <w:ind w:firstLine="482" w:firstLineChars="200"/>
        <w:rPr>
          <w:rFonts w:ascii="方正仿宋_GBK" w:eastAsia="方正仿宋_GBK"/>
          <w:szCs w:val="24"/>
        </w:rPr>
      </w:pPr>
      <w:bookmarkStart w:id="55" w:name="_Toc25780"/>
      <w:bookmarkStart w:id="56" w:name="_Toc26705"/>
      <w:r>
        <w:rPr>
          <w:rFonts w:hint="eastAsia" w:ascii="方正仿宋_GBK" w:eastAsia="方正仿宋_GBK"/>
          <w:szCs w:val="24"/>
        </w:rPr>
        <w:t>二、无效响应</w:t>
      </w:r>
      <w:bookmarkEnd w:id="54"/>
      <w:bookmarkEnd w:id="55"/>
      <w:bookmarkEnd w:id="56"/>
    </w:p>
    <w:p>
      <w:pPr>
        <w:spacing w:line="400" w:lineRule="exact"/>
        <w:ind w:firstLine="480" w:firstLineChars="200"/>
        <w:rPr>
          <w:rFonts w:ascii="仿宋" w:eastAsia="仿宋" w:cs="方正仿宋_GBK"/>
          <w:bCs/>
          <w:sz w:val="24"/>
        </w:rPr>
      </w:pPr>
      <w:r>
        <w:rPr>
          <w:rFonts w:hint="eastAsia" w:ascii="仿宋" w:eastAsia="仿宋" w:cs="方正仿宋_GBK"/>
          <w:bCs/>
          <w:sz w:val="24"/>
        </w:rPr>
        <w:t>供应商发生以下条款情况之一者，视为无效响应，其响应文件将被拒绝：</w:t>
      </w:r>
    </w:p>
    <w:p>
      <w:pPr>
        <w:spacing w:line="400" w:lineRule="exact"/>
        <w:ind w:firstLine="480" w:firstLineChars="200"/>
        <w:rPr>
          <w:rFonts w:ascii="仿宋" w:eastAsia="仿宋" w:cs="方正仿宋_GBK"/>
          <w:bCs/>
          <w:sz w:val="24"/>
        </w:rPr>
      </w:pPr>
      <w:r>
        <w:rPr>
          <w:rFonts w:hint="eastAsia" w:ascii="仿宋" w:eastAsia="仿宋" w:cs="方正仿宋_GBK"/>
          <w:bCs/>
          <w:sz w:val="24"/>
        </w:rPr>
        <w:t>（一）供应商不符合规定的基本资格条件或特定资格条件的；</w:t>
      </w:r>
    </w:p>
    <w:p>
      <w:pPr>
        <w:spacing w:line="400" w:lineRule="exact"/>
        <w:ind w:firstLine="480" w:firstLineChars="200"/>
        <w:rPr>
          <w:rFonts w:ascii="仿宋" w:eastAsia="仿宋" w:cs="方正仿宋_GBK"/>
          <w:bCs/>
          <w:sz w:val="24"/>
        </w:rPr>
      </w:pPr>
      <w:r>
        <w:rPr>
          <w:rFonts w:hint="eastAsia" w:ascii="仿宋" w:eastAsia="仿宋" w:cs="方正仿宋_GBK"/>
          <w:bCs/>
          <w:sz w:val="24"/>
        </w:rPr>
        <w:t>（二）供应商的法定代表人或其授权代表未参加投标；</w:t>
      </w:r>
    </w:p>
    <w:p>
      <w:pPr>
        <w:spacing w:line="400" w:lineRule="exact"/>
        <w:ind w:firstLine="480" w:firstLineChars="200"/>
        <w:rPr>
          <w:rFonts w:ascii="仿宋" w:eastAsia="仿宋" w:cs="方正仿宋_GBK"/>
          <w:bCs/>
          <w:sz w:val="24"/>
        </w:rPr>
      </w:pPr>
      <w:r>
        <w:rPr>
          <w:rFonts w:hint="eastAsia" w:ascii="仿宋" w:eastAsia="仿宋" w:cs="方正仿宋_GBK"/>
          <w:bCs/>
          <w:sz w:val="24"/>
        </w:rPr>
        <w:t>（三）供应商未按照邀请采购文件的要求缴纳投标保证金；</w:t>
      </w:r>
    </w:p>
    <w:p>
      <w:pPr>
        <w:spacing w:line="400" w:lineRule="exact"/>
        <w:ind w:firstLine="480" w:firstLineChars="200"/>
        <w:rPr>
          <w:rFonts w:ascii="仿宋" w:eastAsia="仿宋" w:cs="方正仿宋_GBK"/>
          <w:bCs/>
          <w:sz w:val="24"/>
        </w:rPr>
      </w:pPr>
      <w:r>
        <w:rPr>
          <w:rFonts w:hint="eastAsia" w:ascii="仿宋" w:eastAsia="仿宋" w:cs="方正仿宋_GBK"/>
          <w:bCs/>
          <w:sz w:val="24"/>
        </w:rPr>
        <w:t>（四）供应商的最后报价超过采购限价和计价清单单价的；</w:t>
      </w:r>
    </w:p>
    <w:p>
      <w:pPr>
        <w:spacing w:line="400" w:lineRule="exact"/>
        <w:ind w:firstLine="480" w:firstLineChars="200"/>
        <w:rPr>
          <w:rFonts w:ascii="仿宋" w:eastAsia="仿宋" w:cs="方正仿宋_GBK"/>
          <w:bCs/>
          <w:sz w:val="24"/>
        </w:rPr>
      </w:pPr>
      <w:r>
        <w:rPr>
          <w:rFonts w:hint="eastAsia" w:ascii="仿宋" w:eastAsia="仿宋" w:cs="方正仿宋_GBK"/>
          <w:bCs/>
          <w:sz w:val="24"/>
        </w:rPr>
        <w:t>（五）供应商未响应资格性检查和符合性检查要求的；</w:t>
      </w:r>
    </w:p>
    <w:p>
      <w:pPr>
        <w:spacing w:line="400" w:lineRule="exact"/>
        <w:ind w:firstLine="480" w:firstLineChars="200"/>
        <w:rPr>
          <w:rFonts w:ascii="仿宋" w:eastAsia="仿宋" w:cs="方正仿宋_GBK"/>
          <w:bCs/>
          <w:sz w:val="24"/>
        </w:rPr>
      </w:pPr>
      <w:r>
        <w:rPr>
          <w:rFonts w:hint="eastAsia" w:ascii="仿宋" w:eastAsia="仿宋" w:cs="方正仿宋_GBK"/>
          <w:bCs/>
          <w:sz w:val="24"/>
        </w:rPr>
        <w:t>（六）供应商超出营业范围投标的；</w:t>
      </w:r>
    </w:p>
    <w:p>
      <w:pPr>
        <w:spacing w:line="400" w:lineRule="exact"/>
        <w:ind w:firstLine="480" w:firstLineChars="200"/>
        <w:rPr>
          <w:rFonts w:ascii="仿宋" w:eastAsia="仿宋" w:cs="方正仿宋_GBK"/>
          <w:bCs/>
          <w:sz w:val="24"/>
        </w:rPr>
      </w:pPr>
      <w:r>
        <w:rPr>
          <w:rFonts w:hint="eastAsia" w:ascii="仿宋" w:eastAsia="仿宋" w:cs="方正仿宋_GBK"/>
          <w:bCs/>
          <w:sz w:val="24"/>
        </w:rPr>
        <w:t>（七）法定代表人为同一个人的两个及两个以上法人，母公司、全资子公司及其控股公司，在同一分包采购中同时参与投标；</w:t>
      </w:r>
    </w:p>
    <w:p>
      <w:pPr>
        <w:spacing w:line="400" w:lineRule="exact"/>
        <w:ind w:firstLine="480" w:firstLineChars="200"/>
        <w:rPr>
          <w:rFonts w:ascii="仿宋" w:eastAsia="仿宋" w:cs="方正仿宋_GBK"/>
          <w:bCs/>
          <w:sz w:val="24"/>
        </w:rPr>
      </w:pPr>
      <w:r>
        <w:rPr>
          <w:rFonts w:hint="eastAsia" w:ascii="仿宋" w:eastAsia="仿宋" w:cs="方正仿宋_GBK"/>
          <w:bCs/>
          <w:sz w:val="24"/>
        </w:rPr>
        <w:t>（八）单位负责人为同一人或者存在直接控股、管理关系的不同供应商，参加同一合同项下的政府采购活动的；</w:t>
      </w:r>
    </w:p>
    <w:p>
      <w:pPr>
        <w:spacing w:line="400" w:lineRule="exact"/>
        <w:ind w:firstLine="480" w:firstLineChars="200"/>
        <w:rPr>
          <w:rFonts w:ascii="仿宋" w:eastAsia="仿宋" w:cs="方正仿宋_GBK"/>
          <w:bCs/>
          <w:sz w:val="24"/>
        </w:rPr>
      </w:pPr>
      <w:r>
        <w:rPr>
          <w:rFonts w:hint="eastAsia" w:ascii="仿宋" w:eastAsia="仿宋" w:cs="方正仿宋_GBK"/>
          <w:bCs/>
          <w:sz w:val="24"/>
        </w:rPr>
        <w:t>（九）为采购项目提供整体设计、规范编制或者项目管理、监理、检测等服务的供应商，再参加该采购项目的其他采购活动；</w:t>
      </w:r>
    </w:p>
    <w:p>
      <w:pPr>
        <w:spacing w:line="400" w:lineRule="exact"/>
        <w:ind w:firstLine="480" w:firstLineChars="200"/>
        <w:rPr>
          <w:rFonts w:ascii="仿宋" w:eastAsia="仿宋" w:cs="方正仿宋_GBK"/>
          <w:bCs/>
          <w:sz w:val="24"/>
        </w:rPr>
      </w:pPr>
      <w:r>
        <w:rPr>
          <w:rFonts w:hint="eastAsia" w:ascii="仿宋" w:eastAsia="仿宋" w:cs="方正仿宋_GBK"/>
          <w:bCs/>
          <w:sz w:val="24"/>
        </w:rPr>
        <w:t>（十）供应商的服务期、质量保证期及投标有效期不满足邀请采购文件要求的；</w:t>
      </w:r>
    </w:p>
    <w:p>
      <w:pPr>
        <w:spacing w:line="400" w:lineRule="exact"/>
        <w:ind w:firstLine="480" w:firstLineChars="200"/>
        <w:rPr>
          <w:rFonts w:ascii="仿宋" w:eastAsia="仿宋" w:cs="方正仿宋_GBK"/>
          <w:bCs/>
          <w:sz w:val="24"/>
        </w:rPr>
      </w:pPr>
      <w:r>
        <w:rPr>
          <w:rFonts w:hint="eastAsia" w:ascii="仿宋" w:eastAsia="仿宋" w:cs="方正仿宋_GBK"/>
          <w:bCs/>
          <w:sz w:val="24"/>
        </w:rPr>
        <w:t>（十一）供应商响应文件内容有与国家现行法律法规相违背的内容，或附有采购人无法接受的条件；</w:t>
      </w:r>
    </w:p>
    <w:p>
      <w:pPr>
        <w:spacing w:line="360" w:lineRule="auto"/>
        <w:ind w:firstLine="480" w:firstLineChars="200"/>
        <w:rPr>
          <w:rFonts w:ascii="宋体"/>
          <w:sz w:val="24"/>
        </w:rPr>
        <w:sectPr>
          <w:footerReference r:id="rId3" w:type="default"/>
          <w:pgSz w:w="11907" w:h="16840"/>
          <w:pgMar w:top="1134" w:right="1191" w:bottom="1134" w:left="1304" w:header="964" w:footer="992" w:gutter="0"/>
          <w:pgNumType w:fmt="numberInDash"/>
          <w:cols w:space="720" w:num="1"/>
          <w:docGrid w:linePitch="380" w:charSpace="0"/>
        </w:sectPr>
      </w:pPr>
    </w:p>
    <w:p>
      <w:pPr>
        <w:pStyle w:val="4"/>
        <w:pageBreakBefore/>
        <w:spacing w:line="340" w:lineRule="exact"/>
        <w:jc w:val="center"/>
        <w:rPr>
          <w:rFonts w:ascii="仿宋" w:eastAsia="仿宋" w:cs="宋体"/>
          <w:b w:val="0"/>
          <w:bCs w:val="0"/>
          <w:sz w:val="24"/>
          <w:szCs w:val="24"/>
        </w:rPr>
      </w:pPr>
      <w:bookmarkStart w:id="57" w:name="_Toc5001"/>
      <w:bookmarkStart w:id="58" w:name="_Toc484196065"/>
      <w:r>
        <w:rPr>
          <w:rFonts w:hint="eastAsia" w:ascii="宋体" w:cs="宋体"/>
          <w:sz w:val="28"/>
          <w:szCs w:val="28"/>
        </w:rPr>
        <w:t>第四章 供应商须知</w:t>
      </w:r>
      <w:bookmarkEnd w:id="57"/>
      <w:bookmarkEnd w:id="58"/>
      <w:bookmarkStart w:id="59" w:name="_Toc19823"/>
      <w:bookmarkStart w:id="60" w:name="_Toc484196068"/>
      <w:bookmarkStart w:id="61" w:name="_Toc269310620"/>
    </w:p>
    <w:p>
      <w:pPr>
        <w:pStyle w:val="5"/>
        <w:spacing w:line="440" w:lineRule="exact"/>
        <w:ind w:firstLine="480" w:firstLineChars="200"/>
        <w:rPr>
          <w:rFonts w:ascii="仿宋" w:eastAsia="仿宋" w:cs="宋体"/>
          <w:sz w:val="24"/>
          <w:szCs w:val="24"/>
        </w:rPr>
      </w:pPr>
      <w:bookmarkStart w:id="62" w:name="_Toc8040"/>
      <w:bookmarkStart w:id="63" w:name="_Toc28126"/>
      <w:r>
        <w:rPr>
          <w:rFonts w:hint="eastAsia" w:ascii="仿宋" w:eastAsia="仿宋" w:cs="宋体"/>
          <w:sz w:val="24"/>
          <w:szCs w:val="24"/>
        </w:rPr>
        <w:t>一、邀请采购文件</w:t>
      </w:r>
      <w:bookmarkEnd w:id="59"/>
      <w:bookmarkEnd w:id="60"/>
      <w:bookmarkEnd w:id="61"/>
      <w:bookmarkEnd w:id="62"/>
      <w:bookmarkEnd w:id="63"/>
    </w:p>
    <w:p>
      <w:pPr>
        <w:snapToGrid w:val="0"/>
        <w:spacing w:line="440" w:lineRule="exact"/>
        <w:ind w:firstLine="480" w:firstLineChars="200"/>
        <w:rPr>
          <w:rFonts w:ascii="仿宋" w:eastAsia="仿宋" w:cs="宋体"/>
          <w:bCs/>
          <w:sz w:val="24"/>
        </w:rPr>
      </w:pPr>
      <w:bookmarkStart w:id="64" w:name="_Toc269310621"/>
      <w:r>
        <w:rPr>
          <w:rFonts w:ascii="仿宋" w:eastAsia="仿宋" w:cs="宋体"/>
          <w:bCs/>
          <w:sz w:val="24"/>
        </w:rPr>
        <w:t>1</w:t>
      </w:r>
      <w:r>
        <w:rPr>
          <w:rFonts w:hint="eastAsia" w:ascii="仿宋" w:eastAsia="仿宋" w:cs="宋体"/>
          <w:bCs/>
          <w:sz w:val="24"/>
        </w:rPr>
        <w:t>．邀请采购文件包括供应商资格条件、采购邀请函、采购方式、采购预算、采购需求、评审程序、评审方法、评审标准、价格构成或者报价要求、采购文件编制要求、保证金交纳数额和形式以及不予退还保证金的情形、邀请过程中可能实质性变动的内容、响应文件提交的截止时间、开启时间及地点以及合同草案条款等。</w:t>
      </w:r>
    </w:p>
    <w:p>
      <w:pPr>
        <w:spacing w:line="440" w:lineRule="exact"/>
        <w:ind w:firstLine="480" w:firstLineChars="200"/>
        <w:rPr>
          <w:rFonts w:ascii="仿宋" w:eastAsia="仿宋" w:cs="宋体"/>
          <w:bCs/>
          <w:sz w:val="24"/>
        </w:rPr>
      </w:pPr>
      <w:r>
        <w:rPr>
          <w:rFonts w:ascii="仿宋" w:eastAsia="仿宋" w:cs="宋体"/>
          <w:bCs/>
          <w:sz w:val="24"/>
        </w:rPr>
        <w:t>2</w:t>
      </w:r>
      <w:r>
        <w:rPr>
          <w:rFonts w:hint="eastAsia" w:ascii="仿宋" w:eastAsia="仿宋" w:cs="宋体"/>
          <w:bCs/>
          <w:sz w:val="24"/>
        </w:rPr>
        <w:t>．采购人对采购文件所作的一切有效的书面通知、修改及补充，都是采购文件不可分割的部分。</w:t>
      </w:r>
    </w:p>
    <w:p>
      <w:pPr>
        <w:spacing w:line="440" w:lineRule="exact"/>
        <w:ind w:firstLine="480" w:firstLineChars="200"/>
        <w:rPr>
          <w:rFonts w:ascii="仿宋" w:eastAsia="仿宋" w:cs="宋体"/>
          <w:bCs/>
          <w:sz w:val="24"/>
        </w:rPr>
      </w:pPr>
      <w:r>
        <w:rPr>
          <w:rFonts w:ascii="仿宋" w:eastAsia="仿宋" w:cs="宋体"/>
          <w:bCs/>
          <w:sz w:val="24"/>
        </w:rPr>
        <w:t>3</w:t>
      </w:r>
      <w:r>
        <w:rPr>
          <w:rFonts w:hint="eastAsia" w:ascii="仿宋" w:eastAsia="仿宋" w:cs="宋体"/>
          <w:bCs/>
          <w:sz w:val="24"/>
        </w:rPr>
        <w:t>．采购人对已发出的采购文件需要进行澄清或修改的，应以书面形式通知所有采购文件收受人或在指定媒体上发布公告。该澄清或者修改的内容为采购文件的组成部分。</w:t>
      </w:r>
    </w:p>
    <w:p>
      <w:pPr>
        <w:spacing w:line="440" w:lineRule="exact"/>
        <w:ind w:firstLine="480" w:firstLineChars="200"/>
        <w:rPr>
          <w:rFonts w:ascii="仿宋" w:eastAsia="仿宋" w:cs="宋体"/>
          <w:bCs/>
          <w:sz w:val="24"/>
        </w:rPr>
      </w:pPr>
      <w:r>
        <w:rPr>
          <w:rFonts w:ascii="仿宋" w:eastAsia="仿宋" w:cs="宋体"/>
          <w:bCs/>
          <w:sz w:val="24"/>
        </w:rPr>
        <w:t>4</w:t>
      </w:r>
      <w:r>
        <w:rPr>
          <w:rFonts w:hint="eastAsia" w:ascii="仿宋" w:eastAsia="仿宋" w:cs="宋体"/>
          <w:bCs/>
          <w:sz w:val="24"/>
        </w:rPr>
        <w:t>．供应商对采购文件有异议的，应在规定时间内提出，否则视同认可采购文件所有要求。逾期提出异议的，采购人可以不予受理。</w:t>
      </w:r>
    </w:p>
    <w:p>
      <w:pPr>
        <w:pStyle w:val="5"/>
        <w:spacing w:line="440" w:lineRule="exact"/>
        <w:ind w:firstLine="480" w:firstLineChars="200"/>
        <w:rPr>
          <w:rFonts w:ascii="仿宋" w:eastAsia="仿宋" w:cs="宋体"/>
          <w:color w:val="000000"/>
          <w:sz w:val="24"/>
          <w:szCs w:val="24"/>
        </w:rPr>
      </w:pPr>
      <w:bookmarkStart w:id="65" w:name="_Toc23312"/>
      <w:bookmarkStart w:id="66" w:name="_Toc26769"/>
      <w:bookmarkStart w:id="67" w:name="_Toc484196069"/>
      <w:bookmarkStart w:id="68" w:name="_Toc29382"/>
      <w:r>
        <w:rPr>
          <w:rFonts w:hint="eastAsia" w:ascii="仿宋" w:eastAsia="仿宋" w:cs="宋体"/>
          <w:color w:val="000000"/>
          <w:sz w:val="24"/>
          <w:szCs w:val="24"/>
        </w:rPr>
        <w:t>二、邀请响应文件</w:t>
      </w:r>
      <w:bookmarkEnd w:id="64"/>
      <w:bookmarkEnd w:id="65"/>
      <w:bookmarkEnd w:id="66"/>
      <w:bookmarkEnd w:id="67"/>
      <w:bookmarkEnd w:id="68"/>
    </w:p>
    <w:p>
      <w:pPr>
        <w:spacing w:line="440" w:lineRule="exact"/>
        <w:ind w:firstLine="480" w:firstLineChars="200"/>
        <w:rPr>
          <w:rFonts w:ascii="仿宋" w:eastAsia="仿宋" w:cs="宋体"/>
          <w:bCs/>
          <w:color w:val="000000"/>
          <w:sz w:val="24"/>
        </w:rPr>
      </w:pPr>
      <w:r>
        <w:rPr>
          <w:rFonts w:hint="eastAsia" w:ascii="仿宋" w:eastAsia="仿宋" w:cs="宋体"/>
          <w:bCs/>
          <w:color w:val="000000"/>
          <w:sz w:val="24"/>
        </w:rPr>
        <w:t>供应商应当按照采购文件的要求编制响应文件，并对采购文件提出的要求和条件作出实质性响应。</w:t>
      </w:r>
    </w:p>
    <w:p>
      <w:pPr>
        <w:spacing w:line="440" w:lineRule="exact"/>
        <w:ind w:firstLine="480" w:firstLineChars="200"/>
        <w:rPr>
          <w:rFonts w:ascii="仿宋" w:eastAsia="仿宋" w:cs="宋体"/>
          <w:bCs/>
          <w:color w:val="000000"/>
          <w:sz w:val="24"/>
        </w:rPr>
      </w:pPr>
      <w:r>
        <w:rPr>
          <w:rFonts w:hint="eastAsia" w:ascii="仿宋" w:eastAsia="仿宋" w:cs="宋体"/>
          <w:bCs/>
          <w:color w:val="000000"/>
          <w:sz w:val="24"/>
        </w:rPr>
        <w:t>（一）响应文件的</w:t>
      </w:r>
      <w:r>
        <w:rPr>
          <w:rFonts w:hint="eastAsia" w:ascii="仿宋" w:eastAsia="仿宋"/>
          <w:color w:val="000000"/>
          <w:kern w:val="0"/>
          <w:sz w:val="24"/>
        </w:rPr>
        <w:t>组成、装订、制作及密封</w:t>
      </w:r>
      <w:r>
        <w:rPr>
          <w:rFonts w:hint="eastAsia" w:ascii="仿宋" w:eastAsia="仿宋" w:cs="宋体"/>
          <w:bCs/>
          <w:color w:val="000000"/>
          <w:sz w:val="24"/>
        </w:rPr>
        <w:t>。</w:t>
      </w:r>
    </w:p>
    <w:p>
      <w:pPr>
        <w:spacing w:line="440" w:lineRule="exact"/>
        <w:ind w:firstLine="480" w:firstLineChars="200"/>
        <w:rPr>
          <w:rFonts w:ascii="仿宋" w:eastAsia="仿宋"/>
          <w:color w:val="000000"/>
          <w:kern w:val="0"/>
          <w:sz w:val="24"/>
        </w:rPr>
      </w:pPr>
      <w:r>
        <w:rPr>
          <w:rFonts w:hint="eastAsia" w:ascii="仿宋" w:eastAsia="仿宋" w:cs="宋体"/>
          <w:bCs/>
          <w:color w:val="000000"/>
          <w:sz w:val="24"/>
        </w:rPr>
        <w:t>响应文件由</w:t>
      </w:r>
      <w:r>
        <w:rPr>
          <w:rFonts w:hint="eastAsia" w:ascii="仿宋" w:eastAsia="仿宋"/>
          <w:color w:val="000000"/>
          <w:kern w:val="0"/>
          <w:sz w:val="24"/>
        </w:rPr>
        <w:t>响应文件规定的部分和投标人所作的一切有效补充、修改和承诺等文件组成。</w:t>
      </w:r>
    </w:p>
    <w:p>
      <w:pPr>
        <w:spacing w:line="440" w:lineRule="exact"/>
        <w:ind w:firstLine="480" w:firstLineChars="200"/>
        <w:rPr>
          <w:rFonts w:ascii="仿宋" w:eastAsia="仿宋" w:cs="宋体"/>
          <w:bCs/>
          <w:color w:val="000000"/>
          <w:sz w:val="24"/>
        </w:rPr>
      </w:pPr>
      <w:r>
        <w:rPr>
          <w:rFonts w:ascii="仿宋" w:eastAsia="仿宋" w:cs="宋体"/>
          <w:bCs/>
          <w:color w:val="000000"/>
          <w:sz w:val="24"/>
        </w:rPr>
        <w:t>1</w:t>
      </w:r>
      <w:r>
        <w:rPr>
          <w:rFonts w:hint="eastAsia" w:ascii="仿宋" w:eastAsia="仿宋" w:cs="宋体"/>
          <w:bCs/>
          <w:color w:val="000000"/>
          <w:sz w:val="24"/>
        </w:rPr>
        <w:t>．装订</w:t>
      </w:r>
    </w:p>
    <w:p>
      <w:pPr>
        <w:spacing w:line="440" w:lineRule="exact"/>
        <w:ind w:firstLine="480" w:firstLineChars="200"/>
        <w:rPr>
          <w:rFonts w:ascii="仿宋" w:eastAsia="仿宋" w:cs="宋体"/>
          <w:bCs/>
          <w:color w:val="000000"/>
          <w:sz w:val="24"/>
        </w:rPr>
      </w:pPr>
      <w:r>
        <w:rPr>
          <w:rFonts w:hint="eastAsia" w:ascii="仿宋" w:eastAsia="仿宋" w:cs="宋体"/>
          <w:bCs/>
          <w:sz w:val="24"/>
        </w:rPr>
        <w:t>响应文件</w:t>
      </w:r>
      <w:r>
        <w:rPr>
          <w:rFonts w:ascii="仿宋" w:eastAsia="仿宋" w:cs="宋体"/>
          <w:bCs/>
          <w:sz w:val="24"/>
        </w:rPr>
        <w:t>A4</w:t>
      </w:r>
      <w:r>
        <w:rPr>
          <w:rFonts w:hint="eastAsia" w:ascii="仿宋" w:eastAsia="仿宋" w:cs="宋体"/>
          <w:bCs/>
          <w:sz w:val="24"/>
        </w:rPr>
        <w:t>幅面，双面或单面打印简装成册。</w:t>
      </w:r>
    </w:p>
    <w:p>
      <w:pPr>
        <w:spacing w:line="440" w:lineRule="exact"/>
        <w:ind w:firstLine="480" w:firstLineChars="200"/>
        <w:rPr>
          <w:rFonts w:ascii="仿宋" w:eastAsia="仿宋" w:cs="宋体"/>
          <w:bCs/>
          <w:color w:val="000000"/>
          <w:sz w:val="24"/>
        </w:rPr>
      </w:pPr>
      <w:r>
        <w:rPr>
          <w:rFonts w:ascii="仿宋" w:eastAsia="仿宋" w:cs="宋体"/>
          <w:bCs/>
          <w:color w:val="000000"/>
          <w:sz w:val="24"/>
        </w:rPr>
        <w:t>2</w:t>
      </w:r>
      <w:r>
        <w:rPr>
          <w:rFonts w:hint="eastAsia" w:ascii="仿宋" w:eastAsia="仿宋" w:cs="宋体"/>
          <w:bCs/>
          <w:color w:val="000000"/>
          <w:sz w:val="24"/>
        </w:rPr>
        <w:t>、密封</w:t>
      </w:r>
    </w:p>
    <w:p>
      <w:pPr>
        <w:spacing w:line="440" w:lineRule="exact"/>
        <w:ind w:firstLine="480" w:firstLineChars="200"/>
        <w:rPr>
          <w:rFonts w:ascii="仿宋" w:eastAsia="仿宋" w:cs="宋体"/>
          <w:bCs/>
          <w:color w:val="000000"/>
          <w:sz w:val="24"/>
        </w:rPr>
      </w:pPr>
      <w:r>
        <w:rPr>
          <w:rFonts w:hint="eastAsia" w:ascii="仿宋" w:eastAsia="仿宋" w:cs="宋体"/>
          <w:bCs/>
          <w:color w:val="000000"/>
          <w:sz w:val="24"/>
        </w:rPr>
        <w:t>在密封袋上注明项目名称、投标人名称。密封袋封口处密封并加盖投标人鲜章或授权代表签字。</w:t>
      </w:r>
    </w:p>
    <w:p>
      <w:pPr>
        <w:spacing w:line="440" w:lineRule="exact"/>
        <w:ind w:firstLine="480" w:firstLineChars="200"/>
        <w:rPr>
          <w:rFonts w:ascii="仿宋" w:eastAsia="仿宋" w:cs="宋体"/>
          <w:bCs/>
          <w:sz w:val="24"/>
        </w:rPr>
      </w:pPr>
      <w:r>
        <w:rPr>
          <w:rFonts w:hint="eastAsia" w:ascii="仿宋" w:eastAsia="仿宋" w:cs="宋体"/>
          <w:bCs/>
          <w:sz w:val="24"/>
        </w:rPr>
        <w:t>（二）响应文件的份数和签署</w:t>
      </w:r>
    </w:p>
    <w:p>
      <w:pPr>
        <w:spacing w:line="440" w:lineRule="exact"/>
        <w:ind w:firstLine="480" w:firstLineChars="200"/>
        <w:rPr>
          <w:rFonts w:ascii="仿宋" w:eastAsia="仿宋" w:cs="宋体"/>
          <w:bCs/>
          <w:sz w:val="24"/>
        </w:rPr>
      </w:pPr>
      <w:r>
        <w:rPr>
          <w:rFonts w:ascii="仿宋" w:eastAsia="仿宋" w:cs="宋体"/>
          <w:bCs/>
          <w:sz w:val="24"/>
        </w:rPr>
        <w:t>1</w:t>
      </w:r>
      <w:r>
        <w:rPr>
          <w:rFonts w:hint="eastAsia" w:ascii="仿宋" w:eastAsia="仿宋" w:cs="宋体"/>
          <w:bCs/>
          <w:sz w:val="24"/>
        </w:rPr>
        <w:t>．响应文件一式二份，其中正本一份，副本一份。</w:t>
      </w:r>
    </w:p>
    <w:p>
      <w:pPr>
        <w:spacing w:line="440" w:lineRule="exact"/>
        <w:ind w:firstLine="480" w:firstLineChars="200"/>
        <w:rPr>
          <w:rFonts w:ascii="仿宋" w:eastAsia="仿宋" w:cs="宋体"/>
          <w:bCs/>
          <w:sz w:val="24"/>
        </w:rPr>
      </w:pPr>
      <w:r>
        <w:rPr>
          <w:rFonts w:ascii="仿宋" w:eastAsia="仿宋" w:cs="宋体"/>
          <w:bCs/>
          <w:sz w:val="24"/>
        </w:rPr>
        <w:t>2</w:t>
      </w:r>
      <w:r>
        <w:rPr>
          <w:rFonts w:hint="eastAsia" w:ascii="仿宋" w:eastAsia="仿宋" w:cs="宋体"/>
          <w:bCs/>
          <w:sz w:val="24"/>
        </w:rPr>
        <w:t>．响应文件按邀请采购文件要求签名和加盖供应商公章。</w:t>
      </w:r>
    </w:p>
    <w:p>
      <w:pPr>
        <w:spacing w:line="440" w:lineRule="exact"/>
        <w:ind w:firstLine="480" w:firstLineChars="200"/>
        <w:rPr>
          <w:rFonts w:ascii="仿宋" w:eastAsia="仿宋" w:cs="宋体"/>
          <w:bCs/>
          <w:sz w:val="24"/>
        </w:rPr>
      </w:pPr>
      <w:r>
        <w:rPr>
          <w:rFonts w:ascii="仿宋" w:eastAsia="仿宋" w:cs="宋体"/>
          <w:bCs/>
          <w:sz w:val="24"/>
        </w:rPr>
        <w:t>3</w:t>
      </w:r>
      <w:r>
        <w:rPr>
          <w:rFonts w:hint="eastAsia" w:ascii="仿宋" w:eastAsia="仿宋" w:cs="宋体"/>
          <w:bCs/>
          <w:sz w:val="24"/>
        </w:rPr>
        <w:t>．若供应商对响应文件的错处作必要修改，则应在修改处加盖供应商公章或由法人或法人授权代表签字确认。</w:t>
      </w:r>
    </w:p>
    <w:p>
      <w:pPr>
        <w:spacing w:line="440" w:lineRule="exact"/>
        <w:ind w:firstLine="480" w:firstLineChars="200"/>
        <w:rPr>
          <w:rFonts w:ascii="仿宋" w:eastAsia="仿宋" w:cs="宋体"/>
          <w:bCs/>
          <w:sz w:val="24"/>
        </w:rPr>
      </w:pPr>
      <w:r>
        <w:rPr>
          <w:rFonts w:ascii="仿宋" w:eastAsia="仿宋" w:cs="宋体"/>
          <w:bCs/>
          <w:sz w:val="24"/>
        </w:rPr>
        <w:t>4</w:t>
      </w:r>
      <w:r>
        <w:rPr>
          <w:rFonts w:hint="eastAsia" w:ascii="仿宋" w:eastAsia="仿宋" w:cs="宋体"/>
          <w:bCs/>
          <w:sz w:val="24"/>
        </w:rPr>
        <w:t>．电报、电话、传真形式的响应文件概不接受。</w:t>
      </w:r>
    </w:p>
    <w:p>
      <w:pPr>
        <w:spacing w:line="440" w:lineRule="exact"/>
        <w:ind w:firstLine="480" w:firstLineChars="200"/>
        <w:rPr>
          <w:rFonts w:ascii="仿宋" w:eastAsia="仿宋" w:cs="宋体"/>
          <w:bCs/>
          <w:sz w:val="24"/>
        </w:rPr>
      </w:pPr>
      <w:r>
        <w:rPr>
          <w:rFonts w:ascii="仿宋" w:eastAsia="仿宋"/>
          <w:kern w:val="0"/>
          <w:sz w:val="24"/>
        </w:rPr>
        <w:t>5</w:t>
      </w:r>
      <w:r>
        <w:rPr>
          <w:rFonts w:hint="eastAsia" w:ascii="仿宋" w:eastAsia="仿宋"/>
          <w:kern w:val="0"/>
          <w:sz w:val="24"/>
        </w:rPr>
        <w:t>．本项目提供的响应文件格式仅供参考，投标人应根据实际情况制作响应文件。</w:t>
      </w:r>
    </w:p>
    <w:p>
      <w:pPr>
        <w:spacing w:line="440" w:lineRule="exact"/>
        <w:ind w:firstLine="480" w:firstLineChars="200"/>
        <w:rPr>
          <w:rFonts w:ascii="仿宋" w:eastAsia="仿宋" w:cs="宋体"/>
          <w:bCs/>
          <w:sz w:val="24"/>
        </w:rPr>
      </w:pPr>
      <w:r>
        <w:rPr>
          <w:rFonts w:hint="eastAsia" w:ascii="仿宋" w:eastAsia="仿宋" w:cs="宋体"/>
          <w:bCs/>
          <w:sz w:val="24"/>
        </w:rPr>
        <w:t>（六）邀请报价。</w:t>
      </w:r>
    </w:p>
    <w:p>
      <w:pPr>
        <w:spacing w:line="440" w:lineRule="exact"/>
        <w:ind w:firstLine="480" w:firstLineChars="200"/>
        <w:rPr>
          <w:rFonts w:ascii="仿宋" w:eastAsia="仿宋" w:cs="宋体"/>
          <w:bCs/>
          <w:sz w:val="24"/>
        </w:rPr>
      </w:pPr>
      <w:r>
        <w:rPr>
          <w:rFonts w:hint="eastAsia" w:ascii="仿宋" w:eastAsia="仿宋" w:cs="宋体"/>
          <w:bCs/>
          <w:sz w:val="24"/>
        </w:rPr>
        <w:t>本项目只接受一个邀请报价，有选择的或有条件的报价将不予接受</w:t>
      </w:r>
      <w:r>
        <w:rPr>
          <w:rFonts w:ascii="仿宋" w:eastAsia="仿宋" w:cs="宋体"/>
          <w:bCs/>
          <w:sz w:val="24"/>
        </w:rPr>
        <w:t>,</w:t>
      </w:r>
      <w:r>
        <w:rPr>
          <w:rFonts w:hint="eastAsia" w:ascii="仿宋" w:eastAsia="仿宋" w:cs="宋体"/>
          <w:bCs/>
          <w:sz w:val="24"/>
        </w:rPr>
        <w:t>在响应有效期内投标价格固定不变。</w:t>
      </w:r>
    </w:p>
    <w:p>
      <w:pPr>
        <w:pStyle w:val="11"/>
        <w:spacing w:line="440" w:lineRule="exact"/>
        <w:ind w:firstLine="480" w:firstLineChars="200"/>
        <w:rPr>
          <w:rFonts w:ascii="仿宋" w:eastAsia="仿宋"/>
          <w:kern w:val="0"/>
          <w:sz w:val="24"/>
          <w:szCs w:val="24"/>
        </w:rPr>
      </w:pPr>
      <w:r>
        <w:rPr>
          <w:rFonts w:hint="eastAsia" w:ascii="仿宋" w:eastAsia="仿宋" w:cs="宋体"/>
          <w:bCs/>
          <w:sz w:val="24"/>
          <w:szCs w:val="24"/>
        </w:rPr>
        <w:t>（七）</w:t>
      </w:r>
      <w:bookmarkStart w:id="69" w:name="_Toc269310622"/>
      <w:r>
        <w:rPr>
          <w:rFonts w:hint="eastAsia" w:ascii="仿宋" w:eastAsia="仿宋"/>
          <w:kern w:val="0"/>
          <w:sz w:val="24"/>
          <w:szCs w:val="24"/>
        </w:rPr>
        <w:t>修正错误</w:t>
      </w:r>
    </w:p>
    <w:p>
      <w:pPr>
        <w:pStyle w:val="11"/>
        <w:spacing w:line="440" w:lineRule="exact"/>
        <w:ind w:firstLine="480" w:firstLineChars="200"/>
        <w:rPr>
          <w:rFonts w:ascii="仿宋" w:eastAsia="仿宋"/>
          <w:kern w:val="0"/>
          <w:sz w:val="24"/>
          <w:szCs w:val="24"/>
        </w:rPr>
      </w:pPr>
      <w:r>
        <w:rPr>
          <w:rFonts w:hint="eastAsia" w:ascii="仿宋" w:eastAsia="仿宋"/>
          <w:kern w:val="0"/>
          <w:sz w:val="24"/>
          <w:szCs w:val="24"/>
        </w:rPr>
        <w:t>若响应文件出现计算或表达上的错误，修正错误的原则如下：</w:t>
      </w:r>
    </w:p>
    <w:p>
      <w:pPr>
        <w:pStyle w:val="11"/>
        <w:spacing w:line="440" w:lineRule="exact"/>
        <w:ind w:firstLine="480" w:firstLineChars="200"/>
        <w:rPr>
          <w:rFonts w:ascii="仿宋" w:eastAsia="仿宋"/>
          <w:kern w:val="0"/>
          <w:sz w:val="24"/>
          <w:szCs w:val="24"/>
        </w:rPr>
      </w:pPr>
      <w:r>
        <w:rPr>
          <w:rFonts w:ascii="仿宋" w:eastAsia="仿宋"/>
          <w:kern w:val="0"/>
          <w:sz w:val="24"/>
          <w:szCs w:val="24"/>
        </w:rPr>
        <w:t>1.</w:t>
      </w:r>
      <w:r>
        <w:rPr>
          <w:rFonts w:hint="eastAsia" w:ascii="仿宋" w:eastAsia="仿宋"/>
          <w:kern w:val="0"/>
          <w:sz w:val="24"/>
          <w:szCs w:val="24"/>
        </w:rPr>
        <w:t>响应文件的大写金额和小写金额不一致的，以大写金额为准；</w:t>
      </w:r>
    </w:p>
    <w:p>
      <w:pPr>
        <w:pStyle w:val="11"/>
        <w:spacing w:line="440" w:lineRule="exact"/>
        <w:ind w:firstLine="480" w:firstLineChars="200"/>
        <w:rPr>
          <w:rFonts w:ascii="仿宋" w:eastAsia="仿宋"/>
          <w:kern w:val="0"/>
          <w:sz w:val="24"/>
          <w:szCs w:val="24"/>
        </w:rPr>
      </w:pPr>
      <w:r>
        <w:rPr>
          <w:rFonts w:ascii="仿宋" w:eastAsia="仿宋"/>
          <w:kern w:val="0"/>
          <w:sz w:val="24"/>
          <w:szCs w:val="24"/>
        </w:rPr>
        <w:t>2.</w:t>
      </w:r>
      <w:r>
        <w:rPr>
          <w:rFonts w:hint="eastAsia" w:ascii="仿宋" w:eastAsia="仿宋"/>
          <w:kern w:val="0"/>
          <w:sz w:val="24"/>
          <w:szCs w:val="24"/>
        </w:rPr>
        <w:t>总价金额与按单价汇总金额不一致的，以单价金额计算结果为准；</w:t>
      </w:r>
    </w:p>
    <w:p>
      <w:pPr>
        <w:pStyle w:val="11"/>
        <w:spacing w:line="440" w:lineRule="exact"/>
        <w:ind w:firstLine="480" w:firstLineChars="200"/>
        <w:rPr>
          <w:rFonts w:ascii="仿宋" w:eastAsia="仿宋"/>
          <w:kern w:val="0"/>
          <w:sz w:val="24"/>
          <w:szCs w:val="24"/>
        </w:rPr>
      </w:pPr>
      <w:r>
        <w:rPr>
          <w:rFonts w:ascii="仿宋" w:eastAsia="仿宋"/>
          <w:kern w:val="0"/>
          <w:sz w:val="24"/>
          <w:szCs w:val="24"/>
        </w:rPr>
        <w:t>3.</w:t>
      </w:r>
      <w:r>
        <w:rPr>
          <w:rFonts w:hint="eastAsia" w:ascii="仿宋" w:eastAsia="仿宋"/>
          <w:kern w:val="0"/>
          <w:sz w:val="24"/>
          <w:szCs w:val="24"/>
        </w:rPr>
        <w:t>单价金额小数点有明显错位的，应以总价为准，并修正单价；</w:t>
      </w:r>
    </w:p>
    <w:p>
      <w:pPr>
        <w:pStyle w:val="11"/>
        <w:spacing w:line="440" w:lineRule="exact"/>
        <w:ind w:firstLine="480" w:firstLineChars="200"/>
        <w:rPr>
          <w:rFonts w:ascii="仿宋" w:eastAsia="仿宋"/>
          <w:kern w:val="0"/>
          <w:sz w:val="24"/>
          <w:szCs w:val="24"/>
        </w:rPr>
      </w:pPr>
      <w:r>
        <w:rPr>
          <w:rFonts w:ascii="仿宋" w:eastAsia="仿宋"/>
          <w:kern w:val="0"/>
          <w:sz w:val="24"/>
          <w:szCs w:val="24"/>
        </w:rPr>
        <w:t>4.</w:t>
      </w:r>
      <w:r>
        <w:rPr>
          <w:rFonts w:hint="eastAsia" w:ascii="仿宋" w:eastAsia="仿宋"/>
          <w:kern w:val="0"/>
          <w:sz w:val="24"/>
          <w:szCs w:val="24"/>
        </w:rPr>
        <w:t>对不同文字文本响应文件的解释发生异议的，以中文文本为准。</w:t>
      </w:r>
    </w:p>
    <w:p>
      <w:pPr>
        <w:spacing w:line="440" w:lineRule="exact"/>
        <w:ind w:firstLine="480" w:firstLineChars="200"/>
        <w:rPr>
          <w:rFonts w:ascii="仿宋" w:eastAsia="仿宋" w:cs="宋体"/>
          <w:bCs/>
          <w:sz w:val="24"/>
        </w:rPr>
      </w:pPr>
      <w:r>
        <w:rPr>
          <w:rFonts w:hint="eastAsia" w:ascii="仿宋" w:eastAsia="仿宋"/>
          <w:kern w:val="0"/>
          <w:sz w:val="24"/>
        </w:rPr>
        <w:t>评标委员会按上述修正错误的原则及方法调整或修正投标人邀请报价，供应商同意并签字确认后，调整后的邀请报价对投标人具有约束作用。如果投标人不接受修正后的报价，则其投标将作为无效投标处理。</w:t>
      </w:r>
    </w:p>
    <w:bookmarkEnd w:id="69"/>
    <w:p>
      <w:pPr>
        <w:spacing w:line="440" w:lineRule="exact"/>
        <w:ind w:firstLine="482" w:firstLineChars="200"/>
        <w:rPr>
          <w:rFonts w:ascii="仿宋" w:eastAsia="仿宋" w:cs="宋体"/>
          <w:b/>
          <w:sz w:val="24"/>
        </w:rPr>
      </w:pPr>
      <w:bookmarkStart w:id="70" w:name="_Toc5149"/>
      <w:bookmarkStart w:id="71" w:name="_Toc484196070"/>
      <w:bookmarkStart w:id="72" w:name="_Toc19666"/>
      <w:bookmarkStart w:id="73" w:name="_Toc29967"/>
      <w:r>
        <w:rPr>
          <w:rFonts w:hint="eastAsia" w:ascii="仿宋" w:eastAsia="仿宋" w:cs="宋体"/>
          <w:b/>
          <w:sz w:val="24"/>
        </w:rPr>
        <w:t>三、投标有效期</w:t>
      </w:r>
    </w:p>
    <w:p>
      <w:pPr>
        <w:spacing w:line="440" w:lineRule="exact"/>
        <w:ind w:firstLine="480" w:firstLineChars="200"/>
        <w:rPr>
          <w:rFonts w:ascii="仿宋" w:eastAsia="仿宋" w:cs="宋体"/>
          <w:bCs/>
          <w:sz w:val="24"/>
        </w:rPr>
      </w:pPr>
      <w:r>
        <w:rPr>
          <w:rFonts w:hint="eastAsia" w:ascii="仿宋" w:eastAsia="仿宋" w:cs="宋体"/>
          <w:bCs/>
          <w:sz w:val="24"/>
        </w:rPr>
        <w:t>有效期为投标截止日期后3</w:t>
      </w:r>
      <w:r>
        <w:rPr>
          <w:rFonts w:ascii="仿宋" w:eastAsia="仿宋" w:cs="宋体"/>
          <w:bCs/>
          <w:sz w:val="24"/>
        </w:rPr>
        <w:t>0</w:t>
      </w:r>
      <w:r>
        <w:rPr>
          <w:rFonts w:hint="eastAsia" w:ascii="仿宋" w:eastAsia="仿宋" w:cs="宋体"/>
          <w:bCs/>
          <w:sz w:val="24"/>
        </w:rPr>
        <w:t>天内。</w:t>
      </w:r>
    </w:p>
    <w:p>
      <w:pPr>
        <w:spacing w:line="440" w:lineRule="exact"/>
        <w:ind w:firstLine="482" w:firstLineChars="200"/>
        <w:rPr>
          <w:rFonts w:ascii="仿宋" w:eastAsia="仿宋" w:cs="宋体"/>
          <w:b/>
          <w:sz w:val="24"/>
        </w:rPr>
      </w:pPr>
      <w:r>
        <w:rPr>
          <w:rFonts w:hint="eastAsia" w:ascii="仿宋" w:eastAsia="仿宋" w:cs="宋体"/>
          <w:b/>
          <w:sz w:val="24"/>
        </w:rPr>
        <w:t>四、投标保证金</w:t>
      </w:r>
    </w:p>
    <w:p>
      <w:pPr>
        <w:spacing w:line="440" w:lineRule="exact"/>
        <w:ind w:firstLine="480" w:firstLineChars="200"/>
        <w:rPr>
          <w:rFonts w:ascii="仿宋" w:eastAsia="仿宋" w:cs="宋体"/>
          <w:sz w:val="24"/>
        </w:rPr>
      </w:pPr>
      <w:r>
        <w:rPr>
          <w:rFonts w:hint="eastAsia" w:ascii="仿宋" w:eastAsia="仿宋" w:cs="宋体"/>
          <w:bCs/>
          <w:sz w:val="24"/>
        </w:rPr>
        <w:t>本项目无需缴纳投标保证金。</w:t>
      </w:r>
    </w:p>
    <w:p>
      <w:pPr>
        <w:pStyle w:val="5"/>
        <w:spacing w:line="440" w:lineRule="exact"/>
        <w:ind w:firstLine="480" w:firstLineChars="200"/>
        <w:rPr>
          <w:rFonts w:ascii="仿宋" w:eastAsia="仿宋" w:cs="宋体"/>
          <w:sz w:val="24"/>
          <w:szCs w:val="24"/>
        </w:rPr>
      </w:pPr>
      <w:r>
        <w:rPr>
          <w:rFonts w:hint="eastAsia" w:ascii="仿宋" w:eastAsia="仿宋" w:cs="宋体"/>
          <w:sz w:val="24"/>
          <w:szCs w:val="24"/>
        </w:rPr>
        <w:t>五、</w:t>
      </w:r>
      <w:bookmarkEnd w:id="70"/>
      <w:bookmarkEnd w:id="71"/>
      <w:r>
        <w:rPr>
          <w:rFonts w:hint="eastAsia" w:ascii="仿宋" w:eastAsia="仿宋" w:cs="宋体"/>
          <w:sz w:val="24"/>
          <w:szCs w:val="24"/>
        </w:rPr>
        <w:t>邀请原则</w:t>
      </w:r>
      <w:bookmarkEnd w:id="72"/>
      <w:bookmarkEnd w:id="73"/>
    </w:p>
    <w:p>
      <w:pPr>
        <w:spacing w:line="360" w:lineRule="auto"/>
        <w:ind w:firstLine="480" w:firstLineChars="200"/>
        <w:rPr>
          <w:rFonts w:ascii="仿宋" w:hAnsi="仿宋" w:eastAsia="仿宋" w:cs="仿宋"/>
          <w:sz w:val="24"/>
        </w:rPr>
      </w:pPr>
      <w:bookmarkStart w:id="74" w:name="_Toc32597"/>
      <w:bookmarkStart w:id="75" w:name="_Toc269310623"/>
      <w:bookmarkStart w:id="76" w:name="_Toc484196071"/>
      <w:r>
        <w:rPr>
          <w:rFonts w:ascii="仿宋" w:hAnsi="仿宋" w:eastAsia="仿宋" w:cs="仿宋"/>
          <w:sz w:val="24"/>
        </w:rPr>
        <w:t>1</w:t>
      </w:r>
      <w:r>
        <w:rPr>
          <w:rFonts w:hint="eastAsia" w:ascii="仿宋" w:hAnsi="仿宋" w:eastAsia="仿宋" w:cs="仿宋"/>
          <w:sz w:val="24"/>
        </w:rPr>
        <w:t>、邀请应严格按照本采购文件的要求和条件进行；</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、邀请主要从产品质量、服务和价格等方面进行，包括但不限于以下各项因素：</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）货物的性能和报价方案的合理性；</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）货物的性能与本次采购文件技术规格要求的偏离；</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）交货和配送能力的承诺，包括交货时间（货物应在本次采购文件规定的时间内交货，提前交货并不加分，交货时间超过采购人可接受的时间范围的报价将视为非实质相应报价）等。</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）售后服务和备件供应，以及其他有附加值的服务承诺；</w:t>
      </w:r>
    </w:p>
    <w:bookmarkEnd w:id="74"/>
    <w:bookmarkEnd w:id="75"/>
    <w:bookmarkEnd w:id="76"/>
    <w:p>
      <w:pPr>
        <w:pStyle w:val="5"/>
        <w:spacing w:line="440" w:lineRule="exact"/>
        <w:ind w:firstLine="480" w:firstLineChars="200"/>
        <w:rPr>
          <w:rFonts w:ascii="仿宋" w:eastAsia="仿宋" w:cs="宋体"/>
          <w:sz w:val="24"/>
          <w:szCs w:val="24"/>
        </w:rPr>
      </w:pPr>
      <w:bookmarkStart w:id="77" w:name="_Toc269310624"/>
      <w:bookmarkStart w:id="78" w:name="_Toc484196072"/>
      <w:bookmarkStart w:id="79" w:name="_Toc1546"/>
      <w:bookmarkStart w:id="80" w:name="_Toc437"/>
      <w:bookmarkStart w:id="81" w:name="_Toc7670"/>
      <w:r>
        <w:rPr>
          <w:rFonts w:hint="eastAsia" w:ascii="仿宋" w:eastAsia="仿宋" w:cs="宋体"/>
          <w:sz w:val="24"/>
          <w:szCs w:val="24"/>
        </w:rPr>
        <w:t>六、</w:t>
      </w:r>
      <w:bookmarkEnd w:id="77"/>
      <w:bookmarkEnd w:id="78"/>
      <w:r>
        <w:rPr>
          <w:rFonts w:hint="eastAsia" w:ascii="仿宋" w:eastAsia="仿宋" w:cs="宋体"/>
          <w:sz w:val="24"/>
          <w:szCs w:val="24"/>
        </w:rPr>
        <w:t>确定成交供应商</w:t>
      </w:r>
      <w:bookmarkEnd w:id="79"/>
      <w:bookmarkEnd w:id="80"/>
      <w:bookmarkEnd w:id="81"/>
    </w:p>
    <w:p>
      <w:pPr>
        <w:spacing w:line="400" w:lineRule="exact"/>
        <w:ind w:firstLine="480" w:firstLineChars="200"/>
        <w:rPr>
          <w:rFonts w:ascii="方正仿宋_GBK" w:eastAsia="方正仿宋_GBK"/>
          <w:sz w:val="24"/>
        </w:rPr>
      </w:pPr>
      <w:bookmarkStart w:id="82" w:name="_Toc5796"/>
      <w:bookmarkStart w:id="83" w:name="_Toc8300"/>
      <w:bookmarkStart w:id="84" w:name="_Toc484196073"/>
      <w:bookmarkStart w:id="85" w:name="_Toc269310625"/>
      <w:bookmarkStart w:id="86" w:name="_Toc8964"/>
      <w:r>
        <w:rPr>
          <w:rFonts w:hint="eastAsia" w:ascii="方正仿宋_GBK" w:eastAsia="方正仿宋_GBK"/>
          <w:sz w:val="24"/>
        </w:rPr>
        <w:t>（一）</w:t>
      </w:r>
      <w:bookmarkEnd w:id="82"/>
      <w:bookmarkEnd w:id="83"/>
      <w:r>
        <w:rPr>
          <w:rFonts w:hint="eastAsia" w:ascii="方正仿宋_GBK" w:eastAsia="方正仿宋_GBK"/>
          <w:sz w:val="24"/>
        </w:rPr>
        <w:t>成交的基本条件</w:t>
      </w:r>
    </w:p>
    <w:p>
      <w:pPr>
        <w:spacing w:line="360" w:lineRule="auto"/>
        <w:ind w:firstLine="480" w:firstLineChars="200"/>
        <w:rPr>
          <w:rFonts w:ascii="仿宋" w:hAnsi="仿宋" w:eastAsia="仿宋" w:cs="仿宋"/>
          <w:sz w:val="24"/>
        </w:rPr>
      </w:pPr>
      <w:bookmarkStart w:id="87" w:name="_Toc17770"/>
      <w:bookmarkStart w:id="88" w:name="_Toc3236"/>
      <w:r>
        <w:rPr>
          <w:rFonts w:ascii="仿宋" w:hAnsi="仿宋" w:eastAsia="仿宋" w:cs="仿宋"/>
          <w:sz w:val="24"/>
        </w:rPr>
        <w:t>1</w:t>
      </w:r>
      <w:r>
        <w:rPr>
          <w:rFonts w:hint="eastAsia" w:ascii="仿宋" w:hAnsi="仿宋" w:eastAsia="仿宋" w:cs="仿宋"/>
          <w:sz w:val="24"/>
        </w:rPr>
        <w:t>、响应文件完全响应本采购文件中所有的实质性要求；</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、产品性价比优良；</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、有良好的执行合同能力和售后服务承诺。</w:t>
      </w:r>
    </w:p>
    <w:p>
      <w:pPr>
        <w:spacing w:line="400" w:lineRule="exact"/>
        <w:ind w:firstLine="480" w:firstLineChars="200"/>
        <w:rPr>
          <w:rFonts w:ascii="方正仿宋_GBK" w:eastAsia="方正仿宋_GBK"/>
          <w:sz w:val="24"/>
        </w:rPr>
      </w:pPr>
      <w:r>
        <w:rPr>
          <w:rFonts w:hint="eastAsia" w:ascii="方正仿宋_GBK" w:eastAsia="方正仿宋_GBK"/>
          <w:sz w:val="24"/>
        </w:rPr>
        <w:t>（二）</w:t>
      </w:r>
      <w:bookmarkEnd w:id="87"/>
      <w:bookmarkEnd w:id="88"/>
      <w:r>
        <w:rPr>
          <w:rFonts w:hint="eastAsia" w:ascii="方正仿宋_GBK" w:eastAsia="方正仿宋_GBK"/>
          <w:sz w:val="24"/>
        </w:rPr>
        <w:t>确定中标人</w:t>
      </w:r>
    </w:p>
    <w:p>
      <w:pPr>
        <w:spacing w:line="400" w:lineRule="exact"/>
        <w:ind w:firstLine="480" w:firstLineChars="200"/>
        <w:rPr>
          <w:rFonts w:ascii="方正仿宋_GBK" w:eastAsia="方正仿宋_GBK"/>
          <w:sz w:val="24"/>
        </w:rPr>
      </w:pPr>
      <w:r>
        <w:rPr>
          <w:rFonts w:hint="eastAsia" w:ascii="方正仿宋_GBK" w:eastAsia="方正仿宋_GBK"/>
          <w:sz w:val="24"/>
        </w:rPr>
        <w:t>邀请小组根据邀请的结果确定中标人。并发布成交通知书。</w:t>
      </w:r>
    </w:p>
    <w:p>
      <w:pPr>
        <w:spacing w:line="400" w:lineRule="exact"/>
        <w:ind w:firstLine="480" w:firstLineChars="200"/>
        <w:rPr>
          <w:rFonts w:ascii="方正仿宋_GBK" w:eastAsia="方正仿宋_GBK"/>
          <w:sz w:val="24"/>
        </w:rPr>
      </w:pPr>
      <w:bookmarkStart w:id="89" w:name="_Hlk517352686"/>
      <w:r>
        <w:rPr>
          <w:rFonts w:hint="eastAsia" w:ascii="方正仿宋_GBK" w:eastAsia="方正仿宋_GBK"/>
          <w:sz w:val="24"/>
        </w:rPr>
        <w:t>中标人拒绝与采购人签订合同的，采购人可以按照评标报告推荐的中标候选人顺序，确定排名下一位的候选人为中标人，也可以重新开展政府采购活动。</w:t>
      </w:r>
    </w:p>
    <w:bookmarkEnd w:id="84"/>
    <w:bookmarkEnd w:id="85"/>
    <w:bookmarkEnd w:id="86"/>
    <w:bookmarkEnd w:id="89"/>
    <w:p>
      <w:pPr>
        <w:pStyle w:val="5"/>
        <w:spacing w:line="440" w:lineRule="exact"/>
        <w:ind w:firstLine="480" w:firstLineChars="200"/>
        <w:rPr>
          <w:rFonts w:ascii="仿宋" w:eastAsia="仿宋" w:cs="宋体"/>
          <w:sz w:val="24"/>
          <w:szCs w:val="24"/>
        </w:rPr>
      </w:pPr>
      <w:bookmarkStart w:id="90" w:name="_Toc25090"/>
      <w:bookmarkStart w:id="91" w:name="_Toc269310628"/>
      <w:bookmarkStart w:id="92" w:name="_Toc23095"/>
      <w:bookmarkStart w:id="93" w:name="_Toc25897"/>
      <w:bookmarkStart w:id="94" w:name="_Toc484196075"/>
      <w:r>
        <w:rPr>
          <w:rFonts w:hint="eastAsia" w:ascii="仿宋" w:eastAsia="仿宋" w:cs="宋体"/>
          <w:sz w:val="24"/>
          <w:szCs w:val="24"/>
        </w:rPr>
        <w:t>七、签订合同</w:t>
      </w:r>
      <w:bookmarkEnd w:id="90"/>
      <w:bookmarkEnd w:id="91"/>
      <w:bookmarkEnd w:id="92"/>
      <w:bookmarkEnd w:id="93"/>
      <w:bookmarkEnd w:id="94"/>
    </w:p>
    <w:p>
      <w:pPr>
        <w:spacing w:line="440" w:lineRule="exact"/>
        <w:ind w:firstLine="480" w:firstLineChars="200"/>
        <w:rPr>
          <w:rFonts w:ascii="仿宋" w:eastAsia="仿宋" w:cs="宋体"/>
          <w:bCs/>
          <w:sz w:val="24"/>
        </w:rPr>
      </w:pPr>
      <w:r>
        <w:rPr>
          <w:rFonts w:ascii="仿宋" w:eastAsia="仿宋" w:cs="宋体"/>
          <w:bCs/>
          <w:sz w:val="24"/>
        </w:rPr>
        <w:t>1</w:t>
      </w:r>
      <w:r>
        <w:rPr>
          <w:rFonts w:hint="eastAsia" w:ascii="仿宋" w:eastAsia="仿宋" w:cs="宋体"/>
          <w:bCs/>
          <w:sz w:val="24"/>
        </w:rPr>
        <w:t>．</w:t>
      </w:r>
      <w:r>
        <w:rPr>
          <w:rFonts w:hint="eastAsia" w:ascii="仿宋" w:eastAsia="仿宋"/>
          <w:kern w:val="0"/>
          <w:sz w:val="24"/>
        </w:rPr>
        <w:t>成交供应商应采购规定的时间、地点与采购人签订成交合同。成交供应商不得再与采购人签订背离合同实质性内容的其他协议或声明，否则按报价后撤回报价处理。</w:t>
      </w:r>
    </w:p>
    <w:p>
      <w:pPr>
        <w:spacing w:line="400" w:lineRule="exact"/>
        <w:ind w:firstLine="480" w:firstLineChars="200"/>
        <w:rPr>
          <w:rFonts w:ascii="仿宋" w:eastAsia="仿宋" w:cs="宋体"/>
          <w:bCs/>
          <w:sz w:val="24"/>
        </w:rPr>
      </w:pPr>
      <w:r>
        <w:rPr>
          <w:rFonts w:ascii="仿宋" w:eastAsia="仿宋" w:cs="宋体"/>
          <w:bCs/>
          <w:sz w:val="24"/>
        </w:rPr>
        <w:t>2</w:t>
      </w:r>
      <w:r>
        <w:rPr>
          <w:rFonts w:hint="eastAsia" w:ascii="仿宋" w:eastAsia="仿宋" w:cs="宋体"/>
          <w:bCs/>
          <w:sz w:val="24"/>
        </w:rPr>
        <w:t>．报价人一旦确定成交，签订合同后，未经采购中心书面同意不得转包，负责将被视为成交后撤回报价处理。</w:t>
      </w:r>
    </w:p>
    <w:p>
      <w:pPr>
        <w:pStyle w:val="6"/>
        <w:rPr>
          <w:rFonts w:ascii="仿宋" w:eastAsia="仿宋" w:cs="宋体"/>
          <w:bCs/>
          <w:szCs w:val="24"/>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附件1：</w:t>
      </w:r>
    </w:p>
    <w:p>
      <w:pPr>
        <w:spacing w:line="420" w:lineRule="exact"/>
        <w:jc w:val="right"/>
        <w:rPr>
          <w:rFonts w:ascii="方正仿宋_GBK" w:hAnsi="方正仿宋_GBK" w:eastAsia="方正仿宋_GBK" w:cs="方正仿宋_GBK"/>
        </w:rPr>
      </w:pPr>
    </w:p>
    <w:p>
      <w:pPr>
        <w:spacing w:line="420" w:lineRule="exact"/>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分包2:  投标报价表</w:t>
      </w:r>
    </w:p>
    <w:p>
      <w:pPr>
        <w:tabs>
          <w:tab w:val="left" w:pos="6300"/>
        </w:tabs>
        <w:snapToGrid w:val="0"/>
        <w:spacing w:line="44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奉节县农业技术服务中心：</w:t>
      </w:r>
    </w:p>
    <w:p>
      <w:pPr>
        <w:tabs>
          <w:tab w:val="left" w:pos="6300"/>
        </w:tabs>
        <w:snapToGrid w:val="0"/>
        <w:spacing w:line="44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我方收到奉节县农业技术服务中心发出的招标文件（奉节县脆李避雨设施栽培探索试验项目的试验监测设备招标），经详细研究，决定参加该项工作的报价。</w:t>
      </w:r>
    </w:p>
    <w:p>
      <w:pPr>
        <w:tabs>
          <w:tab w:val="left" w:pos="6300"/>
        </w:tabs>
        <w:snapToGrid w:val="0"/>
        <w:spacing w:line="44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我方愿意按照该项目招标文件中的一切要求，保质保量地完成奉节县脆李避雨设施栽培探索试验项目的试验监测设备建设。</w:t>
      </w:r>
    </w:p>
    <w:p>
      <w:pPr>
        <w:pStyle w:val="6"/>
        <w:spacing w:line="360"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脆李避雨设施栽培试验项目监测仪器设备报价表</w:t>
      </w:r>
    </w:p>
    <w:tbl>
      <w:tblPr>
        <w:tblStyle w:val="23"/>
        <w:tblW w:w="51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16"/>
        <w:gridCol w:w="986"/>
        <w:gridCol w:w="723"/>
        <w:gridCol w:w="1513"/>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sz w:val="24"/>
              </w:rPr>
            </w:pPr>
            <w:r>
              <w:rPr>
                <w:rFonts w:hint="eastAsia" w:ascii="方正仿宋_GBK" w:hAnsi="宋体" w:eastAsia="方正仿宋_GBK" w:cs="宋体"/>
                <w:sz w:val="24"/>
              </w:rPr>
              <w:t>序号</w:t>
            </w:r>
          </w:p>
        </w:tc>
        <w:tc>
          <w:tcPr>
            <w:tcW w:w="2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名称</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单位</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数量</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最高单价（元）</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投标报价（元）</w:t>
            </w:r>
          </w:p>
        </w:tc>
        <w:tc>
          <w:tcPr>
            <w:tcW w:w="15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作物生长环境监测站</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套</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1</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26800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sz w:val="24"/>
              </w:rPr>
              <w:t>需配备物联网监测系统（软件平台）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宋体" w:eastAsia="方正仿宋_GBK" w:cs="宋体"/>
                <w:color w:val="000000"/>
                <w:szCs w:val="21"/>
              </w:rPr>
            </w:pPr>
            <w:r>
              <w:rPr>
                <w:rFonts w:hint="eastAsia" w:ascii="方正仿宋_GBK" w:hAnsi="宋体" w:eastAsia="方正仿宋_GBK" w:cs="宋体"/>
                <w:color w:val="000000"/>
                <w:kern w:val="0"/>
                <w:szCs w:val="21"/>
              </w:rPr>
              <w:t>2</w:t>
            </w:r>
          </w:p>
        </w:tc>
        <w:tc>
          <w:tcPr>
            <w:tcW w:w="2817"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eastAsia="方正仿宋_GBK"/>
                <w:kern w:val="0"/>
                <w:sz w:val="22"/>
                <w:szCs w:val="22"/>
              </w:rPr>
            </w:pPr>
            <w:r>
              <w:rPr>
                <w:rFonts w:hint="eastAsia" w:eastAsia="方正仿宋_GBK"/>
                <w:kern w:val="0"/>
                <w:sz w:val="22"/>
                <w:szCs w:val="22"/>
              </w:rPr>
              <w:t>气候+作物生长环境监测站</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套</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1</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37800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1" w:type="dxa"/>
            <w:vMerge w:val="continue"/>
            <w:tcBorders>
              <w:left w:val="single" w:color="auto" w:sz="4" w:space="0"/>
              <w:right w:val="single" w:color="auto" w:sz="4" w:space="0"/>
            </w:tcBorders>
            <w:vAlign w:val="center"/>
          </w:tcPr>
          <w:p>
            <w:pPr>
              <w:widowControl/>
              <w:jc w:val="center"/>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3</w:t>
            </w:r>
          </w:p>
        </w:tc>
        <w:tc>
          <w:tcPr>
            <w:tcW w:w="2817"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eastAsia="方正仿宋_GBK"/>
                <w:kern w:val="0"/>
                <w:sz w:val="22"/>
                <w:szCs w:val="22"/>
              </w:rPr>
            </w:pPr>
            <w:r>
              <w:rPr>
                <w:rFonts w:hint="eastAsia" w:eastAsia="方正仿宋_GBK"/>
                <w:kern w:val="0"/>
                <w:sz w:val="22"/>
                <w:szCs w:val="22"/>
              </w:rPr>
              <w:t>智能视频监控系统</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套</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1</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96000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1" w:type="dxa"/>
            <w:vMerge w:val="continue"/>
            <w:tcBorders>
              <w:left w:val="single" w:color="auto" w:sz="4" w:space="0"/>
              <w:right w:val="single" w:color="auto" w:sz="4" w:space="0"/>
            </w:tcBorders>
            <w:vAlign w:val="center"/>
          </w:tcPr>
          <w:p>
            <w:pPr>
              <w:widowControl/>
              <w:jc w:val="center"/>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352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总计</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r>
              <w:rPr>
                <w:rFonts w:hint="eastAsia" w:eastAsia="方正仿宋_GBK"/>
                <w:kern w:val="0"/>
                <w:sz w:val="22"/>
                <w:szCs w:val="22"/>
              </w:rPr>
              <w:t>74200</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仿宋_GBK"/>
                <w:kern w:val="0"/>
                <w:sz w:val="22"/>
                <w:szCs w:val="22"/>
              </w:rPr>
            </w:pPr>
          </w:p>
        </w:tc>
        <w:tc>
          <w:tcPr>
            <w:tcW w:w="1511" w:type="dxa"/>
            <w:vMerge w:val="continue"/>
            <w:tcBorders>
              <w:left w:val="single" w:color="auto" w:sz="4" w:space="0"/>
              <w:right w:val="single" w:color="auto" w:sz="4" w:space="0"/>
            </w:tcBorders>
            <w:vAlign w:val="center"/>
          </w:tcPr>
          <w:p>
            <w:pPr>
              <w:widowControl/>
              <w:jc w:val="center"/>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66"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eastAsia="方正仿宋_GBK" w:cs="宋体"/>
                <w:kern w:val="0"/>
                <w:sz w:val="24"/>
              </w:rPr>
            </w:pPr>
            <w:r>
              <w:rPr>
                <w:rFonts w:hint="eastAsia" w:eastAsia="方正仿宋_GBK"/>
                <w:kern w:val="0"/>
                <w:sz w:val="22"/>
                <w:szCs w:val="22"/>
              </w:rPr>
              <w:t>报价供应商的报价为人民币一次性报价，含所投产品购置费、运输费、下车费、培训费、安装调试费、售后服务费以及其它一切税费。邀请报价超过限价的报价无效。</w:t>
            </w:r>
          </w:p>
        </w:tc>
      </w:tr>
    </w:tbl>
    <w:p>
      <w:pPr>
        <w:tabs>
          <w:tab w:val="left" w:pos="6300"/>
        </w:tabs>
        <w:snapToGrid w:val="0"/>
        <w:spacing w:line="600" w:lineRule="exact"/>
        <w:ind w:firstLine="6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该项投标报价总价为人民币，小写</w:t>
      </w:r>
      <w:r>
        <w:rPr>
          <w:rFonts w:ascii="方正仿宋_GBK" w:hAnsi="方正仿宋_GBK" w:eastAsia="方正仿宋_GBK" w:cs="方正仿宋_GBK"/>
          <w:sz w:val="30"/>
          <w:szCs w:val="30"/>
        </w:rPr>
        <w:t>RMB</w:t>
      </w:r>
      <w:r>
        <w:rPr>
          <w:rFonts w:hint="eastAsia" w:ascii="方正仿宋_GBK" w:hAnsi="方正仿宋_GBK" w:eastAsia="方正仿宋_GBK" w:cs="方正仿宋_GBK"/>
          <w:sz w:val="30"/>
          <w:szCs w:val="30"/>
        </w:rPr>
        <w:t>：</w:t>
      </w:r>
      <w:r>
        <w:rPr>
          <w:rFonts w:ascii="方正仿宋_GBK" w:hAnsi="方正仿宋_GBK" w:eastAsia="方正仿宋_GBK" w:cs="方正仿宋_GBK"/>
          <w:sz w:val="30"/>
          <w:szCs w:val="30"/>
        </w:rPr>
        <w:t>_________</w:t>
      </w:r>
      <w:r>
        <w:rPr>
          <w:rFonts w:hint="eastAsia" w:ascii="方正仿宋_GBK" w:hAnsi="方正仿宋_GBK" w:eastAsia="方正仿宋_GBK" w:cs="方正仿宋_GBK"/>
          <w:sz w:val="30"/>
          <w:szCs w:val="30"/>
        </w:rPr>
        <w:t>元。</w:t>
      </w:r>
    </w:p>
    <w:p>
      <w:pPr>
        <w:tabs>
          <w:tab w:val="left" w:pos="6300"/>
        </w:tabs>
        <w:snapToGrid w:val="0"/>
        <w:spacing w:line="600" w:lineRule="exact"/>
        <w:ind w:firstLine="6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大写：</w:t>
      </w:r>
      <w:r>
        <w:rPr>
          <w:rFonts w:ascii="方正仿宋_GBK" w:hAnsi="方正仿宋_GBK" w:eastAsia="方正仿宋_GBK" w:cs="方正仿宋_GBK"/>
          <w:sz w:val="30"/>
          <w:szCs w:val="30"/>
        </w:rPr>
        <w:t>_______________</w:t>
      </w:r>
      <w:r>
        <w:rPr>
          <w:rFonts w:hint="eastAsia" w:ascii="方正仿宋_GBK" w:hAnsi="方正仿宋_GBK" w:eastAsia="方正仿宋_GBK" w:cs="方正仿宋_GBK"/>
          <w:sz w:val="30"/>
          <w:szCs w:val="30"/>
        </w:rPr>
        <w:t>。</w:t>
      </w:r>
    </w:p>
    <w:p>
      <w:pPr>
        <w:tabs>
          <w:tab w:val="left" w:pos="6300"/>
        </w:tabs>
        <w:snapToGrid w:val="0"/>
        <w:spacing w:line="600" w:lineRule="exact"/>
        <w:ind w:firstLine="570"/>
        <w:rPr>
          <w:rFonts w:ascii="方正仿宋_GBK" w:hAnsi="方正仿宋_GBK" w:eastAsia="方正仿宋_GBK" w:cs="方正仿宋_GBK"/>
          <w:sz w:val="30"/>
          <w:szCs w:val="30"/>
        </w:rPr>
      </w:pPr>
    </w:p>
    <w:p>
      <w:pPr>
        <w:tabs>
          <w:tab w:val="left" w:pos="6300"/>
        </w:tabs>
        <w:snapToGrid w:val="0"/>
        <w:spacing w:line="600" w:lineRule="exact"/>
        <w:ind w:firstLine="570"/>
        <w:rPr>
          <w:rFonts w:ascii="方正仿宋_GBK" w:hAnsi="方正仿宋_GBK" w:eastAsia="方正仿宋_GBK" w:cs="方正仿宋_GBK"/>
          <w:sz w:val="30"/>
          <w:szCs w:val="30"/>
        </w:rPr>
      </w:pPr>
    </w:p>
    <w:p>
      <w:pPr>
        <w:tabs>
          <w:tab w:val="left" w:pos="6300"/>
        </w:tabs>
        <w:snapToGrid w:val="0"/>
        <w:spacing w:line="60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投标单位（公章）：     法人或委托代理人签字：              </w:t>
      </w:r>
    </w:p>
    <w:p>
      <w:pPr>
        <w:tabs>
          <w:tab w:val="left" w:pos="6300"/>
        </w:tabs>
        <w:snapToGrid w:val="0"/>
        <w:spacing w:line="600" w:lineRule="exact"/>
        <w:ind w:firstLine="4500" w:firstLineChars="15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附件2：</w:t>
      </w:r>
    </w:p>
    <w:p>
      <w:pPr>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诚信声明</w:t>
      </w:r>
    </w:p>
    <w:p>
      <w:pPr>
        <w:jc w:val="center"/>
        <w:rPr>
          <w:rFonts w:ascii="方正仿宋_GBK" w:hAnsi="方正仿宋_GBK" w:eastAsia="方正仿宋_GBK" w:cs="方正仿宋_GBK"/>
          <w:sz w:val="30"/>
          <w:szCs w:val="30"/>
        </w:rPr>
      </w:pPr>
    </w:p>
    <w:p>
      <w:pPr>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本企业郑重声明，具备《</w:t>
      </w:r>
      <w:r>
        <w:rPr>
          <w:rFonts w:hint="eastAsia" w:ascii="方正仿宋_GBK" w:hAnsi="方正仿宋_GBK" w:eastAsia="方正仿宋_GBK" w:cs="方正仿宋_GBK"/>
          <w:sz w:val="28"/>
          <w:szCs w:val="28"/>
        </w:rPr>
        <w:t>奉节县脆李避雨设施栽培探索试验项目</w:t>
      </w:r>
      <w:r>
        <w:rPr>
          <w:rFonts w:hint="eastAsia" w:ascii="方正仿宋_GBK" w:hAnsi="方正仿宋_GBK" w:eastAsia="方正仿宋_GBK" w:cs="方正仿宋_GBK"/>
          <w:sz w:val="30"/>
          <w:szCs w:val="30"/>
        </w:rPr>
        <w:t>招标文件》的相关资质要求；具有良好的商业信誉和健全的财务会计制度；参加本次招标活动前三年内，在经营活动中没有重大违法记录；参加</w:t>
      </w:r>
      <w:r>
        <w:rPr>
          <w:rFonts w:hint="eastAsia" w:ascii="方正仿宋_GBK" w:hAnsi="方正仿宋_GBK" w:eastAsia="方正仿宋_GBK" w:cs="方正仿宋_GBK"/>
          <w:sz w:val="28"/>
          <w:szCs w:val="28"/>
        </w:rPr>
        <w:t>奉节县脆李避雨设施栽培探索试验项目的避雨大棚建</w:t>
      </w:r>
      <w:r>
        <w:rPr>
          <w:rFonts w:hint="eastAsia" w:ascii="方正仿宋_GBK" w:hAnsi="方正仿宋_GBK" w:eastAsia="方正仿宋_GBK" w:cs="方正仿宋_GBK"/>
          <w:sz w:val="30"/>
          <w:szCs w:val="30"/>
        </w:rPr>
        <w:t xml:space="preserve">设招标活动提交的所有资料、填写数据内容真实、合法、有效。    </w:t>
      </w:r>
    </w:p>
    <w:p>
      <w:pPr>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本企业提供所有资料如有不实，因产品质量不能保证而造成农业减产，我企业承担一切法律后果。</w:t>
      </w:r>
    </w:p>
    <w:p>
      <w:pPr>
        <w:jc w:val="left"/>
        <w:rPr>
          <w:rFonts w:ascii="方正仿宋_GBK" w:hAnsi="方正仿宋_GBK" w:eastAsia="方正仿宋_GBK" w:cs="方正仿宋_GBK"/>
          <w:sz w:val="30"/>
          <w:szCs w:val="30"/>
        </w:rPr>
      </w:pPr>
    </w:p>
    <w:p>
      <w:pPr>
        <w:jc w:val="left"/>
        <w:rPr>
          <w:rFonts w:ascii="方正仿宋_GBK" w:hAnsi="方正仿宋_GBK" w:eastAsia="方正仿宋_GBK" w:cs="方正仿宋_GBK"/>
          <w:sz w:val="30"/>
          <w:szCs w:val="30"/>
        </w:rPr>
      </w:pPr>
    </w:p>
    <w:p>
      <w:pPr>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w:t>
      </w:r>
    </w:p>
    <w:p>
      <w:pPr>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声明人（公章）：</w:t>
      </w:r>
    </w:p>
    <w:p>
      <w:pPr>
        <w:jc w:val="center"/>
        <w:rPr>
          <w:rFonts w:ascii="方正仿宋_GBK" w:hAnsi="方正仿宋_GBK" w:eastAsia="方正仿宋_GBK" w:cs="方正仿宋_GBK"/>
        </w:rPr>
      </w:pPr>
      <w:r>
        <w:rPr>
          <w:rFonts w:hint="eastAsia" w:ascii="方正仿宋_GBK" w:hAnsi="方正仿宋_GBK" w:eastAsia="方正仿宋_GBK" w:cs="方正仿宋_GBK"/>
          <w:sz w:val="30"/>
          <w:szCs w:val="30"/>
        </w:rPr>
        <w:t xml:space="preserve">                   年   月   日</w:t>
      </w: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spacing w:line="360" w:lineRule="auto"/>
        <w:rPr>
          <w:rFonts w:ascii="方正仿宋_GBK" w:hAnsi="方正仿宋_GBK" w:eastAsia="方正仿宋_GBK" w:cs="方正仿宋_GBK"/>
          <w:sz w:val="30"/>
          <w:szCs w:val="30"/>
        </w:rPr>
      </w:pPr>
      <w:r>
        <w:rPr>
          <w:rFonts w:hint="eastAsia" w:ascii="方正仿宋_GBK" w:hAnsi="方正仿宋_GBK" w:eastAsia="方正仿宋_GBK" w:cs="方正仿宋_GBK"/>
        </w:rPr>
        <w:br w:type="page"/>
      </w:r>
      <w:r>
        <w:rPr>
          <w:rFonts w:hint="eastAsia" w:ascii="方正仿宋_GBK" w:hAnsi="方正仿宋_GBK" w:eastAsia="方正仿宋_GBK" w:cs="方正仿宋_GBK"/>
          <w:sz w:val="30"/>
          <w:szCs w:val="30"/>
        </w:rPr>
        <w:t>附件3：</w:t>
      </w:r>
    </w:p>
    <w:p>
      <w:pPr>
        <w:spacing w:line="400" w:lineRule="exact"/>
        <w:jc w:val="center"/>
        <w:rPr>
          <w:rFonts w:ascii="方正仿宋_GBK" w:hAnsi="宋体" w:eastAsia="方正仿宋_GBK"/>
          <w:sz w:val="30"/>
          <w:szCs w:val="30"/>
        </w:rPr>
      </w:pPr>
      <w:r>
        <w:rPr>
          <w:rFonts w:hint="eastAsia" w:ascii="方正仿宋_GBK" w:hAnsi="宋体" w:eastAsia="方正仿宋_GBK"/>
          <w:sz w:val="30"/>
          <w:szCs w:val="30"/>
        </w:rPr>
        <w:t>法定代表人身份证明书（格式）</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招标项目名称：</w:t>
      </w:r>
      <w:r>
        <w:rPr>
          <w:rFonts w:hint="eastAsia" w:ascii="方正仿宋_GBK" w:hAnsi="仿宋" w:eastAsia="方正仿宋_GBK"/>
          <w:sz w:val="30"/>
          <w:szCs w:val="30"/>
          <w:u w:val="single"/>
        </w:rPr>
        <w:t xml:space="preserve">                                                </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rPr>
          <w:rFonts w:ascii="方正仿宋_GBK" w:hAnsi="仿宋" w:eastAsia="方正仿宋_GBK"/>
          <w:sz w:val="30"/>
          <w:szCs w:val="30"/>
        </w:rPr>
      </w:pPr>
      <w:r>
        <w:rPr>
          <w:rFonts w:hint="eastAsia" w:ascii="方正仿宋_GBK" w:hAnsi="仿宋" w:eastAsia="方正仿宋_GBK"/>
          <w:sz w:val="30"/>
          <w:szCs w:val="30"/>
        </w:rPr>
        <w:t>致：</w:t>
      </w:r>
      <w:r>
        <w:rPr>
          <w:rFonts w:hint="eastAsia" w:ascii="方正仿宋_GBK" w:hAnsi="仿宋" w:eastAsia="方正仿宋_GBK"/>
          <w:sz w:val="30"/>
          <w:szCs w:val="30"/>
          <w:u w:val="single"/>
        </w:rPr>
        <w:t xml:space="preserve"> 奉节县农业技术服务中心 </w:t>
      </w:r>
      <w:r>
        <w:rPr>
          <w:rFonts w:hint="eastAsia" w:ascii="方正仿宋_GBK" w:hAnsi="仿宋" w:eastAsia="方正仿宋_GBK"/>
          <w:sz w:val="30"/>
          <w:szCs w:val="30"/>
        </w:rPr>
        <w:t>：</w:t>
      </w: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（法定代表人姓名）在</w:t>
      </w: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（投标人名称）任</w:t>
      </w: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（职务名称）职务，是（投标人名称）</w:t>
      </w: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的法定代表人。</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特此证明。</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 xml:space="preserve">                                             投标人：</w:t>
      </w:r>
    </w:p>
    <w:p>
      <w:pPr>
        <w:tabs>
          <w:tab w:val="left" w:pos="6300"/>
        </w:tabs>
        <w:snapToGrid w:val="0"/>
        <w:spacing w:line="500" w:lineRule="exact"/>
        <w:ind w:firstLine="7311" w:firstLineChars="2437"/>
        <w:rPr>
          <w:rFonts w:ascii="方正仿宋_GBK" w:hAnsi="仿宋" w:eastAsia="方正仿宋_GBK"/>
          <w:sz w:val="30"/>
          <w:szCs w:val="30"/>
        </w:rPr>
      </w:pPr>
      <w:r>
        <w:rPr>
          <w:rFonts w:hint="eastAsia" w:ascii="方正仿宋_GBK" w:hAnsi="仿宋" w:eastAsia="方正仿宋_GBK"/>
          <w:sz w:val="30"/>
          <w:szCs w:val="30"/>
        </w:rPr>
        <w:t>（投标人公章）</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 xml:space="preserve">                                             年   月   日</w:t>
      </w: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（附：法定代表人身份证正反面复印件）</w:t>
      </w:r>
    </w:p>
    <w:p>
      <w:pPr>
        <w:spacing w:line="360" w:lineRule="auto"/>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 xml:space="preserve">  </w:t>
      </w:r>
    </w:p>
    <w:tbl>
      <w:tblPr>
        <w:tblStyle w:val="23"/>
        <w:tblW w:w="0" w:type="auto"/>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8"/>
        <w:gridCol w:w="1134"/>
        <w:gridCol w:w="396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8" w:hRule="atLeast"/>
          <w:jc w:val="center"/>
        </w:trPr>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此处粘贴</w:t>
            </w:r>
          </w:p>
          <w:p>
            <w:pPr>
              <w:spacing w:line="360" w:lineRule="auto"/>
              <w:jc w:val="center"/>
              <w:rPr>
                <w:rFonts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法定代表人身份证复印件正面</w:t>
            </w:r>
          </w:p>
        </w:tc>
        <w:tc>
          <w:tcPr>
            <w:tcW w:w="1134" w:type="dxa"/>
            <w:tcBorders>
              <w:top w:val="nil"/>
              <w:left w:val="single" w:color="auto" w:sz="4" w:space="0"/>
              <w:bottom w:val="nil"/>
              <w:right w:val="single" w:color="auto" w:sz="4" w:space="0"/>
            </w:tcBorders>
            <w:vAlign w:val="center"/>
          </w:tcPr>
          <w:p>
            <w:pPr>
              <w:spacing w:line="360" w:lineRule="auto"/>
              <w:jc w:val="left"/>
              <w:rPr>
                <w:rFonts w:ascii="方正仿宋_GBK" w:hAnsi="方正仿宋_GBK" w:eastAsia="方正仿宋_GBK" w:cs="方正仿宋_GBK"/>
                <w:b/>
                <w:bCs/>
                <w:sz w:val="30"/>
                <w:szCs w:val="30"/>
              </w:rPr>
            </w:pP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此处粘贴</w:t>
            </w:r>
          </w:p>
          <w:p>
            <w:pPr>
              <w:spacing w:line="360" w:lineRule="auto"/>
              <w:jc w:val="center"/>
              <w:rPr>
                <w:rFonts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法定代表人身份证复印件背面</w:t>
            </w:r>
          </w:p>
        </w:tc>
      </w:tr>
    </w:tbl>
    <w:p>
      <w:pPr>
        <w:spacing w:line="400" w:lineRule="exact"/>
        <w:ind w:firstLine="420" w:firstLineChars="200"/>
        <w:rPr>
          <w:rFonts w:ascii="方正仿宋_GBK" w:hAnsi="方正仿宋_GBK" w:eastAsia="方正仿宋_GBK" w:cs="方正仿宋_GBK"/>
        </w:rPr>
      </w:pPr>
    </w:p>
    <w:p>
      <w:pPr>
        <w:spacing w:line="400" w:lineRule="exact"/>
        <w:ind w:firstLine="420" w:firstLineChars="200"/>
        <w:rPr>
          <w:rFonts w:ascii="方正仿宋_GBK" w:hAnsi="方正仿宋_GBK" w:eastAsia="方正仿宋_GBK" w:cs="方正仿宋_GBK"/>
        </w:rPr>
      </w:pPr>
    </w:p>
    <w:p>
      <w:pPr>
        <w:spacing w:line="400" w:lineRule="exact"/>
        <w:ind w:firstLine="420" w:firstLineChars="200"/>
        <w:rPr>
          <w:rFonts w:ascii="方正仿宋_GBK" w:hAnsi="方正仿宋_GBK" w:eastAsia="方正仿宋_GBK" w:cs="方正仿宋_GBK"/>
        </w:rPr>
      </w:pPr>
    </w:p>
    <w:p>
      <w:pPr>
        <w:spacing w:line="400" w:lineRule="exact"/>
        <w:ind w:firstLine="420" w:firstLineChars="200"/>
        <w:rPr>
          <w:rFonts w:ascii="方正仿宋_GBK" w:hAnsi="方正仿宋_GBK" w:eastAsia="方正仿宋_GBK" w:cs="方正仿宋_GBK"/>
        </w:rPr>
      </w:pPr>
    </w:p>
    <w:p>
      <w:pPr>
        <w:spacing w:line="400" w:lineRule="exact"/>
        <w:ind w:firstLine="600"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 xml:space="preserve">附件4： </w:t>
      </w:r>
      <w:r>
        <w:rPr>
          <w:rFonts w:hint="eastAsia" w:ascii="方正仿宋_GBK" w:hAnsi="方正仿宋_GBK" w:eastAsia="方正仿宋_GBK" w:cs="方正仿宋_GBK"/>
          <w:b/>
          <w:bCs/>
          <w:sz w:val="30"/>
          <w:szCs w:val="30"/>
        </w:rPr>
        <w:t xml:space="preserve">     </w:t>
      </w:r>
    </w:p>
    <w:p>
      <w:pPr>
        <w:spacing w:line="400" w:lineRule="exact"/>
        <w:jc w:val="center"/>
        <w:rPr>
          <w:rFonts w:ascii="方正仿宋_GBK" w:hAnsi="宋体" w:eastAsia="方正仿宋_GBK"/>
          <w:sz w:val="30"/>
          <w:szCs w:val="30"/>
        </w:rPr>
      </w:pPr>
      <w:r>
        <w:rPr>
          <w:rFonts w:hint="eastAsia" w:ascii="方正仿宋_GBK" w:hAnsi="宋体" w:eastAsia="方正仿宋_GBK"/>
          <w:sz w:val="30"/>
          <w:szCs w:val="30"/>
        </w:rPr>
        <w:t>（三）法定代表人授权委托书（格式）</w:t>
      </w: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 xml:space="preserve">    </w:t>
      </w:r>
    </w:p>
    <w:p>
      <w:pPr>
        <w:tabs>
          <w:tab w:val="left" w:pos="6300"/>
        </w:tabs>
        <w:snapToGrid w:val="0"/>
        <w:spacing w:line="500" w:lineRule="exact"/>
        <w:ind w:firstLine="600" w:firstLineChars="200"/>
        <w:rPr>
          <w:rFonts w:ascii="方正仿宋_GBK" w:hAnsi="仿宋" w:eastAsia="方正仿宋_GBK"/>
          <w:sz w:val="30"/>
          <w:szCs w:val="30"/>
        </w:rPr>
      </w:pPr>
      <w:r>
        <w:rPr>
          <w:rFonts w:hint="eastAsia" w:ascii="方正仿宋_GBK" w:hAnsi="仿宋" w:eastAsia="方正仿宋_GBK"/>
          <w:sz w:val="30"/>
          <w:szCs w:val="30"/>
        </w:rPr>
        <w:t>招标项目名称：</w:t>
      </w:r>
      <w:r>
        <w:rPr>
          <w:rFonts w:hint="eastAsia" w:ascii="方正仿宋_GBK" w:hAnsi="仿宋" w:eastAsia="方正仿宋_GBK"/>
          <w:sz w:val="30"/>
          <w:szCs w:val="30"/>
          <w:u w:val="single"/>
        </w:rPr>
        <w:t xml:space="preserve">                                                </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rPr>
          <w:rFonts w:ascii="方正仿宋_GBK" w:hAnsi="仿宋" w:eastAsia="方正仿宋_GBK"/>
          <w:sz w:val="30"/>
          <w:szCs w:val="30"/>
        </w:rPr>
      </w:pPr>
      <w:r>
        <w:rPr>
          <w:rFonts w:hint="eastAsia" w:ascii="方正仿宋_GBK" w:hAnsi="仿宋" w:eastAsia="方正仿宋_GBK"/>
          <w:sz w:val="30"/>
          <w:szCs w:val="30"/>
        </w:rPr>
        <w:t>致：</w:t>
      </w: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（采购代理机构名称）：</w:t>
      </w:r>
    </w:p>
    <w:p>
      <w:pPr>
        <w:tabs>
          <w:tab w:val="left" w:pos="6300"/>
        </w:tabs>
        <w:snapToGrid w:val="0"/>
        <w:spacing w:line="500" w:lineRule="exact"/>
        <w:ind w:firstLine="600" w:firstLineChars="200"/>
        <w:rPr>
          <w:rFonts w:ascii="方正仿宋_GBK" w:hAnsi="仿宋" w:eastAsia="方正仿宋_GBK"/>
          <w:sz w:val="30"/>
          <w:szCs w:val="30"/>
        </w:rPr>
      </w:pP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（投标人法定代表人名称）是</w:t>
      </w: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（投标人名称）的法定代表人，特授权</w:t>
      </w:r>
      <w:r>
        <w:rPr>
          <w:rFonts w:hint="eastAsia" w:ascii="方正仿宋_GBK" w:hAnsi="仿宋" w:eastAsia="方正仿宋_GBK"/>
          <w:sz w:val="30"/>
          <w:szCs w:val="30"/>
          <w:u w:val="single"/>
        </w:rPr>
        <w:t xml:space="preserve">          </w:t>
      </w:r>
      <w:r>
        <w:rPr>
          <w:rFonts w:hint="eastAsia" w:ascii="方正仿宋_GBK" w:hAnsi="仿宋" w:eastAsia="方正仿宋_GBK"/>
          <w:sz w:val="30"/>
          <w:szCs w:val="30"/>
        </w:rPr>
        <w:t>（被授权人姓名及身份证代码）代表我单位全权办理上述项目的投标、邀请、签约等具体工作，并签署全部有关文件、协议及合同。</w:t>
      </w:r>
    </w:p>
    <w:p>
      <w:pPr>
        <w:tabs>
          <w:tab w:val="left" w:pos="6300"/>
        </w:tabs>
        <w:snapToGrid w:val="0"/>
        <w:spacing w:line="500" w:lineRule="exact"/>
        <w:ind w:firstLine="600" w:firstLineChars="200"/>
        <w:rPr>
          <w:rFonts w:ascii="方正仿宋_GBK" w:hAnsi="仿宋" w:eastAsia="方正仿宋_GBK"/>
          <w:sz w:val="30"/>
          <w:szCs w:val="30"/>
        </w:rPr>
      </w:pPr>
      <w:r>
        <w:rPr>
          <w:rFonts w:hint="eastAsia" w:ascii="方正仿宋_GBK" w:hAnsi="仿宋" w:eastAsia="方正仿宋_GBK"/>
          <w:sz w:val="30"/>
          <w:szCs w:val="30"/>
        </w:rPr>
        <w:t>我单位对被授权人的签署负全部责任。</w:t>
      </w:r>
    </w:p>
    <w:p>
      <w:pPr>
        <w:tabs>
          <w:tab w:val="left" w:pos="6300"/>
        </w:tabs>
        <w:snapToGrid w:val="0"/>
        <w:spacing w:line="500" w:lineRule="exact"/>
        <w:ind w:firstLine="600" w:firstLineChars="200"/>
        <w:rPr>
          <w:rFonts w:ascii="方正仿宋_GBK" w:hAnsi="仿宋" w:eastAsia="方正仿宋_GBK"/>
          <w:sz w:val="30"/>
          <w:szCs w:val="30"/>
        </w:rPr>
      </w:pPr>
      <w:r>
        <w:rPr>
          <w:rFonts w:hint="eastAsia" w:ascii="方正仿宋_GBK" w:hAnsi="仿宋" w:eastAsia="方正仿宋_GBK"/>
          <w:sz w:val="30"/>
          <w:szCs w:val="30"/>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仿宋" w:eastAsia="方正仿宋_GBK"/>
          <w:sz w:val="30"/>
          <w:szCs w:val="30"/>
        </w:rPr>
      </w:pP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被授权人：                                 投标人法定代表人：</w:t>
      </w:r>
    </w:p>
    <w:p>
      <w:pPr>
        <w:tabs>
          <w:tab w:val="left" w:pos="6300"/>
        </w:tabs>
        <w:snapToGrid w:val="0"/>
        <w:spacing w:line="500" w:lineRule="exact"/>
        <w:ind w:firstLine="570"/>
        <w:rPr>
          <w:rFonts w:ascii="方正仿宋_GBK" w:hAnsi="仿宋" w:eastAsia="方正仿宋_GBK"/>
          <w:sz w:val="30"/>
          <w:szCs w:val="30"/>
        </w:rPr>
      </w:pPr>
      <w:r>
        <w:rPr>
          <w:rFonts w:hint="eastAsia" w:ascii="方正仿宋_GBK" w:hAnsi="仿宋" w:eastAsia="方正仿宋_GBK"/>
          <w:sz w:val="30"/>
          <w:szCs w:val="30"/>
        </w:rPr>
        <w:t>（签署或盖章）                                （签署或盖章）</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（附：被授权人身份证正反面复印件）</w:t>
      </w:r>
    </w:p>
    <w:p>
      <w:pPr>
        <w:pStyle w:val="6"/>
      </w:pPr>
    </w:p>
    <w:tbl>
      <w:tblPr>
        <w:tblStyle w:val="23"/>
        <w:tblW w:w="0" w:type="auto"/>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395"/>
        <w:gridCol w:w="970"/>
        <w:gridCol w:w="3395"/>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94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此处粘贴</w:t>
            </w:r>
          </w:p>
          <w:p>
            <w:pPr>
              <w:spacing w:line="360" w:lineRule="auto"/>
              <w:jc w:val="center"/>
              <w:rPr>
                <w:rFonts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授权代理人身份证复印件正面</w:t>
            </w:r>
          </w:p>
        </w:tc>
        <w:tc>
          <w:tcPr>
            <w:tcW w:w="970" w:type="dxa"/>
            <w:tcBorders>
              <w:top w:val="nil"/>
              <w:left w:val="single" w:color="auto" w:sz="4" w:space="0"/>
              <w:bottom w:val="nil"/>
              <w:right w:val="single" w:color="auto" w:sz="4" w:space="0"/>
            </w:tcBorders>
            <w:vAlign w:val="center"/>
          </w:tcPr>
          <w:p>
            <w:pPr>
              <w:spacing w:line="360" w:lineRule="auto"/>
              <w:jc w:val="left"/>
              <w:rPr>
                <w:rFonts w:ascii="方正仿宋_GBK" w:hAnsi="方正仿宋_GBK" w:eastAsia="方正仿宋_GBK" w:cs="方正仿宋_GBK"/>
                <w:b/>
                <w:bCs/>
                <w:sz w:val="30"/>
                <w:szCs w:val="30"/>
              </w:rPr>
            </w:pPr>
          </w:p>
        </w:tc>
        <w:tc>
          <w:tcPr>
            <w:tcW w:w="33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此处粘贴</w:t>
            </w:r>
          </w:p>
          <w:p>
            <w:pPr>
              <w:spacing w:line="360" w:lineRule="auto"/>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授权代理人身份证复印件背面</w:t>
            </w:r>
          </w:p>
        </w:tc>
      </w:tr>
    </w:tbl>
    <w:p>
      <w:pPr>
        <w:spacing w:line="360" w:lineRule="auto"/>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w:t>
      </w:r>
    </w:p>
    <w:p>
      <w:pPr>
        <w:spacing w:line="360" w:lineRule="auto"/>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rPr>
          <w:rFonts w:ascii="方正仿宋_GBK" w:hAnsi="方正仿宋_GBK" w:eastAsia="方正仿宋_GBK" w:cs="方正仿宋_GBK"/>
          <w:color w:val="000000"/>
          <w:sz w:val="32"/>
          <w:szCs w:val="32"/>
        </w:rPr>
      </w:pPr>
    </w:p>
    <w:p>
      <w:pPr>
        <w:pStyle w:val="7"/>
        <w:numPr>
          <w:ilvl w:val="0"/>
          <w:numId w:val="0"/>
        </w:numPr>
      </w:pPr>
    </w:p>
    <w:p/>
    <w:p>
      <w:pPr>
        <w:rPr>
          <w:rFonts w:ascii="方正仿宋_GBK" w:hAnsi="方正仿宋_GBK" w:eastAsia="方正仿宋_GBK" w:cs="方正仿宋_GBK"/>
          <w:color w:val="000000"/>
          <w:sz w:val="32"/>
          <w:szCs w:val="32"/>
        </w:rPr>
      </w:pPr>
    </w:p>
    <w:p>
      <w:p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附件5：</w:t>
      </w:r>
    </w:p>
    <w:p>
      <w:p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1.营业执照副本复印件：</w:t>
      </w:r>
    </w:p>
    <w:p>
      <w:pPr>
        <w:pStyle w:val="7"/>
        <w:numPr>
          <w:ilvl w:val="0"/>
          <w:numId w:val="0"/>
        </w:numPr>
      </w:pPr>
    </w:p>
    <w:p/>
    <w:p>
      <w:pPr>
        <w:ind w:firstLine="627" w:firstLineChars="196"/>
        <w:rPr>
          <w:rFonts w:ascii="方正仿宋_GBK" w:hAnsi="方正仿宋_GBK" w:eastAsia="方正仿宋_GBK" w:cs="方正仿宋_GBK"/>
          <w:color w:val="000000"/>
          <w:sz w:val="32"/>
          <w:szCs w:val="32"/>
        </w:rPr>
      </w:pPr>
    </w:p>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snapToGrid w:val="0"/>
        <w:spacing w:line="440" w:lineRule="exact"/>
        <w:rPr>
          <w:rFonts w:ascii="方正仿宋_GBK" w:hAnsi="方正仿宋_GBK" w:eastAsia="方正仿宋_GBK" w:cs="方正仿宋_GBK"/>
          <w:bCs/>
          <w:color w:val="000000"/>
          <w:sz w:val="32"/>
          <w:szCs w:val="32"/>
        </w:rPr>
      </w:pPr>
    </w:p>
    <w:p>
      <w:pPr>
        <w:tabs>
          <w:tab w:val="left" w:pos="6300"/>
        </w:tabs>
        <w:snapToGrid w:val="0"/>
        <w:spacing w:line="400" w:lineRule="atLeast"/>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附件6：</w:t>
      </w:r>
    </w:p>
    <w:p>
      <w:pPr>
        <w:tabs>
          <w:tab w:val="left" w:pos="6300"/>
        </w:tabs>
        <w:snapToGrid w:val="0"/>
        <w:spacing w:line="400" w:lineRule="atLeast"/>
        <w:jc w:val="center"/>
        <w:rPr>
          <w:rFonts w:ascii="方正仿宋_GBK" w:hAnsi="方正仿宋_GBK" w:eastAsia="方正仿宋_GBK" w:cs="方正仿宋_GBK"/>
          <w:bCs/>
          <w:color w:val="000000"/>
          <w:sz w:val="32"/>
          <w:szCs w:val="32"/>
        </w:rPr>
      </w:pPr>
    </w:p>
    <w:p>
      <w:pPr>
        <w:tabs>
          <w:tab w:val="left" w:pos="6300"/>
        </w:tabs>
        <w:snapToGrid w:val="0"/>
        <w:spacing w:line="400" w:lineRule="atLeast"/>
        <w:jc w:val="center"/>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质量保证及服务承诺</w:t>
      </w:r>
    </w:p>
    <w:p>
      <w:pPr>
        <w:tabs>
          <w:tab w:val="left" w:pos="6300"/>
        </w:tabs>
        <w:snapToGrid w:val="0"/>
        <w:spacing w:line="500" w:lineRule="exact"/>
        <w:jc w:val="center"/>
        <w:rPr>
          <w:rFonts w:ascii="方正仿宋_GBK" w:hAnsi="方正仿宋_GBK" w:eastAsia="方正仿宋_GBK" w:cs="方正仿宋_GBK"/>
          <w:color w:val="000000"/>
          <w:sz w:val="24"/>
        </w:rPr>
      </w:pPr>
    </w:p>
    <w:p>
      <w:pPr>
        <w:tabs>
          <w:tab w:val="left" w:pos="6300"/>
        </w:tabs>
        <w:snapToGrid w:val="0"/>
        <w:spacing w:line="500" w:lineRule="exact"/>
        <w:rPr>
          <w:rFonts w:ascii="方正仿宋_GBK" w:hAnsi="方正仿宋_GBK" w:eastAsia="方正仿宋_GBK" w:cs="方正仿宋_GBK"/>
          <w:sz w:val="32"/>
        </w:rPr>
      </w:pPr>
      <w:r>
        <w:rPr>
          <w:rFonts w:hint="eastAsia" w:ascii="方正仿宋_GBK" w:hAnsi="方正仿宋_GBK" w:eastAsia="方正仿宋_GBK" w:cs="方正仿宋_GBK"/>
          <w:color w:val="000000"/>
          <w:sz w:val="32"/>
          <w:szCs w:val="32"/>
        </w:rPr>
        <w:t>招标项目名称：奉节县脆李避雨设施栽培探索试验项目</w:t>
      </w:r>
    </w:p>
    <w:p>
      <w:pPr>
        <w:tabs>
          <w:tab w:val="left" w:pos="6300"/>
        </w:tabs>
        <w:snapToGrid w:val="0"/>
        <w:spacing w:line="50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致：奉节县农业技术服务</w:t>
      </w:r>
      <w:r>
        <w:rPr>
          <w:rFonts w:hint="eastAsia" w:ascii="方正仿宋_GBK" w:hAnsi="方正仿宋_GBK" w:eastAsia="方正仿宋_GBK" w:cs="方正仿宋_GBK"/>
          <w:color w:val="000000"/>
          <w:sz w:val="32"/>
          <w:szCs w:val="32"/>
          <w:u w:val="single"/>
        </w:rPr>
        <w:t>中心</w:t>
      </w:r>
      <w:r>
        <w:rPr>
          <w:rFonts w:hint="eastAsia" w:ascii="方正仿宋_GBK" w:hAnsi="方正仿宋_GBK" w:eastAsia="方正仿宋_GBK" w:cs="方正仿宋_GBK"/>
          <w:color w:val="000000"/>
          <w:sz w:val="32"/>
          <w:szCs w:val="32"/>
        </w:rPr>
        <w:t>（招标方名称）：</w:t>
      </w:r>
    </w:p>
    <w:p>
      <w:pPr>
        <w:tabs>
          <w:tab w:val="left" w:pos="6300"/>
        </w:tabs>
        <w:snapToGrid w:val="0"/>
        <w:spacing w:line="500" w:lineRule="exact"/>
        <w:ind w:firstLine="720" w:firstLineChars="225"/>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u w:val="single"/>
        </w:rPr>
        <w:t xml:space="preserve">                       </w:t>
      </w:r>
      <w:r>
        <w:rPr>
          <w:rFonts w:hint="eastAsia" w:ascii="方正仿宋_GBK" w:hAnsi="方正仿宋_GBK" w:eastAsia="方正仿宋_GBK" w:cs="方正仿宋_GBK"/>
          <w:color w:val="000000"/>
          <w:sz w:val="32"/>
          <w:szCs w:val="32"/>
        </w:rPr>
        <w:t>（投标人全称）郑重声明，我公司能够按招标方提供的要求，保证能在中标后按照招标方要求，按时按设计图纸和你方的质量技术参数要求进行建设施工，同时完全满足招标文件关于质量保证及售后服务的规定和要求，并承诺保证在一个月内（2022年10月30日前）完成全部建设内容并通过验收交付使用。</w:t>
      </w:r>
    </w:p>
    <w:p>
      <w:pPr>
        <w:spacing w:line="400" w:lineRule="exact"/>
        <w:ind w:left="480"/>
        <w:rPr>
          <w:rFonts w:ascii="方正仿宋_GBK" w:hAnsi="方正仿宋_GBK" w:eastAsia="方正仿宋_GBK" w:cs="方正仿宋_GBK"/>
          <w:color w:val="000000"/>
          <w:sz w:val="32"/>
          <w:szCs w:val="32"/>
        </w:rPr>
      </w:pPr>
    </w:p>
    <w:p>
      <w:pPr>
        <w:tabs>
          <w:tab w:val="left" w:pos="6300"/>
        </w:tabs>
        <w:snapToGrid w:val="0"/>
        <w:spacing w:line="500" w:lineRule="exact"/>
        <w:rPr>
          <w:rFonts w:ascii="方正仿宋_GBK" w:hAnsi="方正仿宋_GBK" w:eastAsia="方正仿宋_GBK" w:cs="方正仿宋_GBK"/>
          <w:color w:val="000000"/>
          <w:sz w:val="32"/>
          <w:szCs w:val="32"/>
        </w:rPr>
      </w:pPr>
    </w:p>
    <w:p>
      <w:pPr>
        <w:tabs>
          <w:tab w:val="left" w:pos="6300"/>
        </w:tabs>
        <w:snapToGrid w:val="0"/>
        <w:spacing w:line="500" w:lineRule="exact"/>
        <w:jc w:val="center"/>
        <w:rPr>
          <w:rFonts w:ascii="方正仿宋_GBK" w:hAnsi="方正仿宋_GBK" w:eastAsia="方正仿宋_GBK" w:cs="方正仿宋_GBK"/>
          <w:color w:val="000000"/>
          <w:sz w:val="32"/>
          <w:szCs w:val="32"/>
        </w:rPr>
      </w:pPr>
    </w:p>
    <w:p>
      <w:pPr>
        <w:tabs>
          <w:tab w:val="left" w:pos="6300"/>
        </w:tabs>
        <w:snapToGrid w:val="0"/>
        <w:spacing w:line="500" w:lineRule="exact"/>
        <w:jc w:val="center"/>
        <w:rPr>
          <w:rFonts w:ascii="方正仿宋_GBK" w:hAnsi="方正仿宋_GBK" w:eastAsia="方正仿宋_GBK" w:cs="方正仿宋_GBK"/>
          <w:color w:val="000000"/>
          <w:sz w:val="32"/>
          <w:szCs w:val="32"/>
        </w:rPr>
      </w:pPr>
    </w:p>
    <w:p>
      <w:pPr>
        <w:tabs>
          <w:tab w:val="left" w:pos="6300"/>
        </w:tabs>
        <w:snapToGrid w:val="0"/>
        <w:spacing w:line="500" w:lineRule="exact"/>
        <w:rPr>
          <w:rFonts w:ascii="方正仿宋_GBK" w:hAnsi="方正仿宋_GBK" w:eastAsia="方正仿宋_GBK" w:cs="方正仿宋_GBK"/>
          <w:color w:val="000000"/>
          <w:sz w:val="32"/>
          <w:szCs w:val="32"/>
        </w:rPr>
      </w:pPr>
    </w:p>
    <w:p>
      <w:pPr>
        <w:tabs>
          <w:tab w:val="left" w:pos="6300"/>
        </w:tabs>
        <w:snapToGrid w:val="0"/>
        <w:spacing w:line="500" w:lineRule="exact"/>
        <w:ind w:firstLine="4160" w:firstLineChars="13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（投标人全称并签章）</w:t>
      </w:r>
    </w:p>
    <w:p>
      <w:pPr>
        <w:tabs>
          <w:tab w:val="left" w:pos="6300"/>
        </w:tabs>
        <w:snapToGrid w:val="0"/>
        <w:spacing w:line="500" w:lineRule="exact"/>
        <w:ind w:firstLine="6080" w:firstLineChars="1900"/>
        <w:rPr>
          <w:rFonts w:ascii="方正仿宋_GBK" w:hAnsi="方正仿宋_GBK" w:eastAsia="方正仿宋_GBK" w:cs="方正仿宋_GBK"/>
          <w:color w:val="000000"/>
          <w:sz w:val="32"/>
          <w:szCs w:val="32"/>
        </w:rPr>
      </w:pPr>
    </w:p>
    <w:p>
      <w:pPr>
        <w:tabs>
          <w:tab w:val="left" w:pos="6300"/>
        </w:tabs>
        <w:snapToGrid w:val="0"/>
        <w:spacing w:line="500" w:lineRule="exact"/>
        <w:ind w:left="528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代表签字：</w:t>
      </w:r>
    </w:p>
    <w:p>
      <w:pPr>
        <w:tabs>
          <w:tab w:val="left" w:pos="6300"/>
        </w:tabs>
        <w:snapToGrid w:val="0"/>
        <w:spacing w:line="500" w:lineRule="exact"/>
        <w:ind w:firstLine="6080" w:firstLineChars="1900"/>
        <w:rPr>
          <w:rFonts w:ascii="方正仿宋_GBK" w:hAnsi="方正仿宋_GBK" w:eastAsia="方正仿宋_GBK" w:cs="方正仿宋_GBK"/>
          <w:color w:val="000000"/>
          <w:sz w:val="32"/>
          <w:szCs w:val="32"/>
        </w:rPr>
      </w:pPr>
    </w:p>
    <w:p>
      <w:pPr>
        <w:tabs>
          <w:tab w:val="left" w:pos="6300"/>
        </w:tabs>
        <w:snapToGrid w:val="0"/>
        <w:spacing w:line="360" w:lineRule="auto"/>
        <w:ind w:left="480" w:right="120"/>
        <w:jc w:val="right"/>
        <w:rPr>
          <w:rFonts w:ascii="方正仿宋_GBK" w:hAnsi="方正仿宋_GBK" w:eastAsia="方正仿宋_GBK" w:cs="方正仿宋_GBK"/>
          <w:color w:val="000000"/>
          <w:sz w:val="32"/>
          <w:szCs w:val="32"/>
        </w:rPr>
      </w:pPr>
    </w:p>
    <w:p>
      <w:pPr>
        <w:tabs>
          <w:tab w:val="left" w:pos="6300"/>
        </w:tabs>
        <w:snapToGrid w:val="0"/>
        <w:spacing w:line="500" w:lineRule="exact"/>
        <w:ind w:left="524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年   月   日</w:t>
      </w:r>
    </w:p>
    <w:p>
      <w:pPr>
        <w:tabs>
          <w:tab w:val="left" w:pos="6300"/>
        </w:tabs>
        <w:snapToGrid w:val="0"/>
        <w:spacing w:line="500" w:lineRule="exact"/>
        <w:ind w:firstLine="720" w:firstLineChars="225"/>
        <w:jc w:val="left"/>
        <w:rPr>
          <w:rFonts w:ascii="方正仿宋_GBK" w:hAnsi="方正仿宋_GBK" w:eastAsia="方正仿宋_GBK" w:cs="方正仿宋_GBK"/>
          <w:color w:val="000000"/>
          <w:sz w:val="32"/>
          <w:szCs w:val="32"/>
        </w:rPr>
      </w:pPr>
    </w:p>
    <w:p>
      <w:pPr>
        <w:tabs>
          <w:tab w:val="left" w:pos="6300"/>
        </w:tabs>
        <w:snapToGrid w:val="0"/>
        <w:spacing w:line="500" w:lineRule="exact"/>
        <w:ind w:firstLine="723" w:firstLineChars="225"/>
        <w:jc w:val="left"/>
        <w:rPr>
          <w:rFonts w:ascii="方正仿宋_GBK" w:hAnsi="方正仿宋_GBK" w:eastAsia="方正仿宋_GBK" w:cs="方正仿宋_GBK"/>
          <w:b/>
          <w:bCs/>
          <w:color w:val="000000"/>
          <w:sz w:val="32"/>
          <w:szCs w:val="32"/>
        </w:rPr>
      </w:pPr>
      <w:bookmarkStart w:id="95" w:name="_Hlt338147122"/>
      <w:bookmarkEnd w:id="95"/>
    </w:p>
    <w:sectPr>
      <w:headerReference r:id="rId4" w:type="default"/>
      <w:footerReference r:id="rId5" w:type="default"/>
      <w:pgSz w:w="11906" w:h="16838"/>
      <w:pgMar w:top="1417" w:right="1134" w:bottom="1134" w:left="141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5211F2-C272-45C7-946B-69D1256F90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2" w:fontKey="{B2F7466C-0ED4-4028-9972-5F5561F0D0A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embedRegular r:id="rId3" w:fontKey="{C933789E-335F-47C2-A07A-C5AFD5F45597}"/>
  </w:font>
  <w:font w:name="方正小标宋_GBK">
    <w:panose1 w:val="03000509000000000000"/>
    <w:charset w:val="86"/>
    <w:family w:val="script"/>
    <w:pitch w:val="default"/>
    <w:sig w:usb0="00000001" w:usb1="080E0000" w:usb2="00000000" w:usb3="00000000" w:csb0="00040000" w:csb1="00000000"/>
    <w:embedRegular r:id="rId4" w:fontKey="{3BBFF673-6A2A-499B-A5E9-A2939D11D32E}"/>
  </w:font>
  <w:font w:name="方正仿宋_GBK">
    <w:panose1 w:val="03000509000000000000"/>
    <w:charset w:val="86"/>
    <w:family w:val="script"/>
    <w:pitch w:val="default"/>
    <w:sig w:usb0="00000001" w:usb1="080E0000" w:usb2="00000000" w:usb3="00000000" w:csb0="00040000" w:csb1="00000000"/>
    <w:embedRegular r:id="rId5" w:fontKey="{FCC37E61-B1AF-4995-87A8-8B2A705E267B}"/>
  </w:font>
  <w:font w:name="___WRD_EMBED_SUB_46">
    <w:panose1 w:val="03000509000000000000"/>
    <w:charset w:val="86"/>
    <w:family w:val="script"/>
    <w:pitch w:val="default"/>
    <w:sig w:usb0="00000001" w:usb1="080E0000" w:usb2="00000000" w:usb3="00000000" w:csb0="00040000" w:csb1="00000000"/>
    <w:embedRegular r:id="rId6" w:fontKey="{DC0C5EDB-E43A-4AAF-B965-961EE8038F23}"/>
  </w:font>
  <w:font w:name="MS Sans Serif">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sz w:val="21"/>
        <w:szCs w:val="21"/>
      </w:rPr>
    </w:pPr>
    <w:r>
      <w:rPr>
        <w:rStyle w:val="26"/>
        <w:rFonts w:ascii="宋体"/>
        <w:sz w:val="21"/>
        <w:szCs w:val="21"/>
      </w:rPr>
      <w:fldChar w:fldCharType="begin"/>
    </w:r>
    <w:r>
      <w:rPr>
        <w:rStyle w:val="26"/>
        <w:rFonts w:ascii="宋体"/>
        <w:sz w:val="21"/>
        <w:szCs w:val="21"/>
      </w:rPr>
      <w:instrText xml:space="preserve"> PAGE </w:instrText>
    </w:r>
    <w:r>
      <w:rPr>
        <w:rStyle w:val="26"/>
        <w:rFonts w:ascii="宋体"/>
        <w:sz w:val="21"/>
        <w:szCs w:val="21"/>
      </w:rPr>
      <w:fldChar w:fldCharType="separate"/>
    </w:r>
    <w:r>
      <w:rPr>
        <w:rStyle w:val="26"/>
        <w:rFonts w:ascii="宋体"/>
        <w:sz w:val="21"/>
        <w:szCs w:val="21"/>
      </w:rPr>
      <w:t>- 1 -</w:t>
    </w:r>
    <w:r>
      <w:rPr>
        <w:rStyle w:val="26"/>
        <w:rFonts w:asci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219758"/>
    </w:sdtPr>
    <w:sdtContent>
      <w:p>
        <w:pPr>
          <w:pStyle w:val="15"/>
          <w:jc w:val="center"/>
        </w:pPr>
        <w:r>
          <w:fldChar w:fldCharType="begin"/>
        </w:r>
        <w:r>
          <w:instrText xml:space="preserve">PAGE   \* MERGEFORMAT</w:instrText>
        </w:r>
        <w:r>
          <w:fldChar w:fldCharType="separate"/>
        </w:r>
        <w:r>
          <w:rPr>
            <w:lang w:val="zh-CN"/>
          </w:rPr>
          <w:t>19</w:t>
        </w:r>
        <w:r>
          <w:fldChar w:fldCharType="end"/>
        </w:r>
      </w:p>
    </w:sdtContent>
  </w:sdt>
  <w:p>
    <w:pPr>
      <w:pStyle w:val="15"/>
      <w:rPr>
        <w:rFonts w:ascii="MS Sans Serif" w:hAnsi="MS Sans Serif"/>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360"/>
      <w:jc w:val="both"/>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D"/>
    <w:multiLevelType w:val="multilevel"/>
    <w:tmpl w:val="0000001D"/>
    <w:lvl w:ilvl="0" w:tentative="0">
      <w:start w:val="1"/>
      <w:numFmt w:val="none"/>
      <w:pStyle w:val="7"/>
      <w:lvlText w:val="一、"/>
      <w:lvlJc w:val="left"/>
      <w:pPr>
        <w:tabs>
          <w:tab w:val="left" w:pos="1000"/>
        </w:tabs>
        <w:ind w:left="1330" w:hanging="420"/>
      </w:pPr>
    </w:lvl>
    <w:lvl w:ilvl="1" w:tentative="0">
      <w:start w:val="1"/>
      <w:numFmt w:val="lowerLetter"/>
      <w:lvlText w:val="%2)"/>
      <w:lvlJc w:val="left"/>
      <w:pPr>
        <w:tabs>
          <w:tab w:val="left" w:pos="840"/>
        </w:tabs>
        <w:ind w:left="1050" w:hanging="420"/>
      </w:pPr>
      <w:rPr>
        <w:rFonts w:hint="eastAsia"/>
      </w:rPr>
    </w:lvl>
    <w:lvl w:ilvl="2" w:tentative="0">
      <w:start w:val="1"/>
      <w:numFmt w:val="lowerRoman"/>
      <w:lvlText w:val="%3."/>
      <w:lvlJc w:val="right"/>
      <w:pPr>
        <w:tabs>
          <w:tab w:val="left" w:pos="1260"/>
        </w:tabs>
        <w:ind w:left="1470" w:hanging="420"/>
      </w:pPr>
      <w:rPr>
        <w:rFonts w:hint="eastAsia"/>
      </w:rPr>
    </w:lvl>
    <w:lvl w:ilvl="3" w:tentative="0">
      <w:start w:val="1"/>
      <w:numFmt w:val="decimal"/>
      <w:lvlText w:val="%4."/>
      <w:lvlJc w:val="left"/>
      <w:pPr>
        <w:tabs>
          <w:tab w:val="left" w:pos="1680"/>
        </w:tabs>
        <w:ind w:left="1890" w:hanging="420"/>
      </w:pPr>
      <w:rPr>
        <w:rFonts w:hint="eastAsia"/>
      </w:rPr>
    </w:lvl>
    <w:lvl w:ilvl="4" w:tentative="0">
      <w:start w:val="1"/>
      <w:numFmt w:val="lowerLetter"/>
      <w:lvlText w:val="%5)"/>
      <w:lvlJc w:val="left"/>
      <w:pPr>
        <w:tabs>
          <w:tab w:val="left" w:pos="2100"/>
        </w:tabs>
        <w:ind w:left="2310" w:hanging="420"/>
      </w:pPr>
      <w:rPr>
        <w:rFonts w:hint="eastAsia"/>
      </w:rPr>
    </w:lvl>
    <w:lvl w:ilvl="5" w:tentative="0">
      <w:start w:val="1"/>
      <w:numFmt w:val="lowerRoman"/>
      <w:lvlText w:val="%6."/>
      <w:lvlJc w:val="right"/>
      <w:pPr>
        <w:tabs>
          <w:tab w:val="left" w:pos="2520"/>
        </w:tabs>
        <w:ind w:left="2730" w:hanging="420"/>
      </w:pPr>
      <w:rPr>
        <w:rFonts w:hint="eastAsia"/>
      </w:rPr>
    </w:lvl>
    <w:lvl w:ilvl="6" w:tentative="0">
      <w:start w:val="1"/>
      <w:numFmt w:val="decimal"/>
      <w:lvlText w:val="%7."/>
      <w:lvlJc w:val="left"/>
      <w:pPr>
        <w:tabs>
          <w:tab w:val="left" w:pos="2940"/>
        </w:tabs>
        <w:ind w:left="3150" w:hanging="420"/>
      </w:pPr>
      <w:rPr>
        <w:rFonts w:hint="eastAsia"/>
      </w:rPr>
    </w:lvl>
    <w:lvl w:ilvl="7" w:tentative="0">
      <w:start w:val="1"/>
      <w:numFmt w:val="lowerLetter"/>
      <w:lvlText w:val="%8)"/>
      <w:lvlJc w:val="left"/>
      <w:pPr>
        <w:tabs>
          <w:tab w:val="left" w:pos="3360"/>
        </w:tabs>
        <w:ind w:left="3570" w:hanging="420"/>
      </w:pPr>
      <w:rPr>
        <w:rFonts w:hint="eastAsia"/>
      </w:rPr>
    </w:lvl>
    <w:lvl w:ilvl="8" w:tentative="0">
      <w:start w:val="1"/>
      <w:numFmt w:val="lowerRoman"/>
      <w:lvlText w:val="%9."/>
      <w:lvlJc w:val="right"/>
      <w:pPr>
        <w:tabs>
          <w:tab w:val="left" w:pos="3780"/>
        </w:tabs>
        <w:ind w:left="399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ZGU5MzZmOGZkNWUzNTRlNTQ3N2NmMjBjMTI5OWYifQ=="/>
  </w:docVars>
  <w:rsids>
    <w:rsidRoot w:val="283D4EA2"/>
    <w:rsid w:val="0000198C"/>
    <w:rsid w:val="00012B25"/>
    <w:rsid w:val="00017F8D"/>
    <w:rsid w:val="00042573"/>
    <w:rsid w:val="00054969"/>
    <w:rsid w:val="00071B1A"/>
    <w:rsid w:val="00073D78"/>
    <w:rsid w:val="000C25A3"/>
    <w:rsid w:val="000E2F33"/>
    <w:rsid w:val="000F031C"/>
    <w:rsid w:val="0011602D"/>
    <w:rsid w:val="00120019"/>
    <w:rsid w:val="00143ABD"/>
    <w:rsid w:val="0014427A"/>
    <w:rsid w:val="00144485"/>
    <w:rsid w:val="00146C93"/>
    <w:rsid w:val="001615F7"/>
    <w:rsid w:val="001677B8"/>
    <w:rsid w:val="001721C4"/>
    <w:rsid w:val="00172FC1"/>
    <w:rsid w:val="001864CF"/>
    <w:rsid w:val="001870B4"/>
    <w:rsid w:val="001A1384"/>
    <w:rsid w:val="001A53C6"/>
    <w:rsid w:val="001B41FC"/>
    <w:rsid w:val="001B5DD9"/>
    <w:rsid w:val="001B682C"/>
    <w:rsid w:val="001B6967"/>
    <w:rsid w:val="001D2132"/>
    <w:rsid w:val="001E20DF"/>
    <w:rsid w:val="001F194E"/>
    <w:rsid w:val="001F3538"/>
    <w:rsid w:val="002131C0"/>
    <w:rsid w:val="00235E60"/>
    <w:rsid w:val="00252C51"/>
    <w:rsid w:val="00267A37"/>
    <w:rsid w:val="002B0F0B"/>
    <w:rsid w:val="002D0C62"/>
    <w:rsid w:val="002F5F89"/>
    <w:rsid w:val="003006C5"/>
    <w:rsid w:val="003042C6"/>
    <w:rsid w:val="00314D7D"/>
    <w:rsid w:val="00317455"/>
    <w:rsid w:val="00322A36"/>
    <w:rsid w:val="00343559"/>
    <w:rsid w:val="00345B97"/>
    <w:rsid w:val="00357555"/>
    <w:rsid w:val="003677BC"/>
    <w:rsid w:val="00367E91"/>
    <w:rsid w:val="0037731D"/>
    <w:rsid w:val="00381354"/>
    <w:rsid w:val="003C792C"/>
    <w:rsid w:val="003D16CD"/>
    <w:rsid w:val="003D4042"/>
    <w:rsid w:val="003F05DC"/>
    <w:rsid w:val="003F7436"/>
    <w:rsid w:val="00402734"/>
    <w:rsid w:val="00407415"/>
    <w:rsid w:val="0041150C"/>
    <w:rsid w:val="004178E6"/>
    <w:rsid w:val="004333B3"/>
    <w:rsid w:val="00435BB7"/>
    <w:rsid w:val="0044439C"/>
    <w:rsid w:val="004478CB"/>
    <w:rsid w:val="004621DA"/>
    <w:rsid w:val="00464207"/>
    <w:rsid w:val="004715A2"/>
    <w:rsid w:val="00474D1D"/>
    <w:rsid w:val="00496990"/>
    <w:rsid w:val="004B09D5"/>
    <w:rsid w:val="004C3F6A"/>
    <w:rsid w:val="004D1C27"/>
    <w:rsid w:val="004D773B"/>
    <w:rsid w:val="0050144D"/>
    <w:rsid w:val="00502CF1"/>
    <w:rsid w:val="00511236"/>
    <w:rsid w:val="00517F6A"/>
    <w:rsid w:val="00571121"/>
    <w:rsid w:val="0057383E"/>
    <w:rsid w:val="0058173C"/>
    <w:rsid w:val="00596632"/>
    <w:rsid w:val="005A2529"/>
    <w:rsid w:val="005B739F"/>
    <w:rsid w:val="005C1AB0"/>
    <w:rsid w:val="005C26FF"/>
    <w:rsid w:val="005C3C5D"/>
    <w:rsid w:val="005C3D84"/>
    <w:rsid w:val="005C5820"/>
    <w:rsid w:val="005C6338"/>
    <w:rsid w:val="005C6B90"/>
    <w:rsid w:val="005E5BBE"/>
    <w:rsid w:val="005E6A4F"/>
    <w:rsid w:val="005F23AF"/>
    <w:rsid w:val="00600096"/>
    <w:rsid w:val="00626D9E"/>
    <w:rsid w:val="00634128"/>
    <w:rsid w:val="00636D39"/>
    <w:rsid w:val="00642220"/>
    <w:rsid w:val="00652EB1"/>
    <w:rsid w:val="00661E4F"/>
    <w:rsid w:val="0066728E"/>
    <w:rsid w:val="00685BF6"/>
    <w:rsid w:val="00694ACD"/>
    <w:rsid w:val="006A26CE"/>
    <w:rsid w:val="006C5A8C"/>
    <w:rsid w:val="006D0FBC"/>
    <w:rsid w:val="006D43DD"/>
    <w:rsid w:val="006D6E3C"/>
    <w:rsid w:val="006F6F6E"/>
    <w:rsid w:val="00713BB0"/>
    <w:rsid w:val="00717A1B"/>
    <w:rsid w:val="00745867"/>
    <w:rsid w:val="00762A09"/>
    <w:rsid w:val="00762B36"/>
    <w:rsid w:val="00763310"/>
    <w:rsid w:val="00772E60"/>
    <w:rsid w:val="007921A6"/>
    <w:rsid w:val="007A3CB1"/>
    <w:rsid w:val="007D4B32"/>
    <w:rsid w:val="007E26B0"/>
    <w:rsid w:val="00812B8E"/>
    <w:rsid w:val="008157DE"/>
    <w:rsid w:val="00817692"/>
    <w:rsid w:val="00826F02"/>
    <w:rsid w:val="00834BC5"/>
    <w:rsid w:val="008467E4"/>
    <w:rsid w:val="00852FEC"/>
    <w:rsid w:val="00856124"/>
    <w:rsid w:val="00861F58"/>
    <w:rsid w:val="00871F74"/>
    <w:rsid w:val="008761C3"/>
    <w:rsid w:val="00896BDB"/>
    <w:rsid w:val="0089709F"/>
    <w:rsid w:val="008A2A4D"/>
    <w:rsid w:val="008A58F7"/>
    <w:rsid w:val="008A60BA"/>
    <w:rsid w:val="008B0C12"/>
    <w:rsid w:val="008B238A"/>
    <w:rsid w:val="008C5E55"/>
    <w:rsid w:val="008D0D6A"/>
    <w:rsid w:val="009068E5"/>
    <w:rsid w:val="00930E6E"/>
    <w:rsid w:val="00944105"/>
    <w:rsid w:val="00966D46"/>
    <w:rsid w:val="00970C0E"/>
    <w:rsid w:val="009739B6"/>
    <w:rsid w:val="00973BC0"/>
    <w:rsid w:val="00974AE7"/>
    <w:rsid w:val="00975664"/>
    <w:rsid w:val="00985B0F"/>
    <w:rsid w:val="009A305B"/>
    <w:rsid w:val="009C4F68"/>
    <w:rsid w:val="009F03B7"/>
    <w:rsid w:val="009F431F"/>
    <w:rsid w:val="00A06348"/>
    <w:rsid w:val="00A36896"/>
    <w:rsid w:val="00A46B62"/>
    <w:rsid w:val="00A51505"/>
    <w:rsid w:val="00A60C78"/>
    <w:rsid w:val="00A63883"/>
    <w:rsid w:val="00A64E1B"/>
    <w:rsid w:val="00A755BD"/>
    <w:rsid w:val="00A81435"/>
    <w:rsid w:val="00AA54B1"/>
    <w:rsid w:val="00AC3B90"/>
    <w:rsid w:val="00AD722F"/>
    <w:rsid w:val="00AE142D"/>
    <w:rsid w:val="00AE5D90"/>
    <w:rsid w:val="00B05D6B"/>
    <w:rsid w:val="00B0683F"/>
    <w:rsid w:val="00B06977"/>
    <w:rsid w:val="00B1738C"/>
    <w:rsid w:val="00B23D85"/>
    <w:rsid w:val="00B25197"/>
    <w:rsid w:val="00B427E3"/>
    <w:rsid w:val="00B43F76"/>
    <w:rsid w:val="00B502B6"/>
    <w:rsid w:val="00B71631"/>
    <w:rsid w:val="00B8510D"/>
    <w:rsid w:val="00BA76F2"/>
    <w:rsid w:val="00BB5DA8"/>
    <w:rsid w:val="00BC1FE4"/>
    <w:rsid w:val="00BC59E0"/>
    <w:rsid w:val="00BE131E"/>
    <w:rsid w:val="00BE3252"/>
    <w:rsid w:val="00C018F0"/>
    <w:rsid w:val="00C11CA7"/>
    <w:rsid w:val="00C11F72"/>
    <w:rsid w:val="00C2527F"/>
    <w:rsid w:val="00C42F70"/>
    <w:rsid w:val="00C5613B"/>
    <w:rsid w:val="00CB0831"/>
    <w:rsid w:val="00CC59EB"/>
    <w:rsid w:val="00CF2C9C"/>
    <w:rsid w:val="00CF4E27"/>
    <w:rsid w:val="00D11808"/>
    <w:rsid w:val="00D25278"/>
    <w:rsid w:val="00D3152F"/>
    <w:rsid w:val="00D34CA2"/>
    <w:rsid w:val="00D42F0E"/>
    <w:rsid w:val="00D462F2"/>
    <w:rsid w:val="00D91792"/>
    <w:rsid w:val="00DA366D"/>
    <w:rsid w:val="00DA6773"/>
    <w:rsid w:val="00DB6DB3"/>
    <w:rsid w:val="00DD7913"/>
    <w:rsid w:val="00DE7FEA"/>
    <w:rsid w:val="00DF2482"/>
    <w:rsid w:val="00DF3DDF"/>
    <w:rsid w:val="00DF6D16"/>
    <w:rsid w:val="00E03969"/>
    <w:rsid w:val="00E061CB"/>
    <w:rsid w:val="00E15BC9"/>
    <w:rsid w:val="00E17A3B"/>
    <w:rsid w:val="00E522D6"/>
    <w:rsid w:val="00E538FC"/>
    <w:rsid w:val="00E550C8"/>
    <w:rsid w:val="00E62670"/>
    <w:rsid w:val="00E753F4"/>
    <w:rsid w:val="00E8119B"/>
    <w:rsid w:val="00EA3A44"/>
    <w:rsid w:val="00EB221A"/>
    <w:rsid w:val="00EC65D9"/>
    <w:rsid w:val="00F005ED"/>
    <w:rsid w:val="00F01E51"/>
    <w:rsid w:val="00F11B97"/>
    <w:rsid w:val="00F168E6"/>
    <w:rsid w:val="00F169DE"/>
    <w:rsid w:val="00F52CEE"/>
    <w:rsid w:val="00F54EA9"/>
    <w:rsid w:val="00F65F0F"/>
    <w:rsid w:val="00F67212"/>
    <w:rsid w:val="00F84794"/>
    <w:rsid w:val="00F86802"/>
    <w:rsid w:val="00F945BF"/>
    <w:rsid w:val="00F96417"/>
    <w:rsid w:val="00FC030A"/>
    <w:rsid w:val="00FD0675"/>
    <w:rsid w:val="00FF0268"/>
    <w:rsid w:val="01DB090B"/>
    <w:rsid w:val="03D60F74"/>
    <w:rsid w:val="05E176EF"/>
    <w:rsid w:val="06796F5E"/>
    <w:rsid w:val="06E13113"/>
    <w:rsid w:val="072A4985"/>
    <w:rsid w:val="074128B0"/>
    <w:rsid w:val="07B7757A"/>
    <w:rsid w:val="088B0D69"/>
    <w:rsid w:val="09E27F94"/>
    <w:rsid w:val="0A3E01F4"/>
    <w:rsid w:val="0BA55C48"/>
    <w:rsid w:val="0C214B5D"/>
    <w:rsid w:val="0C534256"/>
    <w:rsid w:val="0C751F76"/>
    <w:rsid w:val="0CF502CD"/>
    <w:rsid w:val="0D5A2445"/>
    <w:rsid w:val="0E0210E0"/>
    <w:rsid w:val="0E027B4E"/>
    <w:rsid w:val="0E544714"/>
    <w:rsid w:val="0F6E6DCA"/>
    <w:rsid w:val="1038370D"/>
    <w:rsid w:val="11113FBB"/>
    <w:rsid w:val="11847E26"/>
    <w:rsid w:val="128D6FC9"/>
    <w:rsid w:val="12AA4220"/>
    <w:rsid w:val="130621D6"/>
    <w:rsid w:val="14956F82"/>
    <w:rsid w:val="15B46E93"/>
    <w:rsid w:val="16781DC0"/>
    <w:rsid w:val="16966095"/>
    <w:rsid w:val="17D636F2"/>
    <w:rsid w:val="181024C7"/>
    <w:rsid w:val="19142E8A"/>
    <w:rsid w:val="19326523"/>
    <w:rsid w:val="19B33F86"/>
    <w:rsid w:val="1B0475C7"/>
    <w:rsid w:val="1BFE208E"/>
    <w:rsid w:val="1EC423EF"/>
    <w:rsid w:val="1F1952B8"/>
    <w:rsid w:val="1F4A203A"/>
    <w:rsid w:val="1F797A75"/>
    <w:rsid w:val="20246EB7"/>
    <w:rsid w:val="20EF13F2"/>
    <w:rsid w:val="21195A7B"/>
    <w:rsid w:val="24636850"/>
    <w:rsid w:val="25BD4FBA"/>
    <w:rsid w:val="26E77F1F"/>
    <w:rsid w:val="27014B58"/>
    <w:rsid w:val="283D4EA2"/>
    <w:rsid w:val="28FC4FC2"/>
    <w:rsid w:val="29D93C94"/>
    <w:rsid w:val="2A24294F"/>
    <w:rsid w:val="2AEA038C"/>
    <w:rsid w:val="2C2039D1"/>
    <w:rsid w:val="2CC85865"/>
    <w:rsid w:val="2D524320"/>
    <w:rsid w:val="2D636E4B"/>
    <w:rsid w:val="2D9D725E"/>
    <w:rsid w:val="2E3102F7"/>
    <w:rsid w:val="2F0B1A2B"/>
    <w:rsid w:val="2F91009E"/>
    <w:rsid w:val="2FA70F5F"/>
    <w:rsid w:val="30064EBB"/>
    <w:rsid w:val="305A71FC"/>
    <w:rsid w:val="30A21C0E"/>
    <w:rsid w:val="30A41BFA"/>
    <w:rsid w:val="30FA5B59"/>
    <w:rsid w:val="33547AE9"/>
    <w:rsid w:val="335D44B3"/>
    <w:rsid w:val="33706554"/>
    <w:rsid w:val="33872E44"/>
    <w:rsid w:val="34992D61"/>
    <w:rsid w:val="349D49F2"/>
    <w:rsid w:val="34A27907"/>
    <w:rsid w:val="35A345D6"/>
    <w:rsid w:val="35B13F50"/>
    <w:rsid w:val="361B3BC8"/>
    <w:rsid w:val="36464839"/>
    <w:rsid w:val="368E7922"/>
    <w:rsid w:val="36C56818"/>
    <w:rsid w:val="37D81858"/>
    <w:rsid w:val="382430ED"/>
    <w:rsid w:val="386541BB"/>
    <w:rsid w:val="38E311D0"/>
    <w:rsid w:val="397C33D1"/>
    <w:rsid w:val="3A650BC2"/>
    <w:rsid w:val="3ADA56FD"/>
    <w:rsid w:val="3C2564BB"/>
    <w:rsid w:val="3CB55655"/>
    <w:rsid w:val="3CE765B6"/>
    <w:rsid w:val="3D0F4EF7"/>
    <w:rsid w:val="3D1A3379"/>
    <w:rsid w:val="40384704"/>
    <w:rsid w:val="407C515C"/>
    <w:rsid w:val="41115509"/>
    <w:rsid w:val="416350D5"/>
    <w:rsid w:val="419E579D"/>
    <w:rsid w:val="42353C0E"/>
    <w:rsid w:val="44211302"/>
    <w:rsid w:val="45341562"/>
    <w:rsid w:val="456D2C09"/>
    <w:rsid w:val="460F6CB1"/>
    <w:rsid w:val="461F14B7"/>
    <w:rsid w:val="46401235"/>
    <w:rsid w:val="47A62996"/>
    <w:rsid w:val="47C65B23"/>
    <w:rsid w:val="47D76018"/>
    <w:rsid w:val="4ABD76AF"/>
    <w:rsid w:val="4BAE1D24"/>
    <w:rsid w:val="4D503A49"/>
    <w:rsid w:val="4E9E548A"/>
    <w:rsid w:val="4EC15F01"/>
    <w:rsid w:val="5065017B"/>
    <w:rsid w:val="51DA48C7"/>
    <w:rsid w:val="51F4258C"/>
    <w:rsid w:val="537519A7"/>
    <w:rsid w:val="54C424AD"/>
    <w:rsid w:val="56B54304"/>
    <w:rsid w:val="56D9693F"/>
    <w:rsid w:val="570C4DB8"/>
    <w:rsid w:val="577C0431"/>
    <w:rsid w:val="58095D77"/>
    <w:rsid w:val="582C6734"/>
    <w:rsid w:val="58382C84"/>
    <w:rsid w:val="5855436C"/>
    <w:rsid w:val="59422D9D"/>
    <w:rsid w:val="594C2AF2"/>
    <w:rsid w:val="597E07FE"/>
    <w:rsid w:val="5B6A7819"/>
    <w:rsid w:val="5CF26B03"/>
    <w:rsid w:val="5D382FE2"/>
    <w:rsid w:val="5DFF27AE"/>
    <w:rsid w:val="5F05129A"/>
    <w:rsid w:val="609F08C9"/>
    <w:rsid w:val="617726B8"/>
    <w:rsid w:val="63CF0E46"/>
    <w:rsid w:val="6438645B"/>
    <w:rsid w:val="649A702E"/>
    <w:rsid w:val="64AA2E57"/>
    <w:rsid w:val="66580254"/>
    <w:rsid w:val="66A65B44"/>
    <w:rsid w:val="671F5254"/>
    <w:rsid w:val="6A60430A"/>
    <w:rsid w:val="6A6778B9"/>
    <w:rsid w:val="6D195954"/>
    <w:rsid w:val="6DDB3DD5"/>
    <w:rsid w:val="6E117BFF"/>
    <w:rsid w:val="712A301A"/>
    <w:rsid w:val="71B42373"/>
    <w:rsid w:val="71EE0BEB"/>
    <w:rsid w:val="75D71DAA"/>
    <w:rsid w:val="763909C9"/>
    <w:rsid w:val="769D1711"/>
    <w:rsid w:val="76EB573A"/>
    <w:rsid w:val="79C03BDA"/>
    <w:rsid w:val="7BC91B06"/>
    <w:rsid w:val="7BE76E11"/>
    <w:rsid w:val="7BFB6435"/>
    <w:rsid w:val="7C9372E6"/>
    <w:rsid w:val="7CE0649A"/>
    <w:rsid w:val="7D071797"/>
    <w:rsid w:val="7F3A2B59"/>
    <w:rsid w:val="7FCA5101"/>
    <w:rsid w:val="7FCE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0" w:name="toc 4"/>
    <w:lsdException w:qFormat="1" w:unhideWhenUsed="0" w:uiPriority="9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autoSpaceDE w:val="0"/>
      <w:autoSpaceDN w:val="0"/>
      <w:adjustRightInd w:val="0"/>
      <w:snapToGrid w:val="0"/>
      <w:spacing w:line="360" w:lineRule="auto"/>
      <w:jc w:val="left"/>
      <w:outlineLvl w:val="1"/>
    </w:pPr>
    <w:rPr>
      <w:rFonts w:ascii="仿宋_GB2312" w:eastAsia="仿宋_GB2312" w:cs="MingLiU"/>
      <w:b/>
      <w:spacing w:val="1"/>
      <w:w w:val="99"/>
      <w:sz w:val="28"/>
      <w:szCs w:val="32"/>
    </w:rPr>
  </w:style>
  <w:style w:type="paragraph" w:styleId="6">
    <w:name w:val="heading 3"/>
    <w:basedOn w:val="1"/>
    <w:next w:val="1"/>
    <w:qFormat/>
    <w:uiPriority w:val="0"/>
    <w:pPr>
      <w:autoSpaceDE w:val="0"/>
      <w:autoSpaceDN w:val="0"/>
      <w:adjustRightInd w:val="0"/>
      <w:spacing w:before="16"/>
      <w:jc w:val="left"/>
      <w:outlineLvl w:val="2"/>
    </w:pPr>
    <w:rPr>
      <w:rFonts w:ascii="仿宋_GB2312" w:eastAsia="仿宋_GB2312" w:cs="MingLiU"/>
      <w:b/>
      <w:sz w:val="24"/>
      <w:szCs w:val="28"/>
    </w:rPr>
  </w:style>
  <w:style w:type="paragraph" w:styleId="7">
    <w:name w:val="heading 4"/>
    <w:basedOn w:val="1"/>
    <w:next w:val="1"/>
    <w:qFormat/>
    <w:uiPriority w:val="0"/>
    <w:pPr>
      <w:keepNext/>
      <w:keepLines/>
      <w:numPr>
        <w:ilvl w:val="0"/>
        <w:numId w:val="1"/>
      </w:numPr>
      <w:tabs>
        <w:tab w:val="left" w:pos="720"/>
        <w:tab w:val="clear" w:pos="1000"/>
      </w:tabs>
      <w:spacing w:line="560" w:lineRule="exact"/>
      <w:ind w:left="0" w:firstLine="0"/>
      <w:outlineLvl w:val="3"/>
    </w:pPr>
    <w:rPr>
      <w:rFonts w:ascii="Arial" w:hAnsi="Arial"/>
      <w:b/>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spacing w:after="60" w:line="360" w:lineRule="atLeast"/>
      <w:ind w:left="72" w:leftChars="30" w:right="30" w:rightChars="30"/>
      <w:jc w:val="center"/>
      <w:textAlignment w:val="baseline"/>
    </w:pPr>
    <w:rPr>
      <w:rFonts w:cs="黑体"/>
    </w:rPr>
  </w:style>
  <w:style w:type="paragraph" w:styleId="3">
    <w:name w:val="toc 5"/>
    <w:basedOn w:val="1"/>
    <w:next w:val="1"/>
    <w:qFormat/>
    <w:uiPriority w:val="99"/>
    <w:pPr>
      <w:ind w:left="1680" w:leftChars="800"/>
    </w:pPr>
  </w:style>
  <w:style w:type="paragraph" w:styleId="8">
    <w:name w:val="annotation text"/>
    <w:basedOn w:val="1"/>
    <w:link w:val="33"/>
    <w:semiHidden/>
    <w:unhideWhenUsed/>
    <w:qFormat/>
    <w:uiPriority w:val="0"/>
    <w:pPr>
      <w:jc w:val="left"/>
    </w:pPr>
  </w:style>
  <w:style w:type="paragraph" w:styleId="9">
    <w:name w:val="Body Text Indent"/>
    <w:basedOn w:val="1"/>
    <w:qFormat/>
    <w:uiPriority w:val="0"/>
    <w:pPr>
      <w:spacing w:line="700" w:lineRule="exact"/>
      <w:ind w:left="960"/>
    </w:pPr>
    <w:rPr>
      <w:sz w:val="44"/>
    </w:rPr>
  </w:style>
  <w:style w:type="paragraph" w:styleId="10">
    <w:name w:val="toc 3"/>
    <w:basedOn w:val="1"/>
    <w:next w:val="1"/>
    <w:unhideWhenUsed/>
    <w:qFormat/>
    <w:uiPriority w:val="39"/>
    <w:pPr>
      <w:ind w:left="840" w:leftChars="400"/>
    </w:pPr>
  </w:style>
  <w:style w:type="paragraph" w:styleId="11">
    <w:name w:val="Plain Text"/>
    <w:basedOn w:val="1"/>
    <w:next w:val="1"/>
    <w:link w:val="48"/>
    <w:qFormat/>
    <w:uiPriority w:val="0"/>
    <w:rPr>
      <w:rFonts w:ascii="宋体" w:hAnsi="Courier New"/>
      <w:szCs w:val="20"/>
    </w:rPr>
  </w:style>
  <w:style w:type="paragraph" w:styleId="12">
    <w:name w:val="Date"/>
    <w:basedOn w:val="1"/>
    <w:next w:val="1"/>
    <w:link w:val="35"/>
    <w:semiHidden/>
    <w:unhideWhenUsed/>
    <w:qFormat/>
    <w:uiPriority w:val="0"/>
    <w:pPr>
      <w:ind w:left="100" w:leftChars="2500"/>
    </w:pPr>
  </w:style>
  <w:style w:type="paragraph" w:styleId="13">
    <w:name w:val="Body Text Indent 2"/>
    <w:basedOn w:val="1"/>
    <w:link w:val="37"/>
    <w:unhideWhenUsed/>
    <w:qFormat/>
    <w:uiPriority w:val="0"/>
    <w:pPr>
      <w:spacing w:after="120" w:line="480" w:lineRule="auto"/>
      <w:ind w:left="420" w:leftChars="200"/>
    </w:pPr>
  </w:style>
  <w:style w:type="paragraph" w:styleId="14">
    <w:name w:val="Balloon Text"/>
    <w:basedOn w:val="1"/>
    <w:link w:val="32"/>
    <w:qFormat/>
    <w:uiPriority w:val="0"/>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2"/>
    <w:basedOn w:val="1"/>
    <w:next w:val="1"/>
    <w:unhideWhenUsed/>
    <w:qFormat/>
    <w:uiPriority w:val="39"/>
    <w:pPr>
      <w:ind w:left="420" w:leftChars="200"/>
    </w:pPr>
  </w:style>
  <w:style w:type="paragraph" w:styleId="19">
    <w:name w:val="Normal (Web)"/>
    <w:basedOn w:val="1"/>
    <w:qFormat/>
    <w:uiPriority w:val="99"/>
    <w:pPr>
      <w:spacing w:before="100" w:beforeAutospacing="1" w:after="100" w:afterAutospacing="1"/>
      <w:jc w:val="left"/>
    </w:pPr>
    <w:rPr>
      <w:rFonts w:ascii="Calibri" w:hAnsi="Calibri"/>
      <w:kern w:val="0"/>
      <w:sz w:val="24"/>
    </w:rPr>
  </w:style>
  <w:style w:type="paragraph" w:styleId="20">
    <w:name w:val="Title"/>
    <w:basedOn w:val="1"/>
    <w:next w:val="1"/>
    <w:link w:val="52"/>
    <w:qFormat/>
    <w:uiPriority w:val="0"/>
    <w:pPr>
      <w:spacing w:before="240" w:after="60"/>
      <w:jc w:val="center"/>
      <w:outlineLvl w:val="0"/>
    </w:pPr>
    <w:rPr>
      <w:rFonts w:asciiTheme="majorHAnsi" w:hAnsiTheme="majorHAnsi" w:cstheme="majorBidi"/>
      <w:b/>
      <w:bCs/>
      <w:sz w:val="32"/>
      <w:szCs w:val="32"/>
    </w:rPr>
  </w:style>
  <w:style w:type="paragraph" w:styleId="21">
    <w:name w:val="annotation subject"/>
    <w:basedOn w:val="8"/>
    <w:next w:val="8"/>
    <w:link w:val="34"/>
    <w:semiHidden/>
    <w:unhideWhenUsed/>
    <w:qFormat/>
    <w:uiPriority w:val="0"/>
    <w:rPr>
      <w:b/>
      <w:bCs/>
    </w:rPr>
  </w:style>
  <w:style w:type="paragraph" w:styleId="22">
    <w:name w:val="Body Text First Indent 2"/>
    <w:basedOn w:val="9"/>
    <w:qFormat/>
    <w:uiPriority w:val="0"/>
    <w:pPr>
      <w:spacing w:line="240" w:lineRule="auto"/>
      <w:ind w:left="420" w:leftChars="200" w:firstLine="420" w:firstLineChars="2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basedOn w:val="25"/>
    <w:unhideWhenUsed/>
    <w:qFormat/>
    <w:uiPriority w:val="99"/>
    <w:rPr>
      <w:color w:val="0563C1" w:themeColor="hyperlink"/>
      <w:u w:val="single"/>
    </w:rPr>
  </w:style>
  <w:style w:type="character" w:styleId="28">
    <w:name w:val="annotation reference"/>
    <w:basedOn w:val="25"/>
    <w:semiHidden/>
    <w:unhideWhenUsed/>
    <w:qFormat/>
    <w:uiPriority w:val="0"/>
    <w:rPr>
      <w:sz w:val="21"/>
      <w:szCs w:val="21"/>
    </w:rPr>
  </w:style>
  <w:style w:type="paragraph" w:customStyle="1" w:styleId="29">
    <w:name w:val="无间隔1"/>
    <w:basedOn w:val="1"/>
    <w:qFormat/>
    <w:uiPriority w:val="1"/>
    <w:pPr>
      <w:spacing w:line="400" w:lineRule="exact"/>
    </w:pPr>
    <w:rPr>
      <w:sz w:val="24"/>
    </w:rPr>
  </w:style>
  <w:style w:type="paragraph" w:customStyle="1" w:styleId="30">
    <w:name w:val="p0"/>
    <w:basedOn w:val="1"/>
    <w:qFormat/>
    <w:uiPriority w:val="0"/>
    <w:pPr>
      <w:widowControl/>
    </w:pPr>
    <w:rPr>
      <w:kern w:val="0"/>
      <w:szCs w:val="21"/>
    </w:rPr>
  </w:style>
  <w:style w:type="paragraph" w:customStyle="1" w:styleId="31">
    <w:name w:val="Table Paragraph"/>
    <w:basedOn w:val="1"/>
    <w:qFormat/>
    <w:uiPriority w:val="1"/>
  </w:style>
  <w:style w:type="character" w:customStyle="1" w:styleId="32">
    <w:name w:val="批注框文本 Char"/>
    <w:basedOn w:val="25"/>
    <w:link w:val="14"/>
    <w:qFormat/>
    <w:uiPriority w:val="0"/>
    <w:rPr>
      <w:kern w:val="2"/>
      <w:sz w:val="18"/>
      <w:szCs w:val="18"/>
    </w:rPr>
  </w:style>
  <w:style w:type="character" w:customStyle="1" w:styleId="33">
    <w:name w:val="批注文字 Char"/>
    <w:basedOn w:val="25"/>
    <w:link w:val="8"/>
    <w:semiHidden/>
    <w:qFormat/>
    <w:uiPriority w:val="0"/>
    <w:rPr>
      <w:kern w:val="2"/>
      <w:sz w:val="21"/>
      <w:szCs w:val="24"/>
    </w:rPr>
  </w:style>
  <w:style w:type="character" w:customStyle="1" w:styleId="34">
    <w:name w:val="批注主题 Char"/>
    <w:basedOn w:val="33"/>
    <w:link w:val="21"/>
    <w:semiHidden/>
    <w:qFormat/>
    <w:uiPriority w:val="0"/>
    <w:rPr>
      <w:b/>
      <w:bCs/>
      <w:kern w:val="2"/>
      <w:sz w:val="21"/>
      <w:szCs w:val="24"/>
    </w:rPr>
  </w:style>
  <w:style w:type="character" w:customStyle="1" w:styleId="35">
    <w:name w:val="日期 Char"/>
    <w:basedOn w:val="25"/>
    <w:link w:val="12"/>
    <w:semiHidden/>
    <w:qFormat/>
    <w:uiPriority w:val="0"/>
    <w:rPr>
      <w:kern w:val="2"/>
      <w:sz w:val="21"/>
      <w:szCs w:val="24"/>
    </w:rPr>
  </w:style>
  <w:style w:type="paragraph" w:customStyle="1" w:styleId="3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7">
    <w:name w:val="正文文本缩进 2 Char"/>
    <w:basedOn w:val="25"/>
    <w:link w:val="13"/>
    <w:qFormat/>
    <w:uiPriority w:val="0"/>
    <w:rPr>
      <w:kern w:val="2"/>
      <w:sz w:val="21"/>
      <w:szCs w:val="24"/>
    </w:rPr>
  </w:style>
  <w:style w:type="character" w:customStyle="1" w:styleId="38">
    <w:name w:val="可选 Char"/>
    <w:link w:val="39"/>
    <w:qFormat/>
    <w:uiPriority w:val="0"/>
    <w:rPr>
      <w:rFonts w:eastAsia="仿宋_GB2312"/>
      <w:color w:val="00B0F0"/>
      <w:kern w:val="2"/>
      <w:sz w:val="24"/>
    </w:rPr>
  </w:style>
  <w:style w:type="paragraph" w:customStyle="1" w:styleId="39">
    <w:name w:val="可选"/>
    <w:basedOn w:val="1"/>
    <w:link w:val="38"/>
    <w:qFormat/>
    <w:uiPriority w:val="0"/>
    <w:pPr>
      <w:spacing w:line="400" w:lineRule="exact"/>
      <w:ind w:firstLine="480" w:firstLineChars="200"/>
      <w:jc w:val="left"/>
    </w:pPr>
    <w:rPr>
      <w:rFonts w:eastAsia="仿宋_GB2312"/>
      <w:color w:val="00B0F0"/>
      <w:sz w:val="24"/>
      <w:szCs w:val="20"/>
    </w:rPr>
  </w:style>
  <w:style w:type="character" w:customStyle="1" w:styleId="40">
    <w:name w:val="页脚 Char"/>
    <w:link w:val="15"/>
    <w:qFormat/>
    <w:uiPriority w:val="99"/>
    <w:rPr>
      <w:kern w:val="2"/>
      <w:sz w:val="18"/>
      <w:szCs w:val="18"/>
    </w:rPr>
  </w:style>
  <w:style w:type="paragraph" w:customStyle="1" w:styleId="41">
    <w:name w:val="公文一级标题"/>
    <w:basedOn w:val="42"/>
    <w:qFormat/>
    <w:uiPriority w:val="0"/>
    <w:rPr>
      <w:rFonts w:eastAsia="黑体"/>
      <w:szCs w:val="32"/>
    </w:rPr>
  </w:style>
  <w:style w:type="paragraph" w:customStyle="1" w:styleId="42">
    <w:name w:val="公文正文"/>
    <w:basedOn w:val="1"/>
    <w:qFormat/>
    <w:uiPriority w:val="0"/>
    <w:pPr>
      <w:widowControl/>
      <w:spacing w:line="300" w:lineRule="auto"/>
      <w:ind w:left="240" w:leftChars="100" w:firstLine="640" w:firstLineChars="200"/>
    </w:pPr>
    <w:rPr>
      <w:rFonts w:eastAsia="仿宋_GB2312"/>
      <w:kern w:val="0"/>
      <w:sz w:val="32"/>
      <w:lang w:eastAsia="en-US" w:bidi="en-US"/>
    </w:rPr>
  </w:style>
  <w:style w:type="paragraph" w:customStyle="1" w:styleId="43">
    <w:name w:val="合同标题"/>
    <w:basedOn w:val="1"/>
    <w:qFormat/>
    <w:uiPriority w:val="0"/>
    <w:pPr>
      <w:widowControl/>
      <w:spacing w:line="480" w:lineRule="auto"/>
      <w:jc w:val="center"/>
    </w:pPr>
    <w:rPr>
      <w:b/>
      <w:kern w:val="0"/>
      <w:sz w:val="52"/>
      <w:lang w:eastAsia="en-US" w:bidi="en-US"/>
    </w:rPr>
  </w:style>
  <w:style w:type="paragraph" w:customStyle="1" w:styleId="44">
    <w:name w:val="共同条款"/>
    <w:basedOn w:val="1"/>
    <w:qFormat/>
    <w:uiPriority w:val="0"/>
    <w:pPr>
      <w:widowControl/>
      <w:spacing w:line="360" w:lineRule="auto"/>
    </w:pPr>
    <w:rPr>
      <w:rFonts w:ascii="黑体" w:hAnsi="华文中宋" w:eastAsia="黑体"/>
      <w:kern w:val="0"/>
      <w:sz w:val="32"/>
      <w:szCs w:val="32"/>
      <w:lang w:bidi="en-US"/>
    </w:rPr>
  </w:style>
  <w:style w:type="paragraph" w:customStyle="1" w:styleId="45">
    <w:name w:val="合同制发"/>
    <w:basedOn w:val="1"/>
    <w:qFormat/>
    <w:uiPriority w:val="0"/>
    <w:pPr>
      <w:widowControl/>
      <w:spacing w:line="480" w:lineRule="auto"/>
      <w:jc w:val="center"/>
    </w:pPr>
    <w:rPr>
      <w:b/>
      <w:kern w:val="0"/>
      <w:sz w:val="30"/>
      <w:lang w:eastAsia="en-US" w:bidi="en-US"/>
    </w:rPr>
  </w:style>
  <w:style w:type="paragraph" w:customStyle="1" w:styleId="46">
    <w:name w:val="合同要件"/>
    <w:basedOn w:val="1"/>
    <w:qFormat/>
    <w:uiPriority w:val="0"/>
    <w:pPr>
      <w:widowControl/>
      <w:adjustRightInd w:val="0"/>
      <w:snapToGrid w:val="0"/>
      <w:spacing w:line="480" w:lineRule="auto"/>
      <w:ind w:firstLine="200" w:firstLineChars="200"/>
      <w:jc w:val="left"/>
    </w:pPr>
    <w:rPr>
      <w:rFonts w:eastAsia="黑体"/>
      <w:kern w:val="0"/>
      <w:sz w:val="32"/>
      <w:lang w:bidi="en-US"/>
    </w:rPr>
  </w:style>
  <w:style w:type="paragraph" w:customStyle="1" w:styleId="47">
    <w:name w:val="合同编号"/>
    <w:basedOn w:val="1"/>
    <w:qFormat/>
    <w:uiPriority w:val="0"/>
    <w:pPr>
      <w:widowControl/>
      <w:wordWrap w:val="0"/>
      <w:spacing w:line="300" w:lineRule="auto"/>
      <w:ind w:right="960"/>
      <w:jc w:val="right"/>
    </w:pPr>
    <w:rPr>
      <w:rFonts w:ascii="黑体" w:eastAsia="黑体"/>
      <w:kern w:val="0"/>
      <w:sz w:val="32"/>
      <w:szCs w:val="32"/>
      <w:lang w:bidi="en-US"/>
    </w:rPr>
  </w:style>
  <w:style w:type="character" w:customStyle="1" w:styleId="48">
    <w:name w:val="纯文本 Char"/>
    <w:basedOn w:val="25"/>
    <w:link w:val="11"/>
    <w:qFormat/>
    <w:uiPriority w:val="0"/>
    <w:rPr>
      <w:rFonts w:ascii="宋体" w:hAnsi="Courier New"/>
      <w:kern w:val="2"/>
      <w:sz w:val="21"/>
    </w:rPr>
  </w:style>
  <w:style w:type="character" w:customStyle="1" w:styleId="49">
    <w:name w:val="纯文本 Char1"/>
    <w:basedOn w:val="25"/>
    <w:semiHidden/>
    <w:qFormat/>
    <w:uiPriority w:val="0"/>
    <w:rPr>
      <w:rFonts w:ascii="宋体" w:hAnsi="Courier New" w:cs="Courier New"/>
      <w:kern w:val="2"/>
      <w:sz w:val="21"/>
      <w:szCs w:val="21"/>
    </w:rPr>
  </w:style>
  <w:style w:type="character" w:customStyle="1" w:styleId="50">
    <w:name w:val="页眉 Char"/>
    <w:link w:val="16"/>
    <w:qFormat/>
    <w:uiPriority w:val="0"/>
    <w:rPr>
      <w:kern w:val="2"/>
      <w:sz w:val="18"/>
      <w:szCs w:val="18"/>
    </w:rPr>
  </w:style>
  <w:style w:type="paragraph" w:customStyle="1" w:styleId="51">
    <w:name w:val="列出段落2"/>
    <w:basedOn w:val="1"/>
    <w:qFormat/>
    <w:uiPriority w:val="0"/>
    <w:pPr>
      <w:ind w:firstLine="420" w:firstLineChars="200"/>
    </w:pPr>
  </w:style>
  <w:style w:type="character" w:customStyle="1" w:styleId="52">
    <w:name w:val="标题 Char"/>
    <w:basedOn w:val="25"/>
    <w:link w:val="20"/>
    <w:qFormat/>
    <w:uiPriority w:val="0"/>
    <w:rPr>
      <w:rFonts w:asciiTheme="majorHAnsi" w:hAnsiTheme="majorHAnsi" w:cstheme="majorBidi"/>
      <w:b/>
      <w:bCs/>
      <w:kern w:val="2"/>
      <w:sz w:val="32"/>
      <w:szCs w:val="32"/>
    </w:rPr>
  </w:style>
  <w:style w:type="paragraph" w:customStyle="1" w:styleId="53">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5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55">
    <w:name w:val="图例"/>
    <w:basedOn w:val="1"/>
    <w:qFormat/>
    <w:uiPriority w:val="0"/>
    <w:pPr>
      <w:spacing w:line="360" w:lineRule="auto"/>
      <w:jc w:val="center"/>
    </w:pPr>
    <w:rPr>
      <w:rFonts w:eastAsia="仿宋_GB2312"/>
      <w:b/>
      <w:sz w:val="24"/>
    </w:rPr>
  </w:style>
  <w:style w:type="character" w:customStyle="1" w:styleId="56">
    <w:name w:val="font11"/>
    <w:basedOn w:val="25"/>
    <w:qFormat/>
    <w:uiPriority w:val="0"/>
    <w:rPr>
      <w:rFonts w:hint="eastAsia" w:ascii="宋体" w:hAnsi="宋体" w:eastAsia="宋体" w:cs="宋体"/>
      <w:color w:val="000000"/>
      <w:sz w:val="22"/>
      <w:szCs w:val="22"/>
      <w:u w:val="none"/>
    </w:rPr>
  </w:style>
  <w:style w:type="character" w:customStyle="1" w:styleId="57">
    <w:name w:val="font51"/>
    <w:basedOn w:val="25"/>
    <w:qFormat/>
    <w:uiPriority w:val="0"/>
    <w:rPr>
      <w:rFonts w:hint="eastAsia" w:ascii="宋体" w:hAnsi="宋体" w:eastAsia="宋体" w:cs="宋体"/>
      <w:b/>
      <w:bCs/>
      <w:color w:val="000000"/>
      <w:sz w:val="22"/>
      <w:szCs w:val="22"/>
      <w:u w:val="none"/>
    </w:rPr>
  </w:style>
  <w:style w:type="character" w:customStyle="1" w:styleId="58">
    <w:name w:val="font41"/>
    <w:basedOn w:val="25"/>
    <w:qFormat/>
    <w:uiPriority w:val="0"/>
    <w:rPr>
      <w:rFonts w:hint="eastAsia" w:ascii="宋体" w:hAnsi="宋体" w:eastAsia="宋体" w:cs="宋体"/>
      <w:color w:val="000000"/>
      <w:sz w:val="22"/>
      <w:szCs w:val="22"/>
      <w:u w:val="none"/>
    </w:rPr>
  </w:style>
  <w:style w:type="character" w:customStyle="1" w:styleId="59">
    <w:name w:val="font31"/>
    <w:basedOn w:val="25"/>
    <w:qFormat/>
    <w:uiPriority w:val="0"/>
    <w:rPr>
      <w:rFonts w:hint="default" w:ascii="Times New Roman" w:hAnsi="Times New Roman" w:cs="Times New Roman"/>
      <w:color w:val="000000"/>
      <w:sz w:val="22"/>
      <w:szCs w:val="22"/>
      <w:u w:val="none"/>
    </w:rPr>
  </w:style>
  <w:style w:type="paragraph" w:customStyle="1" w:styleId="60">
    <w:name w:val="列出段落1"/>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741E-B765-4953-954C-D8ABE23C948E}">
  <ds:schemaRefs/>
</ds:datastoreItem>
</file>

<file path=docProps/app.xml><?xml version="1.0" encoding="utf-8"?>
<Properties xmlns="http://schemas.openxmlformats.org/officeDocument/2006/extended-properties" xmlns:vt="http://schemas.openxmlformats.org/officeDocument/2006/docPropsVTypes">
  <Template>Normal</Template>
  <Company>L</Company>
  <Pages>18</Pages>
  <Words>7892</Words>
  <Characters>8714</Characters>
  <Lines>70</Lines>
  <Paragraphs>19</Paragraphs>
  <TotalTime>34</TotalTime>
  <ScaleCrop>false</ScaleCrop>
  <LinksUpToDate>false</LinksUpToDate>
  <CharactersWithSpaces>9436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2021-03-29T02:31:00Z</dcterms:created>
  <dc:creator>疯子在左，我在右。</dc:creator>
  <cp:lastModifiedBy>山鹰</cp:lastModifiedBy>
  <cp:lastPrinted>2022-09-26T05:17:00Z</cp:lastPrinted>
  <dcterms:modified xsi:type="dcterms:W3CDTF">2022-09-26T09:08:55Z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0_btnclosed</vt:lpwstr>
  </property>
  <property fmtid="{D5CDD505-2E9C-101B-9397-08002B2CF9AE}" pid="4" name="ICV">
    <vt:lpwstr>B1AA4AD422A74CDF9075C1C977ADC91B</vt:lpwstr>
  </property>
</Properties>
</file>