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eastAsia="方正仿宋_GBK"/>
          <w:bCs/>
          <w:szCs w:val="32"/>
        </w:rPr>
      </w:pPr>
    </w:p>
    <w:p>
      <w:pPr>
        <w:spacing w:line="660" w:lineRule="exact"/>
        <w:jc w:val="center"/>
        <w:rPr>
          <w:rFonts w:eastAsia="方正仿宋_GBK"/>
          <w:bCs/>
          <w:szCs w:val="32"/>
        </w:rPr>
      </w:pPr>
      <w:r>
        <w:pict>
          <v:shape id="_x0000_s1029" o:spid="_x0000_s1029" o:spt="136" type="#_x0000_t136" style="position:absolute;left:0pt;margin-left:92.15pt;margin-top:48.9pt;height:55.1pt;width:421.5pt;mso-position-horizontal-relative:page;mso-position-vertical-relative:margin;z-index:251659264;mso-width-relative:page;mso-height-relative:page;" fillcolor="#FF0000" filled="t" stroked="f" coordsize="21600,21600">
            <v:path/>
            <v:fill on="t" focussize="0,0"/>
            <v:stroke on="f"/>
            <v:imagedata o:title=""/>
            <o:lock v:ext="edit" text="f"/>
            <v:textpath on="t" fitshape="t" fitpath="t" trim="t" xscale="f" string="重庆市奉节县职称改革办公室电子文件" style="font-family:方正小标宋_GBK;font-size:36pt;font-weight:bold;v-text-align:center;"/>
          </v:shape>
        </w:pict>
      </w:r>
    </w:p>
    <w:p>
      <w:pPr>
        <w:spacing w:line="660" w:lineRule="exact"/>
        <w:rPr>
          <w:rFonts w:eastAsia="方正仿宋_GBK"/>
          <w:bCs/>
          <w:szCs w:val="32"/>
        </w:rPr>
      </w:pPr>
    </w:p>
    <w:p>
      <w:pPr>
        <w:jc w:val="center"/>
        <w:rPr>
          <w:szCs w:val="32"/>
        </w:rPr>
      </w:pPr>
    </w:p>
    <w:p>
      <w:pPr>
        <w:rPr>
          <w:rFonts w:eastAsia="方正仿宋_GBK"/>
          <w:szCs w:val="32"/>
        </w:rPr>
      </w:pPr>
    </w:p>
    <w:p>
      <w:pPr>
        <w:jc w:val="center"/>
        <w:rPr>
          <w:rFonts w:eastAsia="方正仿宋_GBK"/>
          <w:szCs w:val="32"/>
        </w:rPr>
      </w:pPr>
      <w:r>
        <w:rPr>
          <w:sz w:val="28"/>
          <w:szCs w:val="28"/>
        </w:rPr>
        <w:pict>
          <v:line id="直接连接符 5" o:spid="_x0000_s1026" o:spt="20" style="position:absolute;left:0pt;flip:y;margin-left:0.55pt;margin-top:28.2pt;height:0.05pt;width:440.6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">
            <v:path arrowok="t"/>
            <v:fill focussize="0,0"/>
            <v:stroke weight="1.75pt" color="#FF0000"/>
            <v:imagedata o:title=""/>
            <o:lock v:ext="edit"/>
          </v:line>
        </w:pict>
      </w:r>
      <w:r>
        <w:rPr>
          <w:rFonts w:eastAsia="方正仿宋_GBK"/>
          <w:szCs w:val="32"/>
        </w:rPr>
        <w:t>奉节职办通〔2024〕59号</w:t>
      </w:r>
    </w:p>
    <w:p>
      <w:pPr>
        <w:keepNext w:val="0"/>
        <w:keepLines w:val="0"/>
        <w:pageBreakBefore w:val="0"/>
        <w:kinsoku/>
        <w:wordWrap/>
        <w:overflowPunct/>
        <w:topLinePunct w:val="0"/>
        <w:autoSpaceDE/>
        <w:autoSpaceDN/>
        <w:bidi w:val="0"/>
        <w:adjustRightInd/>
        <w:snapToGrid/>
        <w:spacing w:line="600" w:lineRule="exact"/>
        <w:textAlignment w:val="auto"/>
        <w:rPr>
          <w:rFonts w:eastAsia="方正仿宋_GBK"/>
          <w:szCs w:val="32"/>
        </w:rPr>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color w:val="000000"/>
          <w:kern w:val="0"/>
          <w:sz w:val="44"/>
          <w:szCs w:val="44"/>
        </w:rPr>
      </w:pPr>
      <w:r>
        <w:rPr>
          <w:rFonts w:eastAsia="方正小标宋_GBK"/>
          <w:color w:val="000000"/>
          <w:kern w:val="0"/>
          <w:sz w:val="44"/>
          <w:szCs w:val="44"/>
        </w:rPr>
        <w:t>重庆市奉节县职称改革办公室</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color w:val="000000"/>
          <w:kern w:val="0"/>
          <w:sz w:val="44"/>
          <w:szCs w:val="44"/>
        </w:rPr>
      </w:pPr>
      <w:r>
        <w:rPr>
          <w:rFonts w:eastAsia="方正小标宋_GBK"/>
          <w:color w:val="000000"/>
          <w:kern w:val="0"/>
          <w:sz w:val="44"/>
          <w:szCs w:val="44"/>
        </w:rPr>
        <w:t>关于组织开展2024年全县职称申报评审工作的</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color w:val="000000"/>
          <w:kern w:val="0"/>
          <w:sz w:val="44"/>
          <w:szCs w:val="44"/>
        </w:rPr>
      </w:pPr>
      <w:r>
        <w:rPr>
          <w:rFonts w:eastAsia="方正小标宋_GBK"/>
          <w:color w:val="000000"/>
          <w:kern w:val="0"/>
          <w:sz w:val="44"/>
          <w:szCs w:val="44"/>
        </w:rPr>
        <w:t>通  知</w:t>
      </w:r>
    </w:p>
    <w:p>
      <w:pPr>
        <w:keepNext w:val="0"/>
        <w:keepLines w:val="0"/>
        <w:pageBreakBefore w:val="0"/>
        <w:widowControl/>
        <w:kinsoku/>
        <w:overflowPunct/>
        <w:topLinePunct w:val="0"/>
        <w:autoSpaceDE/>
        <w:autoSpaceDN/>
        <w:bidi w:val="0"/>
        <w:adjustRightInd/>
        <w:spacing w:line="600" w:lineRule="exact"/>
        <w:jc w:val="center"/>
        <w:textAlignment w:val="auto"/>
        <w:rPr>
          <w:rFonts w:eastAsia="方正大标宋简体"/>
          <w:color w:val="000000"/>
          <w:kern w:val="0"/>
          <w:sz w:val="44"/>
          <w:szCs w:val="44"/>
        </w:rPr>
      </w:pPr>
    </w:p>
    <w:p>
      <w:pPr>
        <w:keepNext w:val="0"/>
        <w:keepLines w:val="0"/>
        <w:pageBreakBefore w:val="0"/>
        <w:kinsoku/>
        <w:overflowPunct/>
        <w:topLinePunct w:val="0"/>
        <w:autoSpaceDE/>
        <w:autoSpaceDN/>
        <w:bidi w:val="0"/>
        <w:adjustRightInd/>
        <w:spacing w:line="600" w:lineRule="exact"/>
        <w:textAlignment w:val="auto"/>
        <w:rPr>
          <w:rFonts w:eastAsia="方正仿宋_GBK"/>
          <w:szCs w:val="32"/>
        </w:rPr>
      </w:pPr>
      <w:r>
        <w:rPr>
          <w:rFonts w:eastAsia="方正仿宋_GBK"/>
          <w:szCs w:val="32"/>
        </w:rPr>
        <w:t>各乡镇人民政府、街道办事处，县级各部门，各企事业单位：</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为贯彻落实市委办公厅、市政府办公厅印发的《重庆市深化职称制度改革的实施意见》精神，根据《重庆市职称评审管理办法》（渝人社发〔2021〕25号）等文件规定，按照市职改办《关于印发&lt;重庆市2024年职称申报评审工作方案&gt;的通知》</w:t>
      </w:r>
      <w:bookmarkStart w:id="0" w:name="文种"/>
      <w:r>
        <w:rPr>
          <w:rFonts w:eastAsia="方正仿宋_GBK"/>
          <w:szCs w:val="32"/>
        </w:rPr>
        <w:t>（渝职改办</w:t>
      </w:r>
      <w:bookmarkEnd w:id="0"/>
      <w:r>
        <w:rPr>
          <w:rFonts w:eastAsia="方正仿宋_GBK"/>
          <w:szCs w:val="32"/>
        </w:rPr>
        <w:t>〔2024〕207号）文件要求和部署，现就组织开展2024年全县职称申报评审工作有关事项通知如下：</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黑体_GBK"/>
          <w:szCs w:val="32"/>
        </w:rPr>
      </w:pPr>
      <w:r>
        <w:rPr>
          <w:rFonts w:eastAsia="方正黑体_GBK"/>
          <w:szCs w:val="32"/>
        </w:rPr>
        <w:t>一、申报范围</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(一)我县各事业单位及国有企业在职在岗且从事专业技术工作的人员，以及自由职业者、转业择业军转干部。</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(二)人事档案存放于奉节县人力资源档案管理服务中心且从事专业技术工作的人员。</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(三)人事档案存放于重庆市外，工作单位参保地在奉节县且从事专业技术工作的人员。</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(四)公务员（含参公管理事业人员）、离退休人员（从审批机关审批的退休时间起计算），以及处于职称申报评审影响期内的人员，不得申报参加职称评审。</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黑体_GBK"/>
          <w:szCs w:val="32"/>
        </w:rPr>
      </w:pPr>
      <w:r>
        <w:rPr>
          <w:rFonts w:eastAsia="方正黑体_GBK"/>
          <w:szCs w:val="32"/>
        </w:rPr>
        <w:t>二、时间安排</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高级职称申报评审按《 2024年重庆市高级职称申报评审工作计划》（附件1，具体时间以申报系统设定时间为准）组织开展，附件1中所列时间为高评委收取材料的时间，各单位须在各高评委收取申报材料结束前7日内向县职改办提出申请。</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奉节县工程技术中级职务评审委员会受理的范围为县内事业单位和国有企业从事工程技术工作的中初级职称申报人员，评审的专业有：建筑、路桥、市政、工程管理、电子、机电、环境、水电、测绘专业。网上申报时间为2024年10月8日到10月28日，审核时间为2024年10月29日到11月7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重庆市工程技术中级职务奉节县非公企业评审委员会受理的范围为非公有制企业从事工程技术工作的中初级职称申报人员，评审的专业有道路和桥梁、环境保护、建筑、市政、水利水电、概预算、工程管理专业。网上申报时间为2024年10月8日到10月28日，审核时间为2024年10月29日到11月7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申报评审其他系列及工程技术其他专业中初级职称的人员，可选择相应专业的高级评审委员会或其他区县中初级评审委员会进行申报评审。申报时间以选择的评审委员会发布的审核时间为准。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中小学教师（含幼儿园）系列中、初级职称申报评审工作日程安排另行通知。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文化系列、中职教师及技工院校教师中、初级职称申报评审时间请关注万州区评委会发布的通知。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黑体_GBK"/>
          <w:szCs w:val="32"/>
        </w:rPr>
      </w:pPr>
      <w:r>
        <w:rPr>
          <w:rFonts w:eastAsia="方正黑体_GBK"/>
          <w:szCs w:val="32"/>
        </w:rPr>
        <w:t>三、申报条件</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（一）符合我市现行各系列（专业）职称申报条件，参见《重庆市职称申报标准条件索引》（https://rlsbj.cq.gov.cn/ywzl/zjrc/zchzyzg/202307/t20230726_12187351.html）有关要求。</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（二）根据渝人社发〔2017〕67号规定，职称外语、计算机考试不作统一要求，由用人单位根据本单位规定执行。</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（三）对于全面实行岗位管理、专业技术人才学术技术水平与岗位职责密切相关的事业单位，一般应在岗位结构比例内开展职称申报评审。</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四）以下情形不得申报：事业单位工作人员受到记过及以上处分，在受处分期间的；专业技术人才受到政务（党纪）处分，在处分影响期内的；其他规定不得晋升职称（职务、职级）期间的。接受组织调查或在立案调查期间，暂缓申报参加职称评审。</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五）根据《重庆市职称改革办公室关于建立专业技术人员职业资格与职称对应关系的通知》（渝职改办〔2019〕140号）有关规定，专业技术人员取得文件所列对应职业资格，可凭职业资格证书（无需换发职称证书）按规定申报相应系列（专业）高一级职称。</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六）高技能人才申报职称，按照《关于在工程技术领域实现高技能人才与工程技术人才职业发展贯通的实施意见》（渝人社发〔2020〕32号）、《进一步加强高技能人才与专业技术人才职业发展贯通的实施方案》（渝人社发〔2021〕55号）执行。其中，企业到院校兼职的高技能人才申报教师（实验、教育研究）系列职称，学历、技能等级、取得技能等级后从事技术技能工作年限及可申报评审的职称级别，按照渝人社发〔2021〕55号执行，其他业绩条件按照《重庆市院校教师与企业工程师（技师）“双师”职称评定办法》（渝人社发〔2017〕74号）执行。</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七）省（自治区、直辖市）级及以上党委、政府（含党委、政府组成部门）选派全职援外、援藏、援疆、援青1年及以上的专业技术人员，学历、资历符合选派管理规定有关职称晋升政策的，仍可通过正常通道申报参加职称评审，申报材料报相应序列或专业评委会受理。按照《关于援藏干部管理的若干意见（暂行）》及有关文件精神，援藏期间年度考核为合格及以上，符合职称申报条件的，按规定免职称外语、计算机考试，减免继</w:t>
      </w:r>
      <w:bookmarkStart w:id="4" w:name="_GoBack"/>
      <w:bookmarkEnd w:id="4"/>
      <w:r>
        <w:rPr>
          <w:rFonts w:eastAsia="方正仿宋_GBK"/>
          <w:szCs w:val="32"/>
        </w:rPr>
        <w:t>续教育规定学时（学分），视同完成相应年度的基本工作量和相应时长的基层工作经历，在藏期间业务工作总结和有关技术报告可作为职称申报论文对待。除国家“以考代评”、“考评结合”、重庆市无评审权限以及国家和重庆市实施评审指标总量控制的序列和专业外，申报副高级职称的，可提前2年，学历放宽到大专；申报正高级职称的，可提前1年。</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八）根据《关于进一步加强扶贫干部队伍建设的通知》、《推进全市乡村人才振兴若干措施》（渝人社发〔2019〕44号）精神，对全职参与脱贫攻坚1年及以上的企事业单位专业技术人才，市和区县属单位选派到农村乡镇全职工作1年及以上的乡村振兴专业技术人才，选派期间年度考核为称职以上的，职称评审对外语、计算机、论文和继续教育可不作要求，可提前1年申报高一级职称。</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九）根据《人力资源社会保障部办公厅关于做好新冠肺炎疫情防控一线专业技术人员职称工作的通知》（人社厅发〔2020〕23号）精神，新冠肺炎疫情防控一线专业技术人员疫情防控经历视同1年基层工作经历，视同完成当年继续教育学时学分，评审高一级职称，可提前1年，对职称外语、计算机应用能力不作要求，对论文不作硬性要求，免于参加地方组织的考评结合专业考试，且不受所在单位专业技术岗位结构比例限制（无论是否通过评审，各渠道累计仅限享受一次），同等条件下优先推荐申报，评审时同等条件下优先向一线人员倾斜，疫情防控中的业绩贡献列入职称评审加分项。</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疫情防控一线专业技术人员是指在新冠肺炎疫情防控一线工作的卫生专业技术人员，以及参加新型检测试剂、抗体药物、疫苗、诊疗方案、病毒病原学和流行病学研究等疫情防控科研攻关一线人员等，具体范围按照《国务院应对新型冠状病毒感染肺炎疫情联防联控机制关于聚焦一线贯彻落实保护关心爱护医务人员措施的通知》（国发明电〔2020〕10号）一线医务人员领取临时性工作补助范围确定（名单以当地卫生、人社、财政三部门联合认定备案为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黑体_GBK"/>
          <w:szCs w:val="32"/>
        </w:rPr>
      </w:pPr>
      <w:r>
        <w:rPr>
          <w:rFonts w:eastAsia="方正黑体_GBK"/>
          <w:szCs w:val="32"/>
        </w:rPr>
        <w:t>四、有关程序</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按照人才工作数字化变革要求，全市统一打造了“渝才荟”人才一体化服务平台。职称申报评审作为人才评价服务，已迭代升级统一纳入“渝才荟”应用平台，实现职称申报、审核、评审、查询、领证等全链条闭环办理。全市高、中、初级职称评委会均须通过“渝才荟”职称申报评审服务登录重庆市专业技术人员服务平台（以下简称服务平台）实行网上申报评审（市职改办下放自主评审权的高校除外），线下评审的结果不予认可。个人及单位登录方式：1.通过重庆政务服务网（重庆市网上办事大厅），进入重庆市“渝才荟”服务专区，点击“职称评审”登录（网址：https://ggfw.rlsbj.cq.gov.cn/rc/rctp/ych-pc/#/index）；2.通过全市统一平台网报端口（网址：http://ggfw.rlsbj.cq.gov.cn/cqzyjsrcw/positional-portal-web/public/cert/toUserPage）直接登录；3.通过重庆市人力资源和社会保障局官网，专技人才专栏，点击“业务办理”登录。用户注册操作手册见网址：http://rlsbj.cq.gov.cn/ywzl/zjrc/sy/tzgg_110153/202010/t20201021_8077033.html；常见操作问题解答见网址：https://rlsbj.cq.gov.cn/ywzl/zjrc/sy/fwzn/202110/t20211028_9899030.html，个人用户申报操作手册登录平台后可查看。</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(一)申报程序</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按照职称管理权限逐级上报，基本程序如下：</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1﹒县事业单位人员：单位空岗审核——个人注册申报——单位审核——单位主管部门审核——县人力社保（职改办）审核——对应的评委会。</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2﹒国有企业人员：个人注册申报——单位审核——单位主管部门审核——县人力社保（职改办）审核——对应的评委会。</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3﹒非公单位人员、流动人员、自主择业军转干部：（1）档案在我县公共就业和人才服务机构的。个人注册申报——单位审核——县就业和人才中心——</w:t>
      </w:r>
      <w:bookmarkStart w:id="1" w:name="OLE_LINK1"/>
      <w:r>
        <w:rPr>
          <w:rFonts w:eastAsia="方正仿宋_GBK"/>
          <w:szCs w:val="32"/>
        </w:rPr>
        <w:t>县人力社保（职改）部门——对应的评委会。（2</w:t>
      </w:r>
      <w:bookmarkEnd w:id="1"/>
      <w:r>
        <w:rPr>
          <w:rFonts w:eastAsia="方正仿宋_GBK"/>
          <w:szCs w:val="32"/>
        </w:rPr>
        <w:t>）档案在外省但工作单位在我县的。个人</w:t>
      </w:r>
      <w:bookmarkStart w:id="2" w:name="OLE_LINK2"/>
      <w:r>
        <w:rPr>
          <w:rFonts w:eastAsia="方正仿宋_GBK"/>
          <w:szCs w:val="32"/>
        </w:rPr>
        <w:t>（持外省查档记录）</w:t>
      </w:r>
      <w:bookmarkEnd w:id="2"/>
      <w:r>
        <w:rPr>
          <w:rFonts w:eastAsia="方正仿宋_GBK"/>
          <w:szCs w:val="32"/>
        </w:rPr>
        <w:t>——所在单位（与参保单位一致）——县人力社保（职改）部门——对应的评委会。</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按照市人力社保局《关于做好我市流动人员职称申报评审工作有关事项的通知》（渝人社发〔2017〕235号）有关规定，其中，工作单位、档案存放均在重庆的，须有1年以上社保缴费记录（市内外可连续计算）；工作单位在重庆、档案在异地的，须在重庆工作1年以上（以社保参保记录为准）；工作单位在异地、档案在重庆的，须在重庆存档1年以上（以存档记录为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申报人的单位必须与社保缴费单位相同。</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事业单位、国有企业聘用的合同制员工或劳务派遣人员，按照非公单位人员的程序推荐上报。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4﹒自由职业者（指跟体制或者出资人不存在法律效力合作关系而拥有合法收入的个体，多为从文从艺人员，如自由撰稿人、美术人、音乐人、电脑精英、策划人等，须以个人身份在我县参保、有个人纳税申报记录，所在行业无承接资质等与企业行为挂钩的限制或禁止性要求）：个人注册申报——县就业和人才中心——县人力社保（职改）部门——评委会。其参保及存档时间要求，参照3执行。</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(二)操作流程</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1.申报人登陆全市统一平台网报端口实名注册（已有账号者可不用重新注册）；</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2.申报人登录账号→职称→个人中心→职称申报→新增申请书；</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3.申报人按要求选取评委会，填报信息，上传材料，保存后提交单位审核；</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4.单位经办人按要求审核推荐上报；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5.主管部门或者奉节县就业和人才服务中心审核（自主择业军队干部由退役军人事务局审核）；</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6.奉节县职改办审核通过后提交至评委会；</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7.评委会审核受理。</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（三）申报要求</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1﹒用户注册</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单位、县主管部门用户注册，必须以负责职称工作的个人用户身份进行注册，注册成功后，登录个人账户，进入系统首页，选择“职称”、“注册单位”，完善资料后生成绑定相应单位、县主管部门的职称管理员权限（申报人本人不得申请绑定审核推荐单位的职称管理员权限，否则会造成本人无法申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逐级上报职称时，若无法选择单位或上级主管部门的，请联系相应机构进入系统进行注册。</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ab/>
      </w:r>
      <w:r>
        <w:rPr>
          <w:rFonts w:eastAsia="方正仿宋_GBK"/>
          <w:b/>
          <w:szCs w:val="32"/>
        </w:rPr>
        <w:t>2﹒个人申报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申报人在规定期限内登录系统如实填写和逐级提交申报材料，并对申报材料的真实性负责。所填业绩成果，均应上传佐证材料（原件可直接扫描，复印件须签章后扫描，制作成pdf格式上传），如有涉密的，请按规定进行脱密处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相关人员、单位必须正确区别申报条件与评审条件，申报条件为基本门槛，评审条件为评委评价参考条件，申报人须承诺达到申报条件方能申报，推荐单位须审核申报人达到申报条件方能推荐。所申报职称系列或专业的申报条件中有基本工作量要求的（如教师课时量、医生临床量等），申报人和推荐单位须严格执行有关文件规定，不符合工作量要求的不得申报和推荐；如有违规，按照责任倒查制度，追究申报人以及推荐单位责任，并按有关规定予以处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申报人可随时登录系统，通过“我的申请书”查看本人申请书审核进度及现阶段审核单位联系人和联系电话，提醒相关单位及时审核本人提交的申请书。</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3﹒审核推荐</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（1）单位审核推荐</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各单位负责指导本单位人员申报，对申报人提交的申报材料和有效证件原件和复印件进行认真审查核对，严格把关，确保材料真实、准确、齐备，并结合相应系列或专业、相应级别的职称申报条件进行推荐审查。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对申报材料不完整、填写不清楚的，各单位应通知申报人在限定时间内补充完善，申报人逾期未补充完善的，视为放弃申报。对不符合相应系列或专业、相应级别职称申报条件的，不得推荐上报。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各单位应结合申报人考核及履职情况择优确定推荐人选。有条件的单位可制定本单位职称申报条件（不得低于全市基本条件）、规定和办法，并据此进行择优推荐。</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各单位应将拟推荐人员的《重庆市职称申报综合情况（公示）表》（从系统导出）和有关材料在本单位公开场所集中公示不少于5个工作日，有条件的还应同时在单位办公平台公示，公示期间的问题受理渠道应包含本单位和上级主管部门两级联系方式。经公示无异议或经查实无问题的申报材料，可按照职称评审管理权限逐级上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（2）部门审核推荐</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 xml:space="preserve">县级主管部门负责所属单位人员申报材料的审查工作，并按系列（专业）填写《重庆市职称申报人员送审名册》（附件2），送县职改办。县就业和人才中心负责全县无主管部门单位和非公单位人员申报材料的审查工作。 </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以上各级审核推荐机构应及时登录系统，处理下属单位或人事代理人员提交的申请书，以免影响申报。因相关机构延期审核，造成申报人申请书逾期失效的，责任自负。</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（3）评委会审核受理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评委会组建单位按规定的范围、权限和程序受理申报材料并做好登记。不符合资格条件、不属于受理范围或未按规定程序报送的，不予受理；材料不完整或手续不齐备的，评委会组建单位应一次性告知，逾期未补正（未经公示的材料不得补报）的视为放弃申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(四)评审材料存档</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1﹒评审材料归档</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职称资格确认通知下发后1个月内，呈报单位将职称确认通知转发申报单位，申报人登录系统，打印评审表。系统导出的高级职称评审表，</w:t>
      </w:r>
      <w:bookmarkStart w:id="3" w:name="OLE_LINK5"/>
      <w:r>
        <w:rPr>
          <w:rFonts w:eastAsia="方正仿宋_GBK"/>
          <w:szCs w:val="32"/>
        </w:rPr>
        <w:t>评审结果页</w:t>
      </w:r>
      <w:bookmarkEnd w:id="3"/>
      <w:r>
        <w:rPr>
          <w:rFonts w:eastAsia="方正仿宋_GBK"/>
          <w:szCs w:val="32"/>
        </w:rPr>
        <w:t>自带评委会、核准机构电子签章，暂时不带单位和主管部门电子签章，签章不齐栏由申报人送相应机构进行补盖鲜章；系统导出的中级职称评审表，评审结果页暂时不带电子签章，该页由评委会组建单位打印，加盖评委会、核准机构鲜章后，返还申报人，申报人将此页连同系统导出的评审表送单位和主管部门补盖鲜章。完善签章的评审表，1份须存入申报人人事档案、1份存入单位文书档案。</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2﹒职称证书办理</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全面启用职称电子证书，不再办理纸质证书。申报人可通过“重庆市专业技术人员服务平台”（http://ggfw.rlsbj.cq.gov.cn/cqzyjsrcw/positional-portal-web/public/cert/toUserPage）直接下载打印职称电子证书。</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(五)复查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申报人对涉及本人的评审结果不服的，可以按照有关规定申请复查、进行投诉。</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复查主要核查评审程序是否符合规范，评审过程中有无错看、漏看申报人业绩成果材料造成误判等情况。</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复查申请人须在评审结果确认后2个月内（超出时间的不予受理）向评委会组建单位提交书面复查申请。评委会组建单位应将复查结果告知复查申请人。</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黑体_GBK"/>
          <w:szCs w:val="32"/>
        </w:rPr>
      </w:pPr>
      <w:r>
        <w:rPr>
          <w:rFonts w:eastAsia="方正黑体_GBK"/>
          <w:szCs w:val="32"/>
        </w:rPr>
        <w:t>五、纪律要求</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（一）申报人</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申报人要认真履行“诚信承诺”，一个年度内通过正常申报渠道（不含各种“绿色通道”评定）只能申报一次职称，且不得违规以兼职、挂靠、假冒等形式通过其他单位申报。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（二）审核人员</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对违反有关规定的审核人员、评审专家或评审办事机构工作人员，按《职称评审管理暂行规定》（人力资源社会保障部令第40号）、《重庆市职称评审管理办法》（渝人社发〔2021〕25号）进行处理。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黑体_GBK"/>
          <w:szCs w:val="32"/>
        </w:rPr>
      </w:pPr>
      <w:r>
        <w:rPr>
          <w:rFonts w:eastAsia="方正黑体_GBK"/>
          <w:szCs w:val="32"/>
        </w:rPr>
        <w:t>六、有关注意事项</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一）按照数字重庆建设总体部署，通过最大化数据共享，最大程度减少个人填报、单位比对验证事项，职称申报系统已共享实现个人基本信息、社保缴费单位、档案存放机构、现有资格、继续教育公需科目完成情况、事业单位岗位空缺情况自动填报或比对。系统自动验证通过的人员，无需另行上传佐证材料，系统自动验证未通过的人员，须上传佐证材料提交人工审核。</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二）继续教育要求按照《关于进一步做好我市专业技术人员继续教育工作的通知》（渝人社办〔2022〕321号）文件执行。继续教育内容包括公需科目和专业科目。员级升助理级、助理级升中级、中级升副高级、副高级升正高级继续教育学习每年度累计时间应达到90学时，其中公需科目按每年度学习完成。公需科目学习网站：http://rlsbj.cq.gov.cn/ywzl/zjrc/zjrygxkmxx/index.html。专业科目学时请填写《重庆市专业技术人员继续教育登记卡》（附件3）。</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（三）申报人任职时间计算截至2024年12月31日。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（四）申报所提供的业绩成果须为取得现职称以后且与申报专业（学科）相关，取得现职称前的业绩成果不能用于申报评审高一级职称。相关业绩成果证明需提供相关资料：</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1.工作业绩需提供合同、协议、项目报告等节选内容。</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2.科研项目（课题）需提供立项审批表、结题报告等节选内容。</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3.论文需提供封面、论文页及论文检索证明等，著作需提供封面、前言及出版社证明等。</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4.学术技术报告需提供邀请函。</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5.获奖成果需提供获奖证书、奖励文件等。</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6.专利需提供专利证书，软件著作权需提供软件著作权登记证书。</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7.标准规范需提供封面、前言等内容。</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五）严格执行市物价局、市财政局《关于调整我市专业技术职务资格评审费标准及有关问题的通知》（渝价〔2015〕123号）相关规定，高级职称评审费每人420元，中级职称评审费每人240元，初级职称评审费每人120元。评委会组建单位不得另外以答辩费、培训费、资料费、档案保管费等名目，扩大或提高收费范围和标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六）严格落实“考培分离”净化评审环境。市、县职改办不举办也不委托任何中介或机构开展各种职称评审培训或代办职称，不收取所谓的“服务费”“代办费”等其它费用，请广大专业技术人才提高警惕，切勿上当受骗。</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奉节县职改办联系人：黄老师，联系电话：56515008</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地址：奉节县永安街道县政路38号县人力社保局609办公室</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奉节县人力资源档案管理服务中心联系电话：56637368</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地址：奉节县永安街道县政路88号533办公室。</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hint="eastAsia" w:ascii="方正仿宋_GBK" w:hAnsi="方正仿宋_GBK" w:eastAsia="方正仿宋_GBK" w:cs="方正仿宋_GBK"/>
          <w:szCs w:val="32"/>
        </w:rPr>
        <w:t>附件：</w:t>
      </w:r>
      <w:r>
        <w:rPr>
          <w:rFonts w:eastAsia="方正仿宋_GBK"/>
          <w:szCs w:val="32"/>
        </w:rPr>
        <w:t>1. 2024年全市高级职称申报评审工作计划</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 xml:space="preserve">      2.重庆市职称申报人员送审名册（只事业单位使用）</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 xml:space="preserve">      3.重庆市专业技术人员继续教育登记卡</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p>
    <w:p>
      <w:pPr>
        <w:keepNext w:val="0"/>
        <w:keepLines w:val="0"/>
        <w:pageBreakBefore w:val="0"/>
        <w:kinsoku/>
        <w:overflowPunct/>
        <w:topLinePunct w:val="0"/>
        <w:autoSpaceDE/>
        <w:autoSpaceDN/>
        <w:bidi w:val="0"/>
        <w:adjustRightInd/>
        <w:spacing w:line="600" w:lineRule="exact"/>
        <w:ind w:firstLine="632" w:firstLineChars="200"/>
        <w:jc w:val="right"/>
        <w:textAlignment w:val="auto"/>
        <w:rPr>
          <w:rFonts w:eastAsia="方正仿宋_GBK"/>
          <w:szCs w:val="32"/>
        </w:rPr>
      </w:pPr>
      <w:r>
        <w:rPr>
          <w:rFonts w:eastAsia="方正仿宋_GBK"/>
          <w:szCs w:val="32"/>
        </w:rPr>
        <w:t>重庆市奉节县职称改革办公室</w:t>
      </w:r>
    </w:p>
    <w:p>
      <w:pPr>
        <w:keepNext w:val="0"/>
        <w:keepLines w:val="0"/>
        <w:pageBreakBefore w:val="0"/>
        <w:kinsoku/>
        <w:overflowPunct/>
        <w:topLinePunct w:val="0"/>
        <w:autoSpaceDE/>
        <w:autoSpaceDN/>
        <w:bidi w:val="0"/>
        <w:adjustRightInd/>
        <w:spacing w:line="600" w:lineRule="exact"/>
        <w:ind w:firstLine="6216" w:firstLineChars="1967"/>
        <w:textAlignment w:val="auto"/>
        <w:rPr>
          <w:rFonts w:eastAsia="方正仿宋_GBK"/>
          <w:szCs w:val="32"/>
        </w:rPr>
      </w:pPr>
      <w:r>
        <w:rPr>
          <w:rFonts w:eastAsia="方正仿宋_GBK"/>
          <w:szCs w:val="32"/>
        </w:rPr>
        <w:t>2024年7月22日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eastAsia="方正仿宋_GBK"/>
          <w:szCs w:val="32"/>
        </w:rPr>
        <w:sectPr>
          <w:footerReference r:id="rId3" w:type="default"/>
          <w:footerReference r:id="rId4" w:type="even"/>
          <w:pgSz w:w="11906" w:h="16838"/>
          <w:pgMar w:top="1134" w:right="1134" w:bottom="1134" w:left="1134" w:header="1701" w:footer="1134" w:gutter="0"/>
          <w:cols w:space="720" w:num="1"/>
          <w:docGrid w:type="linesAndChars" w:linePitch="579" w:charSpace="-849"/>
        </w:sectPr>
      </w:pPr>
      <w:r>
        <w:rPr>
          <w:rFonts w:eastAsia="方正仿宋_GBK"/>
          <w:szCs w:val="32"/>
        </w:rPr>
        <w:t xml:space="preserve">    （此件主动公开）</w:t>
      </w:r>
    </w:p>
    <w:p>
      <w:pPr>
        <w:keepNext w:val="0"/>
        <w:keepLines w:val="0"/>
        <w:pageBreakBefore w:val="0"/>
        <w:kinsoku/>
        <w:overflowPunct/>
        <w:topLinePunct w:val="0"/>
        <w:autoSpaceDE/>
        <w:autoSpaceDN/>
        <w:bidi w:val="0"/>
        <w:adjustRightInd/>
        <w:snapToGrid w:val="0"/>
        <w:spacing w:line="600" w:lineRule="exact"/>
        <w:jc w:val="left"/>
        <w:textAlignment w:val="auto"/>
        <w:rPr>
          <w:rFonts w:eastAsia="方正黑体_GBK"/>
          <w:szCs w:val="24"/>
        </w:rPr>
      </w:pPr>
      <w:r>
        <w:rPr>
          <w:rFonts w:eastAsia="方正黑体_GBK"/>
          <w:szCs w:val="24"/>
        </w:rPr>
        <w:t>附件1</w:t>
      </w:r>
    </w:p>
    <w:p>
      <w:pPr>
        <w:keepNext w:val="0"/>
        <w:keepLines w:val="0"/>
        <w:pageBreakBefore w:val="0"/>
        <w:kinsoku/>
        <w:overflowPunct/>
        <w:topLinePunct w:val="0"/>
        <w:autoSpaceDE/>
        <w:autoSpaceDN/>
        <w:bidi w:val="0"/>
        <w:adjustRightInd/>
        <w:snapToGrid w:val="0"/>
        <w:spacing w:line="600" w:lineRule="exact"/>
        <w:jc w:val="center"/>
        <w:textAlignment w:val="auto"/>
        <w:rPr>
          <w:rFonts w:eastAsia="方正小标宋_GBK"/>
          <w:sz w:val="44"/>
          <w:szCs w:val="44"/>
        </w:rPr>
      </w:pPr>
      <w:r>
        <w:rPr>
          <w:rFonts w:eastAsia="方正小标宋_GBK"/>
          <w:sz w:val="44"/>
          <w:szCs w:val="44"/>
        </w:rPr>
        <w:t>          2024年重庆市高级职称申报评审工作计划</w:t>
      </w:r>
    </w:p>
    <w:p>
      <w:pPr>
        <w:widowControl/>
        <w:autoSpaceDE w:val="0"/>
        <w:spacing w:line="600" w:lineRule="exact"/>
        <w:rPr>
          <w:rFonts w:eastAsia="方正黑体_GBK"/>
          <w:color w:val="000000"/>
          <w:kern w:val="0"/>
          <w:szCs w:val="32"/>
        </w:rPr>
      </w:pPr>
    </w:p>
    <w:tbl>
      <w:tblPr>
        <w:tblStyle w:val="14"/>
        <w:tblW w:w="12391" w:type="dxa"/>
        <w:tblInd w:w="7" w:type="dxa"/>
        <w:tblLayout w:type="fixed"/>
        <w:tblCellMar>
          <w:top w:w="0" w:type="dxa"/>
          <w:left w:w="108" w:type="dxa"/>
          <w:bottom w:w="0" w:type="dxa"/>
          <w:right w:w="108" w:type="dxa"/>
        </w:tblCellMar>
      </w:tblPr>
      <w:tblGrid>
        <w:gridCol w:w="700"/>
        <w:gridCol w:w="2367"/>
        <w:gridCol w:w="767"/>
        <w:gridCol w:w="1390"/>
        <w:gridCol w:w="1593"/>
        <w:gridCol w:w="1583"/>
        <w:gridCol w:w="1280"/>
        <w:gridCol w:w="1280"/>
        <w:gridCol w:w="1431"/>
      </w:tblGrid>
      <w:tr>
        <w:tblPrEx>
          <w:tblLayout w:type="fixed"/>
          <w:tblCellMar>
            <w:top w:w="0" w:type="dxa"/>
            <w:left w:w="108" w:type="dxa"/>
            <w:bottom w:w="0" w:type="dxa"/>
            <w:right w:w="108" w:type="dxa"/>
          </w:tblCellMar>
        </w:tblPrEx>
        <w:trPr>
          <w:trHeight w:val="340" w:hRule="atLeast"/>
        </w:trPr>
        <w:tc>
          <w:tcPr>
            <w:tcW w:w="7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333333"/>
                <w:sz w:val="21"/>
              </w:rPr>
            </w:pPr>
            <w:r>
              <w:rPr>
                <w:rFonts w:eastAsia="宋体"/>
                <w:b/>
                <w:bCs/>
                <w:color w:val="333333"/>
                <w:kern w:val="0"/>
                <w:sz w:val="21"/>
                <w:lang w:bidi="ar"/>
              </w:rPr>
              <w:t>序号</w:t>
            </w:r>
          </w:p>
        </w:tc>
        <w:tc>
          <w:tcPr>
            <w:tcW w:w="23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333333"/>
                <w:sz w:val="21"/>
              </w:rPr>
            </w:pPr>
            <w:r>
              <w:rPr>
                <w:rFonts w:eastAsia="宋体"/>
                <w:b/>
                <w:bCs/>
                <w:color w:val="333333"/>
                <w:kern w:val="0"/>
                <w:sz w:val="21"/>
                <w:lang w:bidi="ar"/>
              </w:rPr>
              <w:t>评委会名称</w:t>
            </w:r>
          </w:p>
        </w:tc>
        <w:tc>
          <w:tcPr>
            <w:tcW w:w="7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333333"/>
                <w:sz w:val="21"/>
              </w:rPr>
            </w:pPr>
            <w:r>
              <w:rPr>
                <w:rFonts w:eastAsia="宋体"/>
                <w:b/>
                <w:bCs/>
                <w:color w:val="333333"/>
                <w:kern w:val="0"/>
                <w:sz w:val="21"/>
                <w:lang w:bidi="ar"/>
              </w:rPr>
              <w:t>评审范围</w:t>
            </w:r>
          </w:p>
        </w:tc>
        <w:tc>
          <w:tcPr>
            <w:tcW w:w="13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333333"/>
                <w:sz w:val="21"/>
              </w:rPr>
            </w:pPr>
            <w:r>
              <w:rPr>
                <w:rFonts w:eastAsia="宋体"/>
                <w:b/>
                <w:bCs/>
                <w:color w:val="333333"/>
                <w:kern w:val="0"/>
                <w:sz w:val="21"/>
                <w:lang w:bidi="ar"/>
              </w:rPr>
              <w:t>组建单位</w:t>
            </w:r>
          </w:p>
        </w:tc>
        <w:tc>
          <w:tcPr>
            <w:tcW w:w="15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333333"/>
                <w:sz w:val="21"/>
              </w:rPr>
            </w:pPr>
            <w:r>
              <w:rPr>
                <w:rFonts w:eastAsia="宋体"/>
                <w:b/>
                <w:bCs/>
                <w:color w:val="333333"/>
                <w:kern w:val="0"/>
                <w:sz w:val="21"/>
                <w:lang w:bidi="ar"/>
              </w:rPr>
              <w:t>评审层级</w:t>
            </w:r>
          </w:p>
        </w:tc>
        <w:tc>
          <w:tcPr>
            <w:tcW w:w="15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000000"/>
                <w:sz w:val="21"/>
              </w:rPr>
            </w:pPr>
            <w:r>
              <w:rPr>
                <w:rFonts w:eastAsia="宋体"/>
                <w:b/>
                <w:bCs/>
                <w:color w:val="000000"/>
                <w:kern w:val="0"/>
                <w:sz w:val="21"/>
                <w:lang w:bidi="ar"/>
              </w:rPr>
              <w:t>咨询电话</w:t>
            </w:r>
          </w:p>
        </w:tc>
        <w:tc>
          <w:tcPr>
            <w:tcW w:w="399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000000"/>
                <w:sz w:val="21"/>
              </w:rPr>
            </w:pPr>
            <w:r>
              <w:rPr>
                <w:rFonts w:eastAsia="方正仿宋_GBK"/>
                <w:b/>
                <w:bCs/>
                <w:color w:val="000000"/>
                <w:kern w:val="0"/>
                <w:sz w:val="24"/>
                <w:szCs w:val="24"/>
                <w:lang w:bidi="ar"/>
              </w:rPr>
              <w:t>时间安排</w:t>
            </w:r>
            <w:r>
              <w:rPr>
                <w:rFonts w:eastAsia="宋体"/>
                <w:b/>
                <w:bCs/>
                <w:color w:val="000000"/>
                <w:kern w:val="0"/>
                <w:sz w:val="21"/>
                <w:lang w:bidi="ar"/>
              </w:rPr>
              <w:br w:type="textWrapping"/>
            </w:r>
            <w:r>
              <w:rPr>
                <w:rFonts w:eastAsia="宋体"/>
                <w:b/>
                <w:bCs/>
                <w:color w:val="000000"/>
                <w:kern w:val="0"/>
                <w:sz w:val="21"/>
                <w:lang w:bidi="ar"/>
              </w:rPr>
              <w:t>（具体以</w:t>
            </w:r>
            <w:r>
              <w:rPr>
                <w:rFonts w:eastAsia="方正仿宋_GBK"/>
                <w:b/>
                <w:bCs/>
                <w:color w:val="000000"/>
                <w:kern w:val="0"/>
                <w:sz w:val="24"/>
                <w:szCs w:val="24"/>
                <w:lang w:bidi="ar"/>
              </w:rPr>
              <w:t>申报</w:t>
            </w:r>
            <w:r>
              <w:rPr>
                <w:rFonts w:eastAsia="宋体"/>
                <w:b/>
                <w:bCs/>
                <w:color w:val="000000"/>
                <w:kern w:val="0"/>
                <w:sz w:val="21"/>
                <w:lang w:bidi="ar"/>
              </w:rPr>
              <w:t>系统</w:t>
            </w:r>
            <w:r>
              <w:rPr>
                <w:rFonts w:eastAsia="方正仿宋_GBK"/>
                <w:b/>
                <w:bCs/>
                <w:color w:val="000000"/>
                <w:kern w:val="0"/>
                <w:sz w:val="24"/>
                <w:szCs w:val="24"/>
                <w:lang w:bidi="ar"/>
              </w:rPr>
              <w:t>设定</w:t>
            </w:r>
            <w:r>
              <w:rPr>
                <w:rFonts w:eastAsia="宋体"/>
                <w:b/>
                <w:bCs/>
                <w:color w:val="000000"/>
                <w:kern w:val="0"/>
                <w:sz w:val="21"/>
                <w:lang w:bidi="ar"/>
              </w:rPr>
              <w:t>时间为准）</w:t>
            </w:r>
          </w:p>
        </w:tc>
      </w:tr>
      <w:tr>
        <w:tblPrEx>
          <w:tblLayout w:type="fixed"/>
          <w:tblCellMar>
            <w:top w:w="0" w:type="dxa"/>
            <w:left w:w="108" w:type="dxa"/>
            <w:bottom w:w="0" w:type="dxa"/>
            <w:right w:w="108" w:type="dxa"/>
          </w:tblCellMar>
        </w:tblPrEx>
        <w:trPr>
          <w:trHeight w:val="300" w:hRule="atLeast"/>
        </w:trPr>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23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7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15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15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000000"/>
                <w:sz w:val="21"/>
              </w:rPr>
            </w:pPr>
          </w:p>
        </w:tc>
        <w:tc>
          <w:tcPr>
            <w:tcW w:w="399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000000"/>
                <w:sz w:val="21"/>
              </w:rPr>
            </w:pPr>
          </w:p>
        </w:tc>
      </w:tr>
      <w:tr>
        <w:tblPrEx>
          <w:tblLayout w:type="fixed"/>
          <w:tblCellMar>
            <w:top w:w="0" w:type="dxa"/>
            <w:left w:w="108" w:type="dxa"/>
            <w:bottom w:w="0" w:type="dxa"/>
            <w:right w:w="108" w:type="dxa"/>
          </w:tblCellMar>
        </w:tblPrEx>
        <w:trPr>
          <w:trHeight w:val="280" w:hRule="atLeast"/>
        </w:trPr>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23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7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15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15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000000"/>
                <w:sz w:val="21"/>
              </w:rPr>
            </w:pP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000000"/>
                <w:sz w:val="21"/>
              </w:rPr>
            </w:pPr>
            <w:r>
              <w:rPr>
                <w:rFonts w:eastAsia="宋体"/>
                <w:b/>
                <w:bCs/>
                <w:color w:val="000000"/>
                <w:kern w:val="0"/>
                <w:sz w:val="21"/>
                <w:lang w:bidi="ar"/>
              </w:rPr>
              <w:t>申报时间</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000000"/>
                <w:sz w:val="21"/>
              </w:rPr>
            </w:pPr>
            <w:r>
              <w:rPr>
                <w:rFonts w:eastAsia="宋体"/>
                <w:b/>
                <w:bCs/>
                <w:color w:val="000000"/>
                <w:kern w:val="0"/>
                <w:sz w:val="21"/>
                <w:lang w:bidi="ar"/>
              </w:rPr>
              <w:t>审核时间</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000000"/>
                <w:sz w:val="21"/>
              </w:rPr>
            </w:pPr>
            <w:r>
              <w:rPr>
                <w:rFonts w:eastAsia="宋体"/>
                <w:b/>
                <w:bCs/>
                <w:color w:val="000000"/>
                <w:kern w:val="0"/>
                <w:sz w:val="21"/>
                <w:lang w:bidi="ar"/>
              </w:rPr>
              <w:t>缴费时间</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重庆市工程技术正高级职称评审委员会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市人力社保局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86867385</w:t>
            </w:r>
            <w:r>
              <w:rPr>
                <w:rFonts w:eastAsia="宋体"/>
                <w:color w:val="000000"/>
                <w:kern w:val="0"/>
                <w:sz w:val="22"/>
                <w:szCs w:val="22"/>
                <w:lang w:bidi="ar"/>
              </w:rPr>
              <w:br w:type="textWrapping"/>
            </w:r>
            <w:r>
              <w:rPr>
                <w:rFonts w:eastAsia="宋体"/>
                <w:color w:val="000000"/>
                <w:kern w:val="0"/>
                <w:sz w:val="22"/>
                <w:szCs w:val="22"/>
                <w:lang w:bidi="ar"/>
              </w:rPr>
              <w:t>86868568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w:t>
            </w:r>
            <w:r>
              <w:rPr>
                <w:rFonts w:eastAsia="宋体"/>
                <w:color w:val="000000"/>
                <w:kern w:val="0"/>
                <w:sz w:val="22"/>
                <w:szCs w:val="22"/>
                <w:lang w:val="en" w:bidi="ar"/>
              </w:rPr>
              <w:t>s</w:t>
            </w:r>
            <w:r>
              <w:rPr>
                <w:rFonts w:eastAsia="宋体"/>
                <w:color w:val="000000"/>
                <w:kern w:val="0"/>
                <w:sz w:val="22"/>
                <w:szCs w:val="22"/>
                <w:lang w:bidi="ar"/>
              </w:rPr>
              <w:t>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重庆市经济专业高级职称评审委员会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市人力社保局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86867385</w:t>
            </w:r>
            <w:r>
              <w:rPr>
                <w:rFonts w:eastAsia="宋体"/>
                <w:color w:val="000000"/>
                <w:kern w:val="0"/>
                <w:sz w:val="22"/>
                <w:szCs w:val="22"/>
                <w:lang w:bidi="ar"/>
              </w:rPr>
              <w:br w:type="textWrapping"/>
            </w:r>
            <w:r>
              <w:rPr>
                <w:rFonts w:eastAsia="宋体"/>
                <w:color w:val="000000"/>
                <w:kern w:val="0"/>
                <w:sz w:val="22"/>
                <w:szCs w:val="22"/>
                <w:lang w:bidi="ar"/>
              </w:rPr>
              <w:t>86868568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重庆市工程技术冶金专业副高级职称评审委员会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重庆钢铁（集团）有限责任公司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68846154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9.17-10.28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10.29-11.05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重庆市工程技术地质专业副高级职称评审委员会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重庆市地质矿产勘查开发局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63023830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8.01-8.30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10.01-10.12</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重庆市工程技术副高级职称市工程师协会评审委员会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会员单位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重庆市工程师协会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63616287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11.04-11.08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重庆市工商联工程技术副高级职称评审委员会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会员单位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重庆市工商业联合会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67516732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重庆市社会人才工程技术副高级职称评审委员会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666666"/>
                <w:sz w:val="24"/>
                <w:szCs w:val="24"/>
              </w:rPr>
            </w:pPr>
            <w:r>
              <w:rPr>
                <w:rFonts w:eastAsia="方正仿宋_GBK"/>
                <w:color w:val="666666"/>
                <w:kern w:val="0"/>
                <w:sz w:val="24"/>
                <w:szCs w:val="24"/>
                <w:lang w:bidi="ar"/>
              </w:rPr>
              <w:t>存档人员</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市人才交流中心</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88152068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8.01-8.15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8.06-10.15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10.20-10.22</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重庆市工程技术生态环境专业副高级职称评审委员会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重庆市生态环境局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89181830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8.01-9.18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8.15-10.15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10.21-10.28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重庆市工程技术通信专业副高级职称评审委员会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重庆市通信管理局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68585826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11.04-11.07</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重庆市会计专业正高级职称评审委员会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重庆市财政局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67575453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9.01-10.26</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10.26-11.02</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重庆市会计专业副高级职称评审委员会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重庆市财政局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63216192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重庆市农业技术推广研究员职称评审委员会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89133139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10.21-11.08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重庆市工程技术化工专业副高级职称评审委员会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重庆化医控股（集团）公司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63210329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重庆市艺术专业高级职称评审委员会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67705535     63719281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重庆市档案专业高级职称评审委员会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重庆市档案局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63896467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9.30-10.25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10.26-11.08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重庆市老年教育学校教师高级职称评审委员会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重庆市渝中区山城老年大学</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63316103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9.21-11.08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11.09-11.15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重庆市工程技术电子信息专业副高级职称评审委员会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重庆邮电大学</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62461388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10.01-11.11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11.12-11.18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重庆市播音专业高级职称评审委员会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重庆市广播电视局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63205860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重庆市图书资料专业高级职称评审委员会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67705535     63719281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重庆市工程技术能源专业副高级职称评审委员会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重庆市能源局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67575941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9.15-10.20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10.21-10.31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重庆市群众文化专业高级职称评审委员会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67705535     63719281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重庆市文物博物专业高级职称评审委员会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67705535     63719281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重庆市农业技术高级职称评审委员会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89133139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10.21-11.08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重庆市畜牧兽医技术高级职称评审委员会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89133139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10.21-11.08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重庆市工程技术风景园林专业副高级职称评审委员会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重庆市城市管理局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65868541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9.01-9.15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9.01-10.24  </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10.20-10.28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重庆市工程技术市政维护专业副高级职称评审委员会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重庆市城市管理局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65868541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9.01-9.15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9.01-10.24  </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10.20-10.28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重庆市工程技术质量专业副高级职称评审委员会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重庆市市场监督管理局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63719655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9.01-10.21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10.21-10.28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重庆市体育教练专业副高级职称评审委员会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重庆市体育局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61665122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9.01-09.20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重庆市工程技术水利电力专业副高级职称评审委员会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重庆市水利局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89079129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9.21-10.27</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10.28-11.01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重庆市中小企业工程技术副高级职称评审委员会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非公中小企业</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63899976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9.03-10.10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10.11-10.25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10.28-11.11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重庆高新区工程技术副高级职称评审委员会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本区域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重庆高新区职改办</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68600935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9.10-10.31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11.09-11.15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重庆市工程技术自然资源专业副高级职称评审委员会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重庆市规划和自然资源局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63158527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9.15-10.22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10.25-10.29</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重庆市工程技术规划测绘专业副高级职称评审委员会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重庆市规划和自然资源局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63158527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9.15-10.22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10.25-10.29</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重庆市工程技术药品和医疗器械专业副高级职称评审委员会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重庆市药品监督管理局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60353674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11.01-11.07</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重庆市卫生技术药学（生产、流通）专业高级职称评审委员会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重庆市药品监督管理局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60353674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11.01-11.07</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重庆市工程技术机械电气专业副高级职称评审委员会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重庆机电控股（集团）公司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63075691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重庆机场集团工程技术副高级职评审委员会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重庆机场集团有限公司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67153346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重庆市工程技术大数据智能化专业副高级职称评审委员会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重庆市大数据应用发展管理局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67765838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重庆市工程技术仪器仪表专业副高级职称评审委员会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中国四联仪器仪表集团有限公司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68860105</w:t>
            </w:r>
            <w:r>
              <w:rPr>
                <w:rFonts w:eastAsia="宋体"/>
                <w:color w:val="000000"/>
                <w:kern w:val="0"/>
                <w:sz w:val="22"/>
                <w:szCs w:val="22"/>
                <w:lang w:bidi="ar"/>
              </w:rPr>
              <w:br w:type="textWrapping"/>
            </w:r>
            <w:r>
              <w:rPr>
                <w:rFonts w:eastAsia="宋体"/>
                <w:color w:val="000000"/>
                <w:kern w:val="0"/>
                <w:sz w:val="22"/>
                <w:szCs w:val="22"/>
                <w:lang w:bidi="ar"/>
              </w:rPr>
              <w:t>67032795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重庆市统计专业高级职称评审委员会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重庆市统计局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67637230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9.15-10.15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10.16-10.31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重庆市工程技术林业专业副高级职称评审委员会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重庆市林业局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61528965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11.05-11.15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重庆市工程技术广播电视专业副高级职称评审委员会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重庆广播电视集团（总台）</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63623770</w:t>
            </w:r>
            <w:r>
              <w:rPr>
                <w:rFonts w:eastAsia="宋体"/>
                <w:color w:val="000000"/>
                <w:kern w:val="0"/>
                <w:sz w:val="22"/>
                <w:szCs w:val="22"/>
                <w:lang w:bidi="ar"/>
              </w:rPr>
              <w:br w:type="textWrapping"/>
            </w:r>
            <w:r>
              <w:rPr>
                <w:rFonts w:eastAsia="宋体"/>
                <w:color w:val="000000"/>
                <w:kern w:val="0"/>
                <w:sz w:val="22"/>
                <w:szCs w:val="22"/>
                <w:lang w:bidi="ar"/>
              </w:rPr>
              <w:t>63853565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8.20-9.20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重庆市工艺美术专业高级职称评审委员会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60338065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9.13-11.20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11.20-11.25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11.26-11.30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重庆市自然科学研究系列高级职称评审委员会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67612399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9.30-10.25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11.01-11.07</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重庆市公证专业高级职称评审委员会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重庆市司法局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67086127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重庆市工程技术材料专业副高级职称评审委员会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重庆文理学院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61162796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11.04-11.15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重庆市工程技术交通运输专业副高级职称评审委员会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重庆市交通运输委员会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89183143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9.20-10.5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10.6-11.10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重庆市工程技术工业设计专业副高级职称评审委员会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60338065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9.13-11.20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11.20-11.25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11.26-11.30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重庆市出版专业高级职称评审委员会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kern w:val="0"/>
                <w:sz w:val="24"/>
                <w:szCs w:val="24"/>
                <w:lang w:bidi="ar"/>
              </w:rPr>
            </w:pPr>
            <w:r>
              <w:rPr>
                <w:rFonts w:eastAsia="方正仿宋_GBK"/>
                <w:color w:val="333333"/>
                <w:kern w:val="0"/>
                <w:sz w:val="24"/>
                <w:szCs w:val="24"/>
                <w:lang w:bidi="ar"/>
              </w:rPr>
              <w:t>中国共产党重庆市委员会宣传部</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kern w:val="0"/>
                <w:sz w:val="24"/>
                <w:szCs w:val="24"/>
                <w:lang w:bidi="ar"/>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63896203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9.16-10.16</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11.04-11.08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重庆市新闻专业高级职称评审委员会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中国共产党重庆市委员会宣传部</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63897585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9.16-10.16</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11.04-11.08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重庆市审计专业高级职称评审委员会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重庆市审计局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67538094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11.12-11.15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重庆市翻译专业高级职称评审委员会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重庆市人民政府外事办公室</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63213232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重庆市技工院校教师高级职称评审委员会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重庆市人力资源和社会保障局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88126905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11.16-11.30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重庆市党校系统教师高级职称评审委员会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中共重庆市委党校重庆行政学院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68592156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11.16-11.30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重庆医科大学附属第二医院卫生技术副高级职称评审委员会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重庆医科大学附属第二医院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62888203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12.05-12.10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重庆水务环境集团工程技术副高级职称评审委员会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重庆水务环境控股集团有限公司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63998667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9.20-10.20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10.21-10.25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重庆市畜牧科学院自然资源研究副高级职称评审委员会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重庆市畜牧科学院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46791959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重庆市畜牧科学院畜牧兽医技术副高级职称评审委员会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重庆市畜牧科学院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46791959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两江新区工程技术副高级职称评审委员会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本区域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两江新区职改办</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65626430</w:t>
            </w:r>
            <w:r>
              <w:rPr>
                <w:rFonts w:eastAsia="宋体"/>
                <w:color w:val="000000"/>
                <w:kern w:val="0"/>
                <w:sz w:val="22"/>
                <w:szCs w:val="22"/>
                <w:lang w:bidi="ar"/>
              </w:rPr>
              <w:br w:type="textWrapping"/>
            </w:r>
            <w:r>
              <w:rPr>
                <w:rFonts w:eastAsia="宋体"/>
                <w:color w:val="000000"/>
                <w:kern w:val="0"/>
                <w:sz w:val="22"/>
                <w:szCs w:val="22"/>
                <w:lang w:bidi="ar"/>
              </w:rPr>
              <w:t>63200623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8.22-9.08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9.07-10.31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重庆医科大学附属儿童医院卫生专业技术副高级职称评审委员会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重庆医科大学附属儿童医院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63318050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12.05-12.10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重庆医科大学附属第一医院卫生技术副高级职称评审委员会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重庆医科大学附属第一医院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89012693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12.05-12.10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重庆市地产集团工程技术副高级职称评审委员会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重庆市地产集团有限公司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67199285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9.01-9.20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10.20-11.30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10.10-10.20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重庆医科大学附属永川医院卫生技术副高级职称评审委员会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重庆医科大学附属永川医院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85381611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12.05-12.10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重庆市科学技术研究院自然科学研究副高级职称评审委员会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重庆市科学技术研究院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67301225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重庆市科学技术研究院工程技术副高级职称评委会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重庆市科学技术研究院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67301225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重庆市律师专业高级职称评审委员会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重庆市司法局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67623856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67114545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9.01-9.20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9.20-11.30 </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12.01-12.03</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重庆市人民医院卫生技术专业副高级职称评委会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重庆市人民医院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63390061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9.01-9.20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9.20-11.30 </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9.20-11.30 </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重庆市卫生技术（内科）高级职称评审委员会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重庆市卫生技术（外科）高级职称评审委员会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重庆市卫生技术（中医药）高级职称评审委员会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重庆市卫生技术（医技药护）高级职称评审委员会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重庆市卫生技术（综合类）高级职称评审委员会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重庆市卫生技术（公共卫生）高级职称评审委员会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重庆市卫生技术（基层）高级职称评审委员会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重庆医科大学附属口腔医院卫生技术副高级职称评审委员会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重庆医科大学附属口腔医院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88602360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12.05-12.10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重庆市中小学正高级教师职称评审委员会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重庆市肿瘤医院卫生技术副高级职称评审委员会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重庆大学附属肿瘤医院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65079127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12.05-12.10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重庆市中小学教师（文科类）高级职称评审委员会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重庆市中小学教师（理科类）高级职称评审委员会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招商局交科院有限公司工程技术副高级职称评审委员会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招商局重庆交通科研设计院有限公司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62653016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7.20-8.10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7.20-9.10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9.11-9.30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重庆市中等职业学校教师正高级职称评审委员会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重庆市中等职业学校教师副高级职称评审委员会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重庆市实验技术高级职称评审委员会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重庆市教育系统自然科学研究高级职称评审委员会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重庆市教育系统社会科学研究高级职称评审委员会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重庆市工程技术建设专业副高级职称评审委员会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重庆市住房和城乡建设委员会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63670536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7.20-8.20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7.20-9.10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9.11-9.21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重庆市哲学社会科学研究高级职称评审委员会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重庆社会科学院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67992392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10.26-11.15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11.15-11.20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重庆市农业科学院自然科学研究副高级职称评审委员会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68076211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11.23-11.28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重庆市农业科学院农业技术副高级职称评审委员会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68076211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11.23-11.28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重庆市文学创作专业高级职称评审委员会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重庆市作家协会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63302781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12.01-12.03</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重庆市工程技术快递工程专业副高级职称评审委员会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重庆市邮政管理局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86886916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9.20-10.20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10.20-10.30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重庆市技术经纪专业高级职称评审委员会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67612399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9.30-10.25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11.01-11.07</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重庆城投集团工程技术副高级职称评审委员会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重庆市城市建设投资（集团）有限公司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63729419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8.01-8.30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10.08-10.09</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重庆市工程技术绿色低碳专业副高级评审委员会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63899976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10.10-10.29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11.12-11.15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市水投集团工程技术水利电力专业副高级职称评审委员会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重庆市水利投资（集团）有限公司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61218990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9.01-9.29</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9.30-10.08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重庆设计集团工程技术副高级职称评审委员会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重庆设计集团有限公司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68503156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11.25-11.29</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重庆市工程技术数字技术专业副高级职称评审委员会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市人才交流中心</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65721275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9.15-11.10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11.15-11.20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重庆市农业系列（基层定向）副高级职称评审委员会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89133139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10.21-11.08</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重庆市卫生管理研究专业高级职称评审委员会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重庆市自然科学研究系列科学传播专业高级职称评审委员会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67612399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9.30-10.25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11.1-11.7</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重庆市艺术专业（新文艺群体）高级职称评审委员会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重庆市文学艺术界联合会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67722368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重庆市工程技术网信专业高级职称评审委员会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中共重庆市委网络安全和信息化委员会办公室</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63151341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重庆市内河船舶专业副高级职称评审委员会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重庆市交通局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67995320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9.20-10.5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10.6-11.10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重庆市工程技术应急专业副高级职称评审委员会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重庆市应急管理局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63218537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重庆市司法鉴定专业高级职称评审委员会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重庆市司法局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67080028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10.10-10.25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10.26-11.10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重庆市工程技术工业互联网与智能制造专业副高级评审委员会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63899976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10.10-10.29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10.21-11.08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11.12-11.15</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陆军特色医学中心卫生技术副高级职称评审委员会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中国人民解放军陆军特色医学中心</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68757264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7.15-9.20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陆军军医大学第一附属医院卫生技术副高级职称评审委员会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陆军军医大学第一附属医院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68754142</w:t>
            </w:r>
            <w:r>
              <w:rPr>
                <w:rFonts w:eastAsia="宋体"/>
                <w:color w:val="000000"/>
                <w:kern w:val="0"/>
                <w:sz w:val="22"/>
                <w:szCs w:val="22"/>
                <w:lang w:bidi="ar"/>
              </w:rPr>
              <w:br w:type="textWrapping"/>
            </w:r>
            <w:r>
              <w:rPr>
                <w:rFonts w:eastAsia="宋体"/>
                <w:color w:val="000000"/>
                <w:kern w:val="0"/>
                <w:sz w:val="22"/>
                <w:szCs w:val="22"/>
                <w:lang w:bidi="ar"/>
              </w:rPr>
              <w:t>68754144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9.25-10.31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110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陆军军医大学第二附属医院卫生技术副高级职称评审委员会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陆军军医大学第二附属医院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68755096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111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重庆市疾病预防控制中心卫生技术公共卫生专业副高级职称评审委员会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重庆市疾病预防控制中心</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68807015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9.25-10.31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Layout w:type="fixed"/>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112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重庆投资咨询集团工程技术副高级职称评审委员会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重庆国际投资咨询集团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67751176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11.16-11.30</w:t>
            </w:r>
          </w:p>
        </w:tc>
      </w:tr>
    </w:tbl>
    <w:p>
      <w:pPr>
        <w:widowControl/>
        <w:autoSpaceDE w:val="0"/>
        <w:spacing w:line="600" w:lineRule="exact"/>
        <w:rPr>
          <w:rFonts w:eastAsia="方正黑体_GBK"/>
          <w:color w:val="000000"/>
          <w:kern w:val="0"/>
          <w:szCs w:val="32"/>
        </w:rPr>
        <w:sectPr>
          <w:pgSz w:w="16838" w:h="11906" w:orient="landscape"/>
          <w:pgMar w:top="1474" w:right="1985" w:bottom="1588" w:left="2098" w:header="1701" w:footer="1134" w:gutter="0"/>
          <w:cols w:space="720" w:num="1"/>
          <w:docGrid w:type="linesAndChars" w:linePitch="579" w:charSpace="-849"/>
        </w:sectPr>
      </w:pPr>
    </w:p>
    <w:p>
      <w:pPr>
        <w:widowControl/>
        <w:autoSpaceDE w:val="0"/>
        <w:spacing w:line="600" w:lineRule="exact"/>
        <w:rPr>
          <w:rFonts w:eastAsia="方正黑体_GBK"/>
          <w:color w:val="000000"/>
          <w:kern w:val="0"/>
          <w:szCs w:val="32"/>
        </w:rPr>
      </w:pPr>
      <w:r>
        <w:rPr>
          <w:rFonts w:eastAsia="方正黑体_GBK"/>
          <w:color w:val="000000"/>
          <w:kern w:val="0"/>
          <w:szCs w:val="32"/>
        </w:rPr>
        <w:t>附件2</w:t>
      </w:r>
    </w:p>
    <w:p>
      <w:pPr>
        <w:widowControl/>
        <w:autoSpaceDE w:val="0"/>
        <w:spacing w:line="600" w:lineRule="exact"/>
        <w:jc w:val="center"/>
        <w:rPr>
          <w:rFonts w:eastAsia="方正黑体_GBK"/>
          <w:color w:val="000000"/>
          <w:kern w:val="0"/>
          <w:szCs w:val="32"/>
        </w:rPr>
      </w:pPr>
      <w:r>
        <w:rPr>
          <w:rFonts w:eastAsia="方正黑体_GBK"/>
          <w:color w:val="000000"/>
          <w:kern w:val="0"/>
          <w:szCs w:val="32"/>
        </w:rPr>
        <w:t>重庆市</w:t>
      </w:r>
      <w:r>
        <w:rPr>
          <w:rFonts w:eastAsia="方正黑体_GBK"/>
          <w:color w:val="000000"/>
          <w:kern w:val="0"/>
          <w:szCs w:val="32"/>
          <w:u w:val="single"/>
        </w:rPr>
        <w:t xml:space="preserve">       </w:t>
      </w:r>
      <w:r>
        <w:rPr>
          <w:rFonts w:eastAsia="方正黑体_GBK"/>
          <w:color w:val="000000"/>
          <w:kern w:val="0"/>
          <w:szCs w:val="32"/>
        </w:rPr>
        <w:t>级职称申报人员送审名册</w:t>
      </w:r>
    </w:p>
    <w:p>
      <w:pPr>
        <w:widowControl/>
        <w:autoSpaceDE w:val="0"/>
        <w:spacing w:line="600" w:lineRule="exact"/>
        <w:rPr>
          <w:rFonts w:eastAsia="方正仿宋_GBK"/>
          <w:color w:val="000000"/>
          <w:kern w:val="0"/>
          <w:sz w:val="28"/>
          <w:szCs w:val="28"/>
        </w:rPr>
      </w:pPr>
      <w:r>
        <w:rPr>
          <w:rFonts w:eastAsia="方正仿宋_GBK"/>
          <w:color w:val="000000"/>
          <w:kern w:val="0"/>
          <w:sz w:val="28"/>
          <w:szCs w:val="28"/>
        </w:rPr>
        <w:t xml:space="preserve">填报单位及主管部门盖章：                                                 </w:t>
      </w:r>
    </w:p>
    <w:p>
      <w:pPr>
        <w:widowControl/>
        <w:autoSpaceDE w:val="0"/>
        <w:spacing w:line="600" w:lineRule="exact"/>
        <w:rPr>
          <w:rFonts w:eastAsia="方正仿宋_GBK"/>
          <w:color w:val="000000"/>
          <w:kern w:val="0"/>
          <w:sz w:val="24"/>
          <w:szCs w:val="24"/>
        </w:rPr>
      </w:pPr>
      <w:r>
        <w:rPr>
          <w:rFonts w:eastAsia="方正仿宋_GBK"/>
          <w:color w:val="000000"/>
          <w:kern w:val="0"/>
          <w:sz w:val="28"/>
          <w:szCs w:val="28"/>
        </w:rPr>
        <w:t>系列：          专业组别：               填报人及联系电话：            填报日期：  年   月   日</w:t>
      </w:r>
    </w:p>
    <w:tbl>
      <w:tblPr>
        <w:tblStyle w:val="14"/>
        <w:tblW w:w="13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34"/>
        <w:gridCol w:w="709"/>
        <w:gridCol w:w="1843"/>
        <w:gridCol w:w="1842"/>
        <w:gridCol w:w="1843"/>
        <w:gridCol w:w="1240"/>
        <w:gridCol w:w="1418"/>
        <w:gridCol w:w="160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 w:hRule="atLeast"/>
          <w:jc w:val="center"/>
        </w:trPr>
        <w:tc>
          <w:tcPr>
            <w:tcW w:w="958"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序号</w:t>
            </w:r>
          </w:p>
        </w:tc>
        <w:tc>
          <w:tcPr>
            <w:tcW w:w="1134"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姓名</w:t>
            </w:r>
          </w:p>
        </w:tc>
        <w:tc>
          <w:tcPr>
            <w:tcW w:w="709"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性别</w:t>
            </w:r>
          </w:p>
        </w:tc>
        <w:tc>
          <w:tcPr>
            <w:tcW w:w="1843"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身份证号码</w:t>
            </w:r>
          </w:p>
        </w:tc>
        <w:tc>
          <w:tcPr>
            <w:tcW w:w="1842"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现职称资格</w:t>
            </w:r>
          </w:p>
        </w:tc>
        <w:tc>
          <w:tcPr>
            <w:tcW w:w="1843"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现职称专业</w:t>
            </w:r>
          </w:p>
        </w:tc>
        <w:tc>
          <w:tcPr>
            <w:tcW w:w="1240" w:type="dxa"/>
            <w:vAlign w:val="center"/>
          </w:tcPr>
          <w:p>
            <w:pPr>
              <w:widowControl/>
              <w:autoSpaceDE w:val="0"/>
              <w:spacing w:line="600" w:lineRule="exact"/>
              <w:jc w:val="center"/>
              <w:rPr>
                <w:rFonts w:eastAsia="方正仿宋_GBK"/>
                <w:b/>
                <w:color w:val="000000"/>
                <w:kern w:val="0"/>
                <w:szCs w:val="32"/>
              </w:rPr>
            </w:pPr>
            <w:r>
              <w:rPr>
                <w:rFonts w:eastAsia="方正仿宋_GBK"/>
                <w:b/>
                <w:color w:val="000000"/>
                <w:kern w:val="0"/>
                <w:szCs w:val="32"/>
              </w:rPr>
              <w:t>申报何职称</w:t>
            </w:r>
          </w:p>
        </w:tc>
        <w:tc>
          <w:tcPr>
            <w:tcW w:w="1418" w:type="dxa"/>
            <w:vAlign w:val="center"/>
          </w:tcPr>
          <w:p>
            <w:pPr>
              <w:widowControl/>
              <w:autoSpaceDE w:val="0"/>
              <w:spacing w:line="600" w:lineRule="exact"/>
              <w:jc w:val="center"/>
              <w:rPr>
                <w:rFonts w:eastAsia="方正仿宋_GBK"/>
                <w:b/>
                <w:color w:val="000000"/>
                <w:kern w:val="0"/>
                <w:szCs w:val="32"/>
              </w:rPr>
            </w:pPr>
            <w:r>
              <w:rPr>
                <w:rFonts w:eastAsia="方正仿宋_GBK"/>
                <w:b/>
                <w:color w:val="000000"/>
                <w:kern w:val="0"/>
                <w:szCs w:val="32"/>
              </w:rPr>
              <w:t>申报职称专业</w:t>
            </w:r>
          </w:p>
        </w:tc>
        <w:tc>
          <w:tcPr>
            <w:tcW w:w="1602" w:type="dxa"/>
            <w:vAlign w:val="center"/>
          </w:tcPr>
          <w:p>
            <w:pPr>
              <w:widowControl/>
              <w:autoSpaceDE w:val="0"/>
              <w:spacing w:line="600" w:lineRule="exact"/>
              <w:jc w:val="center"/>
              <w:rPr>
                <w:rFonts w:eastAsia="方正仿宋_GBK"/>
                <w:b/>
                <w:color w:val="000000"/>
                <w:kern w:val="0"/>
                <w:szCs w:val="32"/>
              </w:rPr>
            </w:pPr>
            <w:r>
              <w:rPr>
                <w:rFonts w:eastAsia="方正仿宋_GBK"/>
                <w:b/>
                <w:color w:val="000000"/>
                <w:kern w:val="0"/>
                <w:szCs w:val="32"/>
              </w:rPr>
              <w:t>晋升方式</w:t>
            </w:r>
          </w:p>
        </w:tc>
        <w:tc>
          <w:tcPr>
            <w:tcW w:w="1159"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eastAsia="方正仿宋_GBK"/>
                <w:color w:val="000000"/>
                <w:kern w:val="0"/>
                <w:szCs w:val="32"/>
              </w:rPr>
            </w:pPr>
          </w:p>
        </w:tc>
        <w:tc>
          <w:tcPr>
            <w:tcW w:w="1134" w:type="dxa"/>
            <w:vAlign w:val="center"/>
          </w:tcPr>
          <w:p>
            <w:pPr>
              <w:widowControl/>
              <w:autoSpaceDE w:val="0"/>
              <w:spacing w:line="600" w:lineRule="exact"/>
              <w:rPr>
                <w:rFonts w:eastAsia="方正仿宋_GBK"/>
                <w:color w:val="000000"/>
                <w:kern w:val="0"/>
                <w:szCs w:val="32"/>
              </w:rPr>
            </w:pPr>
          </w:p>
        </w:tc>
        <w:tc>
          <w:tcPr>
            <w:tcW w:w="709" w:type="dxa"/>
            <w:vAlign w:val="center"/>
          </w:tcPr>
          <w:p>
            <w:pPr>
              <w:widowControl/>
              <w:autoSpaceDE w:val="0"/>
              <w:spacing w:line="600" w:lineRule="exact"/>
              <w:rPr>
                <w:rFonts w:eastAsia="方正仿宋_GBK"/>
                <w:color w:val="000000"/>
                <w:kern w:val="0"/>
                <w:szCs w:val="32"/>
              </w:rPr>
            </w:pPr>
          </w:p>
        </w:tc>
        <w:tc>
          <w:tcPr>
            <w:tcW w:w="1843" w:type="dxa"/>
            <w:vAlign w:val="center"/>
          </w:tcPr>
          <w:p>
            <w:pPr>
              <w:widowControl/>
              <w:autoSpaceDE w:val="0"/>
              <w:spacing w:line="600" w:lineRule="exact"/>
              <w:rPr>
                <w:rFonts w:eastAsia="方正仿宋_GBK"/>
                <w:color w:val="000000"/>
                <w:kern w:val="0"/>
                <w:szCs w:val="32"/>
              </w:rPr>
            </w:pPr>
          </w:p>
        </w:tc>
        <w:tc>
          <w:tcPr>
            <w:tcW w:w="1842" w:type="dxa"/>
            <w:vAlign w:val="center"/>
          </w:tcPr>
          <w:p>
            <w:pPr>
              <w:widowControl/>
              <w:autoSpaceDE w:val="0"/>
              <w:spacing w:line="600" w:lineRule="exact"/>
              <w:rPr>
                <w:rFonts w:eastAsia="方正仿宋_GBK"/>
                <w:color w:val="000000"/>
                <w:kern w:val="0"/>
                <w:szCs w:val="32"/>
              </w:rPr>
            </w:pPr>
          </w:p>
        </w:tc>
        <w:tc>
          <w:tcPr>
            <w:tcW w:w="1843" w:type="dxa"/>
          </w:tcPr>
          <w:p>
            <w:pPr>
              <w:widowControl/>
              <w:autoSpaceDE w:val="0"/>
              <w:spacing w:line="600" w:lineRule="exact"/>
              <w:rPr>
                <w:rFonts w:eastAsia="方正仿宋_GBK"/>
                <w:color w:val="000000"/>
                <w:kern w:val="0"/>
                <w:szCs w:val="32"/>
              </w:rPr>
            </w:pPr>
          </w:p>
        </w:tc>
        <w:tc>
          <w:tcPr>
            <w:tcW w:w="1240" w:type="dxa"/>
          </w:tcPr>
          <w:p>
            <w:pPr>
              <w:widowControl/>
              <w:autoSpaceDE w:val="0"/>
              <w:spacing w:line="600" w:lineRule="exact"/>
              <w:rPr>
                <w:rFonts w:eastAsia="方正仿宋_GBK"/>
                <w:color w:val="000000"/>
                <w:kern w:val="0"/>
                <w:szCs w:val="32"/>
              </w:rPr>
            </w:pPr>
          </w:p>
        </w:tc>
        <w:tc>
          <w:tcPr>
            <w:tcW w:w="1418" w:type="dxa"/>
            <w:vAlign w:val="center"/>
          </w:tcPr>
          <w:p>
            <w:pPr>
              <w:widowControl/>
              <w:autoSpaceDE w:val="0"/>
              <w:spacing w:line="600" w:lineRule="exact"/>
              <w:rPr>
                <w:rFonts w:eastAsia="方正仿宋_GBK"/>
                <w:color w:val="000000"/>
                <w:kern w:val="0"/>
                <w:szCs w:val="32"/>
              </w:rPr>
            </w:pPr>
          </w:p>
        </w:tc>
        <w:tc>
          <w:tcPr>
            <w:tcW w:w="1602" w:type="dxa"/>
          </w:tcPr>
          <w:p>
            <w:pPr>
              <w:widowControl/>
              <w:autoSpaceDE w:val="0"/>
              <w:spacing w:line="600" w:lineRule="exact"/>
              <w:rPr>
                <w:rFonts w:eastAsia="方正仿宋_GBK"/>
                <w:color w:val="000000"/>
                <w:kern w:val="0"/>
                <w:szCs w:val="32"/>
              </w:rPr>
            </w:pPr>
          </w:p>
        </w:tc>
        <w:tc>
          <w:tcPr>
            <w:tcW w:w="1159" w:type="dxa"/>
            <w:vAlign w:val="center"/>
          </w:tcPr>
          <w:p>
            <w:pPr>
              <w:widowControl/>
              <w:autoSpaceDE w:val="0"/>
              <w:spacing w:line="600" w:lineRule="exact"/>
              <w:rPr>
                <w:rFonts w:eastAsia="方正仿宋_GBK"/>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eastAsia="方正仿宋_GBK"/>
                <w:color w:val="000000"/>
                <w:kern w:val="0"/>
                <w:szCs w:val="32"/>
              </w:rPr>
            </w:pPr>
          </w:p>
        </w:tc>
        <w:tc>
          <w:tcPr>
            <w:tcW w:w="1134" w:type="dxa"/>
            <w:vAlign w:val="center"/>
          </w:tcPr>
          <w:p>
            <w:pPr>
              <w:widowControl/>
              <w:autoSpaceDE w:val="0"/>
              <w:spacing w:line="600" w:lineRule="exact"/>
              <w:rPr>
                <w:rFonts w:eastAsia="方正仿宋_GBK"/>
                <w:color w:val="000000"/>
                <w:kern w:val="0"/>
                <w:szCs w:val="32"/>
              </w:rPr>
            </w:pPr>
          </w:p>
        </w:tc>
        <w:tc>
          <w:tcPr>
            <w:tcW w:w="709" w:type="dxa"/>
            <w:vAlign w:val="center"/>
          </w:tcPr>
          <w:p>
            <w:pPr>
              <w:widowControl/>
              <w:autoSpaceDE w:val="0"/>
              <w:spacing w:line="600" w:lineRule="exact"/>
              <w:rPr>
                <w:rFonts w:eastAsia="方正仿宋_GBK"/>
                <w:color w:val="000000"/>
                <w:kern w:val="0"/>
                <w:szCs w:val="32"/>
              </w:rPr>
            </w:pPr>
          </w:p>
        </w:tc>
        <w:tc>
          <w:tcPr>
            <w:tcW w:w="1843" w:type="dxa"/>
            <w:vAlign w:val="center"/>
          </w:tcPr>
          <w:p>
            <w:pPr>
              <w:widowControl/>
              <w:autoSpaceDE w:val="0"/>
              <w:spacing w:line="600" w:lineRule="exact"/>
              <w:rPr>
                <w:rFonts w:eastAsia="方正仿宋_GBK"/>
                <w:color w:val="000000"/>
                <w:kern w:val="0"/>
                <w:szCs w:val="32"/>
              </w:rPr>
            </w:pPr>
          </w:p>
        </w:tc>
        <w:tc>
          <w:tcPr>
            <w:tcW w:w="1842" w:type="dxa"/>
            <w:vAlign w:val="center"/>
          </w:tcPr>
          <w:p>
            <w:pPr>
              <w:widowControl/>
              <w:autoSpaceDE w:val="0"/>
              <w:spacing w:line="600" w:lineRule="exact"/>
              <w:rPr>
                <w:rFonts w:eastAsia="方正仿宋_GBK"/>
                <w:color w:val="000000"/>
                <w:kern w:val="0"/>
                <w:szCs w:val="32"/>
              </w:rPr>
            </w:pPr>
          </w:p>
        </w:tc>
        <w:tc>
          <w:tcPr>
            <w:tcW w:w="1843" w:type="dxa"/>
          </w:tcPr>
          <w:p>
            <w:pPr>
              <w:widowControl/>
              <w:autoSpaceDE w:val="0"/>
              <w:spacing w:line="600" w:lineRule="exact"/>
              <w:rPr>
                <w:rFonts w:eastAsia="方正仿宋_GBK"/>
                <w:color w:val="000000"/>
                <w:kern w:val="0"/>
                <w:szCs w:val="32"/>
              </w:rPr>
            </w:pPr>
          </w:p>
        </w:tc>
        <w:tc>
          <w:tcPr>
            <w:tcW w:w="1240" w:type="dxa"/>
          </w:tcPr>
          <w:p>
            <w:pPr>
              <w:widowControl/>
              <w:autoSpaceDE w:val="0"/>
              <w:spacing w:line="600" w:lineRule="exact"/>
              <w:rPr>
                <w:rFonts w:eastAsia="方正仿宋_GBK"/>
                <w:color w:val="000000"/>
                <w:kern w:val="0"/>
                <w:szCs w:val="32"/>
              </w:rPr>
            </w:pPr>
          </w:p>
        </w:tc>
        <w:tc>
          <w:tcPr>
            <w:tcW w:w="1418" w:type="dxa"/>
            <w:vAlign w:val="center"/>
          </w:tcPr>
          <w:p>
            <w:pPr>
              <w:widowControl/>
              <w:autoSpaceDE w:val="0"/>
              <w:spacing w:line="600" w:lineRule="exact"/>
              <w:rPr>
                <w:rFonts w:eastAsia="方正仿宋_GBK"/>
                <w:color w:val="000000"/>
                <w:kern w:val="0"/>
                <w:szCs w:val="32"/>
              </w:rPr>
            </w:pPr>
          </w:p>
        </w:tc>
        <w:tc>
          <w:tcPr>
            <w:tcW w:w="1602" w:type="dxa"/>
          </w:tcPr>
          <w:p>
            <w:pPr>
              <w:widowControl/>
              <w:autoSpaceDE w:val="0"/>
              <w:spacing w:line="600" w:lineRule="exact"/>
              <w:rPr>
                <w:rFonts w:eastAsia="方正仿宋_GBK"/>
                <w:color w:val="000000"/>
                <w:kern w:val="0"/>
                <w:szCs w:val="32"/>
              </w:rPr>
            </w:pPr>
          </w:p>
        </w:tc>
        <w:tc>
          <w:tcPr>
            <w:tcW w:w="1159" w:type="dxa"/>
            <w:vAlign w:val="center"/>
          </w:tcPr>
          <w:p>
            <w:pPr>
              <w:widowControl/>
              <w:autoSpaceDE w:val="0"/>
              <w:spacing w:line="600" w:lineRule="exact"/>
              <w:rPr>
                <w:rFonts w:eastAsia="方正仿宋_GBK"/>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eastAsia="方正仿宋_GBK"/>
                <w:color w:val="000000"/>
                <w:kern w:val="0"/>
                <w:szCs w:val="32"/>
              </w:rPr>
            </w:pPr>
          </w:p>
        </w:tc>
        <w:tc>
          <w:tcPr>
            <w:tcW w:w="1134" w:type="dxa"/>
            <w:vAlign w:val="center"/>
          </w:tcPr>
          <w:p>
            <w:pPr>
              <w:widowControl/>
              <w:autoSpaceDE w:val="0"/>
              <w:spacing w:line="600" w:lineRule="exact"/>
              <w:rPr>
                <w:rFonts w:eastAsia="方正仿宋_GBK"/>
                <w:color w:val="000000"/>
                <w:kern w:val="0"/>
                <w:szCs w:val="32"/>
              </w:rPr>
            </w:pPr>
          </w:p>
        </w:tc>
        <w:tc>
          <w:tcPr>
            <w:tcW w:w="709" w:type="dxa"/>
            <w:vAlign w:val="center"/>
          </w:tcPr>
          <w:p>
            <w:pPr>
              <w:widowControl/>
              <w:autoSpaceDE w:val="0"/>
              <w:spacing w:line="600" w:lineRule="exact"/>
              <w:rPr>
                <w:rFonts w:eastAsia="方正仿宋_GBK"/>
                <w:color w:val="000000"/>
                <w:kern w:val="0"/>
                <w:szCs w:val="32"/>
              </w:rPr>
            </w:pPr>
          </w:p>
        </w:tc>
        <w:tc>
          <w:tcPr>
            <w:tcW w:w="1843" w:type="dxa"/>
            <w:vAlign w:val="center"/>
          </w:tcPr>
          <w:p>
            <w:pPr>
              <w:widowControl/>
              <w:autoSpaceDE w:val="0"/>
              <w:spacing w:line="600" w:lineRule="exact"/>
              <w:rPr>
                <w:rFonts w:eastAsia="方正仿宋_GBK"/>
                <w:color w:val="000000"/>
                <w:kern w:val="0"/>
                <w:szCs w:val="32"/>
              </w:rPr>
            </w:pPr>
          </w:p>
        </w:tc>
        <w:tc>
          <w:tcPr>
            <w:tcW w:w="1842" w:type="dxa"/>
            <w:vAlign w:val="center"/>
          </w:tcPr>
          <w:p>
            <w:pPr>
              <w:widowControl/>
              <w:autoSpaceDE w:val="0"/>
              <w:spacing w:line="600" w:lineRule="exact"/>
              <w:rPr>
                <w:rFonts w:eastAsia="方正仿宋_GBK"/>
                <w:color w:val="000000"/>
                <w:kern w:val="0"/>
                <w:szCs w:val="32"/>
              </w:rPr>
            </w:pPr>
          </w:p>
        </w:tc>
        <w:tc>
          <w:tcPr>
            <w:tcW w:w="1843" w:type="dxa"/>
          </w:tcPr>
          <w:p>
            <w:pPr>
              <w:widowControl/>
              <w:autoSpaceDE w:val="0"/>
              <w:spacing w:line="600" w:lineRule="exact"/>
              <w:rPr>
                <w:rFonts w:eastAsia="方正仿宋_GBK"/>
                <w:color w:val="000000"/>
                <w:kern w:val="0"/>
                <w:szCs w:val="32"/>
              </w:rPr>
            </w:pPr>
          </w:p>
        </w:tc>
        <w:tc>
          <w:tcPr>
            <w:tcW w:w="1240" w:type="dxa"/>
          </w:tcPr>
          <w:p>
            <w:pPr>
              <w:widowControl/>
              <w:autoSpaceDE w:val="0"/>
              <w:spacing w:line="600" w:lineRule="exact"/>
              <w:rPr>
                <w:rFonts w:eastAsia="方正仿宋_GBK"/>
                <w:color w:val="000000"/>
                <w:kern w:val="0"/>
                <w:szCs w:val="32"/>
              </w:rPr>
            </w:pPr>
          </w:p>
        </w:tc>
        <w:tc>
          <w:tcPr>
            <w:tcW w:w="1418" w:type="dxa"/>
            <w:vAlign w:val="center"/>
          </w:tcPr>
          <w:p>
            <w:pPr>
              <w:widowControl/>
              <w:autoSpaceDE w:val="0"/>
              <w:spacing w:line="600" w:lineRule="exact"/>
              <w:rPr>
                <w:rFonts w:eastAsia="方正仿宋_GBK"/>
                <w:color w:val="000000"/>
                <w:kern w:val="0"/>
                <w:szCs w:val="32"/>
              </w:rPr>
            </w:pPr>
          </w:p>
        </w:tc>
        <w:tc>
          <w:tcPr>
            <w:tcW w:w="1602" w:type="dxa"/>
          </w:tcPr>
          <w:p>
            <w:pPr>
              <w:widowControl/>
              <w:autoSpaceDE w:val="0"/>
              <w:spacing w:line="600" w:lineRule="exact"/>
              <w:rPr>
                <w:rFonts w:eastAsia="方正仿宋_GBK"/>
                <w:color w:val="000000"/>
                <w:kern w:val="0"/>
                <w:szCs w:val="32"/>
              </w:rPr>
            </w:pPr>
          </w:p>
        </w:tc>
        <w:tc>
          <w:tcPr>
            <w:tcW w:w="1159" w:type="dxa"/>
            <w:vAlign w:val="center"/>
          </w:tcPr>
          <w:p>
            <w:pPr>
              <w:widowControl/>
              <w:autoSpaceDE w:val="0"/>
              <w:spacing w:line="600" w:lineRule="exact"/>
              <w:rPr>
                <w:rFonts w:eastAsia="方正仿宋_GBK"/>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eastAsia="方正仿宋_GBK"/>
                <w:color w:val="000000"/>
                <w:kern w:val="0"/>
                <w:szCs w:val="32"/>
              </w:rPr>
            </w:pPr>
          </w:p>
        </w:tc>
        <w:tc>
          <w:tcPr>
            <w:tcW w:w="1134" w:type="dxa"/>
            <w:vAlign w:val="center"/>
          </w:tcPr>
          <w:p>
            <w:pPr>
              <w:widowControl/>
              <w:autoSpaceDE w:val="0"/>
              <w:spacing w:line="600" w:lineRule="exact"/>
              <w:rPr>
                <w:rFonts w:eastAsia="方正仿宋_GBK"/>
                <w:color w:val="000000"/>
                <w:kern w:val="0"/>
                <w:szCs w:val="32"/>
              </w:rPr>
            </w:pPr>
          </w:p>
        </w:tc>
        <w:tc>
          <w:tcPr>
            <w:tcW w:w="709" w:type="dxa"/>
            <w:vAlign w:val="center"/>
          </w:tcPr>
          <w:p>
            <w:pPr>
              <w:widowControl/>
              <w:autoSpaceDE w:val="0"/>
              <w:spacing w:line="600" w:lineRule="exact"/>
              <w:rPr>
                <w:rFonts w:eastAsia="方正仿宋_GBK"/>
                <w:color w:val="000000"/>
                <w:kern w:val="0"/>
                <w:szCs w:val="32"/>
              </w:rPr>
            </w:pPr>
          </w:p>
        </w:tc>
        <w:tc>
          <w:tcPr>
            <w:tcW w:w="1843" w:type="dxa"/>
            <w:vAlign w:val="center"/>
          </w:tcPr>
          <w:p>
            <w:pPr>
              <w:widowControl/>
              <w:autoSpaceDE w:val="0"/>
              <w:spacing w:line="600" w:lineRule="exact"/>
              <w:rPr>
                <w:rFonts w:eastAsia="方正仿宋_GBK"/>
                <w:color w:val="000000"/>
                <w:kern w:val="0"/>
                <w:szCs w:val="32"/>
              </w:rPr>
            </w:pPr>
          </w:p>
        </w:tc>
        <w:tc>
          <w:tcPr>
            <w:tcW w:w="1842" w:type="dxa"/>
            <w:vAlign w:val="center"/>
          </w:tcPr>
          <w:p>
            <w:pPr>
              <w:widowControl/>
              <w:autoSpaceDE w:val="0"/>
              <w:spacing w:line="600" w:lineRule="exact"/>
              <w:rPr>
                <w:rFonts w:eastAsia="方正仿宋_GBK"/>
                <w:color w:val="000000"/>
                <w:kern w:val="0"/>
                <w:szCs w:val="32"/>
              </w:rPr>
            </w:pPr>
          </w:p>
        </w:tc>
        <w:tc>
          <w:tcPr>
            <w:tcW w:w="1843" w:type="dxa"/>
          </w:tcPr>
          <w:p>
            <w:pPr>
              <w:widowControl/>
              <w:autoSpaceDE w:val="0"/>
              <w:spacing w:line="600" w:lineRule="exact"/>
              <w:rPr>
                <w:rFonts w:eastAsia="方正仿宋_GBK"/>
                <w:color w:val="000000"/>
                <w:kern w:val="0"/>
                <w:szCs w:val="32"/>
              </w:rPr>
            </w:pPr>
          </w:p>
        </w:tc>
        <w:tc>
          <w:tcPr>
            <w:tcW w:w="1240" w:type="dxa"/>
          </w:tcPr>
          <w:p>
            <w:pPr>
              <w:widowControl/>
              <w:autoSpaceDE w:val="0"/>
              <w:spacing w:line="600" w:lineRule="exact"/>
              <w:rPr>
                <w:rFonts w:eastAsia="方正仿宋_GBK"/>
                <w:color w:val="000000"/>
                <w:kern w:val="0"/>
                <w:szCs w:val="32"/>
              </w:rPr>
            </w:pPr>
          </w:p>
        </w:tc>
        <w:tc>
          <w:tcPr>
            <w:tcW w:w="1418" w:type="dxa"/>
            <w:vAlign w:val="center"/>
          </w:tcPr>
          <w:p>
            <w:pPr>
              <w:widowControl/>
              <w:autoSpaceDE w:val="0"/>
              <w:spacing w:line="600" w:lineRule="exact"/>
              <w:rPr>
                <w:rFonts w:eastAsia="方正仿宋_GBK"/>
                <w:color w:val="000000"/>
                <w:kern w:val="0"/>
                <w:szCs w:val="32"/>
              </w:rPr>
            </w:pPr>
          </w:p>
        </w:tc>
        <w:tc>
          <w:tcPr>
            <w:tcW w:w="1602" w:type="dxa"/>
          </w:tcPr>
          <w:p>
            <w:pPr>
              <w:widowControl/>
              <w:autoSpaceDE w:val="0"/>
              <w:spacing w:line="600" w:lineRule="exact"/>
              <w:rPr>
                <w:rFonts w:eastAsia="方正仿宋_GBK"/>
                <w:color w:val="000000"/>
                <w:kern w:val="0"/>
                <w:szCs w:val="32"/>
              </w:rPr>
            </w:pPr>
          </w:p>
        </w:tc>
        <w:tc>
          <w:tcPr>
            <w:tcW w:w="1159" w:type="dxa"/>
            <w:vAlign w:val="center"/>
          </w:tcPr>
          <w:p>
            <w:pPr>
              <w:widowControl/>
              <w:autoSpaceDE w:val="0"/>
              <w:spacing w:line="600" w:lineRule="exact"/>
              <w:rPr>
                <w:rFonts w:eastAsia="方正仿宋_GBK"/>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eastAsia="方正仿宋_GBK"/>
                <w:color w:val="000000"/>
                <w:kern w:val="0"/>
                <w:szCs w:val="32"/>
              </w:rPr>
            </w:pPr>
          </w:p>
        </w:tc>
        <w:tc>
          <w:tcPr>
            <w:tcW w:w="1134" w:type="dxa"/>
            <w:vAlign w:val="center"/>
          </w:tcPr>
          <w:p>
            <w:pPr>
              <w:widowControl/>
              <w:autoSpaceDE w:val="0"/>
              <w:spacing w:line="600" w:lineRule="exact"/>
              <w:rPr>
                <w:rFonts w:eastAsia="方正仿宋_GBK"/>
                <w:color w:val="000000"/>
                <w:kern w:val="0"/>
                <w:szCs w:val="32"/>
              </w:rPr>
            </w:pPr>
          </w:p>
        </w:tc>
        <w:tc>
          <w:tcPr>
            <w:tcW w:w="709" w:type="dxa"/>
            <w:vAlign w:val="center"/>
          </w:tcPr>
          <w:p>
            <w:pPr>
              <w:widowControl/>
              <w:autoSpaceDE w:val="0"/>
              <w:spacing w:line="600" w:lineRule="exact"/>
              <w:rPr>
                <w:rFonts w:eastAsia="方正仿宋_GBK"/>
                <w:color w:val="000000"/>
                <w:kern w:val="0"/>
                <w:szCs w:val="32"/>
              </w:rPr>
            </w:pPr>
          </w:p>
        </w:tc>
        <w:tc>
          <w:tcPr>
            <w:tcW w:w="1843" w:type="dxa"/>
            <w:vAlign w:val="center"/>
          </w:tcPr>
          <w:p>
            <w:pPr>
              <w:widowControl/>
              <w:autoSpaceDE w:val="0"/>
              <w:spacing w:line="600" w:lineRule="exact"/>
              <w:rPr>
                <w:rFonts w:eastAsia="方正仿宋_GBK"/>
                <w:color w:val="000000"/>
                <w:kern w:val="0"/>
                <w:szCs w:val="32"/>
              </w:rPr>
            </w:pPr>
          </w:p>
        </w:tc>
        <w:tc>
          <w:tcPr>
            <w:tcW w:w="1842" w:type="dxa"/>
            <w:vAlign w:val="center"/>
          </w:tcPr>
          <w:p>
            <w:pPr>
              <w:widowControl/>
              <w:autoSpaceDE w:val="0"/>
              <w:spacing w:line="600" w:lineRule="exact"/>
              <w:rPr>
                <w:rFonts w:eastAsia="方正仿宋_GBK"/>
                <w:color w:val="000000"/>
                <w:kern w:val="0"/>
                <w:szCs w:val="32"/>
              </w:rPr>
            </w:pPr>
          </w:p>
        </w:tc>
        <w:tc>
          <w:tcPr>
            <w:tcW w:w="1843" w:type="dxa"/>
          </w:tcPr>
          <w:p>
            <w:pPr>
              <w:widowControl/>
              <w:autoSpaceDE w:val="0"/>
              <w:spacing w:line="600" w:lineRule="exact"/>
              <w:rPr>
                <w:rFonts w:eastAsia="方正仿宋_GBK"/>
                <w:color w:val="000000"/>
                <w:kern w:val="0"/>
                <w:szCs w:val="32"/>
              </w:rPr>
            </w:pPr>
          </w:p>
        </w:tc>
        <w:tc>
          <w:tcPr>
            <w:tcW w:w="1240" w:type="dxa"/>
          </w:tcPr>
          <w:p>
            <w:pPr>
              <w:widowControl/>
              <w:autoSpaceDE w:val="0"/>
              <w:spacing w:line="600" w:lineRule="exact"/>
              <w:rPr>
                <w:rFonts w:eastAsia="方正仿宋_GBK"/>
                <w:color w:val="000000"/>
                <w:kern w:val="0"/>
                <w:szCs w:val="32"/>
              </w:rPr>
            </w:pPr>
          </w:p>
        </w:tc>
        <w:tc>
          <w:tcPr>
            <w:tcW w:w="1418" w:type="dxa"/>
            <w:vAlign w:val="center"/>
          </w:tcPr>
          <w:p>
            <w:pPr>
              <w:widowControl/>
              <w:autoSpaceDE w:val="0"/>
              <w:spacing w:line="600" w:lineRule="exact"/>
              <w:rPr>
                <w:rFonts w:eastAsia="方正仿宋_GBK"/>
                <w:color w:val="000000"/>
                <w:kern w:val="0"/>
                <w:szCs w:val="32"/>
              </w:rPr>
            </w:pPr>
          </w:p>
        </w:tc>
        <w:tc>
          <w:tcPr>
            <w:tcW w:w="1602" w:type="dxa"/>
          </w:tcPr>
          <w:p>
            <w:pPr>
              <w:widowControl/>
              <w:autoSpaceDE w:val="0"/>
              <w:spacing w:line="600" w:lineRule="exact"/>
              <w:rPr>
                <w:rFonts w:eastAsia="方正仿宋_GBK"/>
                <w:color w:val="000000"/>
                <w:kern w:val="0"/>
                <w:szCs w:val="32"/>
              </w:rPr>
            </w:pPr>
          </w:p>
        </w:tc>
        <w:tc>
          <w:tcPr>
            <w:tcW w:w="1159" w:type="dxa"/>
            <w:vAlign w:val="center"/>
          </w:tcPr>
          <w:p>
            <w:pPr>
              <w:widowControl/>
              <w:autoSpaceDE w:val="0"/>
              <w:spacing w:line="600" w:lineRule="exact"/>
              <w:rPr>
                <w:rFonts w:eastAsia="方正仿宋_GBK"/>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eastAsia="方正仿宋_GBK"/>
                <w:color w:val="000000"/>
                <w:kern w:val="0"/>
                <w:szCs w:val="32"/>
              </w:rPr>
            </w:pPr>
          </w:p>
        </w:tc>
        <w:tc>
          <w:tcPr>
            <w:tcW w:w="1134" w:type="dxa"/>
            <w:vAlign w:val="center"/>
          </w:tcPr>
          <w:p>
            <w:pPr>
              <w:widowControl/>
              <w:autoSpaceDE w:val="0"/>
              <w:spacing w:line="600" w:lineRule="exact"/>
              <w:rPr>
                <w:rFonts w:eastAsia="方正仿宋_GBK"/>
                <w:color w:val="000000"/>
                <w:kern w:val="0"/>
                <w:szCs w:val="32"/>
              </w:rPr>
            </w:pPr>
          </w:p>
        </w:tc>
        <w:tc>
          <w:tcPr>
            <w:tcW w:w="709" w:type="dxa"/>
            <w:vAlign w:val="center"/>
          </w:tcPr>
          <w:p>
            <w:pPr>
              <w:widowControl/>
              <w:autoSpaceDE w:val="0"/>
              <w:spacing w:line="600" w:lineRule="exact"/>
              <w:rPr>
                <w:rFonts w:eastAsia="方正仿宋_GBK"/>
                <w:color w:val="000000"/>
                <w:kern w:val="0"/>
                <w:szCs w:val="32"/>
              </w:rPr>
            </w:pPr>
          </w:p>
        </w:tc>
        <w:tc>
          <w:tcPr>
            <w:tcW w:w="1843" w:type="dxa"/>
            <w:vAlign w:val="center"/>
          </w:tcPr>
          <w:p>
            <w:pPr>
              <w:widowControl/>
              <w:autoSpaceDE w:val="0"/>
              <w:spacing w:line="600" w:lineRule="exact"/>
              <w:rPr>
                <w:rFonts w:eastAsia="方正仿宋_GBK"/>
                <w:color w:val="000000"/>
                <w:kern w:val="0"/>
                <w:szCs w:val="32"/>
              </w:rPr>
            </w:pPr>
          </w:p>
        </w:tc>
        <w:tc>
          <w:tcPr>
            <w:tcW w:w="1842" w:type="dxa"/>
            <w:vAlign w:val="center"/>
          </w:tcPr>
          <w:p>
            <w:pPr>
              <w:widowControl/>
              <w:autoSpaceDE w:val="0"/>
              <w:spacing w:line="600" w:lineRule="exact"/>
              <w:rPr>
                <w:rFonts w:eastAsia="方正仿宋_GBK"/>
                <w:color w:val="000000"/>
                <w:kern w:val="0"/>
                <w:szCs w:val="32"/>
              </w:rPr>
            </w:pPr>
          </w:p>
        </w:tc>
        <w:tc>
          <w:tcPr>
            <w:tcW w:w="1843" w:type="dxa"/>
          </w:tcPr>
          <w:p>
            <w:pPr>
              <w:widowControl/>
              <w:autoSpaceDE w:val="0"/>
              <w:spacing w:line="600" w:lineRule="exact"/>
              <w:rPr>
                <w:rFonts w:eastAsia="方正仿宋_GBK"/>
                <w:color w:val="000000"/>
                <w:kern w:val="0"/>
                <w:szCs w:val="32"/>
              </w:rPr>
            </w:pPr>
          </w:p>
        </w:tc>
        <w:tc>
          <w:tcPr>
            <w:tcW w:w="1240" w:type="dxa"/>
          </w:tcPr>
          <w:p>
            <w:pPr>
              <w:widowControl/>
              <w:autoSpaceDE w:val="0"/>
              <w:spacing w:line="600" w:lineRule="exact"/>
              <w:rPr>
                <w:rFonts w:eastAsia="方正仿宋_GBK"/>
                <w:color w:val="000000"/>
                <w:kern w:val="0"/>
                <w:szCs w:val="32"/>
              </w:rPr>
            </w:pPr>
          </w:p>
        </w:tc>
        <w:tc>
          <w:tcPr>
            <w:tcW w:w="1418" w:type="dxa"/>
            <w:vAlign w:val="center"/>
          </w:tcPr>
          <w:p>
            <w:pPr>
              <w:widowControl/>
              <w:autoSpaceDE w:val="0"/>
              <w:spacing w:line="600" w:lineRule="exact"/>
              <w:rPr>
                <w:rFonts w:eastAsia="方正仿宋_GBK"/>
                <w:color w:val="000000"/>
                <w:kern w:val="0"/>
                <w:szCs w:val="32"/>
              </w:rPr>
            </w:pPr>
          </w:p>
        </w:tc>
        <w:tc>
          <w:tcPr>
            <w:tcW w:w="1602" w:type="dxa"/>
          </w:tcPr>
          <w:p>
            <w:pPr>
              <w:widowControl/>
              <w:autoSpaceDE w:val="0"/>
              <w:spacing w:line="600" w:lineRule="exact"/>
              <w:rPr>
                <w:rFonts w:eastAsia="方正仿宋_GBK"/>
                <w:color w:val="000000"/>
                <w:kern w:val="0"/>
                <w:szCs w:val="32"/>
              </w:rPr>
            </w:pPr>
          </w:p>
        </w:tc>
        <w:tc>
          <w:tcPr>
            <w:tcW w:w="1159" w:type="dxa"/>
            <w:vAlign w:val="center"/>
          </w:tcPr>
          <w:p>
            <w:pPr>
              <w:widowControl/>
              <w:autoSpaceDE w:val="0"/>
              <w:spacing w:line="600" w:lineRule="exact"/>
              <w:rPr>
                <w:rFonts w:eastAsia="方正仿宋_GBK"/>
                <w:color w:val="000000"/>
                <w:kern w:val="0"/>
                <w:szCs w:val="32"/>
              </w:rPr>
            </w:pPr>
          </w:p>
        </w:tc>
      </w:tr>
    </w:tbl>
    <w:p>
      <w:pPr>
        <w:widowControl/>
        <w:autoSpaceDE w:val="0"/>
        <w:spacing w:line="600" w:lineRule="exact"/>
        <w:rPr>
          <w:rFonts w:eastAsia="方正仿宋_GBK"/>
          <w:color w:val="000000"/>
          <w:kern w:val="0"/>
          <w:szCs w:val="32"/>
        </w:rPr>
      </w:pPr>
      <w:r>
        <w:rPr>
          <w:rFonts w:eastAsia="方正仿宋_GBK"/>
          <w:color w:val="000000"/>
          <w:kern w:val="0"/>
          <w:szCs w:val="32"/>
        </w:rPr>
        <w:t>填表说明：此表只由机关事业单位填写，企业不需要填写。本表一式两份，晋升方式：填“正常晋升”“转评”“多评”“ 破格”“基层定向”“重新确认”等</w:t>
      </w:r>
    </w:p>
    <w:p>
      <w:pPr>
        <w:widowControl/>
        <w:autoSpaceDE w:val="0"/>
        <w:spacing w:line="600" w:lineRule="exact"/>
        <w:rPr>
          <w:rFonts w:eastAsia="方正仿宋_GBK"/>
          <w:color w:val="000000"/>
          <w:kern w:val="0"/>
          <w:szCs w:val="32"/>
        </w:rPr>
        <w:sectPr>
          <w:pgSz w:w="16838" w:h="11906" w:orient="landscape"/>
          <w:pgMar w:top="1474" w:right="1985" w:bottom="1588" w:left="2098" w:header="1701" w:footer="1134" w:gutter="0"/>
          <w:cols w:space="720" w:num="1"/>
          <w:docGrid w:type="linesAndChars" w:linePitch="579" w:charSpace="-849"/>
        </w:sectPr>
      </w:pPr>
    </w:p>
    <w:p>
      <w:pPr>
        <w:rPr>
          <w:rFonts w:eastAsia="方正黑体_GBK"/>
          <w:szCs w:val="32"/>
        </w:rPr>
      </w:pPr>
      <w:r>
        <w:rPr>
          <w:rFonts w:eastAsia="方正黑体_GBK"/>
          <w:szCs w:val="32"/>
        </w:rPr>
        <w:t>附件3</w:t>
      </w:r>
    </w:p>
    <w:p>
      <w:pPr>
        <w:widowControl/>
        <w:spacing w:line="560" w:lineRule="exact"/>
        <w:jc w:val="center"/>
        <w:rPr>
          <w:rFonts w:eastAsia="方正黑体_GBK"/>
          <w:sz w:val="44"/>
          <w:szCs w:val="44"/>
        </w:rPr>
      </w:pPr>
      <w:r>
        <w:rPr>
          <w:rFonts w:eastAsia="方正黑体_GBK"/>
          <w:sz w:val="44"/>
          <w:szCs w:val="44"/>
        </w:rPr>
        <w:t>重庆市专业技术人员继续教育登记卡</w:t>
      </w:r>
    </w:p>
    <w:p>
      <w:pPr>
        <w:widowControl/>
        <w:spacing w:line="560" w:lineRule="exact"/>
        <w:jc w:val="center"/>
        <w:rPr>
          <w:rFonts w:eastAsia="方正黑体_GBK"/>
          <w:sz w:val="44"/>
          <w:szCs w:val="44"/>
        </w:rPr>
      </w:pPr>
      <w:r>
        <w:rPr>
          <w:rFonts w:eastAsia="方正黑体_GBK"/>
          <w:sz w:val="44"/>
          <w:szCs w:val="44"/>
        </w:rPr>
        <w:t>（2022版）</w:t>
      </w:r>
    </w:p>
    <w:p>
      <w:pPr>
        <w:widowControl/>
        <w:jc w:val="left"/>
        <w:rPr>
          <w:rFonts w:eastAsia="方正仿宋_GBK"/>
          <w:sz w:val="30"/>
          <w:szCs w:val="30"/>
        </w:rPr>
      </w:pPr>
      <w:r>
        <w:rPr>
          <w:rFonts w:eastAsia="方正仿宋_GBK"/>
          <w:sz w:val="30"/>
          <w:szCs w:val="30"/>
        </w:rPr>
        <w:t>工作单位（盖章）:</w:t>
      </w:r>
    </w:p>
    <w:tbl>
      <w:tblPr>
        <w:tblStyle w:val="15"/>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24"/>
        <w:gridCol w:w="927"/>
        <w:gridCol w:w="978"/>
        <w:gridCol w:w="723"/>
        <w:gridCol w:w="885"/>
        <w:gridCol w:w="1076"/>
        <w:gridCol w:w="1054"/>
        <w:gridCol w:w="91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 w:type="dxa"/>
            <w:vAlign w:val="center"/>
          </w:tcPr>
          <w:p>
            <w:pPr>
              <w:widowControl/>
              <w:jc w:val="left"/>
              <w:rPr>
                <w:rFonts w:eastAsia="方正仿宋_GBK"/>
                <w:sz w:val="30"/>
                <w:szCs w:val="30"/>
              </w:rPr>
            </w:pPr>
            <w:r>
              <w:rPr>
                <w:rFonts w:eastAsia="方正仿宋_GBK"/>
                <w:sz w:val="30"/>
                <w:szCs w:val="30"/>
              </w:rPr>
              <w:t>姓名</w:t>
            </w:r>
          </w:p>
        </w:tc>
        <w:tc>
          <w:tcPr>
            <w:tcW w:w="1251" w:type="dxa"/>
            <w:gridSpan w:val="2"/>
            <w:vAlign w:val="center"/>
          </w:tcPr>
          <w:p>
            <w:pPr>
              <w:widowControl/>
              <w:jc w:val="left"/>
              <w:rPr>
                <w:rFonts w:eastAsia="方正仿宋_GBK"/>
                <w:sz w:val="30"/>
                <w:szCs w:val="30"/>
              </w:rPr>
            </w:pPr>
          </w:p>
        </w:tc>
        <w:tc>
          <w:tcPr>
            <w:tcW w:w="978" w:type="dxa"/>
            <w:vAlign w:val="center"/>
          </w:tcPr>
          <w:p>
            <w:pPr>
              <w:widowControl/>
              <w:jc w:val="left"/>
              <w:rPr>
                <w:rFonts w:eastAsia="方正仿宋_GBK"/>
                <w:sz w:val="30"/>
                <w:szCs w:val="30"/>
              </w:rPr>
            </w:pPr>
            <w:r>
              <w:rPr>
                <w:rFonts w:eastAsia="方正仿宋_GBK"/>
                <w:sz w:val="30"/>
                <w:szCs w:val="30"/>
              </w:rPr>
              <w:t>性别</w:t>
            </w:r>
          </w:p>
        </w:tc>
        <w:tc>
          <w:tcPr>
            <w:tcW w:w="723" w:type="dxa"/>
            <w:vAlign w:val="center"/>
          </w:tcPr>
          <w:p>
            <w:pPr>
              <w:widowControl/>
              <w:jc w:val="left"/>
              <w:rPr>
                <w:rFonts w:eastAsia="方正仿宋_GBK"/>
                <w:sz w:val="30"/>
                <w:szCs w:val="30"/>
              </w:rPr>
            </w:pPr>
          </w:p>
        </w:tc>
        <w:tc>
          <w:tcPr>
            <w:tcW w:w="885" w:type="dxa"/>
            <w:vAlign w:val="center"/>
          </w:tcPr>
          <w:p>
            <w:pPr>
              <w:widowControl/>
              <w:jc w:val="left"/>
              <w:rPr>
                <w:rFonts w:eastAsia="方正仿宋_GBK"/>
                <w:sz w:val="30"/>
                <w:szCs w:val="30"/>
              </w:rPr>
            </w:pPr>
            <w:r>
              <w:rPr>
                <w:rFonts w:eastAsia="方正仿宋_GBK"/>
                <w:sz w:val="30"/>
                <w:szCs w:val="30"/>
              </w:rPr>
              <w:t>身份号码</w:t>
            </w:r>
          </w:p>
        </w:tc>
        <w:tc>
          <w:tcPr>
            <w:tcW w:w="2130" w:type="dxa"/>
            <w:gridSpan w:val="2"/>
            <w:vAlign w:val="center"/>
          </w:tcPr>
          <w:p>
            <w:pPr>
              <w:widowControl/>
              <w:jc w:val="left"/>
              <w:rPr>
                <w:rFonts w:eastAsia="方正仿宋_GBK"/>
                <w:sz w:val="30"/>
                <w:szCs w:val="30"/>
              </w:rPr>
            </w:pPr>
          </w:p>
        </w:tc>
        <w:tc>
          <w:tcPr>
            <w:tcW w:w="914" w:type="dxa"/>
            <w:vAlign w:val="center"/>
          </w:tcPr>
          <w:p>
            <w:pPr>
              <w:widowControl/>
              <w:jc w:val="left"/>
              <w:rPr>
                <w:rFonts w:eastAsia="方正仿宋_GBK"/>
                <w:sz w:val="30"/>
                <w:szCs w:val="30"/>
              </w:rPr>
            </w:pPr>
            <w:r>
              <w:rPr>
                <w:rFonts w:eastAsia="方正仿宋_GBK"/>
                <w:sz w:val="30"/>
                <w:szCs w:val="30"/>
              </w:rPr>
              <w:t>职称</w:t>
            </w:r>
          </w:p>
        </w:tc>
        <w:tc>
          <w:tcPr>
            <w:tcW w:w="1541"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gridSpan w:val="2"/>
            <w:vAlign w:val="center"/>
          </w:tcPr>
          <w:p>
            <w:pPr>
              <w:widowControl/>
              <w:jc w:val="left"/>
              <w:rPr>
                <w:rFonts w:eastAsia="方正仿宋_GBK"/>
                <w:sz w:val="30"/>
                <w:szCs w:val="30"/>
              </w:rPr>
            </w:pPr>
            <w:r>
              <w:rPr>
                <w:rFonts w:eastAsia="方正仿宋_GBK"/>
                <w:sz w:val="30"/>
                <w:szCs w:val="30"/>
              </w:rPr>
              <w:t>年度</w:t>
            </w:r>
          </w:p>
        </w:tc>
        <w:tc>
          <w:tcPr>
            <w:tcW w:w="4589" w:type="dxa"/>
            <w:gridSpan w:val="5"/>
            <w:vAlign w:val="center"/>
          </w:tcPr>
          <w:p>
            <w:pPr>
              <w:widowControl/>
              <w:jc w:val="left"/>
              <w:rPr>
                <w:rFonts w:eastAsia="方正仿宋_GBK"/>
                <w:sz w:val="30"/>
                <w:szCs w:val="30"/>
              </w:rPr>
            </w:pPr>
            <w:r>
              <w:rPr>
                <w:rFonts w:eastAsia="方正仿宋_GBK"/>
                <w:sz w:val="30"/>
                <w:szCs w:val="30"/>
              </w:rPr>
              <w:t>学习内容</w:t>
            </w:r>
          </w:p>
        </w:tc>
        <w:tc>
          <w:tcPr>
            <w:tcW w:w="1054" w:type="dxa"/>
            <w:vAlign w:val="center"/>
          </w:tcPr>
          <w:p>
            <w:pPr>
              <w:widowControl/>
              <w:spacing w:line="560" w:lineRule="exact"/>
              <w:jc w:val="left"/>
              <w:rPr>
                <w:rFonts w:eastAsia="方正仿宋_GBK"/>
                <w:sz w:val="30"/>
                <w:szCs w:val="30"/>
              </w:rPr>
            </w:pPr>
            <w:r>
              <w:rPr>
                <w:rFonts w:eastAsia="方正仿宋_GBK"/>
                <w:sz w:val="30"/>
                <w:szCs w:val="30"/>
              </w:rPr>
              <w:t>学习方式</w:t>
            </w:r>
          </w:p>
        </w:tc>
        <w:tc>
          <w:tcPr>
            <w:tcW w:w="914" w:type="dxa"/>
            <w:vAlign w:val="center"/>
          </w:tcPr>
          <w:p>
            <w:pPr>
              <w:widowControl/>
              <w:jc w:val="left"/>
              <w:rPr>
                <w:rFonts w:eastAsia="方正仿宋_GBK"/>
                <w:sz w:val="30"/>
                <w:szCs w:val="30"/>
              </w:rPr>
            </w:pPr>
            <w:r>
              <w:rPr>
                <w:rFonts w:eastAsia="方正仿宋_GBK"/>
                <w:sz w:val="30"/>
                <w:szCs w:val="30"/>
              </w:rPr>
              <w:t>学时</w:t>
            </w:r>
          </w:p>
        </w:tc>
        <w:tc>
          <w:tcPr>
            <w:tcW w:w="1541" w:type="dxa"/>
            <w:vAlign w:val="center"/>
          </w:tcPr>
          <w:p>
            <w:pPr>
              <w:widowControl/>
              <w:jc w:val="left"/>
              <w:rPr>
                <w:rFonts w:eastAsia="方正仿宋_GBK"/>
                <w:sz w:val="30"/>
                <w:szCs w:val="30"/>
              </w:rPr>
            </w:pPr>
            <w:r>
              <w:rPr>
                <w:rFonts w:eastAsia="方正仿宋_GBK"/>
                <w:sz w:val="30"/>
                <w:szCs w:val="30"/>
              </w:rPr>
              <w:t>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00" w:type="dxa"/>
            <w:gridSpan w:val="2"/>
            <w:vMerge w:val="restart"/>
            <w:vAlign w:val="center"/>
          </w:tcPr>
          <w:p>
            <w:pPr>
              <w:widowControl/>
              <w:jc w:val="left"/>
              <w:rPr>
                <w:rFonts w:eastAsia="方正仿宋_GBK"/>
                <w:sz w:val="30"/>
                <w:szCs w:val="30"/>
              </w:rPr>
            </w:pPr>
            <w:r>
              <w:rPr>
                <w:rFonts w:eastAsia="方正仿宋_GBK"/>
                <w:sz w:val="30"/>
                <w:szCs w:val="30"/>
              </w:rPr>
              <w:t>例:2021</w:t>
            </w:r>
          </w:p>
        </w:tc>
        <w:tc>
          <w:tcPr>
            <w:tcW w:w="4589" w:type="dxa"/>
            <w:gridSpan w:val="5"/>
            <w:vAlign w:val="center"/>
          </w:tcPr>
          <w:p>
            <w:pPr>
              <w:widowControl/>
              <w:jc w:val="left"/>
              <w:rPr>
                <w:rFonts w:eastAsia="方正仿宋_GBK"/>
                <w:sz w:val="30"/>
                <w:szCs w:val="30"/>
              </w:rPr>
            </w:pPr>
            <w:r>
              <w:rPr>
                <w:rFonts w:eastAsia="方正仿宋_GBK"/>
                <w:sz w:val="30"/>
                <w:szCs w:val="30"/>
              </w:rPr>
              <w:t>1.XXXX</w:t>
            </w:r>
          </w:p>
        </w:tc>
        <w:tc>
          <w:tcPr>
            <w:tcW w:w="1054" w:type="dxa"/>
            <w:vAlign w:val="center"/>
          </w:tcPr>
          <w:p>
            <w:pPr>
              <w:widowControl/>
              <w:jc w:val="left"/>
              <w:rPr>
                <w:rFonts w:eastAsia="方正仿宋_GBK"/>
                <w:sz w:val="30"/>
                <w:szCs w:val="30"/>
              </w:rPr>
            </w:pPr>
          </w:p>
        </w:tc>
        <w:tc>
          <w:tcPr>
            <w:tcW w:w="914" w:type="dxa"/>
            <w:vAlign w:val="center"/>
          </w:tcPr>
          <w:p>
            <w:pPr>
              <w:widowControl/>
              <w:jc w:val="left"/>
              <w:rPr>
                <w:rFonts w:eastAsia="方正仿宋_GBK"/>
                <w:sz w:val="30"/>
                <w:szCs w:val="30"/>
              </w:rPr>
            </w:pPr>
          </w:p>
        </w:tc>
        <w:tc>
          <w:tcPr>
            <w:tcW w:w="1541"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00" w:type="dxa"/>
            <w:gridSpan w:val="2"/>
            <w:vMerge w:val="continue"/>
            <w:vAlign w:val="center"/>
          </w:tcPr>
          <w:p>
            <w:pPr>
              <w:widowControl/>
              <w:jc w:val="left"/>
              <w:rPr>
                <w:rFonts w:eastAsia="方正仿宋_GBK"/>
                <w:sz w:val="30"/>
                <w:szCs w:val="30"/>
              </w:rPr>
            </w:pPr>
          </w:p>
        </w:tc>
        <w:tc>
          <w:tcPr>
            <w:tcW w:w="4589" w:type="dxa"/>
            <w:gridSpan w:val="5"/>
            <w:vAlign w:val="center"/>
          </w:tcPr>
          <w:p>
            <w:pPr>
              <w:widowControl/>
              <w:jc w:val="left"/>
              <w:rPr>
                <w:rFonts w:eastAsia="方正仿宋_GBK"/>
                <w:sz w:val="30"/>
                <w:szCs w:val="30"/>
              </w:rPr>
            </w:pPr>
            <w:r>
              <w:rPr>
                <w:rFonts w:eastAsia="方正仿宋_GBK"/>
                <w:sz w:val="30"/>
                <w:szCs w:val="30"/>
              </w:rPr>
              <w:t>2．XXXX</w:t>
            </w:r>
          </w:p>
        </w:tc>
        <w:tc>
          <w:tcPr>
            <w:tcW w:w="1054" w:type="dxa"/>
            <w:vAlign w:val="center"/>
          </w:tcPr>
          <w:p>
            <w:pPr>
              <w:widowControl/>
              <w:jc w:val="left"/>
              <w:rPr>
                <w:rFonts w:eastAsia="方正仿宋_GBK"/>
                <w:sz w:val="30"/>
                <w:szCs w:val="30"/>
              </w:rPr>
            </w:pPr>
          </w:p>
        </w:tc>
        <w:tc>
          <w:tcPr>
            <w:tcW w:w="914" w:type="dxa"/>
            <w:vAlign w:val="center"/>
          </w:tcPr>
          <w:p>
            <w:pPr>
              <w:widowControl/>
              <w:jc w:val="left"/>
              <w:rPr>
                <w:rFonts w:eastAsia="方正仿宋_GBK"/>
                <w:sz w:val="30"/>
                <w:szCs w:val="30"/>
              </w:rPr>
            </w:pPr>
          </w:p>
        </w:tc>
        <w:tc>
          <w:tcPr>
            <w:tcW w:w="1541"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00" w:type="dxa"/>
            <w:gridSpan w:val="2"/>
            <w:vMerge w:val="continue"/>
            <w:vAlign w:val="center"/>
          </w:tcPr>
          <w:p>
            <w:pPr>
              <w:widowControl/>
              <w:jc w:val="left"/>
              <w:rPr>
                <w:rFonts w:eastAsia="方正仿宋_GBK"/>
                <w:sz w:val="30"/>
                <w:szCs w:val="30"/>
              </w:rPr>
            </w:pPr>
          </w:p>
        </w:tc>
        <w:tc>
          <w:tcPr>
            <w:tcW w:w="4589" w:type="dxa"/>
            <w:gridSpan w:val="5"/>
            <w:vAlign w:val="center"/>
          </w:tcPr>
          <w:p>
            <w:pPr>
              <w:widowControl/>
              <w:jc w:val="left"/>
              <w:rPr>
                <w:rFonts w:eastAsia="方正仿宋_GBK"/>
                <w:sz w:val="30"/>
                <w:szCs w:val="30"/>
              </w:rPr>
            </w:pPr>
            <w:r>
              <w:rPr>
                <w:rFonts w:eastAsia="方正仿宋_GBK"/>
                <w:sz w:val="30"/>
                <w:szCs w:val="30"/>
              </w:rPr>
              <w:t>3.XXXX</w:t>
            </w:r>
          </w:p>
        </w:tc>
        <w:tc>
          <w:tcPr>
            <w:tcW w:w="1054" w:type="dxa"/>
            <w:vAlign w:val="center"/>
          </w:tcPr>
          <w:p>
            <w:pPr>
              <w:widowControl/>
              <w:jc w:val="left"/>
              <w:rPr>
                <w:rFonts w:eastAsia="方正仿宋_GBK"/>
                <w:sz w:val="30"/>
                <w:szCs w:val="30"/>
              </w:rPr>
            </w:pPr>
          </w:p>
        </w:tc>
        <w:tc>
          <w:tcPr>
            <w:tcW w:w="914" w:type="dxa"/>
            <w:vAlign w:val="center"/>
          </w:tcPr>
          <w:p>
            <w:pPr>
              <w:widowControl/>
              <w:jc w:val="left"/>
              <w:rPr>
                <w:rFonts w:eastAsia="方正仿宋_GBK"/>
                <w:sz w:val="30"/>
                <w:szCs w:val="30"/>
              </w:rPr>
            </w:pPr>
          </w:p>
        </w:tc>
        <w:tc>
          <w:tcPr>
            <w:tcW w:w="1541"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00" w:type="dxa"/>
            <w:gridSpan w:val="2"/>
            <w:vMerge w:val="continue"/>
            <w:vAlign w:val="center"/>
          </w:tcPr>
          <w:p>
            <w:pPr>
              <w:widowControl/>
              <w:jc w:val="left"/>
              <w:rPr>
                <w:rFonts w:eastAsia="方正仿宋_GBK"/>
                <w:sz w:val="30"/>
                <w:szCs w:val="30"/>
              </w:rPr>
            </w:pPr>
          </w:p>
        </w:tc>
        <w:tc>
          <w:tcPr>
            <w:tcW w:w="4589" w:type="dxa"/>
            <w:gridSpan w:val="5"/>
            <w:vAlign w:val="center"/>
          </w:tcPr>
          <w:p>
            <w:pPr>
              <w:widowControl/>
              <w:jc w:val="left"/>
              <w:rPr>
                <w:rFonts w:eastAsia="方正仿宋_GBK"/>
                <w:sz w:val="30"/>
                <w:szCs w:val="30"/>
              </w:rPr>
            </w:pPr>
            <w:r>
              <w:rPr>
                <w:rFonts w:eastAsia="方正仿宋_GBK"/>
                <w:sz w:val="30"/>
                <w:szCs w:val="30"/>
              </w:rPr>
              <w:t>…</w:t>
            </w:r>
          </w:p>
        </w:tc>
        <w:tc>
          <w:tcPr>
            <w:tcW w:w="1054" w:type="dxa"/>
            <w:vAlign w:val="center"/>
          </w:tcPr>
          <w:p>
            <w:pPr>
              <w:widowControl/>
              <w:jc w:val="left"/>
              <w:rPr>
                <w:rFonts w:eastAsia="方正仿宋_GBK"/>
                <w:sz w:val="30"/>
                <w:szCs w:val="30"/>
              </w:rPr>
            </w:pPr>
          </w:p>
        </w:tc>
        <w:tc>
          <w:tcPr>
            <w:tcW w:w="914" w:type="dxa"/>
            <w:vAlign w:val="center"/>
          </w:tcPr>
          <w:p>
            <w:pPr>
              <w:widowControl/>
              <w:jc w:val="left"/>
              <w:rPr>
                <w:rFonts w:eastAsia="方正仿宋_GBK"/>
                <w:sz w:val="30"/>
                <w:szCs w:val="30"/>
              </w:rPr>
            </w:pPr>
          </w:p>
        </w:tc>
        <w:tc>
          <w:tcPr>
            <w:tcW w:w="1541"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9498" w:type="dxa"/>
            <w:gridSpan w:val="10"/>
          </w:tcPr>
          <w:p>
            <w:pPr>
              <w:widowControl/>
              <w:jc w:val="left"/>
              <w:rPr>
                <w:rFonts w:eastAsia="方正仿宋_GBK"/>
                <w:sz w:val="30"/>
                <w:szCs w:val="30"/>
              </w:rPr>
            </w:pPr>
            <w:r>
              <w:rPr>
                <w:rFonts w:eastAsia="方正仿宋_GBK"/>
                <w:sz w:val="30"/>
                <w:szCs w:val="30"/>
              </w:rPr>
              <w:t>考核验证意见:</w:t>
            </w:r>
          </w:p>
          <w:p>
            <w:pPr>
              <w:widowControl/>
              <w:jc w:val="left"/>
              <w:rPr>
                <w:rFonts w:eastAsia="方正仿宋_GBK"/>
                <w:sz w:val="30"/>
                <w:szCs w:val="30"/>
              </w:rPr>
            </w:pPr>
            <w:r>
              <w:rPr>
                <w:rFonts w:eastAsia="方正仿宋_GBK"/>
                <w:sz w:val="30"/>
                <w:szCs w:val="30"/>
              </w:rPr>
              <w:t xml:space="preserve">                            （验证单位盖章）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0" w:type="dxa"/>
            <w:gridSpan w:val="2"/>
            <w:vAlign w:val="center"/>
          </w:tcPr>
          <w:p>
            <w:pPr>
              <w:widowControl/>
              <w:jc w:val="left"/>
              <w:rPr>
                <w:rFonts w:eastAsia="方正仿宋_GBK"/>
                <w:sz w:val="30"/>
                <w:szCs w:val="30"/>
              </w:rPr>
            </w:pPr>
            <w:r>
              <w:rPr>
                <w:rFonts w:eastAsia="方正仿宋_GBK"/>
                <w:sz w:val="30"/>
                <w:szCs w:val="30"/>
              </w:rPr>
              <w:t>年度</w:t>
            </w:r>
          </w:p>
        </w:tc>
        <w:tc>
          <w:tcPr>
            <w:tcW w:w="4589" w:type="dxa"/>
            <w:gridSpan w:val="5"/>
            <w:vAlign w:val="center"/>
          </w:tcPr>
          <w:p>
            <w:pPr>
              <w:widowControl/>
              <w:jc w:val="left"/>
              <w:rPr>
                <w:rFonts w:eastAsia="方正仿宋_GBK"/>
                <w:sz w:val="30"/>
                <w:szCs w:val="30"/>
              </w:rPr>
            </w:pPr>
            <w:r>
              <w:rPr>
                <w:rFonts w:eastAsia="方正仿宋_GBK"/>
                <w:sz w:val="30"/>
                <w:szCs w:val="30"/>
              </w:rPr>
              <w:t>学习内容</w:t>
            </w:r>
          </w:p>
        </w:tc>
        <w:tc>
          <w:tcPr>
            <w:tcW w:w="1054" w:type="dxa"/>
            <w:vAlign w:val="center"/>
          </w:tcPr>
          <w:p>
            <w:pPr>
              <w:widowControl/>
              <w:spacing w:line="560" w:lineRule="exact"/>
              <w:jc w:val="left"/>
              <w:rPr>
                <w:rFonts w:eastAsia="方正仿宋_GBK"/>
                <w:sz w:val="30"/>
                <w:szCs w:val="30"/>
              </w:rPr>
            </w:pPr>
            <w:r>
              <w:rPr>
                <w:rFonts w:eastAsia="方正仿宋_GBK"/>
                <w:sz w:val="30"/>
                <w:szCs w:val="30"/>
              </w:rPr>
              <w:t>学习方式</w:t>
            </w:r>
          </w:p>
        </w:tc>
        <w:tc>
          <w:tcPr>
            <w:tcW w:w="914" w:type="dxa"/>
            <w:vAlign w:val="center"/>
          </w:tcPr>
          <w:p>
            <w:pPr>
              <w:widowControl/>
              <w:jc w:val="left"/>
              <w:rPr>
                <w:rFonts w:eastAsia="方正仿宋_GBK"/>
                <w:sz w:val="30"/>
                <w:szCs w:val="30"/>
              </w:rPr>
            </w:pPr>
            <w:r>
              <w:rPr>
                <w:rFonts w:eastAsia="方正仿宋_GBK"/>
                <w:sz w:val="30"/>
                <w:szCs w:val="30"/>
              </w:rPr>
              <w:t>学时</w:t>
            </w:r>
          </w:p>
        </w:tc>
        <w:tc>
          <w:tcPr>
            <w:tcW w:w="1541" w:type="dxa"/>
            <w:vAlign w:val="center"/>
          </w:tcPr>
          <w:p>
            <w:pPr>
              <w:widowControl/>
              <w:jc w:val="left"/>
              <w:rPr>
                <w:rFonts w:eastAsia="方正仿宋_GBK"/>
                <w:sz w:val="30"/>
                <w:szCs w:val="30"/>
              </w:rPr>
            </w:pPr>
            <w:r>
              <w:rPr>
                <w:rFonts w:eastAsia="方正仿宋_GBK"/>
                <w:sz w:val="30"/>
                <w:szCs w:val="30"/>
              </w:rPr>
              <w:t>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00" w:type="dxa"/>
            <w:gridSpan w:val="2"/>
            <w:vMerge w:val="restart"/>
            <w:vAlign w:val="center"/>
          </w:tcPr>
          <w:p>
            <w:pPr>
              <w:widowControl/>
              <w:jc w:val="left"/>
              <w:rPr>
                <w:rFonts w:eastAsia="方正仿宋_GBK"/>
                <w:sz w:val="30"/>
                <w:szCs w:val="30"/>
              </w:rPr>
            </w:pPr>
            <w:r>
              <w:rPr>
                <w:rFonts w:eastAsia="方正仿宋_GBK"/>
                <w:sz w:val="30"/>
                <w:szCs w:val="30"/>
              </w:rPr>
              <w:t>例:2022</w:t>
            </w:r>
          </w:p>
        </w:tc>
        <w:tc>
          <w:tcPr>
            <w:tcW w:w="4589" w:type="dxa"/>
            <w:gridSpan w:val="5"/>
            <w:vAlign w:val="center"/>
          </w:tcPr>
          <w:p>
            <w:pPr>
              <w:widowControl/>
              <w:jc w:val="left"/>
              <w:rPr>
                <w:rFonts w:eastAsia="方正仿宋_GBK"/>
                <w:sz w:val="30"/>
                <w:szCs w:val="30"/>
              </w:rPr>
            </w:pPr>
            <w:r>
              <w:rPr>
                <w:rFonts w:eastAsia="方正仿宋_GBK"/>
                <w:sz w:val="30"/>
                <w:szCs w:val="30"/>
              </w:rPr>
              <w:t>1.</w:t>
            </w:r>
          </w:p>
        </w:tc>
        <w:tc>
          <w:tcPr>
            <w:tcW w:w="1054" w:type="dxa"/>
            <w:vAlign w:val="center"/>
          </w:tcPr>
          <w:p>
            <w:pPr>
              <w:widowControl/>
              <w:jc w:val="left"/>
              <w:rPr>
                <w:rFonts w:eastAsia="方正仿宋_GBK"/>
                <w:sz w:val="30"/>
                <w:szCs w:val="30"/>
              </w:rPr>
            </w:pPr>
          </w:p>
        </w:tc>
        <w:tc>
          <w:tcPr>
            <w:tcW w:w="914" w:type="dxa"/>
            <w:vAlign w:val="center"/>
          </w:tcPr>
          <w:p>
            <w:pPr>
              <w:widowControl/>
              <w:jc w:val="left"/>
              <w:rPr>
                <w:rFonts w:eastAsia="方正仿宋_GBK"/>
                <w:sz w:val="30"/>
                <w:szCs w:val="30"/>
              </w:rPr>
            </w:pPr>
          </w:p>
        </w:tc>
        <w:tc>
          <w:tcPr>
            <w:tcW w:w="1541"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00" w:type="dxa"/>
            <w:gridSpan w:val="2"/>
            <w:vMerge w:val="continue"/>
            <w:vAlign w:val="center"/>
          </w:tcPr>
          <w:p>
            <w:pPr>
              <w:widowControl/>
              <w:jc w:val="left"/>
              <w:rPr>
                <w:rFonts w:eastAsia="方正仿宋_GBK"/>
                <w:sz w:val="30"/>
                <w:szCs w:val="30"/>
              </w:rPr>
            </w:pPr>
          </w:p>
        </w:tc>
        <w:tc>
          <w:tcPr>
            <w:tcW w:w="4589" w:type="dxa"/>
            <w:gridSpan w:val="5"/>
            <w:vAlign w:val="center"/>
          </w:tcPr>
          <w:p>
            <w:pPr>
              <w:widowControl/>
              <w:jc w:val="left"/>
              <w:rPr>
                <w:rFonts w:eastAsia="方正仿宋_GBK"/>
                <w:sz w:val="30"/>
                <w:szCs w:val="30"/>
              </w:rPr>
            </w:pPr>
            <w:r>
              <w:rPr>
                <w:rFonts w:eastAsia="方正仿宋_GBK"/>
                <w:sz w:val="30"/>
                <w:szCs w:val="30"/>
              </w:rPr>
              <w:t>2．</w:t>
            </w:r>
          </w:p>
        </w:tc>
        <w:tc>
          <w:tcPr>
            <w:tcW w:w="1054" w:type="dxa"/>
            <w:vAlign w:val="center"/>
          </w:tcPr>
          <w:p>
            <w:pPr>
              <w:widowControl/>
              <w:jc w:val="left"/>
              <w:rPr>
                <w:rFonts w:eastAsia="方正仿宋_GBK"/>
                <w:sz w:val="30"/>
                <w:szCs w:val="30"/>
              </w:rPr>
            </w:pPr>
          </w:p>
        </w:tc>
        <w:tc>
          <w:tcPr>
            <w:tcW w:w="914" w:type="dxa"/>
            <w:vAlign w:val="center"/>
          </w:tcPr>
          <w:p>
            <w:pPr>
              <w:widowControl/>
              <w:jc w:val="left"/>
              <w:rPr>
                <w:rFonts w:eastAsia="方正仿宋_GBK"/>
                <w:sz w:val="30"/>
                <w:szCs w:val="30"/>
              </w:rPr>
            </w:pPr>
          </w:p>
        </w:tc>
        <w:tc>
          <w:tcPr>
            <w:tcW w:w="1541"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00" w:type="dxa"/>
            <w:gridSpan w:val="2"/>
            <w:vMerge w:val="continue"/>
            <w:vAlign w:val="center"/>
          </w:tcPr>
          <w:p>
            <w:pPr>
              <w:widowControl/>
              <w:jc w:val="left"/>
              <w:rPr>
                <w:rFonts w:eastAsia="方正仿宋_GBK"/>
                <w:sz w:val="30"/>
                <w:szCs w:val="30"/>
              </w:rPr>
            </w:pPr>
          </w:p>
        </w:tc>
        <w:tc>
          <w:tcPr>
            <w:tcW w:w="4589" w:type="dxa"/>
            <w:gridSpan w:val="5"/>
            <w:vAlign w:val="center"/>
          </w:tcPr>
          <w:p>
            <w:pPr>
              <w:widowControl/>
              <w:jc w:val="left"/>
              <w:rPr>
                <w:rFonts w:eastAsia="方正仿宋_GBK"/>
                <w:sz w:val="30"/>
                <w:szCs w:val="30"/>
              </w:rPr>
            </w:pPr>
            <w:r>
              <w:rPr>
                <w:rFonts w:eastAsia="方正仿宋_GBK"/>
                <w:sz w:val="30"/>
                <w:szCs w:val="30"/>
              </w:rPr>
              <w:t>….</w:t>
            </w:r>
          </w:p>
        </w:tc>
        <w:tc>
          <w:tcPr>
            <w:tcW w:w="1054" w:type="dxa"/>
            <w:vAlign w:val="center"/>
          </w:tcPr>
          <w:p>
            <w:pPr>
              <w:widowControl/>
              <w:jc w:val="left"/>
              <w:rPr>
                <w:rFonts w:eastAsia="方正仿宋_GBK"/>
                <w:sz w:val="30"/>
                <w:szCs w:val="30"/>
              </w:rPr>
            </w:pPr>
          </w:p>
        </w:tc>
        <w:tc>
          <w:tcPr>
            <w:tcW w:w="914" w:type="dxa"/>
            <w:vAlign w:val="center"/>
          </w:tcPr>
          <w:p>
            <w:pPr>
              <w:widowControl/>
              <w:jc w:val="left"/>
              <w:rPr>
                <w:rFonts w:eastAsia="方正仿宋_GBK"/>
                <w:sz w:val="30"/>
                <w:szCs w:val="30"/>
              </w:rPr>
            </w:pPr>
          </w:p>
        </w:tc>
        <w:tc>
          <w:tcPr>
            <w:tcW w:w="1541"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9498" w:type="dxa"/>
            <w:gridSpan w:val="10"/>
          </w:tcPr>
          <w:p>
            <w:pPr>
              <w:widowControl/>
              <w:jc w:val="left"/>
              <w:rPr>
                <w:rFonts w:eastAsia="方正仿宋_GBK"/>
                <w:sz w:val="30"/>
                <w:szCs w:val="30"/>
              </w:rPr>
            </w:pPr>
            <w:r>
              <w:rPr>
                <w:rFonts w:eastAsia="方正仿宋_GBK"/>
                <w:sz w:val="30"/>
                <w:szCs w:val="30"/>
              </w:rPr>
              <w:t>考核验证意见:</w:t>
            </w:r>
          </w:p>
          <w:p>
            <w:pPr>
              <w:widowControl/>
              <w:jc w:val="left"/>
              <w:rPr>
                <w:rFonts w:eastAsia="方正仿宋_GBK"/>
                <w:sz w:val="30"/>
                <w:szCs w:val="30"/>
              </w:rPr>
            </w:pPr>
            <w:r>
              <w:rPr>
                <w:rFonts w:eastAsia="方正仿宋_GBK"/>
                <w:sz w:val="30"/>
                <w:szCs w:val="30"/>
              </w:rPr>
              <w:t xml:space="preserve">                            （验证单位盖章）     年     月   日</w:t>
            </w:r>
          </w:p>
        </w:tc>
      </w:tr>
    </w:tbl>
    <w:p>
      <w:pPr>
        <w:widowControl/>
        <w:jc w:val="left"/>
        <w:rPr>
          <w:rFonts w:eastAsia="方正仿宋_GBK"/>
          <w:sz w:val="30"/>
          <w:szCs w:val="30"/>
        </w:rPr>
      </w:pPr>
      <w:r>
        <w:rPr>
          <w:rFonts w:eastAsia="方正仿宋_GBK"/>
          <w:sz w:val="30"/>
          <w:szCs w:val="30"/>
        </w:rPr>
        <w:t>说明：此卡存入专业技术人员本人的业务档案。专业技术人员申报评定上一级职称资格或申请职（执）业资格延续注册时，须提供此卡复印件。</w:t>
      </w: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spacing w:line="500" w:lineRule="exact"/>
        <w:ind w:firstLine="316" w:firstLineChars="100"/>
        <w:rPr>
          <w:rFonts w:eastAsia="方正仿宋_GBK"/>
          <w:szCs w:val="32"/>
        </w:rPr>
      </w:pPr>
      <w:r>
        <w:rPr>
          <w:rFonts w:eastAsia="方正仿宋_GBK"/>
        </w:rPr>
        <w:pict>
          <v:line id="Line 3" o:spid="_x0000_s1031" o:spt="20" style="position:absolute;left:0pt;margin-left:1.3pt;margin-top:2.05pt;height:0.05pt;width:440.5pt;z-index:251662336;mso-width-relative:page;mso-height-relative:page;" coordsize="21600,21600">
            <v:path arrowok="t"/>
            <v:fill focussize="0,0"/>
            <v:stroke weight="0.5pt"/>
            <v:imagedata o:title=""/>
            <o:lock v:ext="edit"/>
          </v:line>
        </w:pict>
      </w:r>
      <w:r>
        <w:rPr>
          <w:rFonts w:eastAsia="方正仿宋_GBK"/>
          <w:sz w:val="28"/>
          <w:szCs w:val="28"/>
        </w:rPr>
        <w:pict>
          <v:line id="Line 2" o:spid="_x0000_s1030" o:spt="20" style="position:absolute;left:0pt;margin-left:1.3pt;margin-top:31.3pt;height:0.05pt;width:440.5pt;z-index:251661312;mso-width-relative:page;mso-height-relative:page;" coordsize="21600,21600">
            <v:path arrowok="t"/>
            <v:fill focussize="0,0"/>
            <v:stroke weight="0.5pt"/>
            <v:imagedata o:title=""/>
            <o:lock v:ext="edit"/>
          </v:line>
        </w:pict>
      </w:r>
      <w:r>
        <w:rPr>
          <w:rFonts w:eastAsia="方正仿宋_GBK"/>
        </w:rPr>
        <w:t>重庆市奉节县职称改革办公室</w:t>
      </w:r>
      <w:r>
        <w:rPr>
          <w:rFonts w:eastAsia="方正仿宋_GBK"/>
          <w:sz w:val="28"/>
          <w:szCs w:val="28"/>
        </w:rPr>
        <w:t xml:space="preserve">        2024年7月22日印发</w:t>
      </w:r>
    </w:p>
    <w:sectPr>
      <w:footerReference r:id="rId5" w:type="default"/>
      <w:footerReference r:id="rId6" w:type="even"/>
      <w:pgSz w:w="11906" w:h="16838"/>
      <w:pgMar w:top="851" w:right="1474" w:bottom="1985" w:left="1588" w:header="1701"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701"/>
      <w:docPartObj>
        <w:docPartGallery w:val="autotext"/>
      </w:docPartObj>
    </w:sdtPr>
    <w:sdtContent>
      <w:p>
        <w:pPr>
          <w:pStyle w:val="8"/>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ArabicDash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704"/>
      <w:docPartObj>
        <w:docPartGallery w:val="autotext"/>
      </w:docPartObj>
    </w:sdtPr>
    <w:sdtEndPr>
      <w:rPr>
        <w:rFonts w:asciiTheme="minorEastAsia" w:hAnsiTheme="minorEastAsia" w:eastAsiaTheme="minorEastAsia"/>
        <w:sz w:val="28"/>
        <w:szCs w:val="28"/>
      </w:rPr>
    </w:sdtEndPr>
    <w:sdtContent>
      <w:p>
        <w:pPr>
          <w:pStyle w:val="8"/>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ArabicDash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- 32 -</w:t>
        </w:r>
        <w:r>
          <w:rPr>
            <w:rFonts w:asciiTheme="minorEastAsia" w:hAnsiTheme="minorEastAsia" w:eastAsia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39"/>
      <w:jc w:val="right"/>
      <w:rPr>
        <w:sz w:val="21"/>
      </w:rPr>
    </w:pPr>
    <w:r>
      <w:rPr>
        <w:rFonts w:hint="eastAsia" w:ascii="仿宋_GB2312"/>
        <w:sz w:val="28"/>
        <w:szCs w:val="28"/>
      </w:rPr>
      <w:t>-</w:t>
    </w:r>
    <w:r>
      <w:rPr>
        <w:rFonts w:hint="eastAsia" w:ascii="仿宋_GB2312"/>
        <w:sz w:val="28"/>
        <w:szCs w:val="28"/>
      </w:rPr>
      <w:fldChar w:fldCharType="begin"/>
    </w:r>
    <w:r>
      <w:rPr>
        <w:rStyle w:val="18"/>
        <w:rFonts w:hint="eastAsia" w:ascii="仿宋_GB2312"/>
        <w:sz w:val="28"/>
        <w:szCs w:val="28"/>
      </w:rPr>
      <w:instrText xml:space="preserve"> PAGE </w:instrText>
    </w:r>
    <w:r>
      <w:rPr>
        <w:rFonts w:hint="eastAsia" w:ascii="仿宋_GB2312"/>
        <w:sz w:val="28"/>
        <w:szCs w:val="28"/>
      </w:rPr>
      <w:fldChar w:fldCharType="separate"/>
    </w:r>
    <w:r>
      <w:rPr>
        <w:rStyle w:val="18"/>
        <w:rFonts w:ascii="仿宋_GB2312"/>
        <w:sz w:val="28"/>
        <w:szCs w:val="28"/>
      </w:rPr>
      <w:t>35</w:t>
    </w:r>
    <w:r>
      <w:rPr>
        <w:rFonts w:hint="eastAsia" w:ascii="仿宋_GB2312"/>
        <w:sz w:val="28"/>
        <w:szCs w:val="28"/>
      </w:rPr>
      <w:fldChar w:fldCharType="end"/>
    </w:r>
    <w:r>
      <w:rPr>
        <w:rFonts w:hint="eastAsia" w:ascii="仿宋_GB23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707"/>
      <w:docPartObj>
        <w:docPartGallery w:val="autotext"/>
      </w:docPartObj>
    </w:sdtPr>
    <w:sdtContent>
      <w:p>
        <w:pPr>
          <w:pStyle w:val="8"/>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ArabicDash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- 34 -</w:t>
        </w:r>
        <w:r>
          <w:rPr>
            <w:rFonts w:asciiTheme="minorEastAsia" w:hAnsiTheme="minorEastAsia" w:eastAsiaTheme="minorEastAsia"/>
            <w:sz w:val="28"/>
            <w:szCs w:val="28"/>
          </w:rPr>
          <w:fldChar w:fldCharType="end"/>
        </w:r>
      </w:p>
    </w:sdtContent>
  </w:sdt>
  <w:p>
    <w:pPr>
      <w:pStyle w:val="8"/>
      <w:ind w:firstLine="315"/>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29F1"/>
    <w:rsid w:val="00000AE9"/>
    <w:rsid w:val="00006E43"/>
    <w:rsid w:val="00010502"/>
    <w:rsid w:val="00010599"/>
    <w:rsid w:val="000116CC"/>
    <w:rsid w:val="0001500B"/>
    <w:rsid w:val="00020D64"/>
    <w:rsid w:val="000229A1"/>
    <w:rsid w:val="00023094"/>
    <w:rsid w:val="00023F6E"/>
    <w:rsid w:val="000376C2"/>
    <w:rsid w:val="00040944"/>
    <w:rsid w:val="00054A61"/>
    <w:rsid w:val="00055260"/>
    <w:rsid w:val="00056DF5"/>
    <w:rsid w:val="00060C2E"/>
    <w:rsid w:val="00061957"/>
    <w:rsid w:val="000621BE"/>
    <w:rsid w:val="00063CF2"/>
    <w:rsid w:val="0007396D"/>
    <w:rsid w:val="00081CC4"/>
    <w:rsid w:val="0008363F"/>
    <w:rsid w:val="00086499"/>
    <w:rsid w:val="000924C7"/>
    <w:rsid w:val="00097421"/>
    <w:rsid w:val="00097EE4"/>
    <w:rsid w:val="000B12E5"/>
    <w:rsid w:val="000C2E73"/>
    <w:rsid w:val="000C436A"/>
    <w:rsid w:val="000D3E9A"/>
    <w:rsid w:val="000D58D4"/>
    <w:rsid w:val="000E770C"/>
    <w:rsid w:val="00111ECE"/>
    <w:rsid w:val="00115486"/>
    <w:rsid w:val="0014172E"/>
    <w:rsid w:val="00147802"/>
    <w:rsid w:val="00155970"/>
    <w:rsid w:val="00165473"/>
    <w:rsid w:val="001717BC"/>
    <w:rsid w:val="001717CF"/>
    <w:rsid w:val="00174A8F"/>
    <w:rsid w:val="00186744"/>
    <w:rsid w:val="00190EFA"/>
    <w:rsid w:val="00194A86"/>
    <w:rsid w:val="0019686B"/>
    <w:rsid w:val="001A31DF"/>
    <w:rsid w:val="001A78B0"/>
    <w:rsid w:val="001B3F00"/>
    <w:rsid w:val="001B7570"/>
    <w:rsid w:val="001D3A75"/>
    <w:rsid w:val="001D46A6"/>
    <w:rsid w:val="001E2220"/>
    <w:rsid w:val="001E43E7"/>
    <w:rsid w:val="001E55A4"/>
    <w:rsid w:val="001F10D4"/>
    <w:rsid w:val="001F755E"/>
    <w:rsid w:val="00213B04"/>
    <w:rsid w:val="002170CD"/>
    <w:rsid w:val="00223581"/>
    <w:rsid w:val="002305FB"/>
    <w:rsid w:val="0024157E"/>
    <w:rsid w:val="00241A53"/>
    <w:rsid w:val="00252D9A"/>
    <w:rsid w:val="00253235"/>
    <w:rsid w:val="002553F6"/>
    <w:rsid w:val="0028790E"/>
    <w:rsid w:val="00291F87"/>
    <w:rsid w:val="002921B0"/>
    <w:rsid w:val="0029555C"/>
    <w:rsid w:val="00297A5B"/>
    <w:rsid w:val="002B48F9"/>
    <w:rsid w:val="002B5490"/>
    <w:rsid w:val="002C0C87"/>
    <w:rsid w:val="002C7CD3"/>
    <w:rsid w:val="002D314E"/>
    <w:rsid w:val="002D4499"/>
    <w:rsid w:val="002D6541"/>
    <w:rsid w:val="002F30FB"/>
    <w:rsid w:val="00302BA7"/>
    <w:rsid w:val="0030705B"/>
    <w:rsid w:val="00307A3F"/>
    <w:rsid w:val="003120D2"/>
    <w:rsid w:val="00315028"/>
    <w:rsid w:val="00316806"/>
    <w:rsid w:val="00324895"/>
    <w:rsid w:val="00325EAA"/>
    <w:rsid w:val="00336FE5"/>
    <w:rsid w:val="00355320"/>
    <w:rsid w:val="00365487"/>
    <w:rsid w:val="0037599B"/>
    <w:rsid w:val="00376860"/>
    <w:rsid w:val="003972DB"/>
    <w:rsid w:val="003A07AF"/>
    <w:rsid w:val="003B370A"/>
    <w:rsid w:val="003C07FD"/>
    <w:rsid w:val="003C29F9"/>
    <w:rsid w:val="003C73CE"/>
    <w:rsid w:val="003C7611"/>
    <w:rsid w:val="003E25D2"/>
    <w:rsid w:val="003E3DE3"/>
    <w:rsid w:val="003E6E40"/>
    <w:rsid w:val="003E73DB"/>
    <w:rsid w:val="003F22C0"/>
    <w:rsid w:val="003F2F16"/>
    <w:rsid w:val="00401ED7"/>
    <w:rsid w:val="00402D88"/>
    <w:rsid w:val="00405C14"/>
    <w:rsid w:val="004076E3"/>
    <w:rsid w:val="00410BAD"/>
    <w:rsid w:val="0041519E"/>
    <w:rsid w:val="0041556D"/>
    <w:rsid w:val="00416F91"/>
    <w:rsid w:val="00420DDB"/>
    <w:rsid w:val="00424587"/>
    <w:rsid w:val="00425337"/>
    <w:rsid w:val="004301A4"/>
    <w:rsid w:val="00434216"/>
    <w:rsid w:val="00434EA6"/>
    <w:rsid w:val="004363C9"/>
    <w:rsid w:val="004429F1"/>
    <w:rsid w:val="00443893"/>
    <w:rsid w:val="004470E5"/>
    <w:rsid w:val="0045269C"/>
    <w:rsid w:val="004557B5"/>
    <w:rsid w:val="00475A62"/>
    <w:rsid w:val="00484B7E"/>
    <w:rsid w:val="00487EA4"/>
    <w:rsid w:val="00493DAC"/>
    <w:rsid w:val="0049417C"/>
    <w:rsid w:val="004950CC"/>
    <w:rsid w:val="00496308"/>
    <w:rsid w:val="004A15AA"/>
    <w:rsid w:val="004A1716"/>
    <w:rsid w:val="004B329B"/>
    <w:rsid w:val="004C0CEF"/>
    <w:rsid w:val="004C168E"/>
    <w:rsid w:val="004C2E44"/>
    <w:rsid w:val="004D505E"/>
    <w:rsid w:val="004E61E6"/>
    <w:rsid w:val="00503EB9"/>
    <w:rsid w:val="0051483E"/>
    <w:rsid w:val="00521429"/>
    <w:rsid w:val="0053676D"/>
    <w:rsid w:val="005417F6"/>
    <w:rsid w:val="00543818"/>
    <w:rsid w:val="0054571F"/>
    <w:rsid w:val="00547B6A"/>
    <w:rsid w:val="0055128E"/>
    <w:rsid w:val="0055145D"/>
    <w:rsid w:val="00554895"/>
    <w:rsid w:val="00564C1A"/>
    <w:rsid w:val="0057205B"/>
    <w:rsid w:val="00582033"/>
    <w:rsid w:val="005830B0"/>
    <w:rsid w:val="005848BA"/>
    <w:rsid w:val="00594CD8"/>
    <w:rsid w:val="005A1A4A"/>
    <w:rsid w:val="005A6441"/>
    <w:rsid w:val="005B62C7"/>
    <w:rsid w:val="005C2710"/>
    <w:rsid w:val="005C3806"/>
    <w:rsid w:val="005E01BC"/>
    <w:rsid w:val="005E4398"/>
    <w:rsid w:val="006000FF"/>
    <w:rsid w:val="006055DA"/>
    <w:rsid w:val="00606431"/>
    <w:rsid w:val="00607F90"/>
    <w:rsid w:val="006135DB"/>
    <w:rsid w:val="00617150"/>
    <w:rsid w:val="006234FC"/>
    <w:rsid w:val="0062381B"/>
    <w:rsid w:val="00630ECE"/>
    <w:rsid w:val="006376EA"/>
    <w:rsid w:val="0064276E"/>
    <w:rsid w:val="006434EA"/>
    <w:rsid w:val="00645872"/>
    <w:rsid w:val="006500B7"/>
    <w:rsid w:val="00650F39"/>
    <w:rsid w:val="00656964"/>
    <w:rsid w:val="006602D0"/>
    <w:rsid w:val="0067402F"/>
    <w:rsid w:val="006742A0"/>
    <w:rsid w:val="006803E3"/>
    <w:rsid w:val="0068607E"/>
    <w:rsid w:val="00691F35"/>
    <w:rsid w:val="00696ECA"/>
    <w:rsid w:val="006A4CE6"/>
    <w:rsid w:val="006A7BEA"/>
    <w:rsid w:val="006B0EF1"/>
    <w:rsid w:val="006B59F4"/>
    <w:rsid w:val="006B5B6F"/>
    <w:rsid w:val="006C7536"/>
    <w:rsid w:val="006D6709"/>
    <w:rsid w:val="006D6C12"/>
    <w:rsid w:val="006E07A6"/>
    <w:rsid w:val="006E1FB8"/>
    <w:rsid w:val="006E3238"/>
    <w:rsid w:val="006F29AF"/>
    <w:rsid w:val="006F4EB0"/>
    <w:rsid w:val="006F5FC9"/>
    <w:rsid w:val="007046F8"/>
    <w:rsid w:val="00710A8A"/>
    <w:rsid w:val="00721D44"/>
    <w:rsid w:val="0072333F"/>
    <w:rsid w:val="00723FF3"/>
    <w:rsid w:val="0075076C"/>
    <w:rsid w:val="00750E75"/>
    <w:rsid w:val="00755541"/>
    <w:rsid w:val="00760FE0"/>
    <w:rsid w:val="00762E6B"/>
    <w:rsid w:val="00772050"/>
    <w:rsid w:val="00780DE2"/>
    <w:rsid w:val="00786602"/>
    <w:rsid w:val="00786771"/>
    <w:rsid w:val="007919A1"/>
    <w:rsid w:val="00793246"/>
    <w:rsid w:val="007A2FCA"/>
    <w:rsid w:val="007A318C"/>
    <w:rsid w:val="007B13BF"/>
    <w:rsid w:val="007B7455"/>
    <w:rsid w:val="007C61D7"/>
    <w:rsid w:val="007C7BBF"/>
    <w:rsid w:val="007D2961"/>
    <w:rsid w:val="007E12CF"/>
    <w:rsid w:val="007E2511"/>
    <w:rsid w:val="007E4CF3"/>
    <w:rsid w:val="007F5917"/>
    <w:rsid w:val="007F5E65"/>
    <w:rsid w:val="008101B3"/>
    <w:rsid w:val="00814A3B"/>
    <w:rsid w:val="00820372"/>
    <w:rsid w:val="00826D0D"/>
    <w:rsid w:val="00826E51"/>
    <w:rsid w:val="00843E0E"/>
    <w:rsid w:val="00854087"/>
    <w:rsid w:val="00855B99"/>
    <w:rsid w:val="00860712"/>
    <w:rsid w:val="00862369"/>
    <w:rsid w:val="008639E5"/>
    <w:rsid w:val="0086715D"/>
    <w:rsid w:val="00867983"/>
    <w:rsid w:val="00871A85"/>
    <w:rsid w:val="00872ECA"/>
    <w:rsid w:val="00876832"/>
    <w:rsid w:val="008811BA"/>
    <w:rsid w:val="00886B50"/>
    <w:rsid w:val="00891FAB"/>
    <w:rsid w:val="0089498A"/>
    <w:rsid w:val="0089593D"/>
    <w:rsid w:val="00895988"/>
    <w:rsid w:val="008A1A98"/>
    <w:rsid w:val="008A4427"/>
    <w:rsid w:val="008B1A57"/>
    <w:rsid w:val="008B421A"/>
    <w:rsid w:val="008B52D6"/>
    <w:rsid w:val="008B5533"/>
    <w:rsid w:val="008C0FA6"/>
    <w:rsid w:val="008D3A25"/>
    <w:rsid w:val="008D7A05"/>
    <w:rsid w:val="008E092A"/>
    <w:rsid w:val="0090007A"/>
    <w:rsid w:val="00903ECC"/>
    <w:rsid w:val="00911AB8"/>
    <w:rsid w:val="00914611"/>
    <w:rsid w:val="0091560A"/>
    <w:rsid w:val="00920A43"/>
    <w:rsid w:val="00933D2B"/>
    <w:rsid w:val="00950082"/>
    <w:rsid w:val="0095087D"/>
    <w:rsid w:val="00952E88"/>
    <w:rsid w:val="00954CBD"/>
    <w:rsid w:val="00956288"/>
    <w:rsid w:val="0095639F"/>
    <w:rsid w:val="00956691"/>
    <w:rsid w:val="00956913"/>
    <w:rsid w:val="00960D23"/>
    <w:rsid w:val="00962DB2"/>
    <w:rsid w:val="009640F0"/>
    <w:rsid w:val="009659A2"/>
    <w:rsid w:val="0097296D"/>
    <w:rsid w:val="009750FC"/>
    <w:rsid w:val="00980B16"/>
    <w:rsid w:val="00981147"/>
    <w:rsid w:val="00986529"/>
    <w:rsid w:val="00987AB2"/>
    <w:rsid w:val="00995454"/>
    <w:rsid w:val="009A0788"/>
    <w:rsid w:val="009B31A9"/>
    <w:rsid w:val="009C0A72"/>
    <w:rsid w:val="009C2AB4"/>
    <w:rsid w:val="009C6D73"/>
    <w:rsid w:val="009E0AAA"/>
    <w:rsid w:val="00A030B7"/>
    <w:rsid w:val="00A03169"/>
    <w:rsid w:val="00A140EC"/>
    <w:rsid w:val="00A14293"/>
    <w:rsid w:val="00A1664E"/>
    <w:rsid w:val="00A22A5E"/>
    <w:rsid w:val="00A24B05"/>
    <w:rsid w:val="00A41225"/>
    <w:rsid w:val="00A416F9"/>
    <w:rsid w:val="00A45CF7"/>
    <w:rsid w:val="00A51DDE"/>
    <w:rsid w:val="00A52686"/>
    <w:rsid w:val="00A52E5C"/>
    <w:rsid w:val="00A66F67"/>
    <w:rsid w:val="00A7189D"/>
    <w:rsid w:val="00A776C8"/>
    <w:rsid w:val="00A83403"/>
    <w:rsid w:val="00A84064"/>
    <w:rsid w:val="00A90B09"/>
    <w:rsid w:val="00A912ED"/>
    <w:rsid w:val="00A9328F"/>
    <w:rsid w:val="00A964B1"/>
    <w:rsid w:val="00AA1E40"/>
    <w:rsid w:val="00AB697E"/>
    <w:rsid w:val="00AC6517"/>
    <w:rsid w:val="00AD0A5B"/>
    <w:rsid w:val="00AD3139"/>
    <w:rsid w:val="00AE5027"/>
    <w:rsid w:val="00AE688D"/>
    <w:rsid w:val="00AF1588"/>
    <w:rsid w:val="00AF1E46"/>
    <w:rsid w:val="00B01451"/>
    <w:rsid w:val="00B0163D"/>
    <w:rsid w:val="00B032B0"/>
    <w:rsid w:val="00B12F6C"/>
    <w:rsid w:val="00B226A7"/>
    <w:rsid w:val="00B26889"/>
    <w:rsid w:val="00B26E87"/>
    <w:rsid w:val="00B31229"/>
    <w:rsid w:val="00B31A34"/>
    <w:rsid w:val="00B322E5"/>
    <w:rsid w:val="00B339A4"/>
    <w:rsid w:val="00B35E7F"/>
    <w:rsid w:val="00B512E2"/>
    <w:rsid w:val="00B56A68"/>
    <w:rsid w:val="00B61AA5"/>
    <w:rsid w:val="00B65812"/>
    <w:rsid w:val="00B71C90"/>
    <w:rsid w:val="00B72799"/>
    <w:rsid w:val="00B757F0"/>
    <w:rsid w:val="00B81498"/>
    <w:rsid w:val="00BB4A64"/>
    <w:rsid w:val="00BB5DBB"/>
    <w:rsid w:val="00BC706D"/>
    <w:rsid w:val="00BE4577"/>
    <w:rsid w:val="00BE4B2A"/>
    <w:rsid w:val="00BF05E8"/>
    <w:rsid w:val="00BF2998"/>
    <w:rsid w:val="00BF5C70"/>
    <w:rsid w:val="00BF67B8"/>
    <w:rsid w:val="00C00D58"/>
    <w:rsid w:val="00C04E11"/>
    <w:rsid w:val="00C07586"/>
    <w:rsid w:val="00C07B41"/>
    <w:rsid w:val="00C20179"/>
    <w:rsid w:val="00C306D2"/>
    <w:rsid w:val="00C31147"/>
    <w:rsid w:val="00C36493"/>
    <w:rsid w:val="00C36954"/>
    <w:rsid w:val="00C40D9C"/>
    <w:rsid w:val="00C4569C"/>
    <w:rsid w:val="00C512F2"/>
    <w:rsid w:val="00C54C6B"/>
    <w:rsid w:val="00C64B92"/>
    <w:rsid w:val="00C6522D"/>
    <w:rsid w:val="00C666D4"/>
    <w:rsid w:val="00C674B9"/>
    <w:rsid w:val="00C942A3"/>
    <w:rsid w:val="00CA54C9"/>
    <w:rsid w:val="00CB2597"/>
    <w:rsid w:val="00CC1DDC"/>
    <w:rsid w:val="00CC3A83"/>
    <w:rsid w:val="00CC7129"/>
    <w:rsid w:val="00CC7609"/>
    <w:rsid w:val="00CD38F1"/>
    <w:rsid w:val="00CD4061"/>
    <w:rsid w:val="00CE0698"/>
    <w:rsid w:val="00CE381A"/>
    <w:rsid w:val="00CE6EBC"/>
    <w:rsid w:val="00CE7CFB"/>
    <w:rsid w:val="00CF1670"/>
    <w:rsid w:val="00CF7246"/>
    <w:rsid w:val="00D07F61"/>
    <w:rsid w:val="00D13788"/>
    <w:rsid w:val="00D20698"/>
    <w:rsid w:val="00D20A4D"/>
    <w:rsid w:val="00D22562"/>
    <w:rsid w:val="00D2333B"/>
    <w:rsid w:val="00D40D38"/>
    <w:rsid w:val="00D507B7"/>
    <w:rsid w:val="00D551D4"/>
    <w:rsid w:val="00D55C77"/>
    <w:rsid w:val="00D62BBA"/>
    <w:rsid w:val="00D67733"/>
    <w:rsid w:val="00D75194"/>
    <w:rsid w:val="00D87A52"/>
    <w:rsid w:val="00D91099"/>
    <w:rsid w:val="00D922C1"/>
    <w:rsid w:val="00DB0214"/>
    <w:rsid w:val="00DC09C6"/>
    <w:rsid w:val="00DC5398"/>
    <w:rsid w:val="00DC6B3B"/>
    <w:rsid w:val="00DC79BE"/>
    <w:rsid w:val="00DD1E58"/>
    <w:rsid w:val="00DD6026"/>
    <w:rsid w:val="00DE5363"/>
    <w:rsid w:val="00DF3BA5"/>
    <w:rsid w:val="00DF70BE"/>
    <w:rsid w:val="00E05EC0"/>
    <w:rsid w:val="00E172BE"/>
    <w:rsid w:val="00E21C37"/>
    <w:rsid w:val="00E229E5"/>
    <w:rsid w:val="00E326D8"/>
    <w:rsid w:val="00E371C8"/>
    <w:rsid w:val="00E4056A"/>
    <w:rsid w:val="00E4135C"/>
    <w:rsid w:val="00E51DAF"/>
    <w:rsid w:val="00E535B4"/>
    <w:rsid w:val="00E66B82"/>
    <w:rsid w:val="00E67A01"/>
    <w:rsid w:val="00E81D25"/>
    <w:rsid w:val="00E8754D"/>
    <w:rsid w:val="00E8789E"/>
    <w:rsid w:val="00E91C5C"/>
    <w:rsid w:val="00E92135"/>
    <w:rsid w:val="00E92322"/>
    <w:rsid w:val="00E963A2"/>
    <w:rsid w:val="00E9659A"/>
    <w:rsid w:val="00EA1CF0"/>
    <w:rsid w:val="00EA4B03"/>
    <w:rsid w:val="00EA4CC2"/>
    <w:rsid w:val="00EC08F7"/>
    <w:rsid w:val="00EC128C"/>
    <w:rsid w:val="00EC33AC"/>
    <w:rsid w:val="00EC3DA2"/>
    <w:rsid w:val="00EE4888"/>
    <w:rsid w:val="00EF0B5C"/>
    <w:rsid w:val="00F1073D"/>
    <w:rsid w:val="00F11F3C"/>
    <w:rsid w:val="00F12F3D"/>
    <w:rsid w:val="00F1515E"/>
    <w:rsid w:val="00F229D9"/>
    <w:rsid w:val="00F24DF0"/>
    <w:rsid w:val="00F26B02"/>
    <w:rsid w:val="00F3020D"/>
    <w:rsid w:val="00F330A0"/>
    <w:rsid w:val="00F33B83"/>
    <w:rsid w:val="00F33CDD"/>
    <w:rsid w:val="00F361A6"/>
    <w:rsid w:val="00F37752"/>
    <w:rsid w:val="00F42C4A"/>
    <w:rsid w:val="00F43C2B"/>
    <w:rsid w:val="00F505E4"/>
    <w:rsid w:val="00F543D4"/>
    <w:rsid w:val="00F74B3F"/>
    <w:rsid w:val="00F85F06"/>
    <w:rsid w:val="00F92546"/>
    <w:rsid w:val="00FB0B93"/>
    <w:rsid w:val="00FB718E"/>
    <w:rsid w:val="00FC0489"/>
    <w:rsid w:val="00FC0947"/>
    <w:rsid w:val="00FC0AB6"/>
    <w:rsid w:val="00FC2DC0"/>
    <w:rsid w:val="00FD35A4"/>
    <w:rsid w:val="00FE5277"/>
    <w:rsid w:val="00FE5546"/>
    <w:rsid w:val="4D286FDE"/>
    <w:rsid w:val="53EB4C31"/>
    <w:rsid w:val="6FD7A414"/>
    <w:rsid w:val="795FC57F"/>
    <w:rsid w:val="7EDF63B2"/>
    <w:rsid w:val="7F7B115E"/>
    <w:rsid w:val="D9F210F6"/>
    <w:rsid w:val="D9FF1E7B"/>
    <w:rsid w:val="EFF7E367"/>
    <w:rsid w:val="EFFFF292"/>
    <w:rsid w:val="F7F7F1EB"/>
    <w:rsid w:val="FBFF536A"/>
    <w:rsid w:val="FDEFD76C"/>
    <w:rsid w:val="FE6E14DE"/>
    <w:rsid w:val="FFFD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33"/>
    <w:qFormat/>
    <w:uiPriority w:val="0"/>
    <w:pPr>
      <w:spacing w:before="100" w:beforeAutospacing="1" w:after="100" w:afterAutospacing="1"/>
      <w:jc w:val="left"/>
      <w:outlineLvl w:val="0"/>
    </w:pPr>
    <w:rPr>
      <w:rFonts w:hint="eastAsia" w:ascii="宋体" w:hAnsi="宋体" w:eastAsia="宋体"/>
      <w:b/>
      <w:kern w:val="44"/>
      <w:sz w:val="48"/>
      <w:szCs w:val="4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26"/>
    <w:qFormat/>
    <w:uiPriority w:val="0"/>
    <w:pPr>
      <w:jc w:val="center"/>
    </w:pPr>
    <w:rPr>
      <w:b/>
      <w:color w:val="FF0000"/>
      <w:sz w:val="44"/>
    </w:rPr>
  </w:style>
  <w:style w:type="paragraph" w:styleId="4">
    <w:name w:val="Body Text Indent"/>
    <w:basedOn w:val="1"/>
    <w:link w:val="31"/>
    <w:unhideWhenUsed/>
    <w:qFormat/>
    <w:uiPriority w:val="99"/>
    <w:pPr>
      <w:spacing w:after="120"/>
      <w:ind w:left="420" w:leftChars="200"/>
    </w:pPr>
  </w:style>
  <w:style w:type="paragraph" w:styleId="5">
    <w:name w:val="Plain Text"/>
    <w:link w:val="30"/>
    <w:qFormat/>
    <w:uiPriority w:val="0"/>
    <w:pPr>
      <w:widowControl w:val="0"/>
      <w:jc w:val="both"/>
    </w:pPr>
    <w:rPr>
      <w:rFonts w:ascii="宋体" w:hAnsi="Courier New" w:eastAsia="宋体" w:cs="宋体"/>
      <w:kern w:val="2"/>
      <w:sz w:val="21"/>
      <w:szCs w:val="24"/>
      <w:lang w:val="en-US" w:eastAsia="zh-CN" w:bidi="ar-SA"/>
    </w:rPr>
  </w:style>
  <w:style w:type="paragraph" w:styleId="6">
    <w:name w:val="Date"/>
    <w:next w:val="1"/>
    <w:link w:val="27"/>
    <w:qFormat/>
    <w:uiPriority w:val="0"/>
    <w:pPr>
      <w:widowControl w:val="0"/>
      <w:jc w:val="both"/>
    </w:pPr>
    <w:rPr>
      <w:rFonts w:ascii="仿宋_GB2312" w:hAnsi="Calibri" w:eastAsia="仿宋_GB2312" w:cs="仿宋_GB2312"/>
      <w:kern w:val="2"/>
      <w:sz w:val="32"/>
      <w:szCs w:val="32"/>
      <w:lang w:val="en-US" w:eastAsia="zh-CN" w:bidi="ar-SA"/>
    </w:rPr>
  </w:style>
  <w:style w:type="paragraph" w:styleId="7">
    <w:name w:val="Balloon Text"/>
    <w:basedOn w:val="1"/>
    <w:link w:val="24"/>
    <w:qFormat/>
    <w:uiPriority w:val="0"/>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9"/>
    <w:qFormat/>
    <w:uiPriority w:val="0"/>
    <w:pPr>
      <w:jc w:val="center"/>
    </w:pPr>
    <w:rPr>
      <w:rFonts w:eastAsia="宋体"/>
      <w:sz w:val="44"/>
    </w:rPr>
  </w:style>
  <w:style w:type="paragraph" w:styleId="11">
    <w:name w:val="HTML Preformatted"/>
    <w:basedOn w:val="1"/>
    <w:link w:val="41"/>
    <w:semiHidden/>
    <w:unhideWhenUsed/>
    <w:qFormat/>
    <w:uiPriority w:val="99"/>
    <w:rPr>
      <w:rFonts w:ascii="Courier New" w:hAnsi="Courier New" w:cs="Courier New"/>
      <w:sz w:val="20"/>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next w:val="4"/>
    <w:link w:val="34"/>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qFormat/>
    <w:uiPriority w:val="0"/>
    <w:rPr>
      <w:rFonts w:ascii="Times New Roman" w:hAnsi="Times New Roman" w:eastAsia="宋体" w:cs="Times New Roman"/>
      <w:color w:val="800080"/>
      <w:u w:val="single"/>
    </w:rPr>
  </w:style>
  <w:style w:type="character" w:styleId="20">
    <w:name w:val="Hyperlink"/>
    <w:qFormat/>
    <w:uiPriority w:val="0"/>
    <w:rPr>
      <w:rFonts w:ascii="Times New Roman" w:hAnsi="Times New Roman" w:eastAsia="宋体" w:cs="Times New Roman"/>
      <w:color w:val="0000FF"/>
      <w:u w:val="single"/>
    </w:rPr>
  </w:style>
  <w:style w:type="character" w:customStyle="1" w:styleId="21">
    <w:name w:val="页眉 Char"/>
    <w:basedOn w:val="16"/>
    <w:link w:val="9"/>
    <w:qFormat/>
    <w:uiPriority w:val="0"/>
    <w:rPr>
      <w:sz w:val="18"/>
      <w:szCs w:val="18"/>
    </w:rPr>
  </w:style>
  <w:style w:type="character" w:customStyle="1" w:styleId="22">
    <w:name w:val="页脚 Char"/>
    <w:basedOn w:val="16"/>
    <w:link w:val="8"/>
    <w:qFormat/>
    <w:uiPriority w:val="99"/>
    <w:rPr>
      <w:sz w:val="18"/>
      <w:szCs w:val="18"/>
    </w:rPr>
  </w:style>
  <w:style w:type="character" w:customStyle="1" w:styleId="23">
    <w:name w:val="font11"/>
    <w:qFormat/>
    <w:uiPriority w:val="0"/>
    <w:rPr>
      <w:rFonts w:ascii="仿宋_GB2312" w:hAnsi="Times New Roman" w:eastAsia="仿宋_GB2312" w:cs="仿宋_GB2312"/>
      <w:color w:val="000000"/>
      <w:sz w:val="24"/>
      <w:szCs w:val="24"/>
      <w:u w:val="none"/>
    </w:rPr>
  </w:style>
  <w:style w:type="character" w:customStyle="1" w:styleId="24">
    <w:name w:val="批注框文本 Char"/>
    <w:link w:val="7"/>
    <w:qFormat/>
    <w:uiPriority w:val="0"/>
    <w:rPr>
      <w:rFonts w:ascii="Times New Roman" w:hAnsi="Times New Roman" w:eastAsia="仿宋_GB2312" w:cs="Times New Roman"/>
      <w:sz w:val="18"/>
      <w:szCs w:val="18"/>
    </w:rPr>
  </w:style>
  <w:style w:type="character" w:customStyle="1" w:styleId="25">
    <w:name w:val="font21"/>
    <w:qFormat/>
    <w:uiPriority w:val="0"/>
    <w:rPr>
      <w:rFonts w:hint="default" w:ascii="Times New Roman" w:hAnsi="Times New Roman" w:eastAsia="宋体" w:cs="Times New Roman"/>
      <w:color w:val="000000"/>
      <w:sz w:val="24"/>
      <w:szCs w:val="24"/>
      <w:u w:val="none"/>
    </w:rPr>
  </w:style>
  <w:style w:type="character" w:customStyle="1" w:styleId="26">
    <w:name w:val="正文文本 Char"/>
    <w:basedOn w:val="16"/>
    <w:link w:val="3"/>
    <w:qFormat/>
    <w:uiPriority w:val="0"/>
    <w:rPr>
      <w:rFonts w:ascii="Times New Roman" w:hAnsi="Times New Roman" w:eastAsia="仿宋_GB2312" w:cs="Times New Roman"/>
      <w:b/>
      <w:color w:val="FF0000"/>
      <w:sz w:val="44"/>
      <w:szCs w:val="20"/>
    </w:rPr>
  </w:style>
  <w:style w:type="character" w:customStyle="1" w:styleId="27">
    <w:name w:val="日期 Char"/>
    <w:basedOn w:val="16"/>
    <w:link w:val="6"/>
    <w:qFormat/>
    <w:uiPriority w:val="0"/>
    <w:rPr>
      <w:rFonts w:ascii="仿宋_GB2312" w:hAnsi="Calibri" w:eastAsia="仿宋_GB2312" w:cs="仿宋_GB2312"/>
      <w:sz w:val="32"/>
      <w:szCs w:val="32"/>
    </w:rPr>
  </w:style>
  <w:style w:type="character" w:customStyle="1" w:styleId="28">
    <w:name w:val="批注框文本 Char1"/>
    <w:basedOn w:val="16"/>
    <w:semiHidden/>
    <w:qFormat/>
    <w:uiPriority w:val="99"/>
    <w:rPr>
      <w:rFonts w:ascii="Times New Roman" w:hAnsi="Times New Roman" w:eastAsia="仿宋_GB2312" w:cs="Times New Roman"/>
      <w:sz w:val="18"/>
      <w:szCs w:val="18"/>
    </w:rPr>
  </w:style>
  <w:style w:type="character" w:customStyle="1" w:styleId="29">
    <w:name w:val="正文文本 2 Char"/>
    <w:basedOn w:val="16"/>
    <w:link w:val="10"/>
    <w:qFormat/>
    <w:uiPriority w:val="0"/>
    <w:rPr>
      <w:rFonts w:ascii="Times New Roman" w:hAnsi="Times New Roman" w:eastAsia="宋体" w:cs="Times New Roman"/>
      <w:sz w:val="44"/>
      <w:szCs w:val="20"/>
    </w:rPr>
  </w:style>
  <w:style w:type="character" w:customStyle="1" w:styleId="30">
    <w:name w:val="纯文本 Char"/>
    <w:basedOn w:val="16"/>
    <w:link w:val="5"/>
    <w:qFormat/>
    <w:uiPriority w:val="0"/>
    <w:rPr>
      <w:rFonts w:ascii="宋体" w:hAnsi="Courier New" w:eastAsia="宋体" w:cs="宋体"/>
      <w:szCs w:val="24"/>
    </w:rPr>
  </w:style>
  <w:style w:type="character" w:customStyle="1" w:styleId="31">
    <w:name w:val="正文文本缩进 Char"/>
    <w:basedOn w:val="16"/>
    <w:link w:val="4"/>
    <w:semiHidden/>
    <w:qFormat/>
    <w:uiPriority w:val="99"/>
    <w:rPr>
      <w:rFonts w:ascii="Times New Roman" w:hAnsi="Times New Roman" w:eastAsia="仿宋_GB2312" w:cs="Times New Roman"/>
      <w:sz w:val="32"/>
      <w:szCs w:val="20"/>
    </w:rPr>
  </w:style>
  <w:style w:type="paragraph" w:styleId="32">
    <w:name w:val="List Paragraph"/>
    <w:basedOn w:val="1"/>
    <w:unhideWhenUsed/>
    <w:qFormat/>
    <w:uiPriority w:val="99"/>
    <w:pPr>
      <w:ind w:firstLine="420" w:firstLineChars="200"/>
    </w:pPr>
  </w:style>
  <w:style w:type="character" w:customStyle="1" w:styleId="33">
    <w:name w:val="标题 1 Char"/>
    <w:basedOn w:val="16"/>
    <w:link w:val="2"/>
    <w:qFormat/>
    <w:uiPriority w:val="0"/>
    <w:rPr>
      <w:rFonts w:ascii="宋体" w:hAnsi="宋体" w:eastAsia="宋体" w:cs="Times New Roman"/>
      <w:b/>
      <w:kern w:val="44"/>
      <w:sz w:val="48"/>
      <w:szCs w:val="48"/>
    </w:rPr>
  </w:style>
  <w:style w:type="character" w:customStyle="1" w:styleId="34">
    <w:name w:val="标题 Char"/>
    <w:basedOn w:val="16"/>
    <w:link w:val="13"/>
    <w:qFormat/>
    <w:uiPriority w:val="0"/>
    <w:rPr>
      <w:rFonts w:ascii="Arial" w:hAnsi="Arial" w:eastAsia="宋体" w:cs="Times New Roman"/>
      <w:b/>
      <w:kern w:val="2"/>
      <w:sz w:val="21"/>
      <w:szCs w:val="24"/>
    </w:rPr>
  </w:style>
  <w:style w:type="character" w:customStyle="1" w:styleId="35">
    <w:name w:val="font51"/>
    <w:basedOn w:val="16"/>
    <w:qFormat/>
    <w:uiPriority w:val="0"/>
    <w:rPr>
      <w:rFonts w:hint="eastAsia" w:ascii="方正仿宋_GBK" w:hAnsi="方正仿宋_GBK" w:eastAsia="方正仿宋_GBK" w:cs="方正仿宋_GBK"/>
      <w:color w:val="000000"/>
      <w:sz w:val="24"/>
      <w:szCs w:val="24"/>
      <w:u w:val="none"/>
    </w:rPr>
  </w:style>
  <w:style w:type="character" w:customStyle="1" w:styleId="36">
    <w:name w:val="font41"/>
    <w:basedOn w:val="16"/>
    <w:qFormat/>
    <w:uiPriority w:val="0"/>
    <w:rPr>
      <w:rFonts w:hint="eastAsia" w:ascii="仿宋_GB2312" w:eastAsia="仿宋_GB2312" w:cs="仿宋_GB2312"/>
      <w:color w:val="000000"/>
      <w:sz w:val="24"/>
      <w:szCs w:val="24"/>
      <w:u w:val="none"/>
    </w:rPr>
  </w:style>
  <w:style w:type="character" w:customStyle="1" w:styleId="37">
    <w:name w:val="font61"/>
    <w:basedOn w:val="16"/>
    <w:qFormat/>
    <w:uiPriority w:val="0"/>
    <w:rPr>
      <w:rFonts w:ascii="方正小标宋_GBK" w:hAnsi="方正小标宋_GBK" w:eastAsia="方正小标宋_GBK" w:cs="方正小标宋_GBK"/>
      <w:color w:val="000000"/>
      <w:sz w:val="44"/>
      <w:szCs w:val="44"/>
      <w:u w:val="none"/>
    </w:rPr>
  </w:style>
  <w:style w:type="character" w:customStyle="1" w:styleId="38">
    <w:name w:val="font31"/>
    <w:basedOn w:val="16"/>
    <w:qFormat/>
    <w:uiPriority w:val="0"/>
    <w:rPr>
      <w:rFonts w:hint="eastAsia" w:ascii="方正仿宋_GBK" w:hAnsi="方正仿宋_GBK" w:eastAsia="方正仿宋_GBK" w:cs="方正仿宋_GBK"/>
      <w:b/>
      <w:bCs/>
      <w:color w:val="000000"/>
      <w:sz w:val="24"/>
      <w:szCs w:val="24"/>
      <w:u w:val="none"/>
    </w:rPr>
  </w:style>
  <w:style w:type="paragraph" w:customStyle="1" w:styleId="39">
    <w:name w:val="正文1"/>
    <w:qFormat/>
    <w:uiPriority w:val="0"/>
    <w:pPr>
      <w:widowControl w:val="0"/>
      <w:jc w:val="both"/>
    </w:pPr>
    <w:rPr>
      <w:rFonts w:ascii="Calibri" w:hAnsi="Calibri" w:eastAsia="宋体" w:cs="Times New Roman"/>
      <w:kern w:val="2"/>
      <w:sz w:val="21"/>
      <w:szCs w:val="24"/>
      <w:lang w:val="en-US" w:eastAsia="zh-CN" w:bidi="ar-SA"/>
    </w:rPr>
  </w:style>
  <w:style w:type="table" w:customStyle="1" w:styleId="40">
    <w:name w:val="网格型1"/>
    <w:basedOn w:val="14"/>
    <w:qFormat/>
    <w:uiPriority w:val="39"/>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cPr>
      <w:vAlign w:val="center"/>
    </w:tcPr>
  </w:style>
  <w:style w:type="character" w:customStyle="1" w:styleId="41">
    <w:name w:val="HTML 预设格式 Char"/>
    <w:basedOn w:val="16"/>
    <w:link w:val="11"/>
    <w:semiHidden/>
    <w:qFormat/>
    <w:uiPriority w:val="99"/>
    <w:rPr>
      <w:rFonts w:ascii="Courier New" w:hAnsi="Courier New" w:eastAsia="仿宋_GB2312" w:cs="Courier New"/>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26"/>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2765</Words>
  <Characters>15761</Characters>
  <Lines>131</Lines>
  <Paragraphs>36</Paragraphs>
  <TotalTime>0</TotalTime>
  <ScaleCrop>false</ScaleCrop>
  <LinksUpToDate>false</LinksUpToDate>
  <CharactersWithSpaces>18490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2020-10-20T17:43:00Z</dcterms:created>
  <dc:creator>黄小洪</dc:creator>
  <cp:lastModifiedBy>痛并快乐着1413727247</cp:lastModifiedBy>
  <cp:lastPrinted>2024-07-22T15:01:00Z</cp:lastPrinted>
  <dcterms:modified xsi:type="dcterms:W3CDTF">2025-07-25T03:28:55Z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0D4F8CFCD25656CFCCB8A166FD0F6B5D</vt:lpwstr>
  </property>
</Properties>
</file>