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rPr>
          <w:rFonts w:ascii="宋体" w:hAnsi="宋体" w:eastAsia="宋体"/>
          <w:b w:val="0"/>
          <w:bCs/>
          <w:color w:val="FF0000"/>
          <w:sz w:val="44"/>
          <w:szCs w:val="44"/>
        </w:rPr>
      </w:pPr>
      <w:r>
        <w:rPr>
          <w:rFonts w:hint="eastAsia" w:ascii="宋体" w:hAnsi="宋体" w:eastAsia="宋体"/>
          <w:b w:val="0"/>
          <w:bCs/>
          <w:color w:val="FF0000"/>
          <w:sz w:val="44"/>
          <w:szCs w:val="44"/>
        </w:rPr>
        <w:t>重庆市建设项目环境影响评价文件批准书</w:t>
      </w:r>
    </w:p>
    <w:p>
      <w:pPr>
        <w:rPr>
          <w:rFonts w:ascii="宋体" w:hAnsi="宋体"/>
          <w:bCs/>
          <w:spacing w:val="50"/>
          <w:sz w:val="28"/>
        </w:rPr>
      </w:pPr>
    </w:p>
    <w:p>
      <w:pPr>
        <w:adjustRightInd w:val="0"/>
        <w:snapToGrid w:val="0"/>
        <w:rPr>
          <w:rFonts w:hint="default" w:eastAsia="微软雅黑"/>
          <w:dstrike/>
          <w:spacing w:val="50"/>
          <w:sz w:val="28"/>
          <w:szCs w:val="28"/>
          <w:lang w:val="en-US" w:eastAsia="zh-CN"/>
        </w:rPr>
      </w:pPr>
      <w:r>
        <w:rPr>
          <w:rFonts w:hint="eastAsia"/>
          <w:spacing w:val="50"/>
          <w:sz w:val="28"/>
        </w:rPr>
        <w:t xml:space="preserve"> </w:t>
      </w:r>
      <w:r>
        <w:rPr>
          <w:rFonts w:hint="eastAsia"/>
          <w:dstrike/>
          <w:spacing w:val="50"/>
          <w:sz w:val="28"/>
          <w:szCs w:val="28"/>
        </w:rPr>
        <w:t xml:space="preserve">                                   </w:t>
      </w:r>
      <w:r>
        <w:rPr>
          <w:rFonts w:hint="eastAsia"/>
          <w:dstrike/>
          <w:spacing w:val="50"/>
          <w:sz w:val="28"/>
          <w:szCs w:val="28"/>
          <w:lang w:val="en-US" w:eastAsia="zh-CN"/>
        </w:rPr>
        <w:t xml:space="preserve">                                </w:t>
      </w:r>
    </w:p>
    <w:p>
      <w:pPr>
        <w:pStyle w:val="5"/>
        <w:snapToGrid w:val="0"/>
        <w:spacing w:line="240" w:lineRule="atLeast"/>
        <w:jc w:val="center"/>
        <w:rPr>
          <w:rFonts w:hint="eastAsia" w:ascii="方正仿宋_GBK" w:hAnsi="宋体" w:eastAsia="方正仿宋_GBK"/>
          <w:bCs/>
          <w:lang w:eastAsia="zh-CN"/>
        </w:rPr>
      </w:pPr>
      <w:bookmarkStart w:id="0" w:name="docNum"/>
      <w:r>
        <w:rPr>
          <w:rFonts w:hint="eastAsia" w:ascii="方正仿宋_GBK" w:hAnsi="宋体" w:eastAsia="方正仿宋_GBK"/>
          <w:bCs/>
          <w:lang w:eastAsia="zh-CN"/>
        </w:rPr>
        <w:t>渝（奉）环准〔2024〕2号</w:t>
      </w:r>
      <w:bookmarkEnd w:id="0"/>
    </w:p>
    <w:p>
      <w:pPr>
        <w:pStyle w:val="9"/>
        <w:keepNext w:val="0"/>
        <w:keepLines w:val="0"/>
        <w:pageBreakBefore w:val="0"/>
        <w:widowControl/>
        <w:kinsoku/>
        <w:wordWrap/>
        <w:overflowPunct/>
        <w:topLinePunct w:val="0"/>
        <w:autoSpaceDE/>
        <w:autoSpaceDN/>
        <w:bidi w:val="0"/>
        <w:adjustRightInd/>
        <w:snapToGrid w:val="0"/>
        <w:spacing w:after="0" w:line="594" w:lineRule="exact"/>
        <w:textAlignment w:val="auto"/>
        <w:rPr>
          <w:rFonts w:hint="default" w:ascii="Times New Roman" w:hAnsi="Times New Roman" w:eastAsia="仿宋" w:cs="Times New Roman"/>
          <w:sz w:val="32"/>
          <w:szCs w:val="32"/>
        </w:rPr>
      </w:pPr>
      <w:bookmarkStart w:id="1" w:name="companyName"/>
      <w:r>
        <w:rPr>
          <w:rFonts w:hint="eastAsia" w:ascii="Times New Roman" w:hAnsi="Times New Roman" w:eastAsia="仿宋" w:cs="Times New Roman"/>
          <w:sz w:val="32"/>
          <w:szCs w:val="32"/>
          <w:lang w:eastAsia="zh-CN"/>
        </w:rPr>
        <w:t>重庆祥龙酒业有限公司</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你单位报送的</w:t>
      </w:r>
      <w:r>
        <w:rPr>
          <w:rFonts w:hint="eastAsia" w:ascii="Times New Roman" w:hAnsi="Times New Roman" w:eastAsia="仿宋" w:cs="Times New Roman"/>
          <w:sz w:val="32"/>
          <w:szCs w:val="32"/>
          <w:lang w:eastAsia="zh-CN"/>
        </w:rPr>
        <w:t>果酒白酒加工</w:t>
      </w:r>
      <w:r>
        <w:rPr>
          <w:rFonts w:hint="default" w:ascii="Times New Roman" w:hAnsi="Times New Roman" w:eastAsia="仿宋" w:cs="Times New Roman"/>
          <w:sz w:val="32"/>
          <w:szCs w:val="32"/>
        </w:rPr>
        <w:t>环境影响评价文件审批申报表及相关材料收悉，根据《中华人民共和国环境影响评价法》等法律法规的有关规定，我局原则同意重庆至恒环保技术有限公司编制的项目环境影响报告表结论及其提出的环境保护措施。</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一、项目的建设内容和规模：</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项目租用</w:t>
      </w:r>
      <w:r>
        <w:rPr>
          <w:rFonts w:hint="eastAsia" w:ascii="Times New Roman" w:hAnsi="Times New Roman" w:eastAsia="仿宋" w:cs="Times New Roman"/>
          <w:sz w:val="32"/>
          <w:szCs w:val="32"/>
          <w:lang w:eastAsia="zh-CN"/>
        </w:rPr>
        <w:t>草堂镇生态工业园区兴园路</w:t>
      </w:r>
      <w:r>
        <w:rPr>
          <w:rFonts w:hint="eastAsia" w:ascii="Times New Roman" w:hAnsi="Times New Roman" w:eastAsia="仿宋" w:cs="Times New Roman"/>
          <w:sz w:val="32"/>
          <w:szCs w:val="32"/>
          <w:lang w:val="en-US" w:eastAsia="zh-CN"/>
        </w:rPr>
        <w:t>1号</w:t>
      </w:r>
      <w:r>
        <w:rPr>
          <w:rFonts w:hint="eastAsia" w:ascii="Times New Roman" w:hAnsi="Times New Roman" w:eastAsia="仿宋" w:cs="Times New Roman"/>
          <w:sz w:val="32"/>
          <w:szCs w:val="32"/>
        </w:rPr>
        <w:t>C区13幢标准厂房1</w:t>
      </w:r>
      <w:r>
        <w:rPr>
          <w:rFonts w:hint="default" w:ascii="Times New Roman" w:hAnsi="Times New Roman" w:eastAsia="仿宋" w:cs="Times New Roman"/>
          <w:sz w:val="32"/>
          <w:szCs w:val="32"/>
        </w:rPr>
        <w:t>-2</w:t>
      </w:r>
      <w:r>
        <w:rPr>
          <w:rFonts w:hint="eastAsia" w:ascii="Times New Roman" w:hAnsi="Times New Roman" w:eastAsia="仿宋" w:cs="Times New Roman"/>
          <w:sz w:val="32"/>
          <w:szCs w:val="32"/>
        </w:rPr>
        <w:t>层</w:t>
      </w:r>
      <w:r>
        <w:rPr>
          <w:rFonts w:hint="default" w:ascii="Times New Roman" w:hAnsi="Times New Roman" w:eastAsia="仿宋" w:cs="Times New Roman"/>
          <w:sz w:val="32"/>
          <w:szCs w:val="32"/>
        </w:rPr>
        <w:t>，设置</w:t>
      </w:r>
      <w:r>
        <w:rPr>
          <w:rFonts w:hint="eastAsia" w:ascii="Times New Roman" w:hAnsi="Times New Roman" w:eastAsia="仿宋" w:cs="Times New Roman"/>
          <w:sz w:val="32"/>
          <w:szCs w:val="32"/>
        </w:rPr>
        <w:t>生产车间</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rPr>
        <w:t>原料库、辅料库、酒窖酒库、成品仓库等区域，同时配套建设公用工程和环保工程等</w:t>
      </w:r>
      <w:r>
        <w:rPr>
          <w:rFonts w:hint="eastAsia" w:ascii="Times New Roman" w:hAnsi="Times New Roman" w:eastAsia="仿宋" w:cs="Times New Roman"/>
          <w:sz w:val="32"/>
          <w:szCs w:val="32"/>
          <w:lang w:val="en-US" w:eastAsia="zh-CN"/>
        </w:rPr>
        <w:t>，项目总投资48</w:t>
      </w:r>
      <w:r>
        <w:rPr>
          <w:rFonts w:hint="default" w:ascii="Times New Roman" w:hAnsi="Times New Roman" w:eastAsia="仿宋" w:cs="Times New Roman"/>
          <w:sz w:val="32"/>
          <w:szCs w:val="32"/>
          <w:lang w:val="en-US" w:eastAsia="zh-CN"/>
        </w:rPr>
        <w:t>00</w:t>
      </w:r>
      <w:r>
        <w:rPr>
          <w:rFonts w:hint="eastAsia" w:ascii="Times New Roman" w:hAnsi="Times New Roman" w:eastAsia="仿宋" w:cs="Times New Roman"/>
          <w:sz w:val="32"/>
          <w:szCs w:val="32"/>
          <w:lang w:val="en-US" w:eastAsia="zh-CN"/>
        </w:rPr>
        <w:t>万元，其中环保投资20万元，建成后年产白酒1</w:t>
      </w:r>
      <w:r>
        <w:rPr>
          <w:rFonts w:hint="default" w:ascii="Times New Roman" w:hAnsi="Times New Roman" w:eastAsia="仿宋" w:cs="Times New Roman"/>
          <w:sz w:val="32"/>
          <w:szCs w:val="32"/>
          <w:lang w:val="en-US" w:eastAsia="zh-CN"/>
        </w:rPr>
        <w:t>60t，果酒</w:t>
      </w:r>
      <w:r>
        <w:rPr>
          <w:rFonts w:hint="eastAsia" w:ascii="Times New Roman" w:hAnsi="Times New Roman" w:eastAsia="仿宋" w:cs="Times New Roman"/>
          <w:sz w:val="32"/>
          <w:szCs w:val="32"/>
          <w:lang w:val="en-US" w:eastAsia="zh-CN"/>
        </w:rPr>
        <w:t>440</w:t>
      </w:r>
      <w:r>
        <w:rPr>
          <w:rFonts w:hint="default" w:ascii="Times New Roman" w:hAnsi="Times New Roman" w:eastAsia="仿宋" w:cs="Times New Roman"/>
          <w:sz w:val="32"/>
          <w:szCs w:val="32"/>
          <w:lang w:val="en-US" w:eastAsia="zh-CN"/>
        </w:rPr>
        <w:t>t</w:t>
      </w:r>
      <w:r>
        <w:rPr>
          <w:rFonts w:hint="eastAsia" w:ascii="Times New Roman" w:hAnsi="Times New Roman" w:eastAsia="仿宋" w:cs="Times New Roman"/>
          <w:sz w:val="32"/>
          <w:szCs w:val="32"/>
          <w:lang w:val="en-US" w:eastAsia="zh-CN"/>
        </w:rPr>
        <w:t>，年产值约2000万元。</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sz w:val="32"/>
          <w:szCs w:val="32"/>
        </w:rPr>
        <w:t>二、该项目在设计、建设和运行过程中，应认真落实本项目环境影响报告表中提出的各项生态保护及污染防治措施，严格执</w:t>
      </w:r>
      <w:r>
        <w:rPr>
          <w:rFonts w:hint="default" w:ascii="Times New Roman" w:hAnsi="Times New Roman" w:eastAsia="仿宋" w:cs="Times New Roman"/>
          <w:kern w:val="2"/>
          <w:sz w:val="32"/>
          <w:szCs w:val="32"/>
          <w:lang w:val="en-US" w:eastAsia="zh-CN" w:bidi="ar-SA"/>
        </w:rPr>
        <w:t>行相关污染物排放标准和总量控制的要求，并重点做好以下工作：</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（一）水污染防治措施。</w:t>
      </w:r>
      <w:r>
        <w:rPr>
          <w:rFonts w:hint="eastAsia" w:ascii="Times New Roman" w:hAnsi="Times New Roman" w:eastAsia="仿宋" w:cs="Times New Roman"/>
          <w:sz w:val="32"/>
          <w:szCs w:val="32"/>
          <w:lang w:val="en-US" w:eastAsia="zh-CN"/>
        </w:rPr>
        <w:t>纯水</w:t>
      </w:r>
      <w:r>
        <w:rPr>
          <w:rFonts w:hint="default" w:ascii="Times New Roman" w:hAnsi="Times New Roman" w:eastAsia="仿宋" w:cs="Times New Roman"/>
          <w:sz w:val="32"/>
          <w:szCs w:val="32"/>
          <w:lang w:val="en-US" w:eastAsia="zh-CN"/>
        </w:rPr>
        <w:t>制备浓水</w:t>
      </w:r>
      <w:r>
        <w:rPr>
          <w:rFonts w:hint="eastAsia" w:ascii="Times New Roman" w:hAnsi="Times New Roman" w:eastAsia="仿宋" w:cs="Times New Roman"/>
          <w:sz w:val="32"/>
          <w:szCs w:val="32"/>
          <w:lang w:val="en-US" w:eastAsia="zh-CN"/>
        </w:rPr>
        <w:t>和生活污水排入C区配套生化池处理后排入污水管网；</w:t>
      </w:r>
      <w:r>
        <w:rPr>
          <w:rFonts w:hint="default" w:ascii="Times New Roman" w:hAnsi="Times New Roman" w:eastAsia="仿宋" w:cs="Times New Roman"/>
          <w:sz w:val="32"/>
          <w:szCs w:val="32"/>
          <w:lang w:val="en-US" w:eastAsia="zh-CN"/>
        </w:rPr>
        <w:t>高粱浸泡及清洗废水、鲜果清洗废水、洗瓶废水、过滤反冲洗废水、蒸煮</w:t>
      </w:r>
      <w:r>
        <w:rPr>
          <w:rFonts w:hint="eastAsia" w:ascii="Times New Roman" w:hAnsi="Times New Roman" w:eastAsia="仿宋" w:cs="Times New Roman"/>
          <w:sz w:val="32"/>
          <w:szCs w:val="32"/>
          <w:lang w:val="en-US" w:eastAsia="zh-CN"/>
        </w:rPr>
        <w:t>复蒸</w:t>
      </w:r>
      <w:r>
        <w:rPr>
          <w:rFonts w:hint="default" w:ascii="Times New Roman" w:hAnsi="Times New Roman" w:eastAsia="仿宋" w:cs="Times New Roman"/>
          <w:sz w:val="32"/>
          <w:szCs w:val="32"/>
          <w:lang w:val="en-US" w:eastAsia="zh-CN"/>
        </w:rPr>
        <w:t>锅底废水、蒸馏锅底</w:t>
      </w:r>
      <w:r>
        <w:rPr>
          <w:rFonts w:hint="eastAsia" w:ascii="Times New Roman" w:hAnsi="Times New Roman" w:eastAsia="仿宋" w:cs="Times New Roman"/>
          <w:sz w:val="32"/>
          <w:szCs w:val="32"/>
          <w:lang w:val="en-US" w:eastAsia="zh-CN"/>
        </w:rPr>
        <w:t>废水、</w:t>
      </w:r>
      <w:r>
        <w:rPr>
          <w:rFonts w:hint="default" w:ascii="Times New Roman" w:hAnsi="Times New Roman" w:eastAsia="仿宋" w:cs="Times New Roman"/>
          <w:sz w:val="32"/>
          <w:szCs w:val="32"/>
          <w:lang w:val="en-US" w:eastAsia="zh-CN"/>
        </w:rPr>
        <w:t>车间地面清洗废水</w:t>
      </w:r>
      <w:r>
        <w:rPr>
          <w:rFonts w:hint="eastAsia" w:ascii="Times New Roman" w:hAnsi="Times New Roman" w:eastAsia="仿宋" w:cs="Times New Roman"/>
          <w:sz w:val="32"/>
          <w:szCs w:val="32"/>
          <w:lang w:val="en-US" w:eastAsia="zh-CN"/>
        </w:rPr>
        <w:t>排入厂区自建废水治理设施处理后排入污水管网。</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（二）废气污染防治措施。发酵废气</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lang w:val="en-US" w:eastAsia="zh-CN"/>
        </w:rPr>
        <w:t>蒸馏废气、陈酿废气、调配废气、灌装废气、喷码废气、</w:t>
      </w:r>
      <w:r>
        <w:rPr>
          <w:rFonts w:hint="default" w:ascii="Times New Roman" w:hAnsi="Times New Roman" w:eastAsia="仿宋" w:cs="Times New Roman"/>
          <w:sz w:val="32"/>
          <w:szCs w:val="32"/>
          <w:lang w:val="en-US"/>
        </w:rPr>
        <w:t>酒糟臭气</w:t>
      </w:r>
      <w:r>
        <w:rPr>
          <w:rFonts w:hint="eastAsia" w:ascii="Times New Roman" w:hAnsi="Times New Roman" w:eastAsia="仿宋" w:cs="Times New Roman"/>
          <w:sz w:val="32"/>
          <w:szCs w:val="32"/>
          <w:lang w:val="en-US" w:eastAsia="zh-CN"/>
        </w:rPr>
        <w:t>通过加强车间通风，无组织排放；</w:t>
      </w:r>
      <w:r>
        <w:rPr>
          <w:rFonts w:hint="default" w:ascii="Times New Roman" w:hAnsi="Times New Roman" w:eastAsia="仿宋" w:cs="Times New Roman"/>
          <w:sz w:val="32"/>
          <w:szCs w:val="32"/>
          <w:lang w:val="en-US" w:eastAsia="zh-CN"/>
        </w:rPr>
        <w:t>果渣暂存异味</w:t>
      </w:r>
      <w:r>
        <w:rPr>
          <w:rFonts w:hint="eastAsia" w:ascii="Times New Roman" w:hAnsi="Times New Roman" w:eastAsia="仿宋" w:cs="Times New Roman"/>
          <w:sz w:val="32"/>
          <w:szCs w:val="32"/>
          <w:lang w:val="en-US" w:eastAsia="zh-CN"/>
        </w:rPr>
        <w:t>需对果</w:t>
      </w:r>
      <w:r>
        <w:rPr>
          <w:rFonts w:hint="default" w:ascii="Times New Roman" w:hAnsi="Times New Roman" w:eastAsia="仿宋" w:cs="Times New Roman"/>
          <w:sz w:val="32"/>
          <w:szCs w:val="32"/>
          <w:lang w:val="en-US" w:eastAsia="zh-CN"/>
        </w:rPr>
        <w:t>渣、果核及过滤残渣暂存容器加盖，加强管理，做到日产日清</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rPr>
        <w:t>污水处理站臭气</w:t>
      </w:r>
      <w:r>
        <w:rPr>
          <w:rFonts w:hint="default" w:ascii="Times New Roman" w:hAnsi="Times New Roman" w:eastAsia="仿宋" w:cs="Times New Roman"/>
          <w:sz w:val="32"/>
          <w:szCs w:val="32"/>
          <w:lang w:val="en-US" w:eastAsia="zh-CN"/>
        </w:rPr>
        <w:t>采用地埋式废水处理站，加盖密封、设导气管将臭气收集后引至绿化带排放</w:t>
      </w:r>
      <w:r>
        <w:rPr>
          <w:rFonts w:hint="default" w:ascii="Times New Roman" w:hAnsi="Times New Roman" w:eastAsia="仿宋" w:cs="Times New Roman"/>
          <w:sz w:val="32"/>
          <w:szCs w:val="32"/>
          <w:lang w:val="en-US"/>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（三）噪声污染防治措施。通过采取基础减振、厂房隔声等措施减小噪声污染</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（四）固体废弃物污染治理措施。原料浮渣</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酒糟</w:t>
      </w:r>
      <w:r>
        <w:rPr>
          <w:rFonts w:hint="eastAsia" w:ascii="Times New Roman" w:hAnsi="Times New Roman" w:eastAsia="仿宋" w:cs="Times New Roman"/>
          <w:sz w:val="32"/>
          <w:szCs w:val="32"/>
          <w:lang w:val="en-US" w:eastAsia="zh-CN"/>
        </w:rPr>
        <w:t>、废果、</w:t>
      </w:r>
      <w:r>
        <w:rPr>
          <w:rFonts w:hint="default" w:ascii="Times New Roman" w:hAnsi="Times New Roman" w:eastAsia="仿宋" w:cs="Times New Roman"/>
          <w:sz w:val="32"/>
          <w:szCs w:val="32"/>
          <w:lang w:val="en-US" w:eastAsia="zh-CN"/>
        </w:rPr>
        <w:t>果皮</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滤渣外售给周边养殖户或饲料加工企业</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废硅藻土</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污泥</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废包装材料</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生活垃圾交环卫部门处理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废酒瓶</w:t>
      </w:r>
      <w:r>
        <w:rPr>
          <w:rFonts w:hint="eastAsia" w:ascii="Times New Roman" w:hAnsi="Times New Roman" w:eastAsia="仿宋" w:cs="Times New Roman"/>
          <w:sz w:val="32"/>
          <w:szCs w:val="32"/>
          <w:lang w:val="en-US" w:eastAsia="zh-CN"/>
        </w:rPr>
        <w:t>由</w:t>
      </w:r>
      <w:r>
        <w:rPr>
          <w:rFonts w:hint="default" w:ascii="Times New Roman" w:hAnsi="Times New Roman" w:eastAsia="仿宋" w:cs="Times New Roman"/>
          <w:sz w:val="32"/>
          <w:szCs w:val="32"/>
          <w:lang w:val="en-US" w:eastAsia="zh-CN"/>
        </w:rPr>
        <w:t>厂家回收</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废树脂交由资源回收单位处理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废紫外线灯管</w:t>
      </w:r>
      <w:r>
        <w:rPr>
          <w:rFonts w:hint="eastAsia" w:ascii="Times New Roman" w:hAnsi="Times New Roman" w:eastAsia="仿宋" w:cs="Times New Roman"/>
          <w:sz w:val="32"/>
          <w:szCs w:val="32"/>
          <w:lang w:val="en-US" w:eastAsia="zh-CN"/>
        </w:rPr>
        <w:t>、废润滑油</w:t>
      </w:r>
      <w:r>
        <w:rPr>
          <w:rFonts w:hint="default" w:ascii="Times New Roman" w:hAnsi="Times New Roman" w:eastAsia="仿宋" w:cs="Times New Roman"/>
          <w:sz w:val="32"/>
          <w:szCs w:val="32"/>
          <w:lang w:val="en-US" w:eastAsia="zh-CN"/>
        </w:rPr>
        <w:t>暂存于危废暂存间，定期交由有资质单位处理</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（五）严格环境风险防范。发酵间、酿酒区</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成品仓库</w:t>
      </w:r>
      <w:r>
        <w:rPr>
          <w:rFonts w:hint="eastAsia" w:ascii="Times New Roman" w:hAnsi="Times New Roman" w:eastAsia="仿宋" w:cs="Times New Roman"/>
          <w:sz w:val="32"/>
          <w:szCs w:val="32"/>
          <w:lang w:val="en-US" w:eastAsia="zh-CN"/>
        </w:rPr>
        <w:t>等</w:t>
      </w:r>
      <w:r>
        <w:rPr>
          <w:rFonts w:hint="default" w:ascii="Times New Roman" w:hAnsi="Times New Roman" w:eastAsia="仿宋" w:cs="Times New Roman"/>
          <w:sz w:val="32"/>
          <w:szCs w:val="32"/>
          <w:lang w:val="en-US" w:eastAsia="zh-CN"/>
        </w:rPr>
        <w:t>内部四周设置截排水沟，与废水处理站连接。桶装原辅材料转移、原料计量及投加过程应进行重点防范，避免由于操作失误造成物料泄漏。所有存放容器，除正在使用外，均需保持紧盖</w:t>
      </w:r>
      <w:r>
        <w:rPr>
          <w:rFonts w:hint="eastAsia" w:ascii="Times New Roman" w:hAnsi="Times New Roman" w:eastAsia="仿宋" w:cs="Times New Roman"/>
          <w:sz w:val="32"/>
          <w:szCs w:val="32"/>
          <w:lang w:val="en-US" w:eastAsia="zh-CN"/>
        </w:rPr>
        <w:t>。</w:t>
      </w:r>
      <w:bookmarkStart w:id="2" w:name="_Toc252814792"/>
      <w:bookmarkStart w:id="3" w:name="_Toc252815043"/>
      <w:r>
        <w:rPr>
          <w:rFonts w:hint="default" w:ascii="Times New Roman" w:hAnsi="Times New Roman" w:eastAsia="仿宋" w:cs="Times New Roman"/>
          <w:sz w:val="32"/>
          <w:szCs w:val="32"/>
          <w:lang w:val="en-US" w:eastAsia="zh-CN"/>
        </w:rPr>
        <w:t>固体废物进行分类收集</w:t>
      </w:r>
      <w:bookmarkEnd w:id="2"/>
      <w:bookmarkEnd w:id="3"/>
      <w:r>
        <w:rPr>
          <w:rFonts w:hint="default" w:ascii="Times New Roman" w:hAnsi="Times New Roman" w:eastAsia="仿宋" w:cs="Times New Roman"/>
          <w:sz w:val="32"/>
          <w:szCs w:val="32"/>
          <w:lang w:val="en-US" w:eastAsia="zh-CN"/>
        </w:rPr>
        <w:t>；</w:t>
      </w:r>
      <w:bookmarkStart w:id="4" w:name="_Toc252815044"/>
      <w:bookmarkStart w:id="5" w:name="_Toc252814793"/>
      <w:r>
        <w:rPr>
          <w:rFonts w:hint="default" w:ascii="Times New Roman" w:hAnsi="Times New Roman" w:eastAsia="仿宋" w:cs="Times New Roman"/>
          <w:sz w:val="32"/>
          <w:szCs w:val="32"/>
          <w:lang w:val="en-US" w:eastAsia="zh-CN"/>
        </w:rPr>
        <w:t>严格遵循危险废物的贮存和运送的相关规定</w:t>
      </w:r>
      <w:bookmarkEnd w:id="4"/>
      <w:bookmarkEnd w:id="5"/>
      <w:r>
        <w:rPr>
          <w:rFonts w:hint="default" w:ascii="Times New Roman" w:hAnsi="Times New Roman" w:eastAsia="仿宋" w:cs="Times New Roman"/>
          <w:sz w:val="32"/>
          <w:szCs w:val="32"/>
          <w:lang w:val="en-US" w:eastAsia="zh-CN"/>
        </w:rPr>
        <w:t>；建立危险废物暂存设施、设备，不露天存放，存放场地采取防雨、防风、防晒、防渗、防流失措施。</w:t>
      </w:r>
      <w:r>
        <w:rPr>
          <w:rFonts w:hint="eastAsia" w:ascii="Times New Roman" w:hAnsi="Times New Roman" w:eastAsia="仿宋" w:cs="Times New Roman"/>
          <w:sz w:val="32"/>
          <w:szCs w:val="32"/>
          <w:lang w:val="en-US" w:eastAsia="zh-CN"/>
        </w:rPr>
        <w:t>设置</w:t>
      </w:r>
      <w:r>
        <w:rPr>
          <w:rFonts w:hint="default" w:ascii="Times New Roman" w:hAnsi="Times New Roman" w:eastAsia="仿宋" w:cs="Times New Roman"/>
          <w:sz w:val="32"/>
          <w:szCs w:val="32"/>
          <w:lang w:val="en-US" w:eastAsia="zh-CN"/>
        </w:rPr>
        <w:t>一体化废水处理设备，周边设置围堰，加强防控，一旦发生泄漏情况，及时采取措施；采取防渗地面，并配备防水沙袋等临时拦截设施</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加强巡检，定期对酒品储存区、危废暂存间等区域进行检查、维修。建立重大事故管理和应急计划，设立公司急救指挥小组和事故处理抢险队，编制环境风险评估和应急预案，并加强演练。</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三、该项目建设必须严格执行环境保护设施与主</w:t>
      </w:r>
      <w:r>
        <w:rPr>
          <w:rFonts w:hint="default" w:ascii="Times New Roman" w:hAnsi="Times New Roman" w:eastAsia="仿宋" w:cs="Times New Roman"/>
          <w:sz w:val="32"/>
          <w:szCs w:val="32"/>
        </w:rPr>
        <w:t>体工程同时设计、同时施工、同时投入使用的环境保护</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三同时</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制度。项目竣工后，建设单位应按照有关规定对配套建设的环境保护设施进行验收。</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四、该项目的性质、规模、地点、采用的生产工艺或者防治污染、防止生态破坏的措施发生重大变动的，应当重新报批该项目的环境影响评价文件。自批准之日起超过</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年方决定该项目开工建设的，其环境影响评价文件应当报我局重新审核。</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left="0" w:leftChars="0" w:right="0" w:rightChars="0" w:firstLine="640" w:firstLineChars="200"/>
        <w:textAlignment w:val="auto"/>
        <w:rPr>
          <w:rFonts w:hint="default" w:ascii="Times New Roman" w:hAnsi="Times New Roman" w:eastAsia="仿宋_GB2312" w:cs="Times New Roman"/>
          <w:bCs/>
          <w:kern w:val="0"/>
          <w:sz w:val="28"/>
          <w:szCs w:val="28"/>
          <w:u w:val="none"/>
        </w:rPr>
      </w:pPr>
      <w:r>
        <w:rPr>
          <w:rFonts w:hint="default" w:ascii="Times New Roman" w:hAnsi="Times New Roman" w:eastAsia="仿宋" w:cs="Times New Roman"/>
          <w:sz w:val="32"/>
          <w:szCs w:val="32"/>
        </w:rPr>
        <w:t>五、请奉节县生态环境保护综合行政执法支队负责该项目环境保护日常监督管理工作。</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left="0" w:leftChars="0" w:right="0" w:rightChars="0" w:firstLine="560" w:firstLineChars="200"/>
        <w:jc w:val="left"/>
        <w:textAlignment w:val="auto"/>
        <w:rPr>
          <w:rFonts w:hint="default" w:ascii="Times New Roman" w:hAnsi="Times New Roman" w:eastAsia="仿宋_GB2312" w:cs="Times New Roman"/>
          <w:bCs/>
          <w:kern w:val="0"/>
          <w:sz w:val="28"/>
          <w:szCs w:val="28"/>
          <w:u w:val="none"/>
        </w:rPr>
      </w:pPr>
    </w:p>
    <w:p>
      <w:pPr>
        <w:pStyle w:val="2"/>
        <w:keepNext w:val="0"/>
        <w:keepLines w:val="0"/>
        <w:pageBreakBefore w:val="0"/>
        <w:kinsoku/>
        <w:wordWrap/>
        <w:overflowPunct/>
        <w:topLinePunct w:val="0"/>
        <w:autoSpaceDE/>
        <w:autoSpaceDN/>
        <w:bidi w:val="0"/>
        <w:spacing w:before="0" w:beforeAutospacing="0" w:after="0" w:line="594" w:lineRule="exact"/>
        <w:ind w:left="0" w:leftChars="0" w:right="0" w:rightChars="0" w:firstLine="560" w:firstLineChars="200"/>
        <w:textAlignment w:val="auto"/>
        <w:rPr>
          <w:rFonts w:hint="default" w:ascii="Times New Roman" w:hAnsi="Times New Roman" w:eastAsia="仿宋_GB2312" w:cs="Times New Roman"/>
          <w:bCs/>
          <w:kern w:val="0"/>
          <w:sz w:val="28"/>
          <w:szCs w:val="28"/>
          <w:u w:val="none"/>
        </w:rPr>
      </w:pPr>
    </w:p>
    <w:p>
      <w:pPr>
        <w:pStyle w:val="6"/>
        <w:keepNext w:val="0"/>
        <w:keepLines w:val="0"/>
        <w:pageBreakBefore w:val="0"/>
        <w:widowControl w:val="0"/>
        <w:kinsoku/>
        <w:wordWrap w:val="0"/>
        <w:overflowPunct/>
        <w:topLinePunct w:val="0"/>
        <w:autoSpaceDE/>
        <w:autoSpaceDN/>
        <w:bidi w:val="0"/>
        <w:adjustRightInd w:val="0"/>
        <w:snapToGrid w:val="0"/>
        <w:spacing w:beforeAutospacing="0" w:line="594" w:lineRule="exact"/>
        <w:ind w:left="0" w:leftChars="0" w:right="0" w:rightChars="0"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11</w:t>
      </w:r>
      <w:bookmarkStart w:id="6" w:name="_GoBack"/>
      <w:bookmarkEnd w:id="6"/>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 xml:space="preserve">        </w:t>
      </w:r>
    </w:p>
    <w:p>
      <w:pPr>
        <w:pStyle w:val="2"/>
        <w:keepNext w:val="0"/>
        <w:keepLines w:val="0"/>
        <w:pageBreakBefore w:val="0"/>
        <w:widowControl/>
        <w:kinsoku/>
        <w:wordWrap/>
        <w:overflowPunct/>
        <w:topLinePunct w:val="0"/>
        <w:autoSpaceDE/>
        <w:autoSpaceDN/>
        <w:bidi w:val="0"/>
        <w:adjustRightInd w:val="0"/>
        <w:snapToGrid w:val="0"/>
        <w:spacing w:before="0" w:beforeAutospacing="0" w:line="594" w:lineRule="exact"/>
        <w:ind w:left="0" w:leftChars="0" w:right="0" w:rightChars="0" w:firstLine="440" w:firstLineChars="200"/>
        <w:textAlignment w:val="auto"/>
        <w:rPr>
          <w:rFonts w:hint="default"/>
        </w:rPr>
      </w:pPr>
    </w:p>
    <w:p>
      <w:pPr>
        <w:keepNext w:val="0"/>
        <w:keepLines w:val="0"/>
        <w:pageBreakBefore w:val="0"/>
        <w:kinsoku/>
        <w:overflowPunct/>
        <w:topLinePunct w:val="0"/>
        <w:autoSpaceDE/>
        <w:autoSpaceDN/>
        <w:bidi w:val="0"/>
        <w:spacing w:beforeAutospacing="0"/>
        <w:ind w:left="0" w:leftChars="0" w:right="0" w:rightChars="0" w:firstLine="440" w:firstLineChars="200"/>
        <w:textAlignment w:val="auto"/>
        <w:rPr>
          <w:rFonts w:hint="default"/>
        </w:rPr>
      </w:pPr>
    </w:p>
    <w:p>
      <w:pPr>
        <w:pStyle w:val="2"/>
        <w:keepNext w:val="0"/>
        <w:keepLines w:val="0"/>
        <w:pageBreakBefore w:val="0"/>
        <w:kinsoku/>
        <w:overflowPunct/>
        <w:topLinePunct w:val="0"/>
        <w:autoSpaceDE/>
        <w:autoSpaceDN/>
        <w:bidi w:val="0"/>
        <w:spacing w:before="0" w:beforeAutospacing="0"/>
        <w:ind w:left="0" w:leftChars="0" w:right="0" w:rightChars="0" w:firstLine="440" w:firstLineChars="200"/>
        <w:textAlignment w:val="auto"/>
        <w:rPr>
          <w:rFonts w:hint="default"/>
        </w:rPr>
      </w:pPr>
    </w:p>
    <w:p>
      <w:pPr>
        <w:keepNext w:val="0"/>
        <w:keepLines w:val="0"/>
        <w:pageBreakBefore w:val="0"/>
        <w:kinsoku/>
        <w:overflowPunct/>
        <w:topLinePunct w:val="0"/>
        <w:autoSpaceDE/>
        <w:autoSpaceDN/>
        <w:bidi w:val="0"/>
        <w:spacing w:beforeAutospacing="0"/>
        <w:ind w:left="0" w:leftChars="0" w:right="0" w:rightChars="0" w:firstLine="440" w:firstLineChars="200"/>
        <w:textAlignment w:val="auto"/>
        <w:rPr>
          <w:rFonts w:hint="default"/>
        </w:rPr>
      </w:pPr>
    </w:p>
    <w:p>
      <w:pPr>
        <w:pStyle w:val="2"/>
        <w:keepNext w:val="0"/>
        <w:keepLines w:val="0"/>
        <w:pageBreakBefore w:val="0"/>
        <w:kinsoku/>
        <w:overflowPunct/>
        <w:topLinePunct w:val="0"/>
        <w:autoSpaceDE/>
        <w:autoSpaceDN/>
        <w:bidi w:val="0"/>
        <w:spacing w:before="0" w:beforeAutospacing="0"/>
        <w:ind w:left="0" w:leftChars="0" w:right="0" w:rightChars="0" w:firstLine="440" w:firstLineChars="200"/>
        <w:textAlignment w:val="auto"/>
        <w:rPr>
          <w:rFonts w:hint="default"/>
        </w:rPr>
      </w:pPr>
    </w:p>
    <w:p>
      <w:pPr>
        <w:rPr>
          <w:rFonts w:hint="default"/>
        </w:rPr>
      </w:pPr>
    </w:p>
    <w:p>
      <w:pPr>
        <w:pStyle w:val="2"/>
        <w:rPr>
          <w:rFonts w:hint="default"/>
        </w:rPr>
      </w:pPr>
    </w:p>
    <w:p>
      <w:pPr>
        <w:rPr>
          <w:rFonts w:hint="default"/>
        </w:rPr>
      </w:pPr>
    </w:p>
    <w:p>
      <w:pPr>
        <w:keepNext w:val="0"/>
        <w:keepLines w:val="0"/>
        <w:pageBreakBefore w:val="0"/>
        <w:kinsoku/>
        <w:overflowPunct/>
        <w:topLinePunct w:val="0"/>
        <w:autoSpaceDE/>
        <w:autoSpaceDN/>
        <w:bidi w:val="0"/>
        <w:spacing w:beforeAutospacing="0"/>
        <w:ind w:left="0" w:leftChars="0" w:right="0" w:rightChars="0" w:firstLine="440" w:firstLineChars="200"/>
        <w:textAlignment w:val="auto"/>
        <w:rPr>
          <w:rFonts w:hint="default"/>
        </w:rPr>
      </w:pPr>
    </w:p>
    <w:p>
      <w:pPr>
        <w:pStyle w:val="2"/>
        <w:keepNext w:val="0"/>
        <w:keepLines w:val="0"/>
        <w:pageBreakBefore w:val="0"/>
        <w:kinsoku/>
        <w:overflowPunct/>
        <w:topLinePunct w:val="0"/>
        <w:autoSpaceDE/>
        <w:autoSpaceDN/>
        <w:bidi w:val="0"/>
        <w:spacing w:before="0" w:beforeAutospacing="0"/>
        <w:ind w:left="0" w:leftChars="0" w:right="0" w:rightChars="0" w:firstLine="0" w:firstLineChars="0"/>
        <w:textAlignment w:val="auto"/>
        <w:rPr>
          <w:rFonts w:hint="default"/>
        </w:rPr>
      </w:pPr>
    </w:p>
    <w:p>
      <w:pPr>
        <w:keepNext w:val="0"/>
        <w:keepLines w:val="0"/>
        <w:pageBreakBefore w:val="0"/>
        <w:widowControl/>
        <w:kinsoku/>
        <w:wordWrap/>
        <w:overflowPunct/>
        <w:topLinePunct w:val="0"/>
        <w:autoSpaceDE/>
        <w:autoSpaceDN/>
        <w:bidi w:val="0"/>
        <w:adjustRightInd w:val="0"/>
        <w:snapToGrid w:val="0"/>
        <w:spacing w:line="594" w:lineRule="exact"/>
        <w:textAlignment w:val="auto"/>
        <w:rPr>
          <w:rFonts w:ascii="方正仿宋_GBK" w:eastAsia="方正仿宋_GBK"/>
        </w:rPr>
      </w:pPr>
      <w:r>
        <w:rPr>
          <w:rFonts w:ascii="方正仿宋_GBK" w:eastAsia="方正仿宋_GBK"/>
          <w:spacing w:val="-11"/>
          <w:sz w:val="32"/>
        </w:rPr>
        <w:pict>
          <v:line id="直接连接符 2" o:spid="_x0000_s2050" o:spt="20" style="position:absolute;left:0pt;margin-left:-2.3pt;margin-top:35.85pt;height:0.05pt;width:461.25pt;z-index:251658240;mso-width-relative:page;mso-height-relative:page;" filled="f" stroked="t" coordsize="21600,21600" o:gfxdata="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cLA9HXAAAACAEAAA8A&#10;AAAAAAAAAQAgAAAAIgAAAGRycy9kb3ducmV2LnhtbFBLAQIUABQAAAAIAIdO4kAJXpoD3wEAAKYD&#10;AAAOAAAAAAAAAAEAIAAAACYBAABkcnMvZTJvRG9jLnhtbFBLBQYAAAAABgAGAFkBAAB3BQAAAAA=&#10;">
            <v:path arrowok="t"/>
            <v:fill on="f" focussize="0,0"/>
            <v:stroke joinstyle="round"/>
            <v:imagedata o:title=""/>
            <o:lock v:ext="edit" aspectratio="f"/>
          </v:line>
        </w:pict>
      </w:r>
      <w:r>
        <w:rPr>
          <w:rFonts w:hint="default" w:ascii="Times New Roman" w:hAnsi="Times New Roman" w:eastAsia="仿宋_GB2312" w:cs="Times New Roman"/>
          <w:bCs/>
          <w:spacing w:val="-11"/>
          <w:kern w:val="0"/>
          <w:sz w:val="28"/>
          <w:szCs w:val="28"/>
          <w:u w:val="none"/>
        </w:rPr>
        <w:t>抄送：奉节县生态环境保护综合行政执法支队，重庆至恒环保技术有限公司。</w:t>
      </w:r>
      <w:bookmarkEnd w:id="1"/>
    </w:p>
    <w:sectPr>
      <w:pgSz w:w="11906" w:h="16838"/>
      <w:pgMar w:top="1417" w:right="1247" w:bottom="141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20B709A4"/>
    <w:rsid w:val="60676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ind w:firstLine="420" w:firstLineChars="200"/>
    </w:pPr>
  </w:style>
  <w:style w:type="paragraph" w:styleId="3">
    <w:name w:val="Body Text Indent"/>
    <w:basedOn w:val="1"/>
    <w:next w:val="1"/>
    <w:unhideWhenUsed/>
    <w:qFormat/>
    <w:uiPriority w:val="99"/>
    <w:pPr>
      <w:spacing w:after="120"/>
      <w:ind w:left="420" w:leftChars="200"/>
    </w:pPr>
  </w:style>
  <w:style w:type="paragraph" w:styleId="5">
    <w:name w:val="Body Text"/>
    <w:basedOn w:val="1"/>
    <w:qFormat/>
    <w:uiPriority w:val="0"/>
    <w:pPr>
      <w:widowControl/>
      <w:jc w:val="left"/>
    </w:pPr>
    <w:rPr>
      <w:kern w:val="0"/>
      <w:sz w:val="32"/>
      <w:szCs w:val="20"/>
    </w:rPr>
  </w:style>
  <w:style w:type="paragraph" w:styleId="6">
    <w:name w:val="Body Text First Indent"/>
    <w:basedOn w:val="5"/>
    <w:qFormat/>
    <w:uiPriority w:val="0"/>
    <w:pPr>
      <w:widowControl w:val="0"/>
      <w:spacing w:after="120"/>
      <w:ind w:firstLine="420" w:firstLineChars="100"/>
      <w:jc w:val="both"/>
    </w:pPr>
    <w:rPr>
      <w:kern w:val="2"/>
      <w:sz w:val="21"/>
      <w:szCs w:val="24"/>
    </w:rPr>
  </w:style>
  <w:style w:type="paragraph" w:customStyle="1" w:styleId="9">
    <w:name w:val="tb"/>
    <w:basedOn w:val="1"/>
    <w:qFormat/>
    <w:uiPriority w:val="0"/>
    <w:pPr>
      <w:spacing w:line="400" w:lineRule="atLeast"/>
    </w:pPr>
    <w:rPr>
      <w:rFonts w:ascii="宋体" w:hAnsi="Arial"/>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Administrator.SKY-20220829BGM</dc:creator>
  <cp:lastModifiedBy>Administrator</cp:lastModifiedBy>
  <dcterms:modified xsi:type="dcterms:W3CDTF">2024-03-11T06:06:33Z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