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Lines w:val="0"/>
        <w:pageBreakBefore w:val="0"/>
        <w:widowControl/>
        <w:kinsoku/>
        <w:wordWrap/>
        <w:overflowPunct/>
        <w:topLinePunct w:val="0"/>
        <w:autoSpaceDE/>
        <w:autoSpaceDN/>
        <w:bidi w:val="0"/>
        <w:snapToGrid w:val="0"/>
        <w:spacing w:after="0" w:line="560" w:lineRule="exact"/>
        <w:textAlignment w:val="auto"/>
        <w:rPr>
          <w:rFonts w:ascii="宋体" w:hAnsi="宋体" w:eastAsia="宋体"/>
          <w:b w:val="0"/>
          <w:bCs/>
          <w:color w:val="FF0000"/>
          <w:sz w:val="44"/>
          <w:szCs w:val="44"/>
        </w:rPr>
      </w:pPr>
      <w:r>
        <w:rPr>
          <w:rFonts w:hint="eastAsia" w:ascii="宋体" w:hAnsi="宋体" w:eastAsia="宋体"/>
          <w:b w:val="0"/>
          <w:bCs/>
          <w:color w:val="FF0000"/>
          <w:sz w:val="44"/>
          <w:szCs w:val="44"/>
        </w:rPr>
        <w:t>重庆市建设项目环境影响评价文件批准书</w:t>
      </w:r>
    </w:p>
    <w:p>
      <w:pPr>
        <w:keepLines w:val="0"/>
        <w:pageBreakBefore w:val="0"/>
        <w:widowControl/>
        <w:kinsoku/>
        <w:wordWrap/>
        <w:overflowPunct/>
        <w:topLinePunct w:val="0"/>
        <w:autoSpaceDE/>
        <w:autoSpaceDN/>
        <w:bidi w:val="0"/>
        <w:snapToGrid w:val="0"/>
        <w:spacing w:after="0" w:line="560" w:lineRule="exact"/>
        <w:textAlignment w:val="auto"/>
        <w:rPr>
          <w:rFonts w:ascii="宋体" w:hAnsi="宋体"/>
          <w:bCs/>
          <w:spacing w:val="50"/>
          <w:sz w:val="28"/>
        </w:rPr>
      </w:pPr>
    </w:p>
    <w:p>
      <w:pPr>
        <w:keepLines w:val="0"/>
        <w:pageBreakBefore w:val="0"/>
        <w:widowControl/>
        <w:kinsoku/>
        <w:wordWrap/>
        <w:overflowPunct/>
        <w:topLinePunct w:val="0"/>
        <w:autoSpaceDE/>
        <w:autoSpaceDN/>
        <w:bidi w:val="0"/>
        <w:adjustRightInd w:val="0"/>
        <w:snapToGrid w:val="0"/>
        <w:spacing w:after="0" w:line="560" w:lineRule="exact"/>
        <w:textAlignment w:val="auto"/>
        <w:rPr>
          <w:rFonts w:hint="default" w:eastAsia="微软雅黑"/>
          <w:dstrike/>
          <w:spacing w:val="50"/>
          <w:sz w:val="28"/>
          <w:szCs w:val="28"/>
          <w:lang w:val="en-US" w:eastAsia="zh-CN"/>
        </w:rPr>
      </w:pPr>
      <w:r>
        <w:rPr>
          <w:rFonts w:hint="eastAsia"/>
          <w:spacing w:val="50"/>
          <w:sz w:val="28"/>
        </w:rPr>
        <w:t xml:space="preserve"> </w:t>
      </w:r>
      <w:r>
        <w:rPr>
          <w:rFonts w:hint="eastAsia"/>
          <w:dstrike/>
          <w:spacing w:val="50"/>
          <w:sz w:val="28"/>
          <w:szCs w:val="28"/>
        </w:rPr>
        <w:t xml:space="preserve">                                   </w:t>
      </w:r>
      <w:r>
        <w:rPr>
          <w:rFonts w:hint="eastAsia"/>
          <w:dstrike/>
          <w:spacing w:val="50"/>
          <w:sz w:val="28"/>
          <w:szCs w:val="28"/>
          <w:lang w:val="en-US" w:eastAsia="zh-CN"/>
        </w:rPr>
        <w:t xml:space="preserve">                                </w:t>
      </w:r>
    </w:p>
    <w:p>
      <w:pPr>
        <w:pStyle w:val="2"/>
        <w:keepNext w:val="0"/>
        <w:keepLines w:val="0"/>
        <w:pageBreakBefore w:val="0"/>
        <w:widowControl/>
        <w:kinsoku/>
        <w:wordWrap/>
        <w:overflowPunct/>
        <w:topLinePunct w:val="0"/>
        <w:autoSpaceDE/>
        <w:autoSpaceDN/>
        <w:bidi w:val="0"/>
        <w:snapToGrid w:val="0"/>
        <w:spacing w:after="0" w:line="560" w:lineRule="exact"/>
        <w:jc w:val="center"/>
        <w:textAlignment w:val="auto"/>
        <w:rPr>
          <w:rFonts w:hint="eastAsia" w:ascii="方正仿宋_GBK" w:hAnsi="宋体" w:eastAsia="方正仿宋_GBK"/>
          <w:bCs/>
          <w:lang w:eastAsia="zh-CN"/>
        </w:rPr>
      </w:pPr>
      <w:bookmarkStart w:id="0" w:name="docNum"/>
      <w:r>
        <w:rPr>
          <w:rFonts w:hint="eastAsia" w:ascii="方正仿宋_GBK" w:hAnsi="宋体" w:eastAsia="方正仿宋_GBK"/>
          <w:bCs/>
          <w:lang w:eastAsia="zh-CN"/>
        </w:rPr>
        <w:t>渝（奉）环准〔2024〕</w:t>
      </w:r>
      <w:r>
        <w:rPr>
          <w:rFonts w:hint="eastAsia" w:ascii="方正仿宋_GBK" w:hAnsi="宋体" w:eastAsia="方正仿宋_GBK"/>
          <w:bCs/>
          <w:lang w:val="en-US" w:eastAsia="zh-CN"/>
        </w:rPr>
        <w:t>21</w:t>
      </w:r>
      <w:r>
        <w:rPr>
          <w:rFonts w:hint="eastAsia" w:ascii="方正仿宋_GBK" w:hAnsi="宋体" w:eastAsia="方正仿宋_GBK"/>
          <w:bCs/>
          <w:lang w:eastAsia="zh-CN"/>
        </w:rPr>
        <w:t>号</w:t>
      </w:r>
      <w:bookmarkEnd w:id="0"/>
    </w:p>
    <w:p>
      <w:pPr>
        <w:pStyle w:val="10"/>
        <w:keepNext w:val="0"/>
        <w:keepLines w:val="0"/>
        <w:pageBreakBefore w:val="0"/>
        <w:widowControl/>
        <w:kinsoku/>
        <w:wordWrap/>
        <w:overflowPunct/>
        <w:topLinePunct w:val="0"/>
        <w:autoSpaceDE/>
        <w:autoSpaceDN/>
        <w:bidi w:val="0"/>
        <w:adjustRightInd/>
        <w:snapToGrid w:val="0"/>
        <w:spacing w:after="0" w:line="560" w:lineRule="exact"/>
        <w:textAlignment w:val="auto"/>
        <w:rPr>
          <w:rFonts w:hint="default" w:ascii="Times New Roman" w:hAnsi="Times New Roman" w:eastAsia="仿宋" w:cs="Times New Roman"/>
          <w:color w:val="auto"/>
          <w:sz w:val="32"/>
          <w:szCs w:val="32"/>
          <w:u w:val="none"/>
          <w:lang w:val="en-US" w:eastAsia="zh-CN" w:bidi="ar-SA"/>
        </w:rPr>
      </w:pPr>
      <w:bookmarkStart w:id="1" w:name="companyName"/>
      <w:r>
        <w:rPr>
          <w:rFonts w:hint="eastAsia" w:ascii="Times New Roman" w:hAnsi="Times New Roman" w:eastAsia="仿宋" w:cs="Times New Roman"/>
          <w:color w:val="auto"/>
          <w:sz w:val="32"/>
          <w:szCs w:val="32"/>
          <w:u w:val="none"/>
          <w:lang w:val="en-US" w:eastAsia="zh-CN" w:bidi="ar-SA"/>
        </w:rPr>
        <w:t>重庆汇源惠农农业发展有限公司</w:t>
      </w:r>
      <w:r>
        <w:rPr>
          <w:rFonts w:hint="default" w:ascii="Times New Roman" w:hAnsi="Times New Roman" w:eastAsia="仿宋" w:cs="Times New Roman"/>
          <w:color w:val="auto"/>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你单位报送的</w:t>
      </w:r>
      <w:r>
        <w:rPr>
          <w:rFonts w:hint="eastAsia" w:ascii="Times New Roman" w:hAnsi="Times New Roman" w:eastAsia="仿宋" w:cs="Times New Roman"/>
          <w:color w:val="auto"/>
          <w:sz w:val="32"/>
          <w:szCs w:val="32"/>
          <w:u w:val="none"/>
          <w:lang w:eastAsia="zh-CN"/>
        </w:rPr>
        <w:t>奉节县汇源果蔬加工产业园（项目编码：2403-500236-04-05-694340）</w:t>
      </w:r>
      <w:r>
        <w:rPr>
          <w:rFonts w:hint="default" w:ascii="Times New Roman" w:hAnsi="Times New Roman" w:eastAsia="仿宋" w:cs="Times New Roman"/>
          <w:color w:val="auto"/>
          <w:sz w:val="32"/>
          <w:szCs w:val="32"/>
          <w:u w:val="none"/>
        </w:rPr>
        <w:t>环境影响评价文件审批申</w:t>
      </w:r>
      <w:r>
        <w:rPr>
          <w:rFonts w:hint="eastAsia" w:ascii="Times New Roman" w:hAnsi="Times New Roman" w:eastAsia="仿宋" w:cs="Times New Roman"/>
          <w:color w:val="auto"/>
          <w:sz w:val="32"/>
          <w:szCs w:val="32"/>
          <w:u w:val="none"/>
          <w:lang w:eastAsia="zh-CN"/>
        </w:rPr>
        <w:t>请</w:t>
      </w:r>
      <w:r>
        <w:rPr>
          <w:rFonts w:hint="default" w:ascii="Times New Roman" w:hAnsi="Times New Roman" w:eastAsia="仿宋" w:cs="Times New Roman"/>
          <w:color w:val="auto"/>
          <w:sz w:val="32"/>
          <w:szCs w:val="32"/>
          <w:u w:val="none"/>
        </w:rPr>
        <w:t>表及相关材料收悉，根据《中华人民共和国环境影响评价法》等法律法规的有关规定，我局原则同意重庆开达环保集团有限公司</w:t>
      </w:r>
      <w:r>
        <w:rPr>
          <w:rFonts w:hint="eastAsia"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统一社会信用代码：915001085842710733</w:t>
      </w:r>
      <w:r>
        <w:rPr>
          <w:rFonts w:hint="eastAsia"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编制的项目环境影响报告</w:t>
      </w:r>
      <w:r>
        <w:rPr>
          <w:rFonts w:hint="eastAsia" w:ascii="Times New Roman" w:hAnsi="Times New Roman" w:eastAsia="仿宋" w:cs="Times New Roman"/>
          <w:color w:val="auto"/>
          <w:sz w:val="32"/>
          <w:szCs w:val="32"/>
          <w:u w:val="none"/>
          <w:lang w:eastAsia="zh-CN"/>
        </w:rPr>
        <w:t>表</w:t>
      </w:r>
      <w:r>
        <w:rPr>
          <w:rFonts w:hint="default" w:ascii="Times New Roman" w:hAnsi="Times New Roman" w:eastAsia="仿宋" w:cs="Times New Roman"/>
          <w:color w:val="auto"/>
          <w:sz w:val="32"/>
          <w:szCs w:val="32"/>
          <w:u w:val="none"/>
        </w:rPr>
        <w:t>结论及其提出的环境保护措施。</w:t>
      </w: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default" w:ascii="Times New Roman" w:hAnsi="Times New Roman" w:eastAsia="仿宋" w:cs="Times New Roman"/>
          <w:color w:val="auto"/>
          <w:sz w:val="32"/>
          <w:szCs w:val="32"/>
          <w:u w:val="none"/>
          <w:lang w:val="en-US" w:eastAsia="zh-CN" w:bidi="ar-SA"/>
        </w:rPr>
      </w:pPr>
      <w:r>
        <w:rPr>
          <w:rFonts w:hint="default" w:ascii="Times New Roman" w:hAnsi="Times New Roman" w:eastAsia="仿宋" w:cs="Times New Roman"/>
          <w:color w:val="auto"/>
          <w:sz w:val="32"/>
          <w:szCs w:val="32"/>
          <w:u w:val="none"/>
          <w:lang w:val="en-US" w:eastAsia="zh-CN" w:bidi="ar-SA"/>
        </w:rPr>
        <w:t>一、项目的建设内容和规模：</w:t>
      </w:r>
    </w:p>
    <w:p>
      <w:pPr>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eastAsia" w:ascii="Times New Roman" w:hAnsi="Times New Roman" w:eastAsia="仿宋" w:cs="Times New Roman"/>
          <w:color w:val="auto"/>
          <w:sz w:val="32"/>
          <w:szCs w:val="32"/>
          <w:u w:val="none"/>
          <w:lang w:val="en-US" w:eastAsia="zh-CN" w:bidi="ar-SA"/>
        </w:rPr>
      </w:pPr>
      <w:r>
        <w:rPr>
          <w:rFonts w:hint="eastAsia" w:ascii="Times New Roman" w:hAnsi="Times New Roman" w:eastAsia="仿宋" w:cs="Times New Roman"/>
          <w:color w:val="auto"/>
          <w:sz w:val="32"/>
          <w:szCs w:val="32"/>
          <w:u w:val="none"/>
          <w:lang w:val="en-US" w:eastAsia="zh-CN" w:bidi="ar-SA"/>
        </w:rPr>
        <w:t>本项目位于</w:t>
      </w:r>
      <w:r>
        <w:rPr>
          <w:rFonts w:hint="default" w:ascii="Times New Roman" w:hAnsi="Times New Roman" w:eastAsia="仿宋" w:cs="Times New Roman"/>
          <w:color w:val="auto"/>
          <w:sz w:val="32"/>
          <w:szCs w:val="32"/>
          <w:u w:val="none"/>
          <w:lang w:val="en-US" w:eastAsia="zh-CN" w:bidi="ar-SA"/>
        </w:rPr>
        <w:t>重庆市</w:t>
      </w:r>
      <w:r>
        <w:rPr>
          <w:rFonts w:hint="eastAsia" w:ascii="Times New Roman" w:hAnsi="Times New Roman" w:eastAsia="仿宋" w:cs="Times New Roman"/>
          <w:color w:val="auto"/>
          <w:sz w:val="32"/>
          <w:szCs w:val="32"/>
          <w:u w:val="none"/>
          <w:lang w:val="en-US" w:eastAsia="zh-CN" w:bidi="ar-SA"/>
        </w:rPr>
        <w:t>奉节县高铁生态城新兴产业集聚区，建设</w:t>
      </w:r>
      <w:r>
        <w:rPr>
          <w:rFonts w:hint="default" w:ascii="Times New Roman" w:hAnsi="Times New Roman" w:eastAsia="仿宋" w:cs="Times New Roman"/>
          <w:color w:val="auto"/>
          <w:sz w:val="32"/>
          <w:szCs w:val="32"/>
          <w:u w:val="none"/>
          <w:lang w:val="en-US" w:eastAsia="zh-CN" w:bidi="ar-SA"/>
        </w:rPr>
        <w:t>工业厂房及配套设施12.7万平方米</w:t>
      </w:r>
      <w:r>
        <w:rPr>
          <w:rFonts w:hint="eastAsia" w:ascii="Times New Roman" w:hAnsi="Times New Roman" w:eastAsia="仿宋" w:cs="Times New Roman"/>
          <w:color w:val="auto"/>
          <w:sz w:val="32"/>
          <w:szCs w:val="32"/>
          <w:u w:val="none"/>
          <w:lang w:val="en-US" w:eastAsia="zh-CN" w:bidi="ar-SA"/>
        </w:rPr>
        <w:t>。新建</w:t>
      </w:r>
      <w:r>
        <w:rPr>
          <w:rFonts w:hint="default" w:ascii="Times New Roman" w:hAnsi="Times New Roman" w:eastAsia="仿宋" w:cs="Times New Roman"/>
          <w:color w:val="auto"/>
          <w:sz w:val="32"/>
          <w:szCs w:val="32"/>
          <w:u w:val="none"/>
          <w:lang w:val="en-US" w:eastAsia="zh-CN" w:bidi="ar-SA"/>
        </w:rPr>
        <w:t>产能30吨/小时水果榨汁生产线2条，年加工脐橙</w:t>
      </w:r>
      <w:r>
        <w:rPr>
          <w:rFonts w:hint="eastAsia" w:ascii="Times New Roman" w:hAnsi="Times New Roman" w:eastAsia="仿宋" w:cs="Times New Roman"/>
          <w:color w:val="auto"/>
          <w:sz w:val="32"/>
          <w:szCs w:val="32"/>
          <w:u w:val="none"/>
          <w:lang w:val="en-US" w:eastAsia="zh-CN" w:bidi="ar-SA"/>
        </w:rPr>
        <w:t>18万吨；无菌冷藏大罐群2万吨；果汁罐装生产线6条，其中产能3000包/小时的500ml-1L屋顶包生产线1条，产能12000盒/小时的1L康美包生产线1条，产能12000盒/小时的200ml康美夺目瓶生产线1条，产能12000瓶/小时350ml-1.5LPET无菌生产线1条，产能24000包/小时利乐A3生产线1条，产能15000瓶/小时饮用水生产线1条。新建瓶坯生产线1条，年产量瓶坯10亿只（自用），并配套建设辅助工程、储运工程、公用工程和环保工程，该项目提供食宿。项目总</w:t>
      </w:r>
      <w:r>
        <w:rPr>
          <w:rFonts w:hint="default" w:ascii="Times New Roman" w:hAnsi="Times New Roman" w:eastAsia="仿宋" w:cs="Times New Roman"/>
          <w:color w:val="auto"/>
          <w:sz w:val="32"/>
          <w:szCs w:val="32"/>
          <w:u w:val="none"/>
          <w:lang w:val="en-US" w:eastAsia="zh-CN" w:bidi="ar-SA"/>
        </w:rPr>
        <w:t>投资</w:t>
      </w:r>
      <w:r>
        <w:rPr>
          <w:rFonts w:hint="eastAsia" w:ascii="Times New Roman" w:hAnsi="Times New Roman" w:eastAsia="仿宋" w:cs="Times New Roman"/>
          <w:color w:val="auto"/>
          <w:sz w:val="32"/>
          <w:szCs w:val="32"/>
          <w:u w:val="none"/>
          <w:lang w:val="en-US" w:eastAsia="zh-CN" w:bidi="ar-SA"/>
        </w:rPr>
        <w:t>70000万元</w:t>
      </w:r>
      <w:r>
        <w:rPr>
          <w:rFonts w:hint="default" w:ascii="Times New Roman" w:hAnsi="Times New Roman" w:eastAsia="仿宋" w:cs="Times New Roman"/>
          <w:color w:val="auto"/>
          <w:sz w:val="32"/>
          <w:szCs w:val="32"/>
          <w:u w:val="none"/>
          <w:lang w:val="en-US" w:eastAsia="zh-CN" w:bidi="ar-SA"/>
        </w:rPr>
        <w:t>，其中环保投资</w:t>
      </w:r>
      <w:r>
        <w:rPr>
          <w:rFonts w:hint="eastAsia" w:ascii="Times New Roman" w:hAnsi="Times New Roman" w:eastAsia="仿宋" w:cs="Times New Roman"/>
          <w:color w:val="auto"/>
          <w:sz w:val="32"/>
          <w:szCs w:val="32"/>
          <w:u w:val="none"/>
          <w:lang w:val="en-US" w:eastAsia="zh-CN" w:bidi="ar-SA"/>
        </w:rPr>
        <w:t>3000</w:t>
      </w:r>
      <w:r>
        <w:rPr>
          <w:rFonts w:hint="default" w:ascii="Times New Roman" w:hAnsi="Times New Roman" w:eastAsia="仿宋" w:cs="Times New Roman"/>
          <w:color w:val="auto"/>
          <w:sz w:val="32"/>
          <w:szCs w:val="32"/>
          <w:u w:val="none"/>
          <w:lang w:val="en-US" w:eastAsia="zh-CN" w:bidi="ar-SA"/>
        </w:rPr>
        <w:t>万</w:t>
      </w:r>
      <w:r>
        <w:rPr>
          <w:rFonts w:hint="eastAsia" w:ascii="Times New Roman" w:hAnsi="Times New Roman" w:eastAsia="仿宋" w:cs="Times New Roman"/>
          <w:color w:val="auto"/>
          <w:sz w:val="32"/>
          <w:szCs w:val="32"/>
          <w:u w:val="none"/>
          <w:lang w:val="en-US" w:eastAsia="zh-CN" w:bidi="ar-SA"/>
        </w:rPr>
        <w:t>元。</w:t>
      </w: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default" w:ascii="Times New Roman" w:hAnsi="Times New Roman" w:eastAsia="仿宋" w:cs="Times New Roman"/>
          <w:color w:val="auto"/>
          <w:sz w:val="32"/>
          <w:szCs w:val="32"/>
          <w:u w:val="none"/>
          <w:lang w:val="en-US" w:eastAsia="zh-CN" w:bidi="ar-SA"/>
        </w:rPr>
      </w:pPr>
      <w:r>
        <w:rPr>
          <w:rFonts w:hint="default" w:ascii="Times New Roman" w:hAnsi="Times New Roman" w:eastAsia="仿宋" w:cs="Times New Roman"/>
          <w:color w:val="auto"/>
          <w:sz w:val="32"/>
          <w:szCs w:val="32"/>
          <w:u w:val="none"/>
        </w:rPr>
        <w:t>二、该项目在设计、建设和运行过程中，应认真落实本项目环境影响报告</w:t>
      </w:r>
      <w:r>
        <w:rPr>
          <w:rFonts w:hint="eastAsia" w:ascii="Times New Roman" w:hAnsi="Times New Roman" w:eastAsia="仿宋" w:cs="Times New Roman"/>
          <w:color w:val="auto"/>
          <w:sz w:val="32"/>
          <w:szCs w:val="32"/>
          <w:u w:val="none"/>
          <w:lang w:eastAsia="zh-CN"/>
        </w:rPr>
        <w:t>表</w:t>
      </w:r>
      <w:r>
        <w:rPr>
          <w:rFonts w:hint="default" w:ascii="Times New Roman" w:hAnsi="Times New Roman" w:eastAsia="仿宋" w:cs="Times New Roman"/>
          <w:color w:val="auto"/>
          <w:sz w:val="32"/>
          <w:szCs w:val="32"/>
          <w:u w:val="none"/>
        </w:rPr>
        <w:t>中提出的各项生态保护及污染防治措施，严格执</w:t>
      </w:r>
      <w:r>
        <w:rPr>
          <w:rFonts w:hint="default" w:ascii="Times New Roman" w:hAnsi="Times New Roman" w:eastAsia="仿宋" w:cs="Times New Roman"/>
          <w:color w:val="auto"/>
          <w:sz w:val="32"/>
          <w:szCs w:val="32"/>
          <w:u w:val="none"/>
          <w:lang w:val="en-US" w:eastAsia="zh-CN" w:bidi="ar-SA"/>
        </w:rPr>
        <w:t>行相关污染物排放标准和总量控制的要求，并重点做好以下工作：</w:t>
      </w: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auto"/>
          <w:sz w:val="32"/>
          <w:szCs w:val="32"/>
          <w:u w:val="none"/>
          <w:lang w:val="en-US" w:eastAsia="zh-CN" w:bidi="ar-SA"/>
        </w:rPr>
        <w:t>（一）水污染防治措施。</w:t>
      </w:r>
      <w:r>
        <w:rPr>
          <w:rFonts w:hint="eastAsia" w:ascii="Times New Roman" w:hAnsi="Times New Roman" w:eastAsia="仿宋" w:cs="Times New Roman"/>
          <w:sz w:val="32"/>
          <w:szCs w:val="32"/>
          <w:lang w:val="en-US" w:eastAsia="zh-CN"/>
        </w:rPr>
        <w:t>项目采用雨、污分流制，施工机械冲洗废水及车辆冲洗废水通过临时设置的隔油、沉淀池处理后回用；施工期生活污水通过临时修建的生化池暂存，定期由转运车转运至西部新区污水处理厂处理。</w:t>
      </w:r>
      <w:r>
        <w:rPr>
          <w:rFonts w:hint="default" w:ascii="Times New Roman" w:hAnsi="Times New Roman" w:eastAsia="仿宋" w:cs="Times New Roman"/>
          <w:sz w:val="32"/>
          <w:szCs w:val="32"/>
          <w:lang w:val="en-US" w:eastAsia="zh-CN"/>
        </w:rPr>
        <w:t>生产废水与生活污水一起进入</w:t>
      </w:r>
      <w:r>
        <w:rPr>
          <w:rFonts w:hint="eastAsia" w:ascii="Times New Roman" w:hAnsi="Times New Roman" w:eastAsia="仿宋" w:cs="Times New Roman"/>
          <w:sz w:val="32"/>
          <w:szCs w:val="32"/>
          <w:lang w:val="en-US" w:eastAsia="zh-CN"/>
        </w:rPr>
        <w:t>厂区拟建污水处理站</w:t>
      </w:r>
      <w:r>
        <w:rPr>
          <w:rFonts w:hint="default" w:ascii="Times New Roman" w:hAnsi="Times New Roman" w:eastAsia="仿宋" w:cs="Times New Roman"/>
          <w:sz w:val="32"/>
          <w:szCs w:val="32"/>
          <w:lang w:val="en-US" w:eastAsia="zh-CN"/>
        </w:rPr>
        <w:t>（处理能力</w:t>
      </w:r>
      <w:r>
        <w:rPr>
          <w:rFonts w:hint="eastAsia" w:ascii="Times New Roman" w:hAnsi="Times New Roman" w:eastAsia="仿宋" w:cs="Times New Roman"/>
          <w:sz w:val="32"/>
          <w:szCs w:val="32"/>
          <w:lang w:val="en-US" w:eastAsia="zh-CN"/>
        </w:rPr>
        <w:t>3000m</w:t>
      </w:r>
      <w:r>
        <w:rPr>
          <w:rFonts w:hint="eastAsia" w:ascii="Times New Roman" w:hAnsi="Times New Roman" w:eastAsia="仿宋" w:cs="Times New Roman"/>
          <w:sz w:val="32"/>
          <w:szCs w:val="32"/>
          <w:vertAlign w:val="superscript"/>
          <w:lang w:val="en-US" w:eastAsia="zh-CN"/>
        </w:rPr>
        <w:t>3</w:t>
      </w:r>
      <w:r>
        <w:rPr>
          <w:rFonts w:hint="default" w:ascii="Times New Roman" w:hAnsi="Times New Roman" w:eastAsia="仿宋" w:cs="Times New Roman"/>
          <w:sz w:val="32"/>
          <w:szCs w:val="32"/>
          <w:lang w:val="en-US" w:eastAsia="zh-CN"/>
        </w:rPr>
        <w:t>/d），处理达《污水综合排放标准》（GB8978-1996）三级标准</w:t>
      </w:r>
      <w:r>
        <w:rPr>
          <w:rFonts w:hint="eastAsia" w:ascii="Times New Roman" w:hAnsi="Times New Roman" w:eastAsia="仿宋" w:cs="Times New Roman"/>
          <w:sz w:val="32"/>
          <w:szCs w:val="32"/>
          <w:lang w:val="en-US" w:eastAsia="zh-CN"/>
        </w:rPr>
        <w:t>后</w:t>
      </w:r>
      <w:r>
        <w:rPr>
          <w:rFonts w:hint="default" w:ascii="Times New Roman" w:hAnsi="Times New Roman" w:eastAsia="仿宋" w:cs="Times New Roman"/>
          <w:sz w:val="32"/>
          <w:szCs w:val="32"/>
          <w:lang w:val="en-US" w:eastAsia="zh-CN"/>
        </w:rPr>
        <w:t>进入</w:t>
      </w:r>
      <w:r>
        <w:rPr>
          <w:rFonts w:hint="eastAsia" w:ascii="Times New Roman" w:hAnsi="Times New Roman" w:eastAsia="仿宋" w:cs="Times New Roman"/>
          <w:sz w:val="32"/>
          <w:szCs w:val="32"/>
          <w:lang w:val="en-US" w:eastAsia="zh-CN"/>
        </w:rPr>
        <w:t>规划建设的高铁生态城新兴产业集聚区污水处理厂</w:t>
      </w:r>
      <w:r>
        <w:rPr>
          <w:rFonts w:hint="default" w:ascii="Times New Roman" w:hAnsi="Times New Roman" w:eastAsia="仿宋" w:cs="Times New Roman"/>
          <w:sz w:val="32"/>
          <w:szCs w:val="32"/>
          <w:lang w:val="en-US" w:eastAsia="zh-CN"/>
        </w:rPr>
        <w:t>处理达《城镇污水处理厂污染物排放标准》（GB18918-2002）一级A标准后排入</w:t>
      </w:r>
      <w:r>
        <w:rPr>
          <w:rFonts w:hint="eastAsia" w:ascii="Times New Roman" w:hAnsi="Times New Roman" w:eastAsia="仿宋" w:cs="Times New Roman"/>
          <w:sz w:val="32"/>
          <w:szCs w:val="32"/>
          <w:lang w:val="en-US" w:eastAsia="zh-CN"/>
        </w:rPr>
        <w:t>朱衣河</w:t>
      </w:r>
      <w:r>
        <w:rPr>
          <w:rFonts w:hint="default" w:ascii="Times New Roman" w:hAnsi="Times New Roman" w:eastAsia="仿宋" w:cs="Times New Roman"/>
          <w:sz w:val="32"/>
          <w:szCs w:val="32"/>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 w:cs="Times New Roman"/>
          <w:color w:val="auto"/>
          <w:kern w:val="0"/>
          <w:sz w:val="32"/>
          <w:szCs w:val="32"/>
          <w:u w:val="none"/>
          <w:lang w:val="en-US" w:eastAsia="zh-CN" w:bidi="ar-SA"/>
        </w:rPr>
      </w:pPr>
      <w:r>
        <w:rPr>
          <w:rFonts w:hint="eastAsia" w:ascii="Times New Roman" w:hAnsi="Times New Roman" w:eastAsia="仿宋" w:cs="Times New Roman"/>
          <w:sz w:val="32"/>
          <w:szCs w:val="32"/>
          <w:lang w:val="en-US" w:eastAsia="zh-CN"/>
        </w:rPr>
        <w:t>规划建设的高铁生态城新兴产业集聚区污水处理厂</w:t>
      </w:r>
      <w:r>
        <w:rPr>
          <w:rFonts w:hint="eastAsia" w:ascii="Times New Roman" w:hAnsi="Times New Roman" w:eastAsia="仿宋" w:cs="Times New Roman"/>
          <w:color w:val="auto"/>
          <w:kern w:val="0"/>
          <w:sz w:val="32"/>
          <w:szCs w:val="32"/>
          <w:u w:val="none"/>
          <w:lang w:val="en-US" w:eastAsia="zh-CN" w:bidi="ar-SA"/>
        </w:rPr>
        <w:t>建成投运之前，拟建项目不得投产。</w:t>
      </w: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auto"/>
          <w:sz w:val="32"/>
          <w:szCs w:val="32"/>
          <w:u w:val="none"/>
          <w:lang w:val="en-US" w:eastAsia="zh-CN" w:bidi="ar-SA"/>
        </w:rPr>
        <w:t>（二）废气污染防治措施。</w:t>
      </w:r>
      <w:r>
        <w:rPr>
          <w:rFonts w:hint="eastAsia" w:ascii="Times New Roman" w:hAnsi="Times New Roman" w:eastAsia="仿宋" w:cs="Times New Roman"/>
          <w:sz w:val="32"/>
          <w:szCs w:val="32"/>
          <w:lang w:val="en-US" w:eastAsia="zh-CN"/>
        </w:rPr>
        <w:t>施工期架设围墙封闭施工现场，定期洒水降尘，运输车辆加盖篷布。注塑废气</w:t>
      </w:r>
      <w:r>
        <w:rPr>
          <w:rFonts w:hint="default" w:ascii="Times New Roman" w:hAnsi="Times New Roman" w:eastAsia="仿宋" w:cs="Times New Roman"/>
          <w:sz w:val="32"/>
          <w:szCs w:val="32"/>
          <w:lang w:val="en-US" w:eastAsia="zh-CN"/>
        </w:rPr>
        <w:t>经</w:t>
      </w:r>
      <w:r>
        <w:rPr>
          <w:rFonts w:hint="eastAsia" w:ascii="Times New Roman" w:hAnsi="Times New Roman" w:eastAsia="仿宋" w:cs="Times New Roman"/>
          <w:sz w:val="32"/>
          <w:szCs w:val="32"/>
          <w:lang w:val="en-US" w:eastAsia="zh-CN"/>
        </w:rPr>
        <w:t>集气罩收集，再经三级活性炭</w:t>
      </w:r>
      <w:r>
        <w:rPr>
          <w:rFonts w:hint="default" w:ascii="Times New Roman" w:hAnsi="Times New Roman" w:eastAsia="仿宋" w:cs="Times New Roman"/>
          <w:sz w:val="32"/>
          <w:szCs w:val="32"/>
          <w:lang w:val="en-US" w:eastAsia="zh-CN"/>
        </w:rPr>
        <w:t>处理</w:t>
      </w:r>
      <w:r>
        <w:rPr>
          <w:rFonts w:hint="eastAsia" w:ascii="Times New Roman" w:hAnsi="Times New Roman" w:eastAsia="仿宋" w:cs="Times New Roman"/>
          <w:sz w:val="32"/>
          <w:szCs w:val="32"/>
          <w:lang w:val="en-US" w:eastAsia="zh-CN"/>
        </w:rPr>
        <w:t>，最后通过风量为6000m</w:t>
      </w:r>
      <w:r>
        <w:rPr>
          <w:rFonts w:hint="eastAsia" w:ascii="Times New Roman" w:hAnsi="Times New Roman" w:eastAsia="仿宋" w:cs="Times New Roman"/>
          <w:sz w:val="32"/>
          <w:szCs w:val="32"/>
          <w:vertAlign w:val="superscript"/>
          <w:lang w:val="en-US" w:eastAsia="zh-CN"/>
        </w:rPr>
        <w:t>3</w:t>
      </w:r>
      <w:r>
        <w:rPr>
          <w:rFonts w:hint="eastAsia" w:ascii="Times New Roman" w:hAnsi="Times New Roman" w:eastAsia="仿宋" w:cs="Times New Roman"/>
          <w:sz w:val="32"/>
          <w:szCs w:val="32"/>
          <w:lang w:val="en-US" w:eastAsia="zh-CN"/>
        </w:rPr>
        <w:t>/h的风机由21</w:t>
      </w:r>
      <w:r>
        <w:rPr>
          <w:rFonts w:hint="default" w:ascii="Times New Roman" w:hAnsi="Times New Roman" w:eastAsia="仿宋" w:cs="Times New Roman"/>
          <w:sz w:val="32"/>
          <w:szCs w:val="32"/>
          <w:lang w:val="en-US" w:eastAsia="zh-CN"/>
        </w:rPr>
        <w:t>m高排气筒</w:t>
      </w:r>
      <w:r>
        <w:rPr>
          <w:rFonts w:hint="eastAsia" w:ascii="Times New Roman" w:hAnsi="Times New Roman" w:eastAsia="仿宋" w:cs="Times New Roman"/>
          <w:sz w:val="32"/>
          <w:szCs w:val="32"/>
          <w:lang w:val="en-US" w:eastAsia="zh-CN"/>
        </w:rPr>
        <w:t>（DA001）</w:t>
      </w:r>
      <w:r>
        <w:rPr>
          <w:rFonts w:hint="default" w:ascii="Times New Roman" w:hAnsi="Times New Roman" w:eastAsia="仿宋" w:cs="Times New Roman"/>
          <w:sz w:val="32"/>
          <w:szCs w:val="32"/>
          <w:lang w:val="en-US" w:eastAsia="zh-CN"/>
        </w:rPr>
        <w:t>楼顶排放</w:t>
      </w:r>
      <w:r>
        <w:rPr>
          <w:rFonts w:hint="eastAsia" w:ascii="Times New Roman" w:hAnsi="Times New Roman" w:eastAsia="仿宋" w:cs="Times New Roman"/>
          <w:sz w:val="32"/>
          <w:szCs w:val="32"/>
          <w:lang w:val="en-US" w:eastAsia="zh-CN"/>
        </w:rPr>
        <w:t>；天然气锅炉废气经低氮燃烧技术处理后经40</w:t>
      </w:r>
      <w:r>
        <w:rPr>
          <w:rFonts w:hint="default" w:ascii="Times New Roman" w:hAnsi="Times New Roman" w:eastAsia="仿宋" w:cs="Times New Roman"/>
          <w:sz w:val="32"/>
          <w:szCs w:val="32"/>
          <w:lang w:val="en-US" w:eastAsia="zh-CN"/>
        </w:rPr>
        <w:t>m</w:t>
      </w:r>
      <w:r>
        <w:rPr>
          <w:rFonts w:hint="eastAsia" w:ascii="Times New Roman" w:hAnsi="Times New Roman" w:eastAsia="仿宋" w:cs="Times New Roman"/>
          <w:sz w:val="32"/>
          <w:szCs w:val="32"/>
          <w:lang w:val="en-US" w:eastAsia="zh-CN"/>
        </w:rPr>
        <w:t>高排气筒（DA002）排放；生物质锅炉（备用）采用低氮燃烧+选择性催化还原（SCR）+旋风除尘+布袋除尘技术处理后经40</w:t>
      </w:r>
      <w:r>
        <w:rPr>
          <w:rFonts w:hint="default" w:ascii="Times New Roman" w:hAnsi="Times New Roman" w:eastAsia="仿宋" w:cs="Times New Roman"/>
          <w:sz w:val="32"/>
          <w:szCs w:val="32"/>
          <w:lang w:val="en-US" w:eastAsia="zh-CN"/>
        </w:rPr>
        <w:t>m</w:t>
      </w:r>
      <w:r>
        <w:rPr>
          <w:rFonts w:hint="eastAsia" w:ascii="Times New Roman" w:hAnsi="Times New Roman" w:eastAsia="仿宋" w:cs="Times New Roman"/>
          <w:sz w:val="32"/>
          <w:szCs w:val="32"/>
          <w:lang w:val="en-US" w:eastAsia="zh-CN"/>
        </w:rPr>
        <w:t>高排气筒（DA002）排放；污水处理站产生的臭气经风机（风量约</w:t>
      </w:r>
      <w:r>
        <w:rPr>
          <w:rFonts w:hint="default" w:ascii="Times New Roman" w:hAnsi="Times New Roman" w:eastAsia="仿宋" w:cs="Times New Roman"/>
          <w:sz w:val="32"/>
          <w:szCs w:val="32"/>
          <w:lang w:val="en-US" w:eastAsia="zh-CN"/>
        </w:rPr>
        <w:t>5000m</w:t>
      </w:r>
      <w:r>
        <w:rPr>
          <w:rFonts w:hint="default" w:ascii="Times New Roman" w:hAnsi="Times New Roman" w:eastAsia="仿宋" w:cs="Times New Roman"/>
          <w:sz w:val="32"/>
          <w:szCs w:val="32"/>
          <w:vertAlign w:val="superscript"/>
          <w:lang w:val="en-US" w:eastAsia="zh-CN"/>
        </w:rPr>
        <w:t>3</w:t>
      </w:r>
      <w:r>
        <w:rPr>
          <w:rFonts w:hint="default" w:ascii="Times New Roman" w:hAnsi="Times New Roman" w:eastAsia="仿宋" w:cs="Times New Roman"/>
          <w:sz w:val="32"/>
          <w:szCs w:val="32"/>
          <w:lang w:val="en-US" w:eastAsia="zh-CN"/>
        </w:rPr>
        <w:t>/h</w:t>
      </w:r>
      <w:r>
        <w:rPr>
          <w:rFonts w:hint="eastAsia" w:ascii="Times New Roman" w:hAnsi="Times New Roman" w:eastAsia="仿宋" w:cs="Times New Roman"/>
          <w:sz w:val="32"/>
          <w:szCs w:val="32"/>
          <w:lang w:val="en-US" w:eastAsia="zh-CN"/>
        </w:rPr>
        <w:t>）收集后进入生物滤池臭气处理装置，净化后由</w:t>
      </w:r>
      <w:r>
        <w:rPr>
          <w:rFonts w:hint="default" w:ascii="Times New Roman" w:hAnsi="Times New Roman" w:eastAsia="仿宋" w:cs="Times New Roman"/>
          <w:sz w:val="32"/>
          <w:szCs w:val="32"/>
          <w:lang w:val="en-US" w:eastAsia="zh-CN"/>
        </w:rPr>
        <w:t>15m</w:t>
      </w:r>
      <w:r>
        <w:rPr>
          <w:rFonts w:hint="eastAsia" w:ascii="Times New Roman" w:hAnsi="Times New Roman" w:eastAsia="仿宋" w:cs="Times New Roman"/>
          <w:sz w:val="32"/>
          <w:szCs w:val="32"/>
          <w:lang w:val="en-US" w:eastAsia="zh-CN"/>
        </w:rPr>
        <w:t>排气筒（</w:t>
      </w:r>
      <w:r>
        <w:rPr>
          <w:rFonts w:hint="default" w:ascii="Times New Roman" w:hAnsi="Times New Roman" w:eastAsia="仿宋" w:cs="Times New Roman"/>
          <w:sz w:val="32"/>
          <w:szCs w:val="32"/>
          <w:lang w:val="en-US" w:eastAsia="zh-CN"/>
        </w:rPr>
        <w:t>DA00</w:t>
      </w:r>
      <w:r>
        <w:rPr>
          <w:rFonts w:hint="eastAsia" w:ascii="Times New Roman" w:hAnsi="Times New Roman" w:eastAsia="仿宋" w:cs="Times New Roman"/>
          <w:sz w:val="32"/>
          <w:szCs w:val="32"/>
          <w:lang w:val="en-US" w:eastAsia="zh-CN"/>
        </w:rPr>
        <w:t>4）排放；</w:t>
      </w:r>
      <w:r>
        <w:rPr>
          <w:rFonts w:hint="default" w:ascii="Times New Roman" w:hAnsi="Times New Roman" w:eastAsia="仿宋" w:cs="Times New Roman"/>
          <w:sz w:val="32"/>
          <w:szCs w:val="32"/>
          <w:lang w:val="en-US" w:eastAsia="zh-CN"/>
        </w:rPr>
        <w:t>食堂油烟废气经油烟净化器处理达标后引至楼顶排放（DA00</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；喷码废气</w:t>
      </w:r>
      <w:r>
        <w:rPr>
          <w:rFonts w:hint="default" w:ascii="Times New Roman" w:hAnsi="Times New Roman" w:eastAsia="仿宋" w:cs="Times New Roman"/>
          <w:sz w:val="32"/>
          <w:szCs w:val="32"/>
          <w:lang w:val="en-US" w:eastAsia="zh-CN"/>
        </w:rPr>
        <w:t>无组织排放</w:t>
      </w:r>
      <w:r>
        <w:rPr>
          <w:rFonts w:hint="eastAsia" w:ascii="Times New Roman" w:hAnsi="Times New Roman" w:eastAsia="仿宋" w:cs="Times New Roman"/>
          <w:sz w:val="32"/>
          <w:szCs w:val="32"/>
          <w:lang w:val="en-US" w:eastAsia="zh-CN"/>
        </w:rPr>
        <w:t>，通过</w:t>
      </w:r>
      <w:r>
        <w:rPr>
          <w:rFonts w:hint="default" w:ascii="Times New Roman" w:hAnsi="Times New Roman" w:eastAsia="仿宋" w:cs="Times New Roman"/>
          <w:sz w:val="32"/>
          <w:szCs w:val="32"/>
          <w:lang w:val="en-US" w:eastAsia="zh-CN"/>
        </w:rPr>
        <w:t>加强车间通风，加强新风系统维护，以保证洁净区内空气质量。</w:t>
      </w: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color w:val="auto"/>
          <w:sz w:val="32"/>
          <w:szCs w:val="32"/>
          <w:u w:val="none"/>
          <w:lang w:val="en-US" w:eastAsia="zh-CN" w:bidi="ar-SA"/>
        </w:rPr>
        <w:t>（三）噪声污染防治措施。</w:t>
      </w:r>
      <w:r>
        <w:rPr>
          <w:rFonts w:hint="eastAsia" w:ascii="Times New Roman" w:hAnsi="Times New Roman" w:eastAsia="仿宋" w:cs="Times New Roman"/>
          <w:sz w:val="32"/>
          <w:szCs w:val="32"/>
          <w:lang w:val="en-US" w:eastAsia="zh-CN"/>
        </w:rPr>
        <w:t>优选低噪声机械设备，定期保养和维护；营运期采用</w:t>
      </w:r>
      <w:r>
        <w:rPr>
          <w:rFonts w:hint="default" w:ascii="Times New Roman" w:hAnsi="Times New Roman" w:eastAsia="仿宋" w:cs="Times New Roman"/>
          <w:sz w:val="32"/>
          <w:szCs w:val="32"/>
          <w:lang w:val="en-US" w:eastAsia="zh-CN"/>
        </w:rPr>
        <w:t>基座减震、柔性连接、厂房隔声、距离衰减</w:t>
      </w:r>
      <w:r>
        <w:rPr>
          <w:rFonts w:hint="eastAsia" w:ascii="Times New Roman" w:hAnsi="Times New Roman" w:eastAsia="仿宋" w:cs="Times New Roman"/>
          <w:sz w:val="32"/>
          <w:szCs w:val="32"/>
          <w:lang w:val="en-US" w:eastAsia="zh-CN"/>
        </w:rPr>
        <w:t>等措施进行降噪。</w:t>
      </w: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（四）</w:t>
      </w:r>
      <w:r>
        <w:rPr>
          <w:rFonts w:hint="default" w:ascii="Times New Roman" w:hAnsi="Times New Roman" w:eastAsia="仿宋" w:cs="Times New Roman"/>
          <w:sz w:val="32"/>
          <w:szCs w:val="32"/>
          <w:lang w:val="en-US" w:eastAsia="zh-CN"/>
        </w:rPr>
        <w:t>固体废弃物污染治理措施。</w:t>
      </w:r>
      <w:r>
        <w:rPr>
          <w:rFonts w:hint="eastAsia" w:ascii="Times New Roman" w:hAnsi="Times New Roman" w:eastAsia="仿宋" w:cs="Times New Roman"/>
          <w:sz w:val="32"/>
          <w:szCs w:val="32"/>
          <w:lang w:val="en-US" w:eastAsia="zh-CN"/>
        </w:rPr>
        <w:t>建筑垃圾设置临时建筑废物堆放场暂存后送往最近的建筑垃圾填埋场处置。不合格品和残渣等原辅材料外售为饲料再利用；瓶坯不合格品及废料全部回用于瓶坯生产，不外排；其余</w:t>
      </w:r>
      <w:r>
        <w:rPr>
          <w:rFonts w:hint="default" w:ascii="Times New Roman" w:hAnsi="Times New Roman" w:eastAsia="仿宋" w:cs="Times New Roman"/>
          <w:sz w:val="32"/>
          <w:szCs w:val="32"/>
          <w:lang w:val="en-US" w:eastAsia="zh-CN"/>
        </w:rPr>
        <w:t>一般工业</w:t>
      </w:r>
      <w:r>
        <w:rPr>
          <w:rFonts w:hint="eastAsia" w:ascii="Times New Roman" w:hAnsi="Times New Roman" w:eastAsia="仿宋" w:cs="Times New Roman"/>
          <w:sz w:val="32"/>
          <w:szCs w:val="32"/>
          <w:lang w:val="en-US" w:eastAsia="zh-CN"/>
        </w:rPr>
        <w:t>固体废物分类收集后交由专业公司回收处理。污水处理站污泥应按《固体废物鉴别标准 通则》（GB34330-2017）经鉴别后确定处置方式。</w:t>
      </w:r>
      <w:r>
        <w:rPr>
          <w:rFonts w:hint="default" w:ascii="Times New Roman" w:hAnsi="Times New Roman" w:eastAsia="仿宋" w:cs="Times New Roman"/>
          <w:sz w:val="32"/>
          <w:szCs w:val="32"/>
          <w:lang w:val="en-US" w:eastAsia="zh-CN"/>
        </w:rPr>
        <w:t>危险废物优先采用桶装加盖密封盛装，其他无法桶装的危废用防漏胶袋密封盛装</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暂存于</w:t>
      </w:r>
      <w:r>
        <w:rPr>
          <w:rFonts w:hint="eastAsia" w:ascii="Times New Roman" w:hAnsi="Times New Roman" w:eastAsia="仿宋" w:cs="Times New Roman"/>
          <w:sz w:val="32"/>
          <w:szCs w:val="32"/>
          <w:lang w:val="en-US" w:eastAsia="zh-CN"/>
        </w:rPr>
        <w:t>危废贮存库（30m</w:t>
      </w:r>
      <w:r>
        <w:rPr>
          <w:rFonts w:hint="eastAsia" w:ascii="Times New Roman" w:hAnsi="Times New Roman" w:eastAsia="仿宋" w:cs="Times New Roman"/>
          <w:sz w:val="32"/>
          <w:szCs w:val="32"/>
          <w:vertAlign w:val="superscript"/>
          <w:lang w:val="en-US" w:eastAsia="zh-CN"/>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，定期交有危废处理资质的单位处置</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生活垃圾集中收集后交环卫部门统一处理</w:t>
      </w:r>
      <w:r>
        <w:rPr>
          <w:rFonts w:hint="eastAsia" w:ascii="Times New Roman" w:hAnsi="Times New Roman" w:eastAsia="仿宋" w:cs="Times New Roman"/>
          <w:sz w:val="32"/>
          <w:szCs w:val="32"/>
          <w:lang w:val="en-US" w:eastAsia="zh-CN"/>
        </w:rPr>
        <w:t>。餐厨垃圾由有资质的单位统一收运处置。</w:t>
      </w: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严格</w:t>
      </w:r>
      <w:r>
        <w:rPr>
          <w:rFonts w:hint="default" w:ascii="Times New Roman" w:hAnsi="Times New Roman" w:eastAsia="仿宋" w:cs="Times New Roman"/>
          <w:sz w:val="32"/>
          <w:szCs w:val="32"/>
          <w:lang w:val="en-US" w:eastAsia="zh-CN"/>
        </w:rPr>
        <w:t>环境风险</w:t>
      </w:r>
      <w:r>
        <w:rPr>
          <w:rFonts w:hint="eastAsia" w:ascii="Times New Roman" w:hAnsi="Times New Roman" w:eastAsia="仿宋" w:cs="Times New Roman"/>
          <w:sz w:val="32"/>
          <w:szCs w:val="32"/>
          <w:lang w:val="en-US" w:eastAsia="zh-CN"/>
        </w:rPr>
        <w:t>防范</w:t>
      </w:r>
      <w:r>
        <w:rPr>
          <w:rFonts w:hint="default" w:ascii="Times New Roman" w:hAnsi="Times New Roman" w:eastAsia="仿宋" w:cs="Times New Roman"/>
          <w:sz w:val="32"/>
          <w:szCs w:val="32"/>
          <w:lang w:val="en-US" w:eastAsia="zh-CN"/>
        </w:rPr>
        <w:t>。项目厂区按要求采取分区防渗措施，危险原料均储存在</w:t>
      </w:r>
      <w:r>
        <w:rPr>
          <w:rFonts w:hint="eastAsia" w:ascii="Times New Roman" w:hAnsi="Times New Roman" w:eastAsia="仿宋" w:cs="Times New Roman"/>
          <w:sz w:val="32"/>
          <w:szCs w:val="32"/>
          <w:lang w:val="en-US" w:eastAsia="zh-CN"/>
        </w:rPr>
        <w:t>原料间</w:t>
      </w:r>
      <w:r>
        <w:rPr>
          <w:rFonts w:hint="default" w:ascii="Times New Roman" w:hAnsi="Times New Roman" w:eastAsia="仿宋" w:cs="Times New Roman"/>
          <w:sz w:val="32"/>
          <w:szCs w:val="32"/>
          <w:lang w:val="en-US" w:eastAsia="zh-CN"/>
        </w:rPr>
        <w:t>，分类、分区存放，地面防渗处理，液态物质储存区设置堵截泄漏的裙脚。</w:t>
      </w:r>
      <w:r>
        <w:rPr>
          <w:rFonts w:hint="eastAsia" w:ascii="Times New Roman" w:hAnsi="Times New Roman" w:eastAsia="仿宋" w:cs="Times New Roman"/>
          <w:sz w:val="32"/>
          <w:szCs w:val="32"/>
          <w:lang w:val="en-US" w:eastAsia="zh-CN"/>
        </w:rPr>
        <w:t>危废贮存库</w:t>
      </w:r>
      <w:r>
        <w:rPr>
          <w:rFonts w:hint="default" w:ascii="Times New Roman" w:hAnsi="Times New Roman" w:eastAsia="仿宋" w:cs="Times New Roman"/>
          <w:sz w:val="32"/>
          <w:szCs w:val="32"/>
          <w:lang w:val="en-US" w:eastAsia="zh-CN"/>
        </w:rPr>
        <w:t>应符合《危险废物贮存污染控制标准》（</w:t>
      </w:r>
      <w:r>
        <w:rPr>
          <w:rFonts w:hint="eastAsia" w:ascii="Times New Roman" w:hAnsi="Times New Roman" w:eastAsia="仿宋" w:cs="Times New Roman"/>
          <w:sz w:val="32"/>
          <w:szCs w:val="32"/>
          <w:lang w:val="en-US" w:eastAsia="zh-CN"/>
        </w:rPr>
        <w:t>GB18597-2023</w:t>
      </w:r>
      <w:r>
        <w:rPr>
          <w:rFonts w:hint="default" w:ascii="Times New Roman" w:hAnsi="Times New Roman" w:eastAsia="仿宋" w:cs="Times New Roman"/>
          <w:sz w:val="32"/>
          <w:szCs w:val="32"/>
          <w:lang w:val="en-US" w:eastAsia="zh-CN"/>
        </w:rPr>
        <w:t>），满足</w:t>
      </w:r>
      <w:r>
        <w:rPr>
          <w:rFonts w:hint="eastAsia" w:ascii="Times New Roman" w:hAnsi="Times New Roman" w:eastAsia="仿宋" w:cs="Times New Roman"/>
          <w:sz w:val="32"/>
          <w:szCs w:val="32"/>
          <w:lang w:val="en-US" w:eastAsia="zh-CN"/>
        </w:rPr>
        <w:t>“防风、防晒、防雨、防漏、防渗、防腐”</w:t>
      </w:r>
      <w:r>
        <w:rPr>
          <w:rFonts w:hint="default" w:ascii="Times New Roman" w:hAnsi="Times New Roman" w:eastAsia="仿宋" w:cs="Times New Roman"/>
          <w:sz w:val="32"/>
          <w:szCs w:val="32"/>
          <w:lang w:val="en-US" w:eastAsia="zh-CN"/>
        </w:rPr>
        <w:t>要求</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地面</w:t>
      </w:r>
      <w:r>
        <w:rPr>
          <w:rFonts w:hint="eastAsia" w:ascii="Times New Roman" w:hAnsi="Times New Roman" w:eastAsia="仿宋" w:cs="Times New Roman"/>
          <w:sz w:val="32"/>
          <w:szCs w:val="32"/>
          <w:lang w:val="en-US" w:eastAsia="zh-CN"/>
        </w:rPr>
        <w:t>基础</w:t>
      </w:r>
      <w:r>
        <w:rPr>
          <w:rFonts w:hint="default" w:ascii="Times New Roman" w:hAnsi="Times New Roman" w:eastAsia="仿宋" w:cs="Times New Roman"/>
          <w:sz w:val="32"/>
          <w:szCs w:val="32"/>
          <w:lang w:val="en-US" w:eastAsia="zh-CN"/>
        </w:rPr>
        <w:t>防渗，设置堵截泄漏的裙脚</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不同种类危险废物采用专用容器分类存放。</w:t>
      </w:r>
      <w:r>
        <w:rPr>
          <w:rFonts w:hint="eastAsia" w:ascii="Times New Roman" w:hAnsi="Times New Roman" w:eastAsia="仿宋" w:cs="Times New Roman"/>
          <w:sz w:val="32"/>
          <w:szCs w:val="32"/>
          <w:lang w:val="en-US" w:eastAsia="zh-CN"/>
        </w:rPr>
        <w:t>设置事故池（700.82m</w:t>
      </w:r>
      <w:r>
        <w:rPr>
          <w:rFonts w:hint="eastAsia" w:ascii="Times New Roman" w:hAnsi="Times New Roman" w:eastAsia="仿宋" w:cs="Times New Roman"/>
          <w:sz w:val="32"/>
          <w:szCs w:val="32"/>
          <w:vertAlign w:val="superscript"/>
          <w:lang w:val="en-US" w:eastAsia="zh-CN"/>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物料储存点通风、不易接触明火</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远离电源并设置醒目的禁火标志</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建立健全防火责任制度</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做好防火工作。贮存间通风良好，严禁烟火，严格控制温度、湿度</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定期检查，配备相应灭火器，</w:t>
      </w:r>
      <w:r>
        <w:rPr>
          <w:rFonts w:hint="eastAsia" w:ascii="Times New Roman" w:hAnsi="Times New Roman" w:eastAsia="仿宋" w:cs="Times New Roman"/>
          <w:sz w:val="32"/>
          <w:szCs w:val="32"/>
          <w:lang w:val="en-US" w:eastAsia="zh-CN"/>
        </w:rPr>
        <w:t>预</w:t>
      </w:r>
      <w:r>
        <w:rPr>
          <w:rFonts w:hint="default" w:ascii="Times New Roman" w:hAnsi="Times New Roman" w:eastAsia="仿宋" w:cs="Times New Roman"/>
          <w:sz w:val="32"/>
          <w:szCs w:val="32"/>
          <w:lang w:val="en-US" w:eastAsia="zh-CN"/>
        </w:rPr>
        <w:t>防火灾事故</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建立应急体系</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编制项目环境风险应急预案</w:t>
      </w:r>
      <w:r>
        <w:rPr>
          <w:rFonts w:hint="eastAsia" w:ascii="Times New Roman" w:hAnsi="Times New Roman" w:eastAsia="仿宋" w:cs="Times New Roman"/>
          <w:sz w:val="32"/>
          <w:szCs w:val="32"/>
          <w:lang w:val="en-US"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sz w:val="32"/>
          <w:szCs w:val="32"/>
          <w:u w:val="none"/>
          <w:lang w:val="en-US" w:eastAsia="zh-CN" w:bidi="ar-SA"/>
        </w:rPr>
        <w:t>三</w:t>
      </w:r>
      <w:r>
        <w:rPr>
          <w:rFonts w:hint="eastAsia" w:ascii="Times New Roman" w:hAnsi="Times New Roman" w:eastAsia="仿宋" w:cs="Times New Roman"/>
          <w:color w:val="auto"/>
          <w:sz w:val="32"/>
          <w:szCs w:val="32"/>
          <w:u w:val="none"/>
          <w:lang w:val="en-US" w:eastAsia="zh-CN" w:bidi="ar-SA"/>
        </w:rPr>
        <w:t>、</w:t>
      </w:r>
      <w:r>
        <w:rPr>
          <w:rFonts w:hint="default" w:ascii="Times New Roman" w:hAnsi="Times New Roman" w:eastAsia="仿宋" w:cs="Times New Roman"/>
          <w:color w:val="auto"/>
          <w:sz w:val="32"/>
          <w:szCs w:val="32"/>
          <w:u w:val="none"/>
          <w:lang w:val="en-US" w:eastAsia="zh-CN" w:bidi="ar-SA"/>
        </w:rPr>
        <w:t>项目建设必须严格执行环境保护设施与主体工程同时设</w:t>
      </w:r>
      <w:r>
        <w:rPr>
          <w:rFonts w:hint="default" w:ascii="Times New Roman" w:hAnsi="Times New Roman" w:eastAsia="仿宋" w:cs="Times New Roman"/>
          <w:color w:val="auto"/>
          <w:sz w:val="32"/>
          <w:szCs w:val="32"/>
          <w:u w:val="none"/>
          <w:lang w:val="en-US" w:eastAsia="zh-CN"/>
        </w:rPr>
        <w:t>计、同时施工、同时投入使用的环境保护</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三同时</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制度。项目环保投资应纳入工程投资概算并予以落实。</w:t>
      </w:r>
      <w:r>
        <w:rPr>
          <w:rFonts w:hint="default" w:ascii="Times New Roman" w:hAnsi="Times New Roman" w:eastAsia="仿宋" w:cs="Times New Roman"/>
          <w:sz w:val="32"/>
          <w:szCs w:val="32"/>
          <w:lang w:val="en-US" w:eastAsia="zh-CN"/>
        </w:rPr>
        <w:t>项目投入运行前，应依据有关规定向</w:t>
      </w:r>
      <w:r>
        <w:rPr>
          <w:rFonts w:hint="eastAsia"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lang w:val="en-US" w:eastAsia="zh-CN"/>
        </w:rPr>
        <w:t>生态环境行政主管部门申请排污许可</w:t>
      </w:r>
      <w:r>
        <w:rPr>
          <w:rFonts w:hint="eastAsia" w:ascii="Times New Roman" w:hAnsi="Times New Roman" w:eastAsia="仿宋" w:cs="Times New Roman"/>
          <w:sz w:val="32"/>
          <w:szCs w:val="32"/>
          <w:lang w:val="en-US" w:eastAsia="zh-CN"/>
        </w:rPr>
        <w:t>证</w:t>
      </w:r>
      <w:r>
        <w:rPr>
          <w:rFonts w:hint="default" w:ascii="Times New Roman" w:hAnsi="Times New Roman" w:eastAsia="仿宋" w:cs="Times New Roman"/>
          <w:sz w:val="32"/>
          <w:szCs w:val="32"/>
          <w:lang w:val="en-US" w:eastAsia="zh-CN"/>
        </w:rPr>
        <w:t>，不得无证排污或不按证排污。</w:t>
      </w:r>
      <w:r>
        <w:rPr>
          <w:rFonts w:hint="default" w:ascii="Times New Roman" w:hAnsi="Times New Roman" w:eastAsia="仿宋" w:cs="Times New Roman"/>
          <w:color w:val="auto"/>
          <w:sz w:val="32"/>
          <w:szCs w:val="32"/>
          <w:u w:val="none"/>
          <w:lang w:val="en-US" w:eastAsia="zh-CN"/>
        </w:rPr>
        <w:t>项目竣工后，应按照有关规定对配套建设的环境保护设施进行验收，编制验收报告并依法向社会公开验收报告，公示期满5个工作日内，应登录全国建设项目竣工环境保护验收信息平台，填报验收等相关信息。</w:t>
      </w: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default" w:ascii="Times New Roman" w:hAnsi="Times New Roman" w:eastAsia="仿宋" w:cs="Times New Roman"/>
          <w:color w:val="auto"/>
          <w:sz w:val="32"/>
          <w:szCs w:val="32"/>
          <w:u w:val="none"/>
          <w:lang w:val="en-US" w:eastAsia="zh-CN" w:bidi="ar-SA"/>
        </w:rPr>
      </w:pPr>
      <w:r>
        <w:rPr>
          <w:rFonts w:hint="default" w:ascii="Times New Roman" w:hAnsi="Times New Roman" w:eastAsia="仿宋" w:cs="Times New Roman"/>
          <w:color w:val="auto"/>
          <w:sz w:val="32"/>
          <w:szCs w:val="32"/>
          <w:u w:val="none"/>
          <w:lang w:val="en-US" w:eastAsia="zh-CN" w:bidi="ar-SA"/>
        </w:rPr>
        <w:t>四、该项目的性质、规模、地点、采用的生产工艺或者防治污染、防止生态破坏的措施发生重大变动的，应当重新报批该项目的环境影响评价文件。自批准之日起超过</w:t>
      </w:r>
      <w:r>
        <w:rPr>
          <w:rFonts w:hint="eastAsia" w:ascii="Times New Roman" w:hAnsi="Times New Roman" w:eastAsia="仿宋" w:cs="Times New Roman"/>
          <w:color w:val="auto"/>
          <w:sz w:val="32"/>
          <w:szCs w:val="32"/>
          <w:u w:val="none"/>
          <w:lang w:val="en-US" w:eastAsia="zh-CN" w:bidi="ar-SA"/>
        </w:rPr>
        <w:t>5</w:t>
      </w:r>
      <w:r>
        <w:rPr>
          <w:rFonts w:hint="default" w:ascii="Times New Roman" w:hAnsi="Times New Roman" w:eastAsia="仿宋" w:cs="Times New Roman"/>
          <w:color w:val="auto"/>
          <w:sz w:val="32"/>
          <w:szCs w:val="32"/>
          <w:u w:val="none"/>
          <w:lang w:val="en-US" w:eastAsia="zh-CN" w:bidi="ar-SA"/>
        </w:rPr>
        <w:t>年方决定该项目开工建设的，其环境影响评价文件应当报我局重新审核。</w:t>
      </w: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default" w:ascii="Times New Roman" w:hAnsi="Times New Roman" w:eastAsia="仿宋" w:cs="Times New Roman"/>
          <w:color w:val="auto"/>
          <w:sz w:val="32"/>
          <w:szCs w:val="32"/>
          <w:u w:val="none"/>
          <w:lang w:val="en-US" w:eastAsia="zh-CN" w:bidi="ar-SA"/>
        </w:rPr>
      </w:pPr>
      <w:r>
        <w:rPr>
          <w:rFonts w:hint="default" w:ascii="Times New Roman" w:hAnsi="Times New Roman" w:eastAsia="仿宋" w:cs="Times New Roman"/>
          <w:color w:val="auto"/>
          <w:sz w:val="32"/>
          <w:szCs w:val="32"/>
          <w:u w:val="none"/>
          <w:lang w:val="en-US" w:eastAsia="zh-CN" w:bidi="ar-SA"/>
        </w:rPr>
        <w:t>五、请奉节县生态环境保护综合行政执法支队负责该项目环境保护日常监督管理工作。</w:t>
      </w: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default" w:ascii="Times New Roman" w:hAnsi="Times New Roman" w:eastAsia="仿宋" w:cs="Times New Roman"/>
          <w:color w:val="auto"/>
          <w:sz w:val="32"/>
          <w:szCs w:val="32"/>
          <w:u w:val="none"/>
        </w:rPr>
      </w:pP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640" w:firstLineChars="200"/>
        <w:textAlignment w:val="auto"/>
        <w:rPr>
          <w:rFonts w:hint="default" w:ascii="Times New Roman" w:hAnsi="Times New Roman" w:eastAsia="仿宋" w:cs="Times New Roman"/>
          <w:color w:val="auto"/>
          <w:sz w:val="32"/>
          <w:szCs w:val="32"/>
          <w:u w:val="none"/>
        </w:rPr>
      </w:pPr>
    </w:p>
    <w:p>
      <w:pPr>
        <w:pStyle w:val="10"/>
        <w:keepNext w:val="0"/>
        <w:keepLines w:val="0"/>
        <w:pageBreakBefore w:val="0"/>
        <w:widowControl w:val="0"/>
        <w:kinsoku/>
        <w:wordWrap/>
        <w:overflowPunct/>
        <w:topLinePunct w:val="0"/>
        <w:autoSpaceDE/>
        <w:autoSpaceDN/>
        <w:bidi w:val="0"/>
        <w:adjustRightInd/>
        <w:snapToGrid/>
        <w:spacing w:beforeAutospacing="0" w:after="0" w:line="560" w:lineRule="exact"/>
        <w:ind w:right="0" w:rightChars="0" w:firstLine="5120" w:firstLineChars="1600"/>
        <w:textAlignment w:val="auto"/>
        <w:rPr>
          <w:rFonts w:hint="default" w:ascii="Times New Roman" w:hAnsi="Times New Roman" w:eastAsia="仿宋" w:cs="Times New Roman"/>
          <w:color w:val="auto"/>
          <w:sz w:val="32"/>
          <w:szCs w:val="32"/>
          <w:u w:val="none"/>
          <w:lang w:val="en-US" w:eastAsia="zh-CN"/>
        </w:rPr>
      </w:pPr>
      <w:r>
        <w:rPr>
          <w:rFonts w:hint="eastAsia" w:ascii="Times New Roman" w:hAnsi="Times New Roman" w:eastAsia="仿宋" w:cs="Times New Roman"/>
          <w:color w:val="auto"/>
          <w:sz w:val="32"/>
          <w:szCs w:val="32"/>
          <w:u w:val="none"/>
          <w:lang w:eastAsia="zh-CN"/>
        </w:rPr>
        <w:t>奉节县生态环境局</w:t>
      </w:r>
    </w:p>
    <w:p>
      <w:pPr>
        <w:pStyle w:val="6"/>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方正仿宋_GBK" w:hAnsi="方正仿宋_GBK" w:eastAsia="方正仿宋_GBK" w:cs="方正仿宋_GBK"/>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val="en-US" w:eastAsia="zh-CN"/>
        </w:rPr>
        <w:t>年</w:t>
      </w:r>
      <w:r>
        <w:rPr>
          <w:rFonts w:hint="eastAsia" w:ascii="Times New Roman" w:hAnsi="Times New Roman" w:eastAsia="仿宋_GB2312" w:cs="Times New Roman"/>
          <w:color w:val="auto"/>
          <w:sz w:val="32"/>
          <w:szCs w:val="32"/>
          <w:u w:val="none"/>
          <w:lang w:val="en-US" w:eastAsia="zh-CN"/>
        </w:rPr>
        <w:t>11</w:t>
      </w:r>
      <w:r>
        <w:rPr>
          <w:rFonts w:hint="default" w:ascii="Times New Roman" w:hAnsi="Times New Roman" w:eastAsia="仿宋_GB2312" w:cs="Times New Roman"/>
          <w:color w:val="auto"/>
          <w:sz w:val="32"/>
          <w:szCs w:val="32"/>
          <w:u w:val="none"/>
          <w:lang w:val="en-US" w:eastAsia="zh-CN"/>
        </w:rPr>
        <w:t>月</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val="en-US" w:eastAsia="zh-CN"/>
        </w:rPr>
        <w:t>日</w:t>
      </w:r>
      <w:r>
        <w:rPr>
          <w:rFonts w:hint="eastAsia" w:ascii="方正仿宋_GBK" w:hAnsi="方正仿宋_GBK" w:eastAsia="方正仿宋_GBK" w:cs="方正仿宋_GBK"/>
          <w:color w:val="auto"/>
          <w:sz w:val="32"/>
          <w:szCs w:val="32"/>
          <w:u w:val="none"/>
          <w:lang w:val="en-US" w:eastAsia="zh-CN"/>
        </w:rPr>
        <w:t xml:space="preserve">        </w:t>
      </w:r>
    </w:p>
    <w:p>
      <w:pPr>
        <w:pStyle w:val="6"/>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方正仿宋_GBK" w:hAnsi="方正仿宋_GBK" w:eastAsia="方正仿宋_GBK" w:cs="方正仿宋_GBK"/>
          <w:color w:val="auto"/>
          <w:sz w:val="32"/>
          <w:szCs w:val="32"/>
          <w:u w:val="none"/>
          <w:lang w:val="en-US" w:eastAsia="zh-CN"/>
        </w:rPr>
      </w:pPr>
    </w:p>
    <w:p>
      <w:pPr>
        <w:pStyle w:val="6"/>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方正仿宋_GBK" w:hAnsi="方正仿宋_GBK" w:eastAsia="方正仿宋_GBK" w:cs="方正仿宋_GBK"/>
          <w:color w:val="auto"/>
          <w:sz w:val="32"/>
          <w:szCs w:val="32"/>
          <w:u w:val="none"/>
          <w:lang w:val="en-US" w:eastAsia="zh-CN"/>
        </w:rPr>
      </w:pPr>
    </w:p>
    <w:p>
      <w:pPr>
        <w:pStyle w:val="6"/>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方正仿宋_GBK" w:hAnsi="方正仿宋_GBK" w:eastAsia="方正仿宋_GBK" w:cs="方正仿宋_GBK"/>
          <w:color w:val="auto"/>
          <w:sz w:val="32"/>
          <w:szCs w:val="32"/>
          <w:u w:val="none"/>
          <w:lang w:val="en-US" w:eastAsia="zh-CN"/>
        </w:rPr>
      </w:pPr>
    </w:p>
    <w:p>
      <w:pPr>
        <w:pStyle w:val="6"/>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方正仿宋_GBK" w:hAnsi="方正仿宋_GBK" w:eastAsia="方正仿宋_GBK" w:cs="方正仿宋_GBK"/>
          <w:color w:val="auto"/>
          <w:sz w:val="32"/>
          <w:szCs w:val="32"/>
          <w:u w:val="none"/>
          <w:lang w:val="en-US" w:eastAsia="zh-CN"/>
        </w:rPr>
      </w:pPr>
    </w:p>
    <w:p>
      <w:pPr>
        <w:pStyle w:val="6"/>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方正仿宋_GBK" w:hAnsi="方正仿宋_GBK" w:eastAsia="方正仿宋_GBK" w:cs="方正仿宋_GBK"/>
          <w:color w:val="auto"/>
          <w:sz w:val="32"/>
          <w:szCs w:val="32"/>
          <w:u w:val="none"/>
          <w:lang w:val="en-US" w:eastAsia="zh-CN"/>
        </w:rPr>
      </w:pPr>
    </w:p>
    <w:p>
      <w:pPr>
        <w:pStyle w:val="6"/>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方正仿宋_GBK" w:hAnsi="方正仿宋_GBK" w:eastAsia="方正仿宋_GBK" w:cs="方正仿宋_GBK"/>
          <w:color w:val="auto"/>
          <w:sz w:val="32"/>
          <w:szCs w:val="32"/>
          <w:u w:val="none"/>
          <w:lang w:val="en-US" w:eastAsia="zh-CN"/>
        </w:rPr>
      </w:pPr>
    </w:p>
    <w:p>
      <w:pPr>
        <w:pStyle w:val="6"/>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0" w:firstLineChars="0"/>
        <w:jc w:val="both"/>
        <w:textAlignment w:val="auto"/>
        <w:rPr>
          <w:rFonts w:hint="default" w:ascii="方正仿宋_GBK" w:hAnsi="方正仿宋_GBK" w:eastAsia="方正仿宋_GBK" w:cs="方正仿宋_GBK"/>
          <w:color w:val="auto"/>
          <w:sz w:val="32"/>
          <w:szCs w:val="32"/>
          <w:u w:val="none"/>
          <w:lang w:val="en-US" w:eastAsia="zh-CN"/>
        </w:rPr>
      </w:pPr>
    </w:p>
    <w:p>
      <w:pPr>
        <w:pStyle w:val="6"/>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0" w:firstLineChars="0"/>
        <w:jc w:val="both"/>
        <w:textAlignment w:val="auto"/>
        <w:rPr>
          <w:rFonts w:hint="default" w:ascii="方正仿宋_GBK" w:hAnsi="方正仿宋_GBK" w:eastAsia="方正仿宋_GBK" w:cs="方正仿宋_GBK"/>
          <w:color w:val="auto"/>
          <w:sz w:val="32"/>
          <w:szCs w:val="32"/>
          <w:u w:val="none"/>
          <w:lang w:val="en-US" w:eastAsia="zh-CN"/>
        </w:rPr>
      </w:pPr>
      <w:bookmarkStart w:id="2" w:name="_GoBack"/>
      <w:bookmarkEnd w:id="2"/>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320" w:firstLineChars="100"/>
        <w:textAlignment w:val="auto"/>
        <w:rPr>
          <w:rFonts w:hint="eastAsia" w:ascii="方正仿宋_GBK" w:hAnsi="方正仿宋_GBK" w:eastAsia="方正仿宋_GBK" w:cs="方正仿宋_GBK"/>
          <w:bCs/>
          <w:color w:val="auto"/>
          <w:spacing w:val="-11"/>
          <w:w w:val="100"/>
          <w:kern w:val="0"/>
          <w:sz w:val="28"/>
          <w:szCs w:val="28"/>
          <w:u w:val="none"/>
        </w:rPr>
      </w:pPr>
      <w:r>
        <w:rPr>
          <w:rFonts w:ascii="方正仿宋_GBK" w:eastAsia="方正仿宋_GBK"/>
          <w:color w:val="auto"/>
          <w:w w:val="100"/>
          <w:sz w:val="32"/>
          <w:u w:val="none"/>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448945</wp:posOffset>
                </wp:positionV>
                <wp:extent cx="5715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pt;margin-top:35.35pt;height:0pt;width:450pt;z-index:251658240;mso-width-relative:page;mso-height-relative:page;" filled="f" stroked="t" coordsize="21600,21600" o:gfxdata="UEsDBAoAAAAAAIdO4kAAAAAAAAAAAAAAAAAEAAAAZHJzL1BLAwQUAAAACACHTuJA774hddMAAAAI&#10;AQAADwAAAGRycy9kb3ducmV2LnhtbE2PzU7DMBCE70i8g7VIXCpqt0iUhjg9ALlxoS3iuo23SUS8&#10;TmP3B56eBQ70ODOr2W/yxcl36kBDbANbmIwNKOIquJZrC+tVeXMPKiZkh11gsvBJERbF5UWOmQtH&#10;fqXDMtVKSjhmaKFJqc+0jlVDHuM49MSSbcPgMYkcau0GPEq57/TUmDvtsWX50GBPjw1VH8u9txDL&#10;N9qVX6NqZN5v60DT3dPLM1p7fTUxD6ASndL/MfzgCzoUwrQJe3ZRdaKNkCcLMzMDJfn819j8GbrI&#10;9fmA4htQSwMEFAAAAAgAh07iQHCcgLDeAQAApAMAAA4AAABkcnMvZTJvRG9jLnhtbK1TzY7TMBC+&#10;I/EOlu80aaTyEzXdw5blgqAS8ABT20ks+U8eb9O+BC+AxA1OHLnzNuw+BmO3Wxa4IEQOztgz83m+&#10;L1+WF3tr2E5F1N51fD6rOVNOeKnd0PF3b68ePeUMEzgJxjvV8YNCfrF6+GA5hVY1fvRGqsgIxGE7&#10;hY6PKYW2qlCMygLOfFCOkr2PFhJt41DJCBOhW1M1df24mnyUIXqhEOl0fUzyVcHveyXS675HlZjp&#10;OM2WyhrLus1rtVpCO0QIoxanMeAfprCgHV16hlpDAnYd9R9QVovo0fdpJrytfN9roQoHYjOvf2Pz&#10;ZoSgChcSB8NZJvx/sOLVbhOZlh1vOHNg6RPdfPj6/f2n228fab358pk1WaQpYEu1l24TTzsMm5gZ&#10;7/to85u4sH0R9nAWVu0TE3S4eDJf1DXpL+5y1c/GEDG9UN6yHHTcaJc5Qwu7l5joMiq9K8nHxrGp&#10;488WzYLggCzTG0gU2kAk0A2lF73R8kobkzswDttLE9kOsgnKkykR7i9l+ZI14HisK6mjPUYF8rmT&#10;LB0CyePIxzyPYJXkzCiyfY4IENoE2vxNJV1tXG5QxaInnlnjo6o52np5oE9zHaIeRtJlXmbOGbJC&#10;mf5k2+y1+3uK7/9cq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vviF10wAAAAgBAAAPAAAAAAAA&#10;AAEAIAAAACIAAABkcnMvZG93bnJldi54bWxQSwECFAAUAAAACACHTuJAcJyAsN4BAACkAwAADgAA&#10;AAAAAAABACAAAAAiAQAAZHJzL2Uyb0RvYy54bWxQSwUGAAAAAAYABgBZAQAAc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Cs/>
          <w:color w:val="auto"/>
          <w:spacing w:val="-11"/>
          <w:w w:val="100"/>
          <w:kern w:val="0"/>
          <w:sz w:val="28"/>
          <w:szCs w:val="28"/>
          <w:u w:val="none"/>
        </w:rPr>
        <w:t>抄送：奉节县生态环境保护综合行政执法支队，</w:t>
      </w:r>
      <w:r>
        <w:rPr>
          <w:rFonts w:hint="default" w:ascii="方正仿宋_GBK" w:hAnsi="方正仿宋_GBK" w:eastAsia="方正仿宋_GBK" w:cs="方正仿宋_GBK"/>
          <w:bCs/>
          <w:color w:val="auto"/>
          <w:spacing w:val="-11"/>
          <w:w w:val="100"/>
          <w:kern w:val="0"/>
          <w:sz w:val="28"/>
          <w:szCs w:val="28"/>
          <w:u w:val="none"/>
        </w:rPr>
        <w:t>重庆开达环保集团有限公司</w:t>
      </w:r>
      <w:r>
        <w:rPr>
          <w:rFonts w:hint="eastAsia" w:ascii="方正仿宋_GBK" w:hAnsi="方正仿宋_GBK" w:eastAsia="方正仿宋_GBK" w:cs="方正仿宋_GBK"/>
          <w:bCs/>
          <w:color w:val="auto"/>
          <w:spacing w:val="-11"/>
          <w:w w:val="100"/>
          <w:kern w:val="0"/>
          <w:sz w:val="28"/>
          <w:szCs w:val="28"/>
          <w:u w:val="none"/>
        </w:rPr>
        <w:t>。</w:t>
      </w:r>
      <w:bookmarkEnd w:id="1"/>
    </w:p>
    <w:sectPr>
      <w:pgSz w:w="11906" w:h="16838"/>
      <w:pgMar w:top="1417" w:right="1247" w:bottom="124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0FE8"/>
    <w:multiLevelType w:val="singleLevel"/>
    <w:tmpl w:val="060A0FE8"/>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22E2781"/>
    <w:rsid w:val="03D1156E"/>
    <w:rsid w:val="067D372E"/>
    <w:rsid w:val="07925039"/>
    <w:rsid w:val="07F709A7"/>
    <w:rsid w:val="0E1C35D6"/>
    <w:rsid w:val="19E61A02"/>
    <w:rsid w:val="1A63317F"/>
    <w:rsid w:val="242F4DF5"/>
    <w:rsid w:val="2431728E"/>
    <w:rsid w:val="25B508B0"/>
    <w:rsid w:val="2626480E"/>
    <w:rsid w:val="28345FA0"/>
    <w:rsid w:val="2942324F"/>
    <w:rsid w:val="2A4A0E2B"/>
    <w:rsid w:val="2ACA48B3"/>
    <w:rsid w:val="30B6340E"/>
    <w:rsid w:val="33AB036B"/>
    <w:rsid w:val="341E74E1"/>
    <w:rsid w:val="343C77DB"/>
    <w:rsid w:val="3C6E019B"/>
    <w:rsid w:val="3E6439C8"/>
    <w:rsid w:val="3EA5204D"/>
    <w:rsid w:val="3EA63039"/>
    <w:rsid w:val="494677B2"/>
    <w:rsid w:val="4C067DE4"/>
    <w:rsid w:val="5B324419"/>
    <w:rsid w:val="5F400683"/>
    <w:rsid w:val="63395421"/>
    <w:rsid w:val="645C388F"/>
    <w:rsid w:val="663C13A3"/>
    <w:rsid w:val="66786B6F"/>
    <w:rsid w:val="68781660"/>
    <w:rsid w:val="6D5C4819"/>
    <w:rsid w:val="6D60605E"/>
    <w:rsid w:val="74F8478F"/>
    <w:rsid w:val="786F1279"/>
    <w:rsid w:val="79D828B8"/>
    <w:rsid w:val="7B01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1"/>
    <w:basedOn w:val="1"/>
    <w:next w:val="1"/>
    <w:qFormat/>
    <w:uiPriority w:val="0"/>
    <w:pPr>
      <w:keepNext/>
      <w:spacing w:line="240" w:lineRule="exact"/>
      <w:jc w:val="center"/>
      <w:outlineLvl w:val="0"/>
    </w:pPr>
    <w:rPr>
      <w:rFonts w:ascii="仿宋_GB2312" w:eastAsia="仿宋_GB2312"/>
      <w:b/>
      <w:color w:val="000000"/>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widowControl/>
      <w:jc w:val="left"/>
    </w:pPr>
    <w:rPr>
      <w:kern w:val="0"/>
      <w:sz w:val="32"/>
      <w:szCs w:val="20"/>
    </w:rPr>
  </w:style>
  <w:style w:type="paragraph" w:styleId="3">
    <w:name w:val="List Bullet 5"/>
    <w:basedOn w:val="1"/>
    <w:semiHidden/>
    <w:unhideWhenUsed/>
    <w:qFormat/>
    <w:uiPriority w:val="99"/>
    <w:pPr>
      <w:numPr>
        <w:ilvl w:val="0"/>
        <w:numId w:val="1"/>
      </w:numPr>
    </w:pPr>
  </w:style>
  <w:style w:type="paragraph" w:styleId="5">
    <w:name w:val="Body Text Indent"/>
    <w:basedOn w:val="1"/>
    <w:next w:val="1"/>
    <w:unhideWhenUsed/>
    <w:qFormat/>
    <w:uiPriority w:val="99"/>
    <w:pPr>
      <w:spacing w:after="120"/>
      <w:ind w:left="420" w:leftChars="200"/>
    </w:pPr>
  </w:style>
  <w:style w:type="paragraph" w:styleId="6">
    <w:name w:val="Body Text First Indent"/>
    <w:basedOn w:val="2"/>
    <w:qFormat/>
    <w:uiPriority w:val="0"/>
    <w:pPr>
      <w:widowControl w:val="0"/>
      <w:spacing w:after="120"/>
      <w:ind w:firstLine="420" w:firstLineChars="100"/>
      <w:jc w:val="both"/>
    </w:pPr>
    <w:rPr>
      <w:kern w:val="2"/>
      <w:sz w:val="21"/>
      <w:szCs w:val="24"/>
    </w:rPr>
  </w:style>
  <w:style w:type="paragraph" w:styleId="7">
    <w:name w:val="Body Text First Indent 2"/>
    <w:basedOn w:val="5"/>
    <w:next w:val="1"/>
    <w:unhideWhenUsed/>
    <w:qFormat/>
    <w:uiPriority w:val="99"/>
    <w:pPr>
      <w:spacing w:before="100" w:beforeAutospacing="1"/>
      <w:ind w:firstLine="420" w:firstLineChars="200"/>
    </w:pPr>
  </w:style>
  <w:style w:type="paragraph" w:customStyle="1" w:styleId="10">
    <w:name w:val="tb"/>
    <w:basedOn w:val="1"/>
    <w:qFormat/>
    <w:uiPriority w:val="0"/>
    <w:pPr>
      <w:spacing w:line="400" w:lineRule="atLeast"/>
    </w:pPr>
    <w:rPr>
      <w:rFonts w:ascii="宋体" w:hAnsi="Arial"/>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Administrator.SKY-20220829BGM</dc:creator>
  <cp:lastModifiedBy>Administrator</cp:lastModifiedBy>
  <cp:lastPrinted>2023-11-16T02:28:00Z</cp:lastPrinted>
  <dcterms:modified xsi:type="dcterms:W3CDTF">2024-11-05T07:39:45Z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