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  <w:t>奉节县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 w:bidi="ar"/>
        </w:rPr>
        <w:t>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"/>
        </w:rPr>
        <w:t>年度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  <w:t>整体支出预算绩效自评报告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我单位预算编制范围包括：商务委员会机关及所属事业单位、代管单位共计4个单位。将商务委员会作为一级预算单位，具体为县商务委，内设机构4个：办公室、市场科、电商科、商贸科；事业单位3个：商务信息中心、商务执法大队、贸促会。我单位核定人员编制数为32人（其中行政编制12人，事业编制20人），实际在职在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人，遗属补助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商务执法大队公务用车编制数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1台，实际1台。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基本职责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1.贯彻执行国家有关商贸流通业、餐饮服务业的法律、法规、规章和方针政策；提出商贸流通业发展政策建议，制定全县商贸流通业发展目标规划和布局并组织实施；促进市场体系的建立和完善。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负责推进商贸流通业发展，拟订开拓市场、促进消费的政策措施，提出培育商贸流通企业、促进商贸流通中小企业发展的政策建议，推动流通标准化和连锁经营、特许经营、物流配送、电子商务等现代流通方式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承担组织实施重要商品市场调控和流通管理工作；建立健全生活必需品市场供应应急管理机制，统计、监测、分析市场运行，商品供求状况；负责重要商品的储备管理工作；负责执行商贸流通业行业规范、行业标准和市场准入规则；承担指导各种经济成分商业的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负责城乡商贸统筹发展工作，指导大宗产品批发市场规划和城乡商业网点规划，合理规划布局大型商场、大型市场建设项目；承担城乡统筹商贸网络建设工作，推进城乡市场体系建设。组织社会大流通，负责本县及外出和外地来奉举办大型商品交易、展览、展示活动的协调、组织和管理；引导开展各类促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承担牵头协调整顿和规范市场经济秩序工作。拟订规范市场运行、流通秩序的政策措施，推动商务领域信用建设，指导商业信用销售，建立市场诚信公共服务平台，负责商贸流通业的行政执法监管和商务举报投诉受理，参与打击商业欺诈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承担商贸流通业监督管理工作。按有关规定对汽车流通、旧货流通、拍卖、典当、租赁、再生资源回收等行业进行监督管理；对辖区内散装水泥、酒类等重要商品经营进行监督管理。按有关规定对成品油流通进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7.负责推动商贸流通科技信息化建设，会同有关部门管理商贸流通各类业务资金、专项基金，组织、指导商贸流通业职工技能培训。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8.组织拟订电子商务发展政策、措施并组织实施；统筹完善电子商务支撑体系建设；推进电子商务领域合作与交流；推进农村电子商务发展。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负责统筹全县进出口贸易。组织实施和指导对外贸易促进体系建设和对外贸易促进活动。负责对外贸易统计和运行情况分析。指导企业开展国际化经营、对外贸易、经济合作、劳务合作；指导企业利用外资；监督检查外商投资企业执行有关法律法规和合同、章程的情况；管理和协调外商投诉工作。贯彻执行国家有关口岸、物流工作的方针政策和法律、法规；牵头推进全县口岸、仓储、物流工作，牵头拟订全县物流产业发展计划、中长期发展规划和政策措施；协调海关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10.负责机关、直属事业单位和行业社会组织党建工作。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11.代管中国国际贸易促进委员会重庆市奉节县委员会。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（三）年度主要工作概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一、主要经济指标完成情况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一是社零增速达到7.3%。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2023年，全县社会消费品零售总额达到131.58亿元，同比增速7.3%；批发业销售额达到276.18亿元，同比增速13.8%；零售业销售额达到110.84亿元，同比增速9.8%；餐饮业营业额达到20.06亿元，同比增速11.2%；住宿业营业额达到11.57亿元，同比增速12.9%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亮点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一是进出口总额增速渝东北第二。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成功举办奉节脐橙空运出口首航仪式，被《人民日报》2023年3月23日第13版宣传报道，全年外贸进出口总额已突破1.3亿元，较比去年增长145.3%，增速全市第三，渝东北第二。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二是陆海新通道实现零突破。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成功举办奉节脐橙经西部陆海新通道出口首发仪式，被《人民日报》客户端等媒体报道25条次，全年通过西部陆海新通道出口奉节脐橙8标箱，货运值80万元。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三是实际利用外资实现零突破。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成功对接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巴基斯坦库布拉公司（KUBRA enterprise），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实际利用外资协议额20万美元，到位资金10万美元。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四是会展经济活力焕发。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全面唱响“爱尚奉节”消费品牌，成功举办中国（重庆）蚕桑丝绸产业高质量发展大会等各类会展节庆活动，被《人民日报》客户端、中央广电总台国际在线、人民网等重点媒体宣传报道51条次，获“不夜重庆生活节优秀组织奖”，“周周有活动、月月有消费”逐步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五是餐饮获奖接二连三。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国家5钻级酒家零突破（国鑫大酒楼），竹园䀇子鸡、夔州一品锅成功获评重庆地标菜，平凤小吃、羊儿山小吃、温胡子炸酱面被重庆小面协会授予经营服务规范门店，竹园䀇子鸡荣获“巴味渝珍”杯重庆好食材特色美食大赛十大特色热菜奖，1人被评为“绿色饭店年度先进工作者”，1人被评为“巴味渝珍”杯重庆好食材特色美食大赛优秀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六是成功入选典型案例。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鲁渝协作消费帮扶任务完成全市第一，“创新三链机制·促进鲁渝协作走深走实”案例成功入选为鲁渝消费协作典型案例，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具有奉节辨识度的鲁渝协作“升级版”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逐渐成型。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七是成功创建试点城市。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全力推动区域消费中心城市建设，成功入选第二批“商文旅体融合发展城市试点”区县名单。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年商务工作总结及主要做法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 w:bidi="ar-SA"/>
        </w:rPr>
        <w:t>（一）持续强化党建统领。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一是抓从严治党。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坚持旗帜鲜明讲政治，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县商务委党组主动推进管党从严，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制定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巡察整改措施41条、审计整改措施24条，制定《县商务委干部执行力作风建设深化年实施方案》，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梳理重点岗位廉政风险点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8个，个人岗位廉政风险点29个，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制定措施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42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条，开展廉政谈话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0余人次、作风督查1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，严格落实“三重一大”“第一议题”要求，召开党组会28次，强化了党管商务基本原则。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二是抓党建引领。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主动聚焦“三项重点任务”求突破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聚焦“红岩先锋”求变革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聚焦“双晒双比·建功奉节”求作为，党组专题研究13次，完成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清单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问题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整改11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个，办理督察问题2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57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个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安全问题168个，开展中心组理论学习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16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次、职工学习26次，办理民生之声问政事项15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件，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细化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三年行动方案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7个、专项行动方案4个，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推动形成了商务领域项项争先、你追我赶新局面。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三是抓凝心聚魂。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全面推动主题教育落实，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梳理习近平总书记关于</w:t>
      </w:r>
      <w:r>
        <w:rPr>
          <w:rFonts w:hint="eastAsia" w:ascii="Times New Roman" w:cs="Times New Roman"/>
          <w:b w:val="0"/>
          <w:bCs w:val="0"/>
          <w:color w:val="auto"/>
          <w:sz w:val="32"/>
          <w:szCs w:val="32"/>
          <w:lang w:val="en-US" w:eastAsia="zh-CN"/>
        </w:rPr>
        <w:t>开放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和消费的地位作用14条、目标指向16条、总体要求14次、重点任务25条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，累计完成集中学习18次、组织读书班7天，完成课题调研4个，推动问题整改3个</w:t>
      </w:r>
      <w:r>
        <w:rPr>
          <w:rFonts w:hint="eastAsia" w:asci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结合脐橙空运出口、陆海新通道发车仪式、蚕桑丝绸大会等亮点工作，开展正面宣传报道150篇</w:t>
      </w:r>
      <w:r>
        <w:rPr>
          <w:rFonts w:hint="eastAsia" w:ascii="Times New Roman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严格落实意识形态工作责任制，清理排查敏感信息500余条。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）持续挖掘消费潜力。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一是联动促销常态化。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聚焦培育建设区域消费中心城市目标，以“爱尚奉节”为主题制定《奉节县2023年“爱尚奉节”系列消费促进活动实施方案》，筹划大型消费促进活动15场，依托滨江郦城集聚区50余家火锅店打造最有温度的火锅一条街，依托5公里滨江路80余处烧烤、火锅点位打造最有烟火气的夜市一条街，刺激了消费需求，提振了消费信心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二是会展经济全域化。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积极发挥市级（县级）部门、商会（协会）作用，成功举办“丝路巴蜀·锦绣川渝”成渝双城蚕桑丝绸消费节暨奉节好味美食节、“爱尚奉节·不夜生活”不夜奉节生活节等活动10余场，获得2023不夜重庆生活节优秀组织奖，组织150余家企业精选380余种特色产品参加域外展会，成功推动企业、部门“走出去、开眼界、长见识”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三是消费帮扶品牌化。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成功举办2023“橙香连鲁渝消费助振兴”奉节柑橘进山东专场推介活动、成功协办奉节农产品产销对接沙坪坝专场暨第二届e乡e味消费文化节活动，鲁渝协作消费帮扶额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1.532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亿元，撰写“创新三链机制·促进鲁渝协作走深走实”案例成功入选为鲁渝消费协作典型案例，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具有奉节辨识度的鲁渝协作“升级版”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逐渐成型。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）持续深化对外开放。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是对外贸易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持续发力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组建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对外开放暨融入西部陆海新通道建设工作专班，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县口岸物流服务中心；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成功推动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众赢服饰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出口美国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、县国资公司大蒜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出口巴基斯坦、乡坛子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盐渍红辣椒出口台湾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成功举办奉节脐橙空运出口首航仪式、奉节脐橙经西部陆海新通道出口首发仪式，推动奉节脐橙“借船出海”“空运出口”常态化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二是主体培育稳定向好。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依托生态工业园、返乡创业园等载体，培育一批产供销、内外贸一体化企业，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脐橙果园出口备案达5000余亩，加工厂出口备案3家，外贸备案登记企业52家，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丰富出口产品10余个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邀请市口岸物流办、重庆海关、万州海关组织肉类及加工食品进出口贸易培训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优化重庆口岸营商环境暨国际贸易“单一窗口”宣讲培训1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0余人次。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是合作交流逐步开拓。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积极融入重庆市内陆开放高地建设，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常态化对接海关、渝新欧等部门20余次，接待来奉考察外贸企业30个，助力企业增加外贸订单20余个</w:t>
      </w:r>
      <w:r>
        <w:rPr>
          <w:rFonts w:hint="eastAsia" w:ascii="Times New Roman" w:hAnsi="Times New Roman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组团参加进博会、国际农产品流通产业大会、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巴基斯坦首届国际食品及农业展览会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渝贸全球重庆出口商品（泰国）展览会暨赴菲律宾经贸对接活动，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实现奉节特色优势产品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深度宣传推介。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）持续唱响住餐品牌。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一是聚焦文化赋能。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以住餐赋文化为抓手，开展诗画文化进酒店、进餐厅活动，组织编撰“奉节好味·十大特色菜”文化故事，主动用好夔门印像“市级美食街”示范效应，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将33个乡镇（街道）划分为9个片区，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分别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举办不低于3天的美食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文化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推介活动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，参展企业达230余家，同步开展主播探店活动，推送美食文化视频12条次，点赞量超80万次。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二是聚焦品牌打造。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“奉节好味·百碗千盘”三年行动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为契机，组织开展奉节“十强火锅”“十强小面”“十佳名店”评选，竹园䀇子鸡、夔州一品锅成功获评重庆地标菜，国鑫大酒楼成功创建“国家级五钻酒店”，平凤小吃、羊儿山小吃、温胡子炸酱面被重庆小面协会授予经营服务规范门店，研发并推出麻辣兔头、水晶蘸水兔等“夔州兔”招牌菜品10余道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三是聚焦服务提质。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以创建国家旅游文明示范单位为目标，主动为旅游产业“注魂”“护航”，成功举办第二届中国长江“三峡凉都”（奉节）康养旅游避暑季系列活动，组织住餐标准化培训150余人次，培育品牌餐饮店20家、品牌火锅店10家、特色餐馆10家、新增餐位1200余个，新增本土酒店5家，民宿客栈20家、新增床位1000余个，承载能力有效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（五）持续强化数商兴农。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一是推动电商产业集聚。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全力推进京东（奉节）数字经济产业园建设，入驻企业23家，解决就业人员200人，推动本地电商企业上京东平台15家，开设自营2家；全力打造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三峡集团·京东（奉节）新经济人才中心，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围绕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数据标注、跨境电商等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招聘342人。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二是推动电商主体孵化。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建成网货供应基地12个，推出网适特色产品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10余款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，累计培育孵化电商市场主体3450家，成功举办618电商产业发展高质量发展论坛，开展跨境电商专题培训500余人次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，成功孵化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家本地有优势的传统电商企业拓展转型，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跨境电商交易额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达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1.16亿元。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三是推动电商模式创新。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开展抖音直播带货、快手直播带货活动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50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余场，销售奉节脐橙、奉节腊肉等农特产品达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000万元；研究制定乡镇农产品电商销售方案，指导各乡镇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建立区域电商产业发展工作联席会议制度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，全力推动农特产品线上销售，完成奉节脐橙线上销售8.7万吨，线上销售额达9.4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亿元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；全年电商交易额60.05亿元，同比增长10.56%；网络零售额30.54亿元，同比增长14.64%。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）持续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补齐物流短板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一是规划引领强基础。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按照“一枢纽两基地四园区多节点”布局重点项目，规划物流仓储用地32公顷（新增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规划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物流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用地380亩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），已开工建设甘溪沟冷链物流集散中心、奉节县邮政分拨中心，县域综合型共同配送中心、白马物流园、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高铁生态城智慧物流基地产业集聚区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有序推进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二是健全体系延链条。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全力完善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物流产业体系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升级电商物流综合服务站点217个，覆盖64个脱贫村，在安坪下坝社区、鹤峰莲花社区、公平车家社区等7个返乡入乡创业园建成物流服务站点，培育重庆入驿达供应链管理有限公司等现代物流企业6家，开通奉节至浙江、广东、宜昌、成都及重庆主城等物流专线6条，实现了农村物流服务有效覆盖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三是开拓创新求突破。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整合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美团优选、安德物流、中通冷链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资源实现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乡村物流共同配送，岩湾乡、羊市镇“邮快合作”“快企合作”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试点初见成效；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鹤峰乡、吐祥镇、兴隆镇等5个乡镇综合服务中心及村级服务站点标准化建设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取得较大进展；探索并打造奉节县县乡村三级物流智慧系统，通过构建“一网多用”智联平台，促进了县乡村三级物流“降本增效”。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（七）持续推动招商引资。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一是围绕项目抓招商。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入库奉节县农副产品集散中心（农批市场）、奉节县高铁生态城智慧物流基地等重点项目，先后赴安徽、云南、陕西等地开展物流项目对接活动5次，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赴武汉、江苏、陕西、广东、福建等省市及泰国开展招商引资工作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56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成功签约招商引资项目12个，其中亿元以上项目2个，协议投资额30.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27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亿元；在谈项目6个，总投资约15亿元，重点投资项目2个。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二是多措并举抓招商。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大力开展走出去、请进来招商引资活动的同时，组团参加第五届西洽会，通过展会、节会客商云集的优势开展招商引资和项目推介；全年共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拜访北京糖果社科技有限公司、泰国正大集团等企业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接待安徽西商投资集团、供销冷链物流（湖南）有限公司、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江苏绿港集团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等4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企业到奉考察项目投资。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三是靠前服务抓落地。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成立工作专班，为企业考察、调研、注册提供“一站式服务”，协助办理企业登记20余户，组织召开市场主体座谈会4次，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组织25名党员干部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深入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130家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，走访调研收集整理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融资、房租、用水用电、用人等方面问题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84个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（八）持续筑牢安全防线。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一是突出政治站位。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严格落实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“管行业必须管安全、管业务必须管安全”原则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，每次党组会专题研究安全生产工作，累计研究部署27次，研判安全生产形势18次，强化执法检查队伍，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发现并解决安全生产问题65件次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，推动了“党政同责、一岗双责”末端落实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二是突出模式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创新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主动强化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宣传引导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发放宣传材料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000余份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组织重点商贸场所负责人安全培训120余人次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；探索成立商业安全委员会，拟定《奉节县商业安全委员会组织机构成员单位主要职责和工作制度（送审稿）》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，开展重点行业领域的安全生产大排查大整治8次，开展重要节日节点检查4次。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三是突出问题整改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主动落实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行业自查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扎实开展商贸流通领域安全生产日常监管，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zh-CN" w:eastAsia="zh-CN" w:bidi="ar-SA"/>
        </w:rPr>
        <w:t>发现并整改问题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150余个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开展成品油行业专项整治行动、大型商业综合体安全专项整治行动、重大事故隐患专项排查整治行动等专项行动10余次，对全县340家限额以上商贸企业、51家加油站及2座油库进行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常态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监督检查，共检查各类主体215次，发现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并整改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消防安全等各类问题138处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（九）持续推动法治建设。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一是聚焦依法行政。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坚持领导干部带头学法、尊法、守法、用法，将习近平法治思想和习近平总书记系列重要讲话精神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列入“第一议题”，开展各类组织学法活动10余次，组织参加市、县执法培训16人次，对商贸领域生产企业进行法制培训5批次；积极落实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““一件事一次办”等一体化办理事项改革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要求，完成成品油企业、拍卖企业10项行政许可相关工作。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二是聚焦依法履职。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建立法律顾问制度，全年围绕商务领域中心工作、重点项目、重大事项、招商引资投资协议等全程开展法律服务30余次；同步将法治建设内容纳入委领导班子干部年度述职报告，切实推进了法治建设责任。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三是聚焦依法服务。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深入开展“互联网+政务服务”，建立商务系统市场主体名录库、执法检查人员名录库，持续推进商务领域社会信用体系建设，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发放信用宣传资料1000余份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运用评价结果20余次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；持续优化法治营商环境，印发《县商务委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优化营商环境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工作实施方案》，细化任务清单20余项。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）持续落实党管武装。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一是聚焦队伍建设。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将武装工作列入党组议题，明确专人负责武装工作，预建基干民兵党组织1个，油料保障编组20人，按要求完成体格检查、政治考核、专业技能考核和民兵政治教育等工作，筑牢了后备力量政治基础。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二是聚焦国防动员。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主动落实重庆警备区党委五届十三次全体(扩大)会议和奉节县2023年度武装工作会议精神，按照县深化国防动员体制改革方案及相关要求落实潜力调查、数据统计等相关工作，参与完成县人武部、县国动办联合组织的协同演练，强化了职能作用发挥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三是聚焦双拥共建。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全力参与创建国家级双拥模范城工作，积极配合县委宣传部抓好全民国防教育活动开展，结合结对联创、志愿服务开展宣传教育活动5次，发放宣传资料500余份，结合“八一”慰问退役军人5人，发放慰问金2500元，协助解决退役军人遗留问题5人次，营造了关心国防、关爱退役军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（四）绩效目标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整体支出绩效目标申报及年中追加支出绩效目标情况：年初预算下达了整体支出绩效目标，由于年中追加了预算，对整体支出绩效目标进行了调整，我单位根据调整后的整体支出绩效目标开展了自评。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（五）年度预决算情况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年初预算总收入为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903.93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万元，年中追加收入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2255.18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万元，全年总收入为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3159.11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万元；全年总支出为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3159.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944.86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万元（工资福利支出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564.92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万元、商品和服务支出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万元、对个人和家庭的补助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286.96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万元），项目支出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2214.25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年初预算收入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903.93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万元，其中：财政拨款收入年初预算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903.93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万元（一般公共预算收入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903.93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万元，政府基金预算收入0.00万元，国有资本经营收入预算0.00万元，社保基金预算收入0.00万元，其他收入0.00万元），年中追加专项资金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2255.18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万元（一般公共预算收入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万元，政府基金预算收入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万元，国有资本经营收入预算0.00万元，社保基金预算收入0.00万元，其他收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入2255.18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万元），共计收入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3159.11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903.93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万元，年中追加专项支出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2255.18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,基本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944.86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项目支出2214.25万元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，共计支出为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3159.11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（一）基本支出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年度基本支出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944.86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万元，其中：人员支出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851.87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万元，公用支出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92.99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年“三公”经费支出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万元）。其中：公务接待费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（二）项目支出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年财政拨款项目支出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2214.25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万元，（其中：一般公共服务支出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1631.73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万元，农林水支出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581.60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（一）财务管理制度建设情况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资金拨付严格按程序申报、审批，做到无审批不支出，无预算不列支，合理合规使用资金，确保财政资金安全。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（二）资产管理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产管理方面，严格按照《重庆市市级行政事业单位国有资产处置管理办法》（渝财资产〔2013〕43号）规定，每年年末对资产进行清理，新购资产时向财政部门、主管部门申请，批复后再进行资产采购，并在资产管理系统中登记，按照要求及时报送资产情况报表，确保各项资产核算准确、帐实相符、管理到位；资产处置报财政部门、主管部门审批，办理资产报废手续，进行资产清理，处置收入上缴市级国库。无随意处置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（三）预决算公开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在县人民政府门户网站上按时进行了预决算公开。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（四）“三公”经费控制情况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严格遵守各项规章制度，严控“三公”经费支出，202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年“三公”经费减少，并及时在县人民政府门户网站上对“三公”经费情况进行公示。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（五）政府采购情况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我单位202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年政府采购发生额为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,认真按照政府采购程序履行手续.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认真履行职责情况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年年度考核为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评价结论及分析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通过认真开展单位整体支出绩效目标自评，综合评分9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分，评价结果为优。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执行绩效评价体系，从以下几个方面提升了我单位的绩效工作：一是要加大支出管理。严格执行公务接待、公车管理及差旅费、会议费管理，坚持厉行节约，努力降低财政运行成本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二是严格预算约束做好增收节支，极力控制非生产性支出，降低行政运行成本，严肃财经纪律，坚决反对铺张浪费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三是加强预算执行，建立健全财政资金使用管理办法，促进资金使用效益；四是积极化解存量债务，严控政府性债务风险。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年，通过财政资金绩效管理，加强了对财政资金使用的过程监督和成效监管，切实提高了财政资金使用效率。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（三）效益性分析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年，我单位的绩效评价工作在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领导班子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的坚强领导下，在社会各界的大力支持下，深入挖掘增收潜力，坚持稳增长、调结构、促改革、惠民生、防风险，各项支出得到较好保障。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我单位公务卡使用率较低，主要原因：持卡人消费意识不高，单位职工报销票据需要一定期限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，但是财务不及时兑付影响个人信用记录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心理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（一）细化预算编制工作，进一步加强内设机构的预算管理意识，严格按照预算编制的相关制度和要求进行预算编制。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（二）加强财务管理，严格财务审核。健全单位财务管理制度体系，规范单位财务行为。在费用报账支付时，按照预算规定的费用项目和用途进行资金使用审核、财务严格核算，杜绝超支现象发生。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（三）增加业务知识培训，加强决算工作与账务处理工作衔接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；加大公务卡宣传力度，鼓励职工出差使用公务卡支付结算。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NGUwZjVjMzhlNTFlNzVhZWNjYWYxZTllZTQ5ZjMifQ=="/>
  </w:docVars>
  <w:rsids>
    <w:rsidRoot w:val="00E76675"/>
    <w:rsid w:val="00013B6F"/>
    <w:rsid w:val="00042239"/>
    <w:rsid w:val="00093A41"/>
    <w:rsid w:val="00106B82"/>
    <w:rsid w:val="0018371D"/>
    <w:rsid w:val="00205DF7"/>
    <w:rsid w:val="0027698B"/>
    <w:rsid w:val="00286129"/>
    <w:rsid w:val="002B5D7D"/>
    <w:rsid w:val="002E74AE"/>
    <w:rsid w:val="0033771C"/>
    <w:rsid w:val="00350769"/>
    <w:rsid w:val="00355160"/>
    <w:rsid w:val="00380897"/>
    <w:rsid w:val="003972B5"/>
    <w:rsid w:val="003D5B69"/>
    <w:rsid w:val="003E2A06"/>
    <w:rsid w:val="00420FCA"/>
    <w:rsid w:val="0042419B"/>
    <w:rsid w:val="00455DDE"/>
    <w:rsid w:val="004F6515"/>
    <w:rsid w:val="00554F08"/>
    <w:rsid w:val="00555E01"/>
    <w:rsid w:val="005627AE"/>
    <w:rsid w:val="0059196E"/>
    <w:rsid w:val="005A0A6C"/>
    <w:rsid w:val="005D69C3"/>
    <w:rsid w:val="005F4CFC"/>
    <w:rsid w:val="00602F34"/>
    <w:rsid w:val="0061340E"/>
    <w:rsid w:val="00625F75"/>
    <w:rsid w:val="00662375"/>
    <w:rsid w:val="00672C0F"/>
    <w:rsid w:val="00681E38"/>
    <w:rsid w:val="00697F47"/>
    <w:rsid w:val="006A3900"/>
    <w:rsid w:val="006D4043"/>
    <w:rsid w:val="006E3BB2"/>
    <w:rsid w:val="006F0652"/>
    <w:rsid w:val="00737046"/>
    <w:rsid w:val="0074264C"/>
    <w:rsid w:val="0079699B"/>
    <w:rsid w:val="007B407E"/>
    <w:rsid w:val="007D6753"/>
    <w:rsid w:val="0081688D"/>
    <w:rsid w:val="00820D04"/>
    <w:rsid w:val="00821515"/>
    <w:rsid w:val="00857500"/>
    <w:rsid w:val="0085789E"/>
    <w:rsid w:val="00880AF6"/>
    <w:rsid w:val="0088602F"/>
    <w:rsid w:val="008D0A27"/>
    <w:rsid w:val="00910471"/>
    <w:rsid w:val="00926B93"/>
    <w:rsid w:val="00984E79"/>
    <w:rsid w:val="009B7ADE"/>
    <w:rsid w:val="009E71C0"/>
    <w:rsid w:val="00A46455"/>
    <w:rsid w:val="00A5791D"/>
    <w:rsid w:val="00AA6B3C"/>
    <w:rsid w:val="00B850FE"/>
    <w:rsid w:val="00C02CD6"/>
    <w:rsid w:val="00C22E66"/>
    <w:rsid w:val="00C33215"/>
    <w:rsid w:val="00C617C5"/>
    <w:rsid w:val="00C62BB1"/>
    <w:rsid w:val="00C9630B"/>
    <w:rsid w:val="00CE0CF5"/>
    <w:rsid w:val="00CE456B"/>
    <w:rsid w:val="00CF475A"/>
    <w:rsid w:val="00D01D8F"/>
    <w:rsid w:val="00D17AE4"/>
    <w:rsid w:val="00D333B9"/>
    <w:rsid w:val="00D4204B"/>
    <w:rsid w:val="00D548A0"/>
    <w:rsid w:val="00D84EA7"/>
    <w:rsid w:val="00D91AB1"/>
    <w:rsid w:val="00D92EF5"/>
    <w:rsid w:val="00DA4807"/>
    <w:rsid w:val="00DD707A"/>
    <w:rsid w:val="00DE0514"/>
    <w:rsid w:val="00DE336D"/>
    <w:rsid w:val="00DF0488"/>
    <w:rsid w:val="00E06599"/>
    <w:rsid w:val="00E06675"/>
    <w:rsid w:val="00E66945"/>
    <w:rsid w:val="00E754A2"/>
    <w:rsid w:val="00E76675"/>
    <w:rsid w:val="00EE7FFB"/>
    <w:rsid w:val="00F63E2F"/>
    <w:rsid w:val="00FC2C0E"/>
    <w:rsid w:val="00FE781E"/>
    <w:rsid w:val="03C1108B"/>
    <w:rsid w:val="050466F6"/>
    <w:rsid w:val="05774488"/>
    <w:rsid w:val="059D340B"/>
    <w:rsid w:val="0A065B63"/>
    <w:rsid w:val="0B3E79A7"/>
    <w:rsid w:val="0F914240"/>
    <w:rsid w:val="10210C49"/>
    <w:rsid w:val="1704268F"/>
    <w:rsid w:val="189141FC"/>
    <w:rsid w:val="1ABB2E84"/>
    <w:rsid w:val="1E2108F5"/>
    <w:rsid w:val="1F1F58DA"/>
    <w:rsid w:val="1F415148"/>
    <w:rsid w:val="1F425358"/>
    <w:rsid w:val="1F667D7E"/>
    <w:rsid w:val="34F158B7"/>
    <w:rsid w:val="37152CD5"/>
    <w:rsid w:val="37A15645"/>
    <w:rsid w:val="3E311788"/>
    <w:rsid w:val="48061E82"/>
    <w:rsid w:val="489F3397"/>
    <w:rsid w:val="58BD4975"/>
    <w:rsid w:val="5A2C1932"/>
    <w:rsid w:val="5B890DA2"/>
    <w:rsid w:val="62247FAE"/>
    <w:rsid w:val="666B3123"/>
    <w:rsid w:val="6FC4033A"/>
    <w:rsid w:val="71F349A4"/>
    <w:rsid w:val="74306BAE"/>
    <w:rsid w:val="74561564"/>
    <w:rsid w:val="7B0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4">
    <w:name w:val="p0"/>
    <w:basedOn w:val="1"/>
    <w:qFormat/>
    <w:uiPriority w:val="99"/>
    <w:pPr>
      <w:widowControl/>
    </w:pPr>
    <w:rPr>
      <w:sz w:val="21"/>
      <w:szCs w:val="21"/>
    </w:rPr>
  </w:style>
  <w:style w:type="paragraph" w:styleId="7">
    <w:name w:val="Body Text"/>
    <w:basedOn w:val="1"/>
    <w:next w:val="1"/>
    <w:link w:val="16"/>
    <w:qFormat/>
    <w:uiPriority w:val="0"/>
    <w:pPr>
      <w:spacing w:after="120"/>
    </w:pPr>
    <w:rPr>
      <w:szCs w:val="24"/>
    </w:rPr>
  </w:style>
  <w:style w:type="paragraph" w:styleId="8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12"/>
    <w:link w:val="10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标题 1 字符"/>
    <w:basedOn w:val="12"/>
    <w:link w:val="5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6">
    <w:name w:val="正文文本 字符"/>
    <w:basedOn w:val="12"/>
    <w:link w:val="7"/>
    <w:qFormat/>
    <w:uiPriority w:val="0"/>
    <w:rPr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  <w:style w:type="paragraph" w:styleId="19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7218</Words>
  <Characters>7740</Characters>
  <Lines>38</Lines>
  <Paragraphs>10</Paragraphs>
  <TotalTime>3</TotalTime>
  <ScaleCrop>false</ScaleCrop>
  <LinksUpToDate>false</LinksUpToDate>
  <CharactersWithSpaces>7744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2022-04-04T04:43:00Z</dcterms:created>
  <dc:creator>Administrator</dc:creator>
  <cp:lastModifiedBy>Administrator</cp:lastModifiedBy>
  <cp:lastPrinted>2022-07-13T07:03:00Z</cp:lastPrinted>
  <dcterms:modified xsi:type="dcterms:W3CDTF">2025-08-18T07:29:11Z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116B3F49C86944CFA34B6A42182043BA</vt:lpwstr>
  </property>
</Properties>
</file>