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880" w:firstLineChars="20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880" w:firstLineChars="20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奉节县统计局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440" w:firstLineChars="100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202</w:t>
      </w:r>
      <w:r>
        <w:rPr>
          <w:rFonts w:hint="eastAsia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3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年度部门整体支出预算绩效自评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3960" w:firstLineChars="900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报告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/>
        <w:textAlignment w:val="auto"/>
        <w:outlineLvl w:val="9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一、单位概况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年我单位预算编制范围包括：奉节县统计局机关及所属奉节县社会经济调查队。我单位核定人员编制数为1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人（其中行政编制13人，事业编制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人，其他1人），实际在职在岗16人。公务用车编制数1台，实际1台。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二）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基本职责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1、承担组织领导和管理协调全县统计工作，确保统计数据真实、准确、及时的责任；组织实施国家统计制度、统计标准和发展规划；制定并组织实施地方统计调查制度和统计改革发展规划。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2、贯彻执行统计法律、法规、规章和方针政策；监督和检查统计法律的实施，查处统计违法违纪行为；依法对涉外调查事务、民间统计进行监督管理。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3、管理和指导乡镇（街道）、部门（行业）统计工作；协调政府综合统计与部门统计之间的关系；依法对部门统计数据进行审核、评估；依法管理地方统计调查项目；加强全县统计基层基础工作。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4、会同有关部门拟订县情县力普查方案，组织实施全县人口、经济、农业等有关普查、专项调查，搜集、整理和提供有关统计数据。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5、组织实施全县国民经济核算制度和全县投入产出调查；核算全县生产总值；搜集、整理和提供国民经济核算有关资料。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6、组织实施全县一、二、三产业有关统计调查；搜集、整理和提供有关国民经济、社会发展、科技进步、能源资源和环境等统计数据。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7、建立有关统计数据质量审核、评估和监控制度并组织实施；整理、核定、管理、提供、发布全县性基本统计资料；发布全县国民经济和社会发展情况的统计信息；加强对全县统计信息发布的规范管理，组织建立统计信息共享制度和发布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8、对国民经济、社会发展、科技进步、能源资源、环境等情况进行统计分析、统计预警和统计监督；建立健全全县经济社会发展的统计监测和评价体系，加强动态监测和决策咨询服务；参与对乡镇（街道）、县级部门（单位）的考核评价工作；承担社情民意调查，收集、整理和提供有关统计调查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9、制定并组织实施全县统计信息化建设规划；建立健全和统一管理全县统计信息自动化系统、全县经济社会发展综合统计数据库和网络体系。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10、在重庆市统计局指导下，统一管理本县统计部门的统计事业费；协助有关部门组织管理统计专业资格考试、职务评聘、从业资格认定等工作；管理和监督由各级财政安排的统计工作经费和专项基本建设投资。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11、组织指导全县统计科学研究、统计教育、统计干部培训工作，开展统计工作合作交流，促进全县统计人才队伍建设。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12、完成县委、县政府交办的其他任务。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（三）年度主要工作概述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1、旗帜鲜明讲政治，党的建设全面加强。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扎实开展主题教育，加强政治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理论学习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，强化党风廉政建设。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落实全面从严治党主体责任，制定两个“责任清单”，细化党风廉政建设计划。推动全面从严治党在各项工作环节全覆盖，确保各项工作有序开展。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2、凝心聚力强基础，常规工作全面推进。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推进统计工作规范化建设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。持续建章立制全流程管理数据。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建立完善《奉节县统计全流程质量控制管理办法》等七项基本制度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常态化开展名录库管理和更新维护。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按照统筹协调，动态管理的原则，切实做好基本单位名录库更新维护工作。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统计咨政能力稳步提升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围绕全县中心工作，印发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高质量统计咨政产品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《统计内参》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12篇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、《统计数据与分析》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15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篇，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撰写统计分析17篇，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为县委、县政府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提供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决策依据。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多形式提高统计队伍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素质。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分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乡镇培训统计人员12场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次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上千人。牵头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组织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全县统计专业人员共50余人赴东北财经大学开展统计专业专题培训。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探索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建立联系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服务机制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职工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联系规上企业，收集问题建议，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并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反馈办理结果。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切实履行统计监督职能</w:t>
      </w: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会同县纪委监委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、县委巡察办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等部门印发《关于加强纪检监察监督与财会监督统计监督协作配合的实施办法（试行）》《关于加强县委巡察机构与县统计局协作配合的实施意见》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对标对表抓关键，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统筹推进重点工作</w:t>
      </w: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eastAsia="方正楷体_GBK" w:cs="Times New Roman"/>
          <w:sz w:val="32"/>
          <w:szCs w:val="32"/>
          <w:lang w:val="en-US" w:eastAsia="zh-CN"/>
        </w:rPr>
        <w:t>有序推进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第五次全国经济普查工作。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领导高度重视，明确县级各部门工作职责任务，组建“五经普工作专班”，集中办公，统筹推进各项工作。全方位宣传五经普相关内容，营造五经普的良好氛围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eastAsia="方正楷体_GBK" w:cs="Times New Roman"/>
          <w:sz w:val="32"/>
          <w:szCs w:val="32"/>
          <w:lang w:val="en-US" w:eastAsia="zh-CN"/>
        </w:rPr>
        <w:t>扎实开展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统计造假专项治理行动。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按照国家统计局、市统计局关于统计造假屡禁难绝专项治理行动工作统一部署，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对标对表市统计局实施方案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有序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开展专项治理行动各项工作。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稳步推行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企业电子统计台账</w:t>
      </w:r>
      <w:r>
        <w:rPr>
          <w:rFonts w:hint="eastAsia" w:eastAsia="方正楷体_GBK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积极协调行业主管部门、软件公司，分专业分批次推进企业电子统计台账的使用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保障企业电子统计台账工作的组织实施。</w:t>
      </w: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强化统计督察整改。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推动全县建立《奉节县统计工作重要文件及统计法律法规常态化学习制度》等三项制度、局内部建立完善多项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统计管理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制度，坚决防范和惩治统计造假行为，切实营造依法统计的良好生态。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（四）绩效目标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（五）年度预决算情况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我单位202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年初预算总收入为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万元，年中追加收入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607.96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万元，全年总收入为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986.53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万元；全年总支出为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986.53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万元，其中：基本支出3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91.96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万元（工资福利支出3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23.89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万元、商品和服务支出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57.87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万元、对个人和家庭的补助10.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万元），项目支出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594.57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年初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预算收入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万元，其中：财政拨款收入年初预算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万元（一般公共预算收入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万元，政府基金预算收入0万元，国有资本经营收入预算0万元，社保基金预算收入0万元，其他收入0万元），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年中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追加资金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607.96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万元（一般公共预算收入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607.96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万元，政府基金预算收入0万元，国有资本经营收入预算0万元，社保基金预算收入0万元，其他收入0万元），共计收入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986.53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2、年初预算支出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万元，基本支出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378.57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万元（工资福利支出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310.13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万元、商品和服务支出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58.12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万元、对个人和家庭的补助10.32万元），项目支出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万元；年中追加支出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607.96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其中，项目支出594.57万元。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共计支出为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986.53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二、整体支出管理及使用情况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（一）基本支出：202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年度我单位基本支出3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91.96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万元，其中：人员支出3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34.09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万元，公用支出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57.87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三公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经费支出1.92万元（预算为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跟上年持平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。其中：公务接待费0万元（预算为0万元），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跟上年持平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，公务用车运行维护费1.92万元（预算为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上年持平，政府采购完成0万元（预算为0万元），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跟上年持平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项目支出：202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年财政拨款项目支出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594.57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万元，同比上年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增长98.38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%。其中：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专项统计业务86.4万元、专项普查活动100万元、统计抽样调查62.17万元、其他统计信息事务支出346万元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三、整体支出绩效情况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（一）财务管理制度建设情况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：资金拨付严格按程序申报、审批，合理合规使用资金，确保财政资金安全。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（二）资产管理：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按照要求及时报送资产情况报表，确保各项资产核算准确、帐实相符、管理到位。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（三）预决算公开：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按时按要求在县人民政府门户网站上进行了预决算公开。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（四）“经三</w:t>
      </w:r>
      <w:r>
        <w:rPr>
          <w:rFonts w:hint="eastAsia" w:eastAsia="方正楷体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公费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控制情况：能严格遵守各项规章制度，严控</w:t>
      </w: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三公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经费支出，</w:t>
      </w: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三公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经费减少，并及时在县人民政府门户网站上对</w:t>
      </w: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三公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经费情况进行公示。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（五）政府采购情况：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严格按照政府采购相关规定执行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left="640" w:leftChars="0"/>
        <w:textAlignment w:val="auto"/>
        <w:outlineLvl w:val="9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评价结论及分析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通过认真开展单位整体支出绩效目标自评，综合评分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99.33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分，评价结果为优。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（一）经济性分析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（二）效率性分析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取得了统计工作、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经济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普查工作的各项成绩，提高了统计监测效率。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（三）效益性分析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年，我单位的绩效评价工作在县委县政府的坚强领导下，在社会各界的大力支持下，深入挖掘增收潜力，坚持稳增长、调结构、促改革、惠民生、防风险，各项支出得到较好保障。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五、存在的问题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（一）因业务水平有限，年初预算的编制支出类别上理解不够，比如基本支出和项目支出，在日常业务操作时容易出错。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（二）预决算项目支出编制需进一步明确、精细化。同时项目执行率需进一步提高。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六、改进措施和有关建议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（一）细化预算编制工作，进一步加强内设机构的预算管理意识，严格按照预算编制的相关制度和要求进行预算编制。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（三）合理安排会计岗位，适当增加会计人员，增加业务知识培训，加强决算工作与账务处理工作衔接。        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附件：部门（单位）整体支出预算绩效自评表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奉节县统计局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ind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bidi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</w:p>
    <w:p>
      <w:pPr>
        <w:tabs>
          <w:tab w:val="left" w:pos="5184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ab/>
      </w:r>
    </w:p>
    <w:p/>
    <w:sectPr>
      <w:headerReference r:id="rId3" w:type="default"/>
      <w:footerReference r:id="rId4" w:type="default"/>
      <w:pgSz w:w="11906" w:h="16838"/>
      <w:pgMar w:top="1757" w:right="1474" w:bottom="1644" w:left="1587" w:header="851" w:footer="992" w:gutter="0"/>
      <w:pgNumType w:fmt="decimal"/>
      <w:cols w:space="720" w:num="1"/>
      <w:docGrid w:type="linesAndChars" w:linePitch="312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ind w:right="360" w:firstLine="360"/>
      <w:jc w:val="right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-228600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8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uv2ICtcAAAAIAQAADwAAAAAAAAABACAAAAA4&#10;AAAAZHJzL2Rvd25yZXYueG1sUEsBAhQAFAAAAAgAh07iQLkLgRm8AQAAXAMAAA4AAAAAAAAAAQAg&#10;AAAAPA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95DE89"/>
    <w:multiLevelType w:val="singleLevel"/>
    <w:tmpl w:val="4095DE8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1CDC2257"/>
    <w:rsid w:val="16294E19"/>
    <w:rsid w:val="1CDC2257"/>
    <w:rsid w:val="2ECE479A"/>
    <w:rsid w:val="30BF0024"/>
    <w:rsid w:val="4DE17459"/>
    <w:rsid w:val="505A6A6B"/>
    <w:rsid w:val="5A723C0B"/>
    <w:rsid w:val="CFBE8B8A"/>
    <w:rsid w:val="F1CFA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ody Text"/>
    <w:basedOn w:val="1"/>
    <w:qFormat/>
    <w:uiPriority w:val="0"/>
    <w:rPr>
      <w:rFonts w:eastAsia="仿宋_GB2312"/>
      <w:b/>
      <w:bCs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 w:cs="Times New Roman"/>
      <w:sz w:val="32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font81"/>
    <w:basedOn w:val="10"/>
    <w:qFormat/>
    <w:uiPriority w:val="0"/>
    <w:rPr>
      <w:rFonts w:ascii="Calibri" w:hAnsi="Calibri" w:eastAsia="宋体" w:cs="Calibri"/>
      <w:color w:val="000000"/>
      <w:sz w:val="21"/>
      <w:szCs w:val="21"/>
      <w:u w:val="none"/>
    </w:rPr>
  </w:style>
  <w:style w:type="character" w:customStyle="1" w:styleId="13">
    <w:name w:val="font3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9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font5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paragraph" w:customStyle="1" w:styleId="16">
    <w:name w:val="常用样式"/>
    <w:basedOn w:val="1"/>
    <w:qFormat/>
    <w:uiPriority w:val="0"/>
    <w:pPr>
      <w:spacing w:line="594" w:lineRule="exact"/>
      <w:ind w:firstLine="640" w:firstLineChars="200"/>
    </w:pPr>
    <w:rPr>
      <w:rFonts w:ascii="Times New Roman" w:hAnsi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2024-01-17T01:04:00Z</dcterms:created>
  <dc:creator>雾非雾</dc:creator>
  <cp:lastModifiedBy>guest</cp:lastModifiedBy>
  <dcterms:modified xsi:type="dcterms:W3CDTF">2024-12-23T12:05:00Z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205B766BA994489084DB228F00ED3C01_11</vt:lpwstr>
  </property>
</Properties>
</file>