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_GBK" w:cs="Times New Roman"/>
          <w:b/>
          <w:sz w:val="44"/>
          <w:szCs w:val="44"/>
          <w:lang w:val="en-US" w:eastAsia="zh-CN"/>
        </w:rPr>
      </w:pP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2022年下半年至2023年度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_GBK" w:cs="Times New Roman"/>
          <w:b/>
          <w:sz w:val="44"/>
          <w:szCs w:val="44"/>
          <w:lang w:val="en-US" w:eastAsia="zh-CN"/>
        </w:rPr>
      </w:pP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入库纳统企业统计报表人员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补</w:t>
      </w: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奉节县人民政府《关于加快培育和壮大“四上”企业的实施意见》（奉节府发〔2020〕16号），在下达资金预算时同步下达了绩效目标。</w:t>
      </w:r>
      <w:r>
        <w:rPr>
          <w:rFonts w:hint="eastAsia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332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</w:t>
      </w:r>
      <w:r>
        <w:rPr>
          <w:rFonts w:hint="eastAsia" w:cs="Times New Roman"/>
          <w:sz w:val="32"/>
          <w:szCs w:val="32"/>
          <w:lang w:val="en-US" w:eastAsia="zh-CN"/>
        </w:rPr>
        <w:t>、成本指标四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安全、社会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效益、服务对象满意度</w:t>
      </w:r>
      <w:r>
        <w:rPr>
          <w:rFonts w:hint="eastAsia" w:cs="Times New Roman"/>
          <w:sz w:val="32"/>
          <w:szCs w:val="32"/>
          <w:lang w:val="en-US" w:eastAsia="zh-CN"/>
        </w:rPr>
        <w:t>、经济成本7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</w:t>
      </w:r>
      <w:r>
        <w:rPr>
          <w:rFonts w:hint="eastAsia" w:cs="Times New Roman"/>
          <w:sz w:val="32"/>
          <w:szCs w:val="32"/>
          <w:lang w:val="en-US" w:eastAsia="zh-CN"/>
        </w:rPr>
        <w:t>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2022年下半年至2023年度入库纳统企业统计报表人员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cs="Times New Roman"/>
          <w:sz w:val="32"/>
          <w:szCs w:val="32"/>
          <w:lang w:val="en-US" w:eastAsia="zh-CN"/>
        </w:rPr>
        <w:t>332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分，总体情况良好，预算编制质量较好，预算信息公开符合要求；预算执行进度良好，年末无结转结余；项目在实施过程中严格执行有关制度规定，基本达到了预期效果。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</w:t>
      </w:r>
      <w:r>
        <w:rPr>
          <w:rFonts w:hint="eastAsia" w:cs="Times New Roman"/>
          <w:sz w:val="32"/>
          <w:szCs w:val="32"/>
          <w:lang w:val="en-US" w:eastAsia="zh-CN"/>
        </w:rPr>
        <w:t>1360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家“四上”企业</w:t>
      </w:r>
      <w:r>
        <w:rPr>
          <w:rFonts w:hint="eastAsia" w:cs="Times New Roman"/>
          <w:sz w:val="32"/>
          <w:szCs w:val="32"/>
          <w:lang w:val="en-US" w:eastAsia="zh-CN"/>
        </w:rPr>
        <w:t>一套表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统计报表</w:t>
      </w:r>
      <w:r>
        <w:rPr>
          <w:rFonts w:hint="eastAsia" w:cs="Times New Roman"/>
          <w:sz w:val="32"/>
          <w:szCs w:val="32"/>
          <w:lang w:val="en-US" w:eastAsia="zh-CN"/>
        </w:rPr>
        <w:t>、限下企业和个体户抽样调查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统计报表任务。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（2）质量指标。报表数据有效、真实、准确，合格率达100%。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（3）时效指标。按月、按季、按年在规定的时间内完成报表上报工作。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（4）安全指标。对数据严格保密。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效益。确保数据质量，真实反映我县经济社会发展现状，为领导决策提供参考依据。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3.满意度指标完成情况分析。领取补贴单位人员满意度高于9</w:t>
      </w:r>
      <w:r>
        <w:rPr>
          <w:rFonts w:hint="eastAsia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%</w:t>
      </w:r>
    </w:p>
    <w:p>
      <w:pPr>
        <w:pStyle w:val="2"/>
        <w:ind w:firstLine="640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4.成本指标完成情况分析。严格按照标准发放补助，没有超支现象。</w:t>
      </w:r>
    </w:p>
    <w:p>
      <w:pPr>
        <w:pStyle w:val="2"/>
        <w:ind w:firstLine="64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B0B03"/>
    <w:rsid w:val="0AF16F56"/>
    <w:rsid w:val="3C8A7907"/>
    <w:rsid w:val="630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奉节统计局</Company>
  <Pages>1</Pages>
  <Words>0</Words>
  <Characters>0</Characters>
  <Lines>0</Lines>
  <Paragraphs>0</Paragraphs>
  <TotalTime>176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2025-03-13T07:50:00Z</dcterms:created>
  <dc:creator>Administrator</dc:creator>
  <cp:lastModifiedBy>Administrator</cp:lastModifiedBy>
  <dcterms:modified xsi:type="dcterms:W3CDTF">2025-08-18T07:24:58Z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