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hAnsi="方正仿宋_GBK" w:cs="方正仿宋_GBK"/>
          <w:b/>
          <w:bCs/>
          <w:color w:val="auto"/>
          <w:sz w:val="36"/>
          <w:szCs w:val="36"/>
          <w:shd w:val="clear" w:color="auto" w:fill="FFFFFF"/>
          <w:lang w:val="en-US" w:eastAsia="zh-CN" w:bidi="ar"/>
        </w:rPr>
        <w:t>奉节县文化和旅游发展委员会</w:t>
      </w:r>
    </w:p>
    <w:p>
      <w:pPr>
        <w:spacing w:line="600" w:lineRule="exact"/>
        <w:ind w:firstLine="712" w:firstLineChars="200"/>
        <w:jc w:val="center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t>2022年度部门（单位）整体支出预算绩效自评报告</w:t>
      </w:r>
    </w:p>
    <w:p>
      <w:pPr>
        <w:pStyle w:val="2"/>
        <w:rPr>
          <w:rFonts w:hint="default"/>
          <w:lang w:val="en-US" w:eastAsia="zh-CN"/>
        </w:rPr>
      </w:pPr>
    </w:p>
    <w:p>
      <w:pPr>
        <w:ind w:firstLine="632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概况</w:t>
      </w:r>
    </w:p>
    <w:p>
      <w:pPr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（一）基本情况</w:t>
      </w:r>
    </w:p>
    <w:p>
      <w:pPr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预算编制范围包括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奉节县文化和旅游发展委员会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机关及所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属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奉节县体育发展中心、奉节县旅游发展中心、奉节县文化市场综合行政执法支队、奉节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县文化馆、奉节县美术馆、奉节县图书馆、奉节县文物保护管理中心、奉节县诗词研学中心、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共计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个单位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奉节县文化和旅游发展委员会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作为一级预算单位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核定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人员编制数为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146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（其中行政编制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46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人，事业编制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，实际在职在岗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遗属补助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人。公务用车编制数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台，实际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台。房屋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面积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1022.26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平方米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，使用面积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1022.26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平方米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numPr>
          <w:ilvl w:val="0"/>
          <w:numId w:val="1"/>
        </w:numPr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基本职责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贯彻执行党和国家宣传思想、文化和旅游、体育、文物和博物馆、广播电视工作的方针政策和法律法规；拟订全县文化和旅游、体育、文物和博物馆、广播电视政策措施并组织实施。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统筹规划全县文化事业、旅游事业和群众体育发展，拟订文化和旅游、体育、文物和博物馆、广播电视事业发展规划并组织实施；推进文化、旅游、体育融合发展，推进体制机制改革。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全县性重大文化、旅游、体育活动，指导县级重点文化、体育设施建设，负责全县旅游整体形象宣传和推广，促进文化产业和旅游产业对外合作和市场推广，拟订旅游市场开发战略并组织实施，指导、推进全域旅游。负责推行全民健身计划，指导并开展群众性体育活动，指导国家体育锻炼标准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负责管理全县文艺事业，指导艺术创作生产，扶持体现社会主义核心价值观、具有导向性代表性示范性的文艺作品，推动各门类艺术、各艺术品种发展。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全县公共文化、体育事业发展，推进全县公共文化服务体系建设、旅游公共服务建设和公共体育服务体系建设，深入实施文化惠民工程，统筹推进基本公共文化服务标准化、均等化，规范体育服务管理，推动体育服务标准化建设。组织实施全县广播电视领域公共服务重大公益工程和公益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6、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指导、推进全县文化、旅游、体育、广播电视、文物和博物馆行业科技创新发展，推进文化、旅游和体育行业信息化、标准化建设。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7、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负责全县非物质文化遗产保护，推动非物质文化遗产的保护、传承、普及、弘扬和振兴。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8、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统筹规划全县文化产业、旅游产业和体育产业，组织实施文化、旅游和体育资源普查、挖掘、保护和利用工作，承担文化市场和旅游经济运行监测体系建设工作，促进文化产业、旅游产业和体育产业发展。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9、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导全县文化、旅游和体育市场发展，对文化、旅游和体育市场经营进行行业监管，推进文化、旅游和体育行业信用体系建设，依法规范文化、旅游和体育市场。负责文化、旅游和体育市场安全的综合协调和监督管理，指导应急救援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筹规划全县竞技体育发展，指导协调体育训练和体育竞赛。统筹规划全县青少年体育发展，指导和推进全县青少年体育工作。组织开展体育运动中的反兴奋剂工作，发展体育教育，制定体育培训规划。负责全县体育彩票发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全县文化市场综合执法，组织查处全县文化、文物、出版、广播电视、电影、旅游、体育等市场的违法行为，督查督办大案要案，维护市场秩序。具体执法由县文化市场综合执法队伍承担，并以部门的名义统一执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对全县各类广播电视机构进行业务指导和行业监管，会同有关部门对网络视听节目服务机构进行管理。指导全县广播电视重点基础设施建设。监督管理、审查广播电视节目、网络视听节目的内容和质量。指导、监管广播电视广告播放。负责实施广播电视节目评价工作。负责推进全县广播电视与新媒体新技术新业态融合发展，推进广电网与电信网、互联网三网融合。负责对广播电视节目传输覆盖、监测和安全播出进行监管，负责全县应急广播体系建设。指导全县广播电视系统的安全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13、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全县文物和博物馆工作。负责管理和指导全县考古工作，组织、协调文物保护、修复和考古项目的实施。组织开展文物资源调查，履行文物、博物馆安全督察职责。指导协调博物馆建设及博物馆间的交流与协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14、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负责全县文化遗产（含世界文化和自然双重遗产中的文化遗产部分）保护和管理监督工作，协同住房和城乡建设部门负责历史文化名城（镇、村）保护和监督管理工作。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15、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指导管理文化、旅游、体育、广播电视、文物、物馆对外及对港澳台交流、合作和宣传、推广工作，组织全县大型文化和旅游等对外及对港澳台交流活动，组织参加、承办国际体育竞赛活动。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16、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拟订全县文化、旅游和体育行业人才队伍建设规划并组织实施，负责从业人员职业资格管理。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17、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负责机关、委属单位和所主管的社会组织党建工作。</w:t>
      </w:r>
    </w:p>
    <w:p>
      <w:pPr>
        <w:numPr>
          <w:ilvl w:val="0"/>
          <w:numId w:val="0"/>
        </w:numPr>
        <w:ind w:firstLine="632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18、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完成县委、县政府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交办的其他任务。</w:t>
      </w: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632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年度主要工作概述</w:t>
      </w:r>
    </w:p>
    <w:p>
      <w:pPr>
        <w:pStyle w:val="2"/>
        <w:numPr>
          <w:ilvl w:val="0"/>
          <w:numId w:val="0"/>
        </w:numPr>
        <w:ind w:firstLine="632" w:firstLineChars="200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党的建设不断深化。2、疫情防控常抓不懈。3、全力创成5A景区。4、群众文化彰显魅力。5、品牌创建循序渐进。6、文物保护不断提升。7、文旅基础逐步夯实。8、体育赛事精彩有序。9、文旅影响持续扩大。10、市场管理规范有序。</w:t>
      </w:r>
    </w:p>
    <w:p>
      <w:pPr>
        <w:numPr>
          <w:ilvl w:val="0"/>
          <w:numId w:val="0"/>
        </w:numPr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（四）绩效目标</w:t>
      </w:r>
    </w:p>
    <w:p>
      <w:pPr>
        <w:numPr>
          <w:ilvl w:val="0"/>
          <w:numId w:val="0"/>
        </w:numPr>
        <w:ind w:firstLine="632" w:firstLineChars="200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整体支出绩效目标申报及年中追加支出绩效目标情况：年初预算下达了整体支出绩效目标，由于年中追加了预算，对整体支出绩效目标进行了调整，我单位根据调整后的整体支出绩效目标开展了自评。</w:t>
      </w:r>
    </w:p>
    <w:p>
      <w:pPr>
        <w:numPr>
          <w:ilvl w:val="0"/>
          <w:numId w:val="0"/>
        </w:numPr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（五）年度预决算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情况</w:t>
      </w:r>
    </w:p>
    <w:p>
      <w:pPr>
        <w:ind w:firstLine="632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收入为3318.68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万元，年中追加收入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6160.61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万元，全年总收入为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9479.29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万元；全年总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支出为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9479.29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万元，其中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基本支出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3071.96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工资福利支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2122.07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万元、商品和服务支出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514.91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万元、对个人和家庭的补助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434.98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），项目支出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6407.33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万元。</w:t>
      </w:r>
    </w:p>
    <w:p>
      <w:pPr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年初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3318.68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万元，其中：财政拨款收入年初预算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3318.68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（一般公共预算收入3318.68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年中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追加（减）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专项资金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6160.61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（一般公共预算收入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3940.58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万元，政府基金预算收入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2220.03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共计收入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9479.29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预算支出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3318.68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万元，基本支出2935.39万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元（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工资福利支出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2153.44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万元、商品和服务支出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467.80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万元、对个人和家庭的补助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314.16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万元），项目支出383.29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；年中追加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（4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个项目）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专项支出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6024.04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万元，共计支出为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9479.29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32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二、整体支出管理及使用情况</w:t>
      </w:r>
    </w:p>
    <w:p>
      <w:pPr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基本支出：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基本支出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3071.96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万元，其中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人员支出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2557.05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万元，公用支出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514.91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年三公经费支出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23.12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万元（预算为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36.1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万元），同比去年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增加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2.28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%。其中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公务接待费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5.22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万元（预算为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8.1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万元），同比去年减少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0.14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%，公务用车运行维护费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17.89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万元（预算为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万元），同比上年增加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3.01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政府采购完成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3091.94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万元（预算为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万元），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同比上年增加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11.47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项目支出：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年财政拨款项目支出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6407.33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，同比上年增加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84.73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（其中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一般公共预算支出4187.30万元，政府性基金支出2220.03万元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）。 </w:t>
      </w:r>
    </w:p>
    <w:p>
      <w:pPr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三、整体支出绩效情况</w:t>
      </w:r>
    </w:p>
    <w:p>
      <w:pPr>
        <w:ind w:firstLine="632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财务管理制度建设情况：资金拨付严格按程序申报、审批，合理合规使用资金，确保财政资金安全。</w:t>
      </w:r>
    </w:p>
    <w:p>
      <w:pPr>
        <w:ind w:firstLine="632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资产管理：按照要求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报送资产情况报表，确保各项资产核算准确、帐实相符、管理到位。</w:t>
      </w:r>
    </w:p>
    <w:p>
      <w:pPr>
        <w:ind w:firstLine="632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预决算公开：在县人民政府门户网站上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进行了预决算公开。</w:t>
      </w:r>
    </w:p>
    <w:p>
      <w:pPr>
        <w:ind w:firstLine="632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“三公经费”控制情况：能严格遵守各项规章制度，严控“三公”经费支出，“三公经费”减少，并及时在县人民政府门户网站上对“三公”经费情况进行公示。</w:t>
      </w:r>
    </w:p>
    <w:p>
      <w:pPr>
        <w:ind w:firstLine="632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（五）政府采购情况：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严格按照相关流程进行政府采购。</w:t>
      </w:r>
    </w:p>
    <w:p>
      <w:pPr>
        <w:numPr>
          <w:ilvl w:val="0"/>
          <w:numId w:val="2"/>
        </w:numPr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认真履行职责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情况：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严格按照职能职责进行履职。</w:t>
      </w:r>
    </w:p>
    <w:p>
      <w:pPr>
        <w:numPr>
          <w:ilvl w:val="0"/>
          <w:numId w:val="3"/>
        </w:numPr>
        <w:ind w:left="640" w:leftChars="0" w:firstLine="0" w:firstLineChars="0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评价结论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及分析</w:t>
      </w:r>
    </w:p>
    <w:p>
      <w:pPr>
        <w:numPr>
          <w:ilvl w:val="0"/>
          <w:numId w:val="0"/>
        </w:numPr>
        <w:ind w:firstLine="63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通过认真开展单位整体支出绩效目标自评，综合评分97.2分，评价结果为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（一）经济性分析</w:t>
      </w:r>
    </w:p>
    <w:p>
      <w:pPr>
        <w:numPr>
          <w:ilvl w:val="0"/>
          <w:numId w:val="0"/>
        </w:numPr>
        <w:ind w:firstLine="63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执行绩效评价体系，从以下几个方面提升了我单位的绩效工作：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要加大支出管理。严格执行公务接待、公车管理及差旅费、会议费管理，坚持厉行节约，努力降低财政运行成本。二是严格预算约束做好增收节支，极力控制非生产性支出，降低行政运行成本，严肃财经纪律，坚决反对铺张浪费。三是加强预算执行，建立健全财政资金使用管理办法，促进资金使用效益；四是积极化解存量债务，严控政府性债务风险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（二）效率性分析</w:t>
      </w:r>
    </w:p>
    <w:p>
      <w:pPr>
        <w:numPr>
          <w:ilvl w:val="0"/>
          <w:numId w:val="0"/>
        </w:numPr>
        <w:ind w:left="640" w:leftChars="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提升了奉节旅游形象，提高了机关办事效率。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（三）效益性分析</w:t>
      </w:r>
    </w:p>
    <w:p>
      <w:pPr>
        <w:numPr>
          <w:ilvl w:val="0"/>
          <w:numId w:val="0"/>
        </w:numPr>
        <w:ind w:firstLine="63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我单位的绩效评价工作在党的坚强领导下，在财政的监督指导下，在社会各界的大力支持下，深入挖掘增收潜力，坚持稳增长、调结构、促改革、惠民生、防风险，各项支出得到较好保障，为建设“好山好水好风光、有诗有橙有远方”提供了坚强保障。</w:t>
      </w:r>
    </w:p>
    <w:p>
      <w:pPr>
        <w:ind w:firstLine="632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、存在的问题</w:t>
      </w:r>
    </w:p>
    <w:p>
      <w:pPr>
        <w:ind w:firstLine="632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我单位共性指标任务数33个，实际完成29个，有3个未完成，是由于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高铁开通，我县景区推出众多优化政策，如门票减免，发放消费劵，降低门票收入，其次是受疫情影响，部分指标，未能完成，并向县政府专题报告。</w:t>
      </w:r>
    </w:p>
    <w:p>
      <w:pPr>
        <w:pStyle w:val="2"/>
        <w:ind w:firstLine="632" w:firstLineChars="200"/>
        <w:rPr>
          <w:rFonts w:hint="eastAsia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hAnsi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我单位争取上级资金任务数为9500万，实际完成5490万元，只完成了57.79%，是由于受疫情影响，全国经济下行压力增大，上级财政补助增加减少。</w:t>
      </w:r>
    </w:p>
    <w:p>
      <w:pPr>
        <w:ind w:firstLine="632" w:firstLineChars="200"/>
        <w:rPr>
          <w:rFonts w:hint="eastAsia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（三）三公经费把控不精准。</w:t>
      </w:r>
    </w:p>
    <w:p>
      <w:pPr>
        <w:pStyle w:val="2"/>
        <w:rPr>
          <w:rFonts w:hint="default"/>
          <w:lang w:val="en-US"/>
        </w:rPr>
      </w:pPr>
      <w:r>
        <w:rPr>
          <w:rFonts w:hint="eastAsia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（四）招商引资任务数20亿，实际完成值13.6亿，未完成部分是由于受疫情影响，在2022年招商引资工作中虽签约、对接、储备、谋划了一批项目，但离目标任务还有差距，且文旅行业投资周期长，回收效益缓慢，投资积极性不高，持观望态度。</w:t>
      </w:r>
    </w:p>
    <w:p>
      <w:pPr>
        <w:ind w:firstLine="632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、改进措施和有关建议</w:t>
      </w:r>
    </w:p>
    <w:p>
      <w:pPr>
        <w:ind w:firstLine="632" w:firstLineChars="200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将积极主动加强对接，力争完成2023年任务指标。  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（二）细化预算编制工作，进</w:t>
      </w:r>
      <w:bookmarkStart w:id="0" w:name="_GoBack"/>
      <w:bookmarkEnd w:id="0"/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一步加强内设机构的预算管理意识，严格按照预算编制的相关制度和要求进行预算编制。</w:t>
      </w:r>
    </w:p>
    <w:p>
      <w:pPr>
        <w:ind w:firstLine="632" w:firstLineChars="200"/>
        <w:rPr>
          <w:rFonts w:hint="default" w:eastAsia="方正仿宋_GBK"/>
          <w:lang w:val="en-US" w:eastAsia="zh-CN"/>
        </w:rPr>
      </w:pPr>
      <w:r>
        <w:rPr>
          <w:rFonts w:hint="eastAsia"/>
          <w:lang w:val="en-US" w:eastAsia="zh-CN"/>
        </w:rPr>
        <w:t>（三）将积极主动对接意向投资企业，持续对接在谈项目，服务签约项目落地建设，跟进拟签项目快速推进，确保全年招商任务全面完成。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奉节县文化和旅游发展委员会整体支出预算绩效自评表</w:t>
      </w:r>
    </w:p>
    <w:p>
      <w:pPr>
        <w:ind w:firstLine="632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</w:p>
    <w:p>
      <w:pPr>
        <w:ind w:firstLine="632" w:firstLineChars="20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奉节县文化和旅游发展委员会</w:t>
      </w:r>
    </w:p>
    <w:p>
      <w:pPr>
        <w:ind w:firstLine="5372" w:firstLineChars="17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tbl>
      <w:tblPr>
        <w:tblStyle w:val="5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15"/>
        <w:gridCol w:w="1815"/>
        <w:gridCol w:w="1080"/>
        <w:gridCol w:w="1110"/>
        <w:gridCol w:w="1020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55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奉节县文化和旅游发展委员会整体支出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/>
                <w:lang w:val="en-US" w:eastAsia="zh-CN" w:bidi="ar"/>
              </w:rPr>
              <w:t>2022</w:t>
            </w:r>
            <w:r>
              <w:rPr>
                <w:rStyle w:val="9"/>
                <w:lang w:val="en-US" w:eastAsia="zh-CN"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奉节县文化和旅游发展委员会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内设机构个数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职工实有人数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高清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15215090508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预算及执行整体规模（万元）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资金来源与结构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追加预算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资金来源：（</w:t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）财政拨款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3318.68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6160.61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9479.29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（2）其他资金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资金结构：（</w:t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）基本支出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2935.39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136.57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3071.96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（2）项目支出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383.29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6024.04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6407.33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体目标      及完成情况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年初工作 计划综述</w:t>
            </w:r>
          </w:p>
        </w:tc>
        <w:tc>
          <w:tcPr>
            <w:tcW w:w="6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按照县委相关要求，全面完成党的建设工作。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指导各乡镇（街道）文化服务中心，有序做好免费开放工作。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指导全县乡镇和各单位开展全民健身活动，贯彻落实《全民健身计划》，确保全民身体素质不断提高。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开展文旅体系统干部培训，有序开展景区创A升A工作，提高旅游管理水平。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5、全力推进白帝城大遗址保护项目，有序推进文旅体重点项目的实施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全年完成 情况综述</w:t>
            </w:r>
          </w:p>
        </w:tc>
        <w:tc>
          <w:tcPr>
            <w:tcW w:w="6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按照县委相关要求，全面完成党的建设工作。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指导各乡镇（街道）文化服务中心，有序做好免费开放工作。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指导全县乡镇和各单位开展全民健身活动，贯彻落实《全民健身计划》，确保全民身体素质不断提高。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开展文旅体系统干部培训，有序开展景区创A升A工作，提高旅游管理水平。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5、全力推进白帝城大遗址保护项目，有序推进文旅体重点项目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实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6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分解目标自评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产出指标（25分）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数量指标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实际完成率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=100%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质量指标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质量达标率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=100%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时效指标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完成及时率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=100%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成本指标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成本节约率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≥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0.001%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0.001%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履职效能（35分）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预算管理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（15分）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预算编制完整率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=100%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预算编制准确率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=100%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绩效目标合格率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≥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预算执行率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=100%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公用经费控制率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≥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三公经费控制率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≥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公务卡刷卡率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≥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政府采购执行率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≥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固定资产利用率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=100%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资金结转结余率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=0%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在职人员控制率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≥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86.3%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信息公开及时率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=100%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信息公开完整率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=100%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管理制度健全性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=100%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资金使用合规性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=100%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项目管理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（10分）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项目开工率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≥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项目监控到位率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=100%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项目完工率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≥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项目评价完成率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=100%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经济社会发展实绩指标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共性指标完成率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=100%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88%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个性指标完成率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=100%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运行成本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（5分）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单位运行人均成本变化率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≤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53.65%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社会效应（15分）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招商引资金额任务完成率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≥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90%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争取上级资金任务完成率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≥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90%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57.79%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单位正常运转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维护社会稳定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带动经济发展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提供就业岗位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≥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管理效率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（5分）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管理效率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管理效率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≥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可持续发展能力（5分）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可持续发展能力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管理制度可持续性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服务对象满意度（10分）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≥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9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分值合计：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" w:firstLineChars="100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单位负责人：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潘万山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填表人：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填表日期：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2023.1.28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460C2"/>
    <w:multiLevelType w:val="singleLevel"/>
    <w:tmpl w:val="93F460C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BD5631E"/>
    <w:multiLevelType w:val="singleLevel"/>
    <w:tmpl w:val="EBD563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863CE5B"/>
    <w:multiLevelType w:val="singleLevel"/>
    <w:tmpl w:val="F863CE5B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F74EA2E"/>
    <w:multiLevelType w:val="singleLevel"/>
    <w:tmpl w:val="6F74EA2E"/>
    <w:lvl w:ilvl="0" w:tentative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9c251bf9-7354-4afe-8c60-7b70e9ac3e42"/>
  </w:docVars>
  <w:rsids>
    <w:rsidRoot w:val="562B1582"/>
    <w:rsid w:val="003F1804"/>
    <w:rsid w:val="02577069"/>
    <w:rsid w:val="02AB7BCB"/>
    <w:rsid w:val="03276455"/>
    <w:rsid w:val="065150CE"/>
    <w:rsid w:val="08927F60"/>
    <w:rsid w:val="0B790C6D"/>
    <w:rsid w:val="0DC5681D"/>
    <w:rsid w:val="0EFD3EE6"/>
    <w:rsid w:val="12B24C82"/>
    <w:rsid w:val="1A7266C2"/>
    <w:rsid w:val="1B3F4C7A"/>
    <w:rsid w:val="1C6A62F0"/>
    <w:rsid w:val="1D425728"/>
    <w:rsid w:val="206E189E"/>
    <w:rsid w:val="228B55CD"/>
    <w:rsid w:val="24417B07"/>
    <w:rsid w:val="24B32AAA"/>
    <w:rsid w:val="25170D2A"/>
    <w:rsid w:val="27693012"/>
    <w:rsid w:val="29543F45"/>
    <w:rsid w:val="295C3CE1"/>
    <w:rsid w:val="2B020422"/>
    <w:rsid w:val="2B102DA4"/>
    <w:rsid w:val="2B2A393B"/>
    <w:rsid w:val="2BD45215"/>
    <w:rsid w:val="2C3615B2"/>
    <w:rsid w:val="2D405E50"/>
    <w:rsid w:val="2EE513D8"/>
    <w:rsid w:val="32895720"/>
    <w:rsid w:val="34955E1F"/>
    <w:rsid w:val="3706456B"/>
    <w:rsid w:val="376E5EBD"/>
    <w:rsid w:val="3FFF0C57"/>
    <w:rsid w:val="40C02079"/>
    <w:rsid w:val="45120AE5"/>
    <w:rsid w:val="453E2817"/>
    <w:rsid w:val="46E44B93"/>
    <w:rsid w:val="4E6C4F3D"/>
    <w:rsid w:val="4FF51726"/>
    <w:rsid w:val="522E45C2"/>
    <w:rsid w:val="5368753B"/>
    <w:rsid w:val="53B21D92"/>
    <w:rsid w:val="5587143F"/>
    <w:rsid w:val="562B1582"/>
    <w:rsid w:val="58E564FA"/>
    <w:rsid w:val="5F68202A"/>
    <w:rsid w:val="609A4982"/>
    <w:rsid w:val="6455565B"/>
    <w:rsid w:val="64DE4981"/>
    <w:rsid w:val="67970C97"/>
    <w:rsid w:val="70195D7F"/>
    <w:rsid w:val="7199131B"/>
    <w:rsid w:val="734A6E8D"/>
    <w:rsid w:val="73CA4B63"/>
    <w:rsid w:val="7E874761"/>
    <w:rsid w:val="7ED1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81"/>
    <w:basedOn w:val="6"/>
    <w:qFormat/>
    <w:uiPriority w:val="0"/>
    <w:rPr>
      <w:rFonts w:ascii="Calibri" w:hAnsi="Calibri" w:eastAsia="宋体" w:cs="Calibri"/>
      <w:color w:val="000000"/>
      <w:sz w:val="21"/>
      <w:szCs w:val="21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9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5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4728</Words>
  <Characters>5270</Characters>
  <Lines>0</Lines>
  <Paragraphs>0</Paragraphs>
  <TotalTime>220</TotalTime>
  <ScaleCrop>false</ScaleCrop>
  <LinksUpToDate>false</LinksUpToDate>
  <CharactersWithSpaces>5293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2023-01-03T07:04:00Z</dcterms:created>
  <dc:creator>奉节办公室</dc:creator>
  <cp:lastModifiedBy>。</cp:lastModifiedBy>
  <cp:lastPrinted>2023-01-29T06:21:11Z</cp:lastPrinted>
  <dcterms:modified xsi:type="dcterms:W3CDTF">2023-01-29T06:21:16Z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72D55FF9483B4436A7E579348D565705</vt:lpwstr>
  </property>
</Properties>
</file>