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both"/>
        <w:rPr>
          <w:rFonts w:hint="default" w:ascii="Times New Roman" w:hAnsi="Times New Roman" w:cs="Times New Roman"/>
          <w:b/>
          <w:bCs/>
          <w:color w:val="000000"/>
          <w:kern w:val="0"/>
          <w:sz w:val="40"/>
          <w:szCs w:val="40"/>
          <w:lang w:eastAsia="zh-CN"/>
        </w:rPr>
      </w:pPr>
    </w:p>
    <w:tbl>
      <w:tblPr>
        <w:tblStyle w:val="3"/>
        <w:tblW w:w="9022" w:type="dxa"/>
        <w:tblInd w:w="93" w:type="dxa"/>
        <w:tblLayout w:type="fixed"/>
        <w:tblCellMar>
          <w:top w:w="0" w:type="dxa"/>
          <w:left w:w="108" w:type="dxa"/>
          <w:bottom w:w="0" w:type="dxa"/>
          <w:right w:w="108" w:type="dxa"/>
        </w:tblCellMar>
      </w:tblPr>
      <w:tblGrid>
        <w:gridCol w:w="620"/>
        <w:gridCol w:w="1080"/>
        <w:gridCol w:w="1080"/>
        <w:gridCol w:w="1080"/>
        <w:gridCol w:w="1217"/>
        <w:gridCol w:w="750"/>
        <w:gridCol w:w="1245"/>
        <w:gridCol w:w="228"/>
        <w:gridCol w:w="370"/>
        <w:gridCol w:w="570"/>
        <w:gridCol w:w="782"/>
      </w:tblGrid>
      <w:tr>
        <w:tblPrEx>
          <w:tblCellMar>
            <w:top w:w="0" w:type="dxa"/>
            <w:left w:w="108" w:type="dxa"/>
            <w:bottom w:w="0" w:type="dxa"/>
            <w:right w:w="108" w:type="dxa"/>
          </w:tblCellMar>
        </w:tblPrEx>
        <w:trPr>
          <w:trHeight w:val="510" w:hRule="atLeast"/>
        </w:trPr>
        <w:tc>
          <w:tcPr>
            <w:tcW w:w="9022" w:type="dxa"/>
            <w:gridSpan w:val="11"/>
            <w:tcBorders>
              <w:top w:val="nil"/>
              <w:left w:val="nil"/>
              <w:bottom w:val="nil"/>
              <w:right w:val="nil"/>
            </w:tcBorders>
            <w:noWrap w:val="0"/>
            <w:vAlign w:val="center"/>
          </w:tcPr>
          <w:p>
            <w:pPr>
              <w:widowControl/>
              <w:ind w:firstLine="2008" w:firstLineChars="500"/>
              <w:jc w:val="both"/>
              <w:rPr>
                <w:rFonts w:ascii="Times New Roman" w:hAnsi="Times New Roman" w:cs="Times New Roman"/>
                <w:b/>
                <w:bCs/>
                <w:color w:val="000000"/>
                <w:kern w:val="0"/>
                <w:sz w:val="40"/>
                <w:szCs w:val="40"/>
              </w:rPr>
            </w:pPr>
            <w:r>
              <w:rPr>
                <w:rFonts w:hint="default" w:ascii="Times New Roman" w:hAnsi="Times New Roman" w:cs="Times New Roman"/>
                <w:b/>
                <w:bCs/>
                <w:color w:val="000000"/>
                <w:kern w:val="0"/>
                <w:sz w:val="40"/>
                <w:szCs w:val="40"/>
                <w:lang w:eastAsia="zh-CN"/>
              </w:rPr>
              <w:t>项目支出预算</w:t>
            </w:r>
            <w:r>
              <w:rPr>
                <w:rFonts w:hint="default" w:ascii="Times New Roman" w:hAnsi="Times New Roman" w:cs="Times New Roman"/>
                <w:b/>
                <w:bCs/>
                <w:color w:val="000000"/>
                <w:kern w:val="0"/>
                <w:sz w:val="40"/>
                <w:szCs w:val="40"/>
              </w:rPr>
              <w:t>绩效目标自评表</w:t>
            </w:r>
          </w:p>
        </w:tc>
      </w:tr>
      <w:tr>
        <w:tblPrEx>
          <w:tblCellMar>
            <w:top w:w="0" w:type="dxa"/>
            <w:left w:w="108" w:type="dxa"/>
            <w:bottom w:w="0" w:type="dxa"/>
            <w:right w:w="108" w:type="dxa"/>
          </w:tblCellMar>
        </w:tblPrEx>
        <w:trPr>
          <w:trHeight w:val="270" w:hRule="atLeast"/>
        </w:trPr>
        <w:tc>
          <w:tcPr>
            <w:tcW w:w="9022" w:type="dxa"/>
            <w:gridSpan w:val="11"/>
            <w:tcBorders>
              <w:top w:val="nil"/>
              <w:left w:val="nil"/>
              <w:bottom w:val="nil"/>
              <w:right w:val="nil"/>
            </w:tcBorders>
            <w:noWrap w:val="0"/>
            <w:vAlign w:val="center"/>
          </w:tcPr>
          <w:p>
            <w:pPr>
              <w:widowControl/>
              <w:jc w:val="center"/>
              <w:rPr>
                <w:rFonts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 xml:space="preserve">（    </w:t>
            </w:r>
            <w:r>
              <w:rPr>
                <w:rFonts w:hint="eastAsia" w:cs="Times New Roman"/>
                <w:b/>
                <w:bCs/>
                <w:color w:val="000000"/>
                <w:kern w:val="0"/>
                <w:sz w:val="22"/>
                <w:szCs w:val="22"/>
                <w:lang w:val="en-US" w:eastAsia="zh-CN"/>
              </w:rPr>
              <w:t>2022</w:t>
            </w:r>
            <w:r>
              <w:rPr>
                <w:rFonts w:hint="default" w:ascii="Times New Roman" w:hAnsi="Times New Roman" w:cs="Times New Roman"/>
                <w:b/>
                <w:bCs/>
                <w:color w:val="000000"/>
                <w:kern w:val="0"/>
                <w:sz w:val="22"/>
                <w:szCs w:val="22"/>
              </w:rPr>
              <w:t xml:space="preserve">   年度）</w:t>
            </w:r>
          </w:p>
        </w:tc>
      </w:tr>
      <w:tr>
        <w:tblPrEx>
          <w:tblCellMar>
            <w:top w:w="0" w:type="dxa"/>
            <w:left w:w="108" w:type="dxa"/>
            <w:bottom w:w="0" w:type="dxa"/>
            <w:right w:w="108" w:type="dxa"/>
          </w:tblCellMar>
        </w:tblPrEx>
        <w:trPr>
          <w:trHeight w:val="284" w:hRule="exact"/>
        </w:trPr>
        <w:tc>
          <w:tcPr>
            <w:tcW w:w="170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项目名称</w:t>
            </w:r>
          </w:p>
        </w:tc>
        <w:tc>
          <w:tcPr>
            <w:tcW w:w="3377"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hint="eastAsia" w:ascii="Times New Roman" w:hAnsi="Times New Roman" w:eastAsia="方正仿宋_GBK" w:cs="Times New Roman"/>
                <w:color w:val="000000"/>
                <w:kern w:val="0"/>
                <w:sz w:val="16"/>
                <w:szCs w:val="16"/>
                <w:lang w:eastAsia="zh-CN"/>
              </w:rPr>
            </w:pPr>
            <w:r>
              <w:rPr>
                <w:rFonts w:hint="default" w:ascii="Times New Roman" w:hAnsi="Times New Roman" w:cs="Times New Roman"/>
                <w:color w:val="000000"/>
                <w:kern w:val="0"/>
                <w:sz w:val="16"/>
                <w:szCs w:val="16"/>
              </w:rPr>
              <w:t>　</w:t>
            </w:r>
            <w:r>
              <w:rPr>
                <w:rFonts w:hint="eastAsia" w:cs="Times New Roman"/>
                <w:color w:val="000000"/>
                <w:kern w:val="0"/>
                <w:sz w:val="16"/>
                <w:szCs w:val="16"/>
                <w:lang w:eastAsia="zh-CN"/>
              </w:rPr>
              <w:t>图书馆等级馆复核（数字图书馆）</w:t>
            </w:r>
          </w:p>
        </w:tc>
        <w:tc>
          <w:tcPr>
            <w:tcW w:w="2223"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项目负责人</w:t>
            </w:r>
          </w:p>
        </w:tc>
        <w:tc>
          <w:tcPr>
            <w:tcW w:w="1722"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6"/>
                <w:szCs w:val="16"/>
              </w:rPr>
            </w:pPr>
            <w:r>
              <w:rPr>
                <w:rFonts w:hint="eastAsia" w:cs="Times New Roman"/>
                <w:color w:val="000000"/>
                <w:kern w:val="0"/>
                <w:sz w:val="16"/>
                <w:szCs w:val="16"/>
                <w:lang w:eastAsia="zh-CN"/>
              </w:rPr>
              <w:t>李希</w:t>
            </w:r>
            <w:r>
              <w:rPr>
                <w:rFonts w:hint="default" w:ascii="Times New Roman" w:hAnsi="Times New Roman" w:cs="Times New Roman"/>
                <w:color w:val="000000"/>
                <w:kern w:val="0"/>
                <w:sz w:val="16"/>
                <w:szCs w:val="16"/>
              </w:rPr>
              <w:t>　</w:t>
            </w:r>
          </w:p>
        </w:tc>
      </w:tr>
      <w:tr>
        <w:tblPrEx>
          <w:tblCellMar>
            <w:top w:w="0" w:type="dxa"/>
            <w:left w:w="108" w:type="dxa"/>
            <w:bottom w:w="0" w:type="dxa"/>
            <w:right w:w="108" w:type="dxa"/>
          </w:tblCellMar>
        </w:tblPrEx>
        <w:trPr>
          <w:trHeight w:val="284" w:hRule="exact"/>
        </w:trPr>
        <w:tc>
          <w:tcPr>
            <w:tcW w:w="170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主管部门</w:t>
            </w:r>
          </w:p>
        </w:tc>
        <w:tc>
          <w:tcPr>
            <w:tcW w:w="3377"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hint="eastAsia" w:ascii="Times New Roman" w:hAnsi="Times New Roman" w:eastAsia="方正仿宋_GBK" w:cs="Times New Roman"/>
                <w:color w:val="000000"/>
                <w:kern w:val="0"/>
                <w:sz w:val="16"/>
                <w:szCs w:val="16"/>
                <w:lang w:eastAsia="zh-CN"/>
              </w:rPr>
            </w:pPr>
            <w:r>
              <w:rPr>
                <w:rFonts w:hint="default" w:ascii="Times New Roman" w:hAnsi="Times New Roman" w:cs="Times New Roman"/>
                <w:color w:val="000000"/>
                <w:kern w:val="0"/>
                <w:sz w:val="16"/>
                <w:szCs w:val="16"/>
              </w:rPr>
              <w:t>　</w:t>
            </w:r>
            <w:r>
              <w:rPr>
                <w:rFonts w:hint="eastAsia" w:cs="Times New Roman"/>
                <w:color w:val="000000"/>
                <w:kern w:val="0"/>
                <w:sz w:val="16"/>
                <w:szCs w:val="16"/>
                <w:lang w:eastAsia="zh-CN"/>
              </w:rPr>
              <w:t>奉节县文化和旅游发展委员会</w:t>
            </w:r>
          </w:p>
        </w:tc>
        <w:tc>
          <w:tcPr>
            <w:tcW w:w="2223"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b/>
                <w:bCs/>
                <w:color w:val="000000"/>
                <w:kern w:val="0"/>
                <w:sz w:val="16"/>
                <w:szCs w:val="16"/>
              </w:rPr>
            </w:pPr>
            <w:r>
              <w:rPr>
                <w:rFonts w:hint="default" w:ascii="Times New Roman" w:hAnsi="Times New Roman" w:cs="Times New Roman"/>
                <w:b/>
                <w:bCs/>
                <w:color w:val="000000"/>
                <w:kern w:val="0"/>
                <w:sz w:val="16"/>
                <w:szCs w:val="16"/>
              </w:rPr>
              <w:t>实施单位</w:t>
            </w:r>
          </w:p>
        </w:tc>
        <w:tc>
          <w:tcPr>
            <w:tcW w:w="1722" w:type="dxa"/>
            <w:gridSpan w:val="3"/>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6"/>
                <w:szCs w:val="16"/>
              </w:rPr>
            </w:pPr>
            <w:r>
              <w:rPr>
                <w:rFonts w:hint="eastAsia" w:cs="Times New Roman"/>
                <w:color w:val="000000"/>
                <w:kern w:val="0"/>
                <w:sz w:val="16"/>
                <w:szCs w:val="16"/>
                <w:lang w:eastAsia="zh-CN"/>
              </w:rPr>
              <w:t>奉节县图书馆</w:t>
            </w:r>
            <w:r>
              <w:rPr>
                <w:rFonts w:hint="default" w:ascii="Times New Roman" w:hAnsi="Times New Roman" w:cs="Times New Roman"/>
                <w:color w:val="000000"/>
                <w:kern w:val="0"/>
                <w:sz w:val="16"/>
                <w:szCs w:val="16"/>
              </w:rPr>
              <w:t>　</w:t>
            </w:r>
          </w:p>
        </w:tc>
      </w:tr>
      <w:tr>
        <w:tblPrEx>
          <w:tblCellMar>
            <w:top w:w="0" w:type="dxa"/>
            <w:left w:w="108" w:type="dxa"/>
            <w:bottom w:w="0" w:type="dxa"/>
            <w:right w:w="108" w:type="dxa"/>
          </w:tblCellMar>
        </w:tblPrEx>
        <w:trPr>
          <w:trHeight w:val="284" w:hRule="exact"/>
        </w:trPr>
        <w:tc>
          <w:tcPr>
            <w:tcW w:w="1700"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资金情况（万元）</w:t>
            </w: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类       别</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全年预算数</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全年执行数</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分值</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执行率</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得分</w:t>
            </w:r>
          </w:p>
        </w:tc>
      </w:tr>
      <w:tr>
        <w:tblPrEx>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年度资金总额</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22.3</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22.3</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10分</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100%</w:t>
            </w:r>
            <w:r>
              <w:rPr>
                <w:rFonts w:hint="default" w:ascii="Times New Roman" w:hAnsi="Times New Roman" w:cs="Times New Roman"/>
                <w:color w:val="000000"/>
                <w:kern w:val="0"/>
                <w:sz w:val="18"/>
                <w:szCs w:val="18"/>
              </w:rPr>
              <w:t>　</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10</w:t>
            </w: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其中：财政拨款</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22.3</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22.3</w:t>
            </w:r>
            <w:r>
              <w:rPr>
                <w:rFonts w:hint="default" w:ascii="Times New Roman" w:hAnsi="Times New Roman" w:cs="Times New Roman"/>
                <w:color w:val="000000"/>
                <w:kern w:val="0"/>
                <w:sz w:val="18"/>
                <w:szCs w:val="18"/>
              </w:rPr>
              <w:t>　</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10分</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10</w:t>
            </w: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206"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2160" w:type="dxa"/>
            <w:gridSpan w:val="2"/>
            <w:tcBorders>
              <w:top w:val="single" w:color="auto" w:sz="4" w:space="0"/>
              <w:left w:val="single" w:color="auto" w:sz="4" w:space="0"/>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其他资金</w:t>
            </w:r>
          </w:p>
        </w:tc>
        <w:tc>
          <w:tcPr>
            <w:tcW w:w="1217"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473"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940" w:type="dxa"/>
            <w:gridSpan w:val="2"/>
            <w:tcBorders>
              <w:top w:val="nil"/>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82" w:type="dxa"/>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284" w:hRule="exact"/>
        </w:trPr>
        <w:tc>
          <w:tcPr>
            <w:tcW w:w="1700"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年度总体目标</w:t>
            </w:r>
          </w:p>
        </w:tc>
        <w:tc>
          <w:tcPr>
            <w:tcW w:w="4127" w:type="dxa"/>
            <w:gridSpan w:val="4"/>
            <w:tcBorders>
              <w:top w:val="single" w:color="auto" w:sz="4" w:space="0"/>
              <w:left w:val="nil"/>
              <w:bottom w:val="single" w:color="auto"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年初设定目标</w:t>
            </w:r>
          </w:p>
        </w:tc>
        <w:tc>
          <w:tcPr>
            <w:tcW w:w="3195" w:type="dxa"/>
            <w:gridSpan w:val="5"/>
            <w:tcBorders>
              <w:top w:val="single" w:color="auto" w:sz="4" w:space="0"/>
              <w:left w:val="nil"/>
              <w:bottom w:val="single" w:color="auto"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年度总体完成情况综述</w:t>
            </w:r>
          </w:p>
        </w:tc>
      </w:tr>
      <w:tr>
        <w:tblPrEx>
          <w:tblCellMar>
            <w:top w:w="0" w:type="dxa"/>
            <w:left w:w="108" w:type="dxa"/>
            <w:bottom w:w="0" w:type="dxa"/>
            <w:right w:w="108" w:type="dxa"/>
          </w:tblCellMar>
        </w:tblPrEx>
        <w:trPr>
          <w:trHeight w:val="284" w:hRule="exact"/>
        </w:trPr>
        <w:tc>
          <w:tcPr>
            <w:tcW w:w="1700"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4127" w:type="dxa"/>
            <w:gridSpan w:val="4"/>
            <w:tcBorders>
              <w:top w:val="single" w:color="auto" w:sz="4" w:space="0"/>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第六次全国公共图书馆评估定级工作中奉节县图书馆被评为国家一级图书馆，自2017年评估后，我县图书馆没有资金对数字化服务进行加强，目前评估标准对数字化服务功能要求越来越完善，其中网站服务、新媒体服务、年数字资源服务量都需要投入较大资金补足，数字化建设同样缺乏资金投入，本次评估需要对数字资源进行提档改造。　</w:t>
            </w:r>
          </w:p>
        </w:tc>
        <w:tc>
          <w:tcPr>
            <w:tcW w:w="3195" w:type="dxa"/>
            <w:gridSpan w:val="5"/>
            <w:tcBorders>
              <w:top w:val="single" w:color="auto" w:sz="4" w:space="0"/>
              <w:left w:val="nil"/>
              <w:bottom w:val="single" w:color="auto" w:sz="4" w:space="0"/>
              <w:right w:val="single" w:color="000000"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完成评估定级对数字化建设的要求，达到国家一级馆标准。</w:t>
            </w:r>
            <w:r>
              <w:rPr>
                <w:rFonts w:hint="default" w:ascii="Times New Roman" w:hAnsi="Times New Roman" w:cs="Times New Roman"/>
                <w:color w:val="000000"/>
                <w:kern w:val="0"/>
                <w:sz w:val="18"/>
                <w:szCs w:val="18"/>
              </w:rPr>
              <mc:AlternateContent>
                <mc:Choice Requires="wps">
                  <w:drawing>
                    <wp:anchor distT="0" distB="0" distL="114300" distR="114300" simplePos="0" relativeHeight="251659264" behindDoc="0" locked="0" layoutInCell="1" allowOverlap="1">
                      <wp:simplePos x="0" y="0"/>
                      <wp:positionH relativeFrom="column">
                        <wp:posOffset>-69215</wp:posOffset>
                      </wp:positionH>
                      <wp:positionV relativeFrom="paragraph">
                        <wp:posOffset>6350</wp:posOffset>
                      </wp:positionV>
                      <wp:extent cx="0" cy="180975"/>
                      <wp:effectExtent l="4445" t="0" r="14605" b="9525"/>
                      <wp:wrapNone/>
                      <wp:docPr id="1" name="直接箭头连接符 1"/>
                      <wp:cNvGraphicFramePr/>
                      <a:graphic xmlns:a="http://schemas.openxmlformats.org/drawingml/2006/main">
                        <a:graphicData uri="http://schemas.microsoft.com/office/word/2010/wordprocessingShape">
                          <wps:wsp>
                            <wps:cNvCnPr/>
                            <wps:spPr>
                              <a:xfrm>
                                <a:off x="0" y="0"/>
                                <a:ext cx="0" cy="1809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5pt;margin-top:0.5pt;height:14.25pt;width:0pt;z-index:251659264;mso-width-relative:page;mso-height-relative:page;" filled="f" stroked="t" coordsize="21600,21600" o:gfxdata="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OXPoHUAAAACAEAAA8AAAAAAAAAAQAgAAAAIgAAAGRycy9kb3ducmV2LnhtbFBL&#10;AQIUABQAAAAIAIdO4kCdxdQS+gEAAOsDAAAOAAAAAAAAAAEAIAAAACMBAABkcnMvZTJvRG9jLnht&#10;bFBLBQYAAAAABgAGAFkBAACPBQAAAAA=&#10;">
                      <v:fill on="f" focussize="0,0"/>
                      <v:stroke color="#000000" joinstyle="round"/>
                      <v:imagedata o:title=""/>
                      <o:lock v:ext="edit" aspectratio="f"/>
                    </v:shape>
                  </w:pict>
                </mc:Fallback>
              </mc:AlternateContent>
            </w: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74" w:hRule="exact"/>
        </w:trPr>
        <w:tc>
          <w:tcPr>
            <w:tcW w:w="620" w:type="dxa"/>
            <w:vMerge w:val="restart"/>
            <w:tcBorders>
              <w:top w:val="nil"/>
              <w:left w:val="single" w:color="auto" w:sz="4" w:space="0"/>
              <w:bottom w:val="single" w:color="000000"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绩效指标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一级指标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二级指标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三级指标</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both"/>
              <w:rPr>
                <w:rFonts w:hint="default"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lang w:eastAsia="zh-CN"/>
              </w:rPr>
              <w:t>年度指标值</w:t>
            </w:r>
          </w:p>
        </w:tc>
        <w:tc>
          <w:tcPr>
            <w:tcW w:w="750" w:type="dxa"/>
            <w:tcBorders>
              <w:top w:val="nil"/>
              <w:left w:val="nil"/>
              <w:bottom w:val="single" w:color="auto" w:sz="4" w:space="0"/>
              <w:right w:val="single" w:color="auto" w:sz="4" w:space="0"/>
            </w:tcBorders>
            <w:noWrap w:val="0"/>
            <w:vAlign w:val="center"/>
          </w:tcPr>
          <w:p>
            <w:pPr>
              <w:widowControl/>
              <w:spacing w:line="300" w:lineRule="exact"/>
              <w:jc w:val="center"/>
              <w:rPr>
                <w:rFonts w:hint="default"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lang w:eastAsia="zh-CN"/>
              </w:rPr>
              <w:t>分值</w:t>
            </w:r>
          </w:p>
        </w:tc>
        <w:tc>
          <w:tcPr>
            <w:tcW w:w="1245" w:type="dxa"/>
            <w:tcBorders>
              <w:top w:val="nil"/>
              <w:left w:val="nil"/>
              <w:bottom w:val="single" w:color="auto" w:sz="4" w:space="0"/>
              <w:right w:val="nil"/>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实际完成值</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得分</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未完成原因及拟采取的措施</w:t>
            </w:r>
          </w:p>
        </w:tc>
      </w:tr>
      <w:tr>
        <w:tblPrEx>
          <w:tblCellMar>
            <w:top w:w="0" w:type="dxa"/>
            <w:left w:w="108" w:type="dxa"/>
            <w:bottom w:w="0" w:type="dxa"/>
            <w:right w:w="108" w:type="dxa"/>
          </w:tblCellMar>
        </w:tblPrEx>
        <w:trPr>
          <w:trHeight w:val="592"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产出指标（50分）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数量指标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3"/>
                <w:szCs w:val="13"/>
                <w:lang w:val="en-US" w:eastAsia="zh-CN"/>
              </w:rPr>
              <w:t>数字化建设任务完成率</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r>
              <w:rPr>
                <w:rFonts w:hint="default" w:ascii="Times New Roman" w:hAnsi="Times New Roman" w:cs="Times New Roman"/>
                <w:color w:val="000000"/>
                <w:kern w:val="0"/>
                <w:sz w:val="18"/>
                <w:szCs w:val="18"/>
              </w:rPr>
              <w:t>%</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30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30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9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7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tabs>
                <w:tab w:val="left" w:pos="401"/>
              </w:tabs>
              <w:spacing w:line="300" w:lineRule="exact"/>
              <w:jc w:val="left"/>
              <w:rPr>
                <w:rFonts w:hint="eastAsia" w:ascii="Times New Roman" w:hAnsi="Times New Roman" w:eastAsia="方正仿宋_GBK" w:cs="Times New Roman"/>
                <w:color w:val="000000"/>
                <w:kern w:val="0"/>
                <w:sz w:val="18"/>
                <w:szCs w:val="18"/>
                <w:lang w:eastAsia="zh-CN"/>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bookmarkStart w:id="0" w:name="_GoBack"/>
            <w:bookmarkEnd w:id="0"/>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36"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质量指标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完成达标率</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51"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7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时效指标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按时完成率</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100%</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ind w:firstLine="180" w:firstLineChars="100"/>
              <w:jc w:val="left"/>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10</w:t>
            </w: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51"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65"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92"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成本指标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750" w:type="dxa"/>
            <w:tcBorders>
              <w:top w:val="nil"/>
              <w:left w:val="nil"/>
              <w:bottom w:val="single" w:color="auto" w:sz="4" w:space="0"/>
              <w:right w:val="single" w:color="auto" w:sz="4" w:space="0"/>
            </w:tcBorders>
            <w:noWrap w:val="0"/>
            <w:vAlign w:val="center"/>
          </w:tcPr>
          <w:p>
            <w:pPr>
              <w:widowControl/>
              <w:spacing w:line="300" w:lineRule="exact"/>
              <w:ind w:firstLine="180" w:firstLineChars="100"/>
              <w:jc w:val="left"/>
              <w:rPr>
                <w:rFonts w:hint="default" w:ascii="Times New Roman" w:hAnsi="Times New Roman" w:eastAsia="方正仿宋_GBK" w:cs="Times New Roman"/>
                <w:color w:val="000000"/>
                <w:kern w:val="0"/>
                <w:sz w:val="18"/>
                <w:szCs w:val="18"/>
                <w:lang w:val="en-US" w:eastAsia="zh-CN"/>
              </w:rPr>
            </w:pP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90"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10"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2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经济效益指标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06"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nil"/>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效益指标（30分）</w:t>
            </w: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8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社会效益指标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1"/>
                <w:szCs w:val="11"/>
              </w:rPr>
            </w:pPr>
            <w:r>
              <w:rPr>
                <w:rFonts w:hint="default" w:ascii="Times New Roman" w:hAnsi="Times New Roman" w:cs="Times New Roman"/>
                <w:color w:val="000000"/>
                <w:kern w:val="0"/>
                <w:sz w:val="11"/>
                <w:szCs w:val="11"/>
              </w:rPr>
              <w:t>满足读者对数字化服务的需求</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有效满足</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30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有效满足</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ind w:firstLine="180" w:firstLineChars="100"/>
              <w:jc w:val="left"/>
              <w:rPr>
                <w:rFonts w:ascii="Times New Roman" w:hAnsi="Times New Roman" w:cs="Times New Roman"/>
                <w:color w:val="000000"/>
                <w:kern w:val="0"/>
                <w:sz w:val="18"/>
                <w:szCs w:val="18"/>
              </w:rPr>
            </w:pPr>
            <w:r>
              <w:rPr>
                <w:rFonts w:hint="eastAsia" w:cs="Times New Roman"/>
                <w:color w:val="000000"/>
                <w:kern w:val="0"/>
                <w:sz w:val="18"/>
                <w:szCs w:val="18"/>
                <w:lang w:val="en-US" w:eastAsia="zh-CN"/>
              </w:rPr>
              <w:t>30</w:t>
            </w: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0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4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21"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生态效益指标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61"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81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可持续影响指标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val="en-US" w:eastAsia="zh-CN"/>
              </w:rPr>
            </w:pP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62"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48"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nil"/>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536"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满意度指标（10分）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300" w:lineRule="exact"/>
              <w:jc w:val="center"/>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服务对象满意度指标</w:t>
            </w: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eastAsia="zh-CN"/>
              </w:rPr>
            </w:pPr>
            <w:r>
              <w:rPr>
                <w:rFonts w:hint="eastAsia" w:cs="Times New Roman"/>
                <w:color w:val="000000"/>
                <w:kern w:val="0"/>
                <w:sz w:val="18"/>
                <w:szCs w:val="18"/>
                <w:lang w:eastAsia="zh-CN"/>
              </w:rPr>
              <w:t>读者满意度</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≥95%</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10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94%</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hint="eastAsia" w:ascii="Times New Roman" w:hAnsi="Times New Roman" w:eastAsia="方正仿宋_GBK" w:cs="Times New Roman"/>
                <w:color w:val="000000"/>
                <w:kern w:val="0"/>
                <w:sz w:val="18"/>
                <w:szCs w:val="18"/>
                <w:lang w:val="en-US" w:eastAsia="zh-CN"/>
              </w:rPr>
            </w:pPr>
            <w:r>
              <w:rPr>
                <w:rFonts w:hint="default" w:ascii="Times New Roman" w:hAnsi="Times New Roman" w:cs="Times New Roman"/>
                <w:color w:val="000000"/>
                <w:kern w:val="0"/>
                <w:sz w:val="18"/>
                <w:szCs w:val="18"/>
              </w:rPr>
              <w:t>　</w:t>
            </w:r>
            <w:r>
              <w:rPr>
                <w:rFonts w:hint="eastAsia" w:cs="Times New Roman"/>
                <w:color w:val="000000"/>
                <w:kern w:val="0"/>
                <w:sz w:val="18"/>
                <w:szCs w:val="18"/>
                <w:lang w:val="en-US" w:eastAsia="zh-CN"/>
              </w:rPr>
              <w:t>8</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24"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137" w:hRule="exact"/>
        </w:trPr>
        <w:tc>
          <w:tcPr>
            <w:tcW w:w="620" w:type="dxa"/>
            <w:vMerge w:val="continue"/>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245" w:type="dxa"/>
            <w:tcBorders>
              <w:top w:val="nil"/>
              <w:left w:val="nil"/>
              <w:bottom w:val="single" w:color="auto" w:sz="4" w:space="0"/>
              <w:right w:val="nil"/>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w:t>
            </w:r>
          </w:p>
        </w:tc>
      </w:tr>
      <w:tr>
        <w:tblPrEx>
          <w:tblCellMar>
            <w:top w:w="0" w:type="dxa"/>
            <w:left w:w="108" w:type="dxa"/>
            <w:bottom w:w="0" w:type="dxa"/>
            <w:right w:w="108" w:type="dxa"/>
          </w:tblCellMar>
        </w:tblPrEx>
        <w:trPr>
          <w:trHeight w:val="284" w:hRule="exact"/>
        </w:trPr>
        <w:tc>
          <w:tcPr>
            <w:tcW w:w="1700" w:type="dxa"/>
            <w:gridSpan w:val="2"/>
            <w:tcBorders>
              <w:top w:val="nil"/>
              <w:left w:val="single" w:color="auto" w:sz="4" w:space="0"/>
              <w:bottom w:val="single" w:color="000000" w:sz="4" w:space="0"/>
              <w:right w:val="single" w:color="auto" w:sz="4" w:space="0"/>
            </w:tcBorders>
            <w:noWrap w:val="0"/>
            <w:vAlign w:val="center"/>
          </w:tcPr>
          <w:p>
            <w:pPr>
              <w:widowControl/>
              <w:numPr>
                <w:ilvl w:val="0"/>
                <w:numId w:val="0"/>
              </w:numPr>
              <w:spacing w:line="300" w:lineRule="exact"/>
              <w:ind w:leftChars="0"/>
              <w:jc w:val="center"/>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lang w:val="en-US" w:eastAsia="zh-CN"/>
              </w:rPr>
              <w:t>合计</w:t>
            </w:r>
          </w:p>
        </w:tc>
        <w:tc>
          <w:tcPr>
            <w:tcW w:w="1080" w:type="dxa"/>
            <w:tcBorders>
              <w:top w:val="nil"/>
              <w:left w:val="single" w:color="auto" w:sz="4" w:space="0"/>
              <w:bottom w:val="single" w:color="000000" w:sz="4" w:space="0"/>
              <w:right w:val="single" w:color="auto" w:sz="4" w:space="0"/>
            </w:tcBorders>
            <w:noWrap w:val="0"/>
            <w:vAlign w:val="center"/>
          </w:tcPr>
          <w:p>
            <w:pPr>
              <w:widowControl/>
              <w:spacing w:line="300" w:lineRule="exact"/>
              <w:jc w:val="left"/>
              <w:rPr>
                <w:rFonts w:ascii="Times New Roman" w:hAnsi="Times New Roman" w:cs="Times New Roman"/>
                <w:color w:val="000000"/>
                <w:kern w:val="0"/>
                <w:sz w:val="18"/>
                <w:szCs w:val="18"/>
              </w:rPr>
            </w:pPr>
          </w:p>
        </w:tc>
        <w:tc>
          <w:tcPr>
            <w:tcW w:w="108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cs="Times New Roman"/>
                <w:color w:val="000000"/>
                <w:kern w:val="0"/>
                <w:sz w:val="18"/>
                <w:szCs w:val="18"/>
              </w:rPr>
            </w:pPr>
          </w:p>
        </w:tc>
        <w:tc>
          <w:tcPr>
            <w:tcW w:w="1217"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cs="Times New Roman"/>
                <w:color w:val="000000"/>
                <w:kern w:val="0"/>
                <w:sz w:val="18"/>
                <w:szCs w:val="18"/>
              </w:rPr>
            </w:pPr>
          </w:p>
        </w:tc>
        <w:tc>
          <w:tcPr>
            <w:tcW w:w="750" w:type="dxa"/>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100</w:t>
            </w:r>
          </w:p>
        </w:tc>
        <w:tc>
          <w:tcPr>
            <w:tcW w:w="1245" w:type="dxa"/>
            <w:tcBorders>
              <w:top w:val="nil"/>
              <w:left w:val="nil"/>
              <w:bottom w:val="single" w:color="auto" w:sz="4" w:space="0"/>
              <w:right w:val="nil"/>
            </w:tcBorders>
            <w:noWrap w:val="0"/>
            <w:vAlign w:val="center"/>
          </w:tcPr>
          <w:p>
            <w:pPr>
              <w:widowControl/>
              <w:spacing w:line="300" w:lineRule="exact"/>
              <w:jc w:val="left"/>
              <w:rPr>
                <w:rFonts w:hint="default" w:ascii="Times New Roman" w:hAnsi="Times New Roman" w:eastAsia="方正仿宋_GBK" w:cs="Times New Roman"/>
                <w:color w:val="000000"/>
                <w:kern w:val="0"/>
                <w:sz w:val="18"/>
                <w:szCs w:val="18"/>
                <w:lang w:val="en-US" w:eastAsia="zh-CN"/>
              </w:rPr>
            </w:pPr>
          </w:p>
        </w:tc>
        <w:tc>
          <w:tcPr>
            <w:tcW w:w="598" w:type="dxa"/>
            <w:gridSpan w:val="2"/>
            <w:tcBorders>
              <w:top w:val="nil"/>
              <w:left w:val="single" w:color="auto" w:sz="4" w:space="0"/>
              <w:bottom w:val="single" w:color="auto" w:sz="4" w:space="0"/>
              <w:right w:val="single" w:color="auto" w:sz="4" w:space="0"/>
            </w:tcBorders>
            <w:noWrap w:val="0"/>
            <w:vAlign w:val="center"/>
          </w:tcPr>
          <w:p>
            <w:pPr>
              <w:widowControl/>
              <w:spacing w:line="300" w:lineRule="exact"/>
              <w:ind w:firstLine="180" w:firstLineChars="100"/>
              <w:jc w:val="left"/>
              <w:rPr>
                <w:rFonts w:hint="default" w:ascii="Times New Roman" w:hAnsi="Times New Roman" w:eastAsia="方正仿宋_GBK" w:cs="Times New Roman"/>
                <w:color w:val="000000"/>
                <w:kern w:val="0"/>
                <w:sz w:val="18"/>
                <w:szCs w:val="18"/>
                <w:lang w:val="en-US" w:eastAsia="zh-CN"/>
              </w:rPr>
            </w:pPr>
            <w:r>
              <w:rPr>
                <w:rFonts w:hint="eastAsia" w:cs="Times New Roman"/>
                <w:color w:val="000000"/>
                <w:kern w:val="0"/>
                <w:sz w:val="18"/>
                <w:szCs w:val="18"/>
                <w:lang w:val="en-US" w:eastAsia="zh-CN"/>
              </w:rPr>
              <w:t>98</w:t>
            </w:r>
          </w:p>
        </w:tc>
        <w:tc>
          <w:tcPr>
            <w:tcW w:w="1352" w:type="dxa"/>
            <w:gridSpan w:val="2"/>
            <w:tcBorders>
              <w:top w:val="nil"/>
              <w:left w:val="nil"/>
              <w:bottom w:val="single" w:color="auto" w:sz="4" w:space="0"/>
              <w:right w:val="single" w:color="auto" w:sz="4" w:space="0"/>
            </w:tcBorders>
            <w:noWrap w:val="0"/>
            <w:vAlign w:val="center"/>
          </w:tcPr>
          <w:p>
            <w:pPr>
              <w:widowControl/>
              <w:spacing w:line="300" w:lineRule="exact"/>
              <w:jc w:val="left"/>
              <w:rPr>
                <w:rFonts w:hint="default" w:ascii="Times New Roman" w:hAnsi="Times New Roman" w:cs="Times New Roman"/>
                <w:color w:val="000000"/>
                <w:kern w:val="0"/>
                <w:sz w:val="18"/>
                <w:szCs w:val="18"/>
              </w:rPr>
            </w:pPr>
          </w:p>
        </w:tc>
      </w:tr>
      <w:tr>
        <w:tblPrEx>
          <w:tblCellMar>
            <w:top w:w="0" w:type="dxa"/>
            <w:left w:w="108" w:type="dxa"/>
            <w:bottom w:w="0" w:type="dxa"/>
            <w:right w:w="108" w:type="dxa"/>
          </w:tblCellMar>
        </w:tblPrEx>
        <w:trPr>
          <w:trHeight w:val="330" w:hRule="atLeast"/>
        </w:trPr>
        <w:tc>
          <w:tcPr>
            <w:tcW w:w="9022" w:type="dxa"/>
            <w:gridSpan w:val="11"/>
            <w:tcBorders>
              <w:top w:val="nil"/>
              <w:left w:val="nil"/>
              <w:bottom w:val="nil"/>
              <w:right w:val="nil"/>
            </w:tcBorders>
            <w:noWrap w:val="0"/>
            <w:vAlign w:val="center"/>
          </w:tcPr>
          <w:p>
            <w:pPr>
              <w:widowControl/>
              <w:jc w:val="left"/>
              <w:rPr>
                <w:rFonts w:hint="default" w:ascii="Times New Roman" w:hAnsi="Times New Roman" w:eastAsia="方正仿宋_GBK" w:cs="Times New Roman"/>
                <w:kern w:val="0"/>
                <w:sz w:val="20"/>
                <w:szCs w:val="20"/>
                <w:lang w:val="en-US" w:eastAsia="zh-CN"/>
              </w:rPr>
            </w:pPr>
            <w:r>
              <w:rPr>
                <w:rFonts w:ascii="Times New Roman" w:hAnsi="Times New Roman" w:cs="Times New Roman"/>
                <w:kern w:val="0"/>
                <w:sz w:val="20"/>
                <w:szCs w:val="20"/>
              </w:rPr>
              <w:t>填报单位</w:t>
            </w:r>
            <w:r>
              <w:rPr>
                <w:rFonts w:hint="default" w:ascii="Times New Roman" w:hAnsi="Times New Roman" w:cs="Times New Roman"/>
                <w:kern w:val="0"/>
                <w:sz w:val="20"/>
                <w:szCs w:val="20"/>
              </w:rPr>
              <w:t xml:space="preserve">负责人：  </w:t>
            </w:r>
            <w:r>
              <w:rPr>
                <w:rFonts w:hint="eastAsia" w:cs="Times New Roman"/>
                <w:kern w:val="0"/>
                <w:sz w:val="20"/>
                <w:szCs w:val="20"/>
                <w:lang w:eastAsia="zh-CN"/>
              </w:rPr>
              <w:t>李希</w:t>
            </w:r>
            <w:r>
              <w:rPr>
                <w:rFonts w:hint="default" w:ascii="Times New Roman" w:hAnsi="Times New Roman" w:cs="Times New Roman"/>
                <w:kern w:val="0"/>
                <w:sz w:val="20"/>
                <w:szCs w:val="20"/>
              </w:rPr>
              <w:t xml:space="preserve">               填表人：</w:t>
            </w:r>
            <w:r>
              <w:rPr>
                <w:rFonts w:hint="eastAsia" w:cs="Times New Roman"/>
                <w:kern w:val="0"/>
                <w:sz w:val="20"/>
                <w:szCs w:val="20"/>
                <w:lang w:eastAsia="zh-CN"/>
              </w:rPr>
              <w:t>赵桉</w:t>
            </w:r>
            <w:r>
              <w:rPr>
                <w:rFonts w:hint="default" w:ascii="Times New Roman" w:hAnsi="Times New Roman" w:cs="Times New Roman"/>
                <w:kern w:val="0"/>
                <w:sz w:val="20"/>
                <w:szCs w:val="20"/>
              </w:rPr>
              <w:t xml:space="preserve">            填报日期：</w:t>
            </w:r>
            <w:r>
              <w:rPr>
                <w:rFonts w:hint="eastAsia" w:cs="Times New Roman"/>
                <w:kern w:val="0"/>
                <w:sz w:val="20"/>
                <w:szCs w:val="20"/>
                <w:lang w:val="en-US" w:eastAsia="zh-CN"/>
              </w:rPr>
              <w:t>2023.3.14</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 w:name="KSO_WPS_MARK_KEY" w:val="8b27b589-4626-4b00-9a1f-a654e5d6b59e"/>
  </w:docVars>
  <w:rsids>
    <w:rsidRoot w:val="1D540098"/>
    <w:rsid w:val="0B33070D"/>
    <w:rsid w:val="1D540098"/>
    <w:rsid w:val="4F574DCC"/>
    <w:rsid w:val="5D0D5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566</Words>
  <Characters>667</Characters>
  <Lines>0</Lines>
  <Paragraphs>0</Paragraphs>
  <TotalTime>2</TotalTime>
  <ScaleCrop>false</ScaleCrop>
  <LinksUpToDate>false</LinksUpToDate>
  <CharactersWithSpaces>894</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2023-03-14T06:21:00Z</dcterms:created>
  <dc:creator>安子</dc:creator>
  <cp:lastModifiedBy>。</cp:lastModifiedBy>
  <dcterms:modified xsi:type="dcterms:W3CDTF">2023-03-20T08:10:50Z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7C18C340904D4FB89977DFF414875B15</vt:lpwstr>
  </property>
</Properties>
</file>