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lang w:val="en-US" w:eastAsia="zh-CN"/>
        </w:rPr>
        <w:t>奉节县卫生健康委员会</w:t>
      </w:r>
      <w:r>
        <w:rPr>
          <w:rFonts w:hint="eastAsia" w:ascii="方正仿宋_GBK" w:hAnsi="方正仿宋_GBK" w:eastAsia="方正仿宋_GBK" w:cs="方正仿宋_GBK"/>
          <w:color w:val="000000" w:themeColor="text1"/>
          <w:kern w:val="0"/>
          <w:sz w:val="32"/>
          <w:szCs w:val="32"/>
        </w:rPr>
        <w:t>2022年</w:t>
      </w:r>
      <w:r>
        <w:rPr>
          <w:rFonts w:hint="eastAsia" w:ascii="方正仿宋_GBK" w:hAnsi="方正仿宋_GBK" w:eastAsia="方正仿宋_GBK" w:cs="方正仿宋_GBK"/>
          <w:color w:val="000000" w:themeColor="text1"/>
          <w:kern w:val="0"/>
          <w:sz w:val="32"/>
          <w:szCs w:val="32"/>
          <w:lang w:eastAsia="zh-CN"/>
        </w:rPr>
        <w:t>度公共卫生监督</w:t>
      </w:r>
      <w:r>
        <w:rPr>
          <w:rFonts w:hint="eastAsia" w:ascii="方正仿宋_GBK" w:hAnsi="方正仿宋_GBK" w:eastAsia="方正仿宋_GBK" w:cs="方正仿宋_GBK"/>
          <w:color w:val="000000" w:themeColor="text1"/>
          <w:kern w:val="0"/>
          <w:sz w:val="32"/>
          <w:szCs w:val="32"/>
        </w:rPr>
        <w:t>检查</w:t>
      </w:r>
      <w:r>
        <w:rPr>
          <w:rFonts w:hint="eastAsia" w:ascii="方正仿宋_GBK" w:hAnsi="方正仿宋_GBK" w:eastAsia="方正仿宋_GBK" w:cs="方正仿宋_GBK"/>
          <w:color w:val="000000" w:themeColor="text1"/>
          <w:kern w:val="0"/>
          <w:sz w:val="32"/>
          <w:szCs w:val="32"/>
          <w:lang w:eastAsia="zh-CN"/>
        </w:rPr>
        <w:t>工作</w:t>
      </w:r>
      <w:r>
        <w:rPr>
          <w:rFonts w:hint="eastAsia" w:ascii="方正仿宋_GBK" w:hAnsi="方正仿宋_GBK" w:eastAsia="方正仿宋_GBK" w:cs="方正仿宋_GBK"/>
          <w:color w:val="000000" w:themeColor="text1"/>
          <w:kern w:val="0"/>
          <w:sz w:val="32"/>
          <w:szCs w:val="32"/>
        </w:rPr>
        <w:t>计划表</w:t>
      </w:r>
    </w:p>
    <w:tbl>
      <w:tblPr>
        <w:tblStyle w:val="4"/>
        <w:tblW w:w="85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454"/>
        <w:gridCol w:w="1197"/>
        <w:gridCol w:w="2222"/>
        <w:gridCol w:w="2331"/>
        <w:gridCol w:w="1143"/>
        <w:gridCol w:w="11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26" w:hRule="atLeast"/>
        </w:trPr>
        <w:tc>
          <w:tcPr>
            <w:tcW w:w="45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序号</w:t>
            </w:r>
          </w:p>
        </w:tc>
        <w:tc>
          <w:tcPr>
            <w:tcW w:w="1197" w:type="dxa"/>
            <w:tcBorders>
              <w:top w:val="single" w:color="auto" w:sz="4" w:space="0"/>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检查的对象</w:t>
            </w:r>
          </w:p>
        </w:tc>
        <w:tc>
          <w:tcPr>
            <w:tcW w:w="2222" w:type="dxa"/>
            <w:tcBorders>
              <w:top w:val="single" w:color="auto" w:sz="4" w:space="0"/>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lang w:eastAsia="zh-CN"/>
              </w:rPr>
              <w:t>监督</w:t>
            </w:r>
            <w:r>
              <w:rPr>
                <w:rFonts w:hint="eastAsia" w:ascii="方正仿宋_GBK" w:hAnsi="方正仿宋_GBK" w:eastAsia="方正仿宋_GBK" w:cs="方正仿宋_GBK"/>
                <w:color w:val="1B1B1B"/>
                <w:kern w:val="0"/>
                <w:sz w:val="21"/>
                <w:szCs w:val="21"/>
              </w:rPr>
              <w:t>检查具体事项</w:t>
            </w:r>
          </w:p>
        </w:tc>
        <w:tc>
          <w:tcPr>
            <w:tcW w:w="2331" w:type="dxa"/>
            <w:tcBorders>
              <w:top w:val="single" w:color="auto" w:sz="4" w:space="0"/>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lang w:eastAsia="zh-CN"/>
              </w:rPr>
              <w:t>监督</w:t>
            </w:r>
            <w:r>
              <w:rPr>
                <w:rFonts w:hint="eastAsia" w:ascii="方正仿宋_GBK" w:hAnsi="方正仿宋_GBK" w:eastAsia="方正仿宋_GBK" w:cs="方正仿宋_GBK"/>
                <w:color w:val="1B1B1B"/>
                <w:kern w:val="0"/>
                <w:sz w:val="21"/>
                <w:szCs w:val="21"/>
              </w:rPr>
              <w:t>检查法律依据</w:t>
            </w:r>
          </w:p>
        </w:tc>
        <w:tc>
          <w:tcPr>
            <w:tcW w:w="1143" w:type="dxa"/>
            <w:tcBorders>
              <w:top w:val="single" w:color="auto" w:sz="4" w:space="0"/>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检查时间</w:t>
            </w:r>
          </w:p>
        </w:tc>
        <w:tc>
          <w:tcPr>
            <w:tcW w:w="1168" w:type="dxa"/>
            <w:tcBorders>
              <w:top w:val="single" w:color="auto" w:sz="4" w:space="0"/>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检查方式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190" w:hRule="atLeast"/>
        </w:trPr>
        <w:tc>
          <w:tcPr>
            <w:tcW w:w="454" w:type="dxa"/>
            <w:tcBorders>
              <w:top w:val="nil"/>
              <w:left w:val="single" w:color="auto" w:sz="4" w:space="0"/>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1</w:t>
            </w:r>
          </w:p>
        </w:tc>
        <w:tc>
          <w:tcPr>
            <w:tcW w:w="1197"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公共场所：宾馆、旅店；经营面积30㎡以上理发店；美容店；经营面积1千㎡以上商场、超市；经营面积150㎡以上公共浴室；游泳馆；歌厅等。</w:t>
            </w:r>
          </w:p>
        </w:tc>
        <w:tc>
          <w:tcPr>
            <w:tcW w:w="2222"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有效证件、卫生管理制度、设施设备、用品用具、中央空调通风系统、燥声、燥音、光度、照明、采光、空气质量监测。</w:t>
            </w:r>
          </w:p>
        </w:tc>
        <w:tc>
          <w:tcPr>
            <w:tcW w:w="2331"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《公共场所卫生管理条例》、《公共场所卫生管理条例实施细则》</w:t>
            </w:r>
          </w:p>
        </w:tc>
        <w:tc>
          <w:tcPr>
            <w:tcW w:w="1143"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依据量化分级管理规定，每年一次；</w:t>
            </w:r>
          </w:p>
        </w:tc>
        <w:tc>
          <w:tcPr>
            <w:tcW w:w="1168"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日常监督检查；许可事中、事后监管；重大活动期间抽查。国家</w:t>
            </w:r>
            <w:r>
              <w:rPr>
                <w:rFonts w:hint="eastAsia" w:ascii="方正仿宋_GBK" w:hAnsi="方正仿宋_GBK" w:eastAsia="方正仿宋_GBK" w:cs="方正仿宋_GBK"/>
                <w:color w:val="1B1B1B"/>
                <w:kern w:val="0"/>
                <w:sz w:val="21"/>
                <w:szCs w:val="21"/>
                <w:lang w:eastAsia="zh-CN"/>
              </w:rPr>
              <w:t>、</w:t>
            </w:r>
            <w:r>
              <w:rPr>
                <w:rFonts w:hint="eastAsia" w:ascii="方正仿宋_GBK" w:hAnsi="方正仿宋_GBK" w:eastAsia="方正仿宋_GBK" w:cs="方正仿宋_GBK"/>
                <w:color w:val="1B1B1B"/>
                <w:kern w:val="0"/>
                <w:sz w:val="21"/>
                <w:szCs w:val="21"/>
                <w:lang w:val="en-US" w:eastAsia="zh-CN"/>
              </w:rPr>
              <w:t>市级</w:t>
            </w:r>
            <w:r>
              <w:rPr>
                <w:rFonts w:hint="eastAsia" w:ascii="方正仿宋_GBK" w:hAnsi="方正仿宋_GBK" w:eastAsia="方正仿宋_GBK" w:cs="方正仿宋_GBK"/>
                <w:color w:val="1B1B1B"/>
                <w:kern w:val="0"/>
                <w:sz w:val="21"/>
                <w:szCs w:val="21"/>
              </w:rPr>
              <w:t>双随机任务检查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rPr>
        <w:tc>
          <w:tcPr>
            <w:tcW w:w="454" w:type="dxa"/>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75"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2</w:t>
            </w:r>
          </w:p>
        </w:tc>
        <w:tc>
          <w:tcPr>
            <w:tcW w:w="1197"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75"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全</w:t>
            </w:r>
            <w:r>
              <w:rPr>
                <w:rFonts w:hint="eastAsia" w:ascii="方正仿宋_GBK" w:hAnsi="方正仿宋_GBK" w:eastAsia="方正仿宋_GBK" w:cs="方正仿宋_GBK"/>
                <w:color w:val="1B1B1B"/>
                <w:kern w:val="0"/>
                <w:sz w:val="21"/>
                <w:szCs w:val="21"/>
                <w:lang w:val="en-US" w:eastAsia="zh-CN"/>
              </w:rPr>
              <w:t>县</w:t>
            </w:r>
            <w:r>
              <w:rPr>
                <w:rFonts w:hint="eastAsia" w:ascii="方正仿宋_GBK" w:hAnsi="方正仿宋_GBK" w:eastAsia="方正仿宋_GBK" w:cs="方正仿宋_GBK"/>
                <w:color w:val="1B1B1B"/>
                <w:kern w:val="0"/>
                <w:sz w:val="21"/>
                <w:szCs w:val="21"/>
              </w:rPr>
              <w:t>各级各类医疗卫生机构。</w:t>
            </w:r>
          </w:p>
        </w:tc>
        <w:tc>
          <w:tcPr>
            <w:tcW w:w="2222"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75"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《医疗机构执业许可证》持证情况、人员资质、执业地点、依法执业情况（传染病、医疗废物、放射卫生、毒麻药品、医疗广告、血液安全等）。</w:t>
            </w:r>
          </w:p>
        </w:tc>
        <w:tc>
          <w:tcPr>
            <w:tcW w:w="2331"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75"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中华人民共和国传染病防治法》、《中华人民共和国职业病防治法》、《中华人民共和国医师法》、《中华人民共和国母婴保健法》、《中华人民共和国献血法》、《医疗机构管理条例》、《医疗废物管理条例》、《麻醉药品和精神药品管理条例》、《乡村医生从业管理条例》、《医疗机构管理条例实施细则》、《医疗机构医疗废物管理办法》、《毒麻药品管理办法》、《中华人民共和国母婴保健法实施办法》、《医疗广告管理办法》、《中华人民共和国传染病防治</w:t>
            </w:r>
            <w:r>
              <w:rPr>
                <w:rFonts w:hint="eastAsia" w:ascii="方正仿宋_GBK" w:hAnsi="方正仿宋_GBK" w:eastAsia="方正仿宋_GBK" w:cs="方正仿宋_GBK"/>
                <w:color w:val="1B1B1B"/>
                <w:kern w:val="0"/>
                <w:sz w:val="21"/>
                <w:szCs w:val="21"/>
                <w:lang w:eastAsia="zh-CN"/>
              </w:rPr>
              <w:t>法</w:t>
            </w:r>
            <w:bookmarkStart w:id="0" w:name="_GoBack"/>
            <w:bookmarkEnd w:id="0"/>
            <w:r>
              <w:rPr>
                <w:rFonts w:hint="eastAsia" w:ascii="方正仿宋_GBK" w:hAnsi="方正仿宋_GBK" w:eastAsia="方正仿宋_GBK" w:cs="方正仿宋_GBK"/>
                <w:color w:val="1B1B1B"/>
                <w:kern w:val="0"/>
                <w:sz w:val="21"/>
                <w:szCs w:val="21"/>
              </w:rPr>
              <w:t>实施办法》</w:t>
            </w:r>
          </w:p>
        </w:tc>
        <w:tc>
          <w:tcPr>
            <w:tcW w:w="1143"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有证件的医疗机构：全年至少1-2次；</w:t>
            </w:r>
          </w:p>
          <w:p>
            <w:pPr>
              <w:widowControl/>
              <w:spacing w:line="75"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非法医疗机构：发现立即取缔。</w:t>
            </w:r>
          </w:p>
        </w:tc>
        <w:tc>
          <w:tcPr>
            <w:tcW w:w="1168"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75" w:lineRule="atLeast"/>
              <w:jc w:val="left"/>
              <w:rPr>
                <w:rFonts w:hint="eastAsia" w:ascii="方正仿宋_GBK" w:hAnsi="方正仿宋_GBK" w:eastAsia="方正仿宋_GBK" w:cs="方正仿宋_GBK"/>
                <w:color w:val="1B1B1B"/>
                <w:kern w:val="0"/>
                <w:sz w:val="21"/>
                <w:szCs w:val="21"/>
                <w:lang w:eastAsia="zh-CN"/>
              </w:rPr>
            </w:pPr>
            <w:r>
              <w:rPr>
                <w:rFonts w:hint="eastAsia" w:ascii="方正仿宋_GBK" w:hAnsi="方正仿宋_GBK" w:eastAsia="方正仿宋_GBK" w:cs="方正仿宋_GBK"/>
                <w:color w:val="1B1B1B"/>
                <w:kern w:val="0"/>
                <w:sz w:val="21"/>
                <w:szCs w:val="21"/>
              </w:rPr>
              <w:t>现场检查</w:t>
            </w:r>
            <w:r>
              <w:rPr>
                <w:rFonts w:hint="eastAsia" w:ascii="方正仿宋_GBK" w:hAnsi="方正仿宋_GBK" w:eastAsia="方正仿宋_GBK" w:cs="方正仿宋_GBK"/>
                <w:color w:val="1B1B1B"/>
                <w:kern w:val="0"/>
                <w:sz w:val="21"/>
                <w:szCs w:val="21"/>
                <w:lang w:eastAsia="zh-CN"/>
              </w:rPr>
              <w:t>。</w:t>
            </w:r>
          </w:p>
          <w:p>
            <w:pPr>
              <w:widowControl/>
              <w:spacing w:line="75"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国家</w:t>
            </w:r>
            <w:r>
              <w:rPr>
                <w:rFonts w:hint="eastAsia" w:ascii="方正仿宋_GBK" w:hAnsi="方正仿宋_GBK" w:eastAsia="方正仿宋_GBK" w:cs="方正仿宋_GBK"/>
                <w:color w:val="1B1B1B"/>
                <w:kern w:val="0"/>
                <w:sz w:val="21"/>
                <w:szCs w:val="21"/>
                <w:lang w:eastAsia="zh-CN"/>
              </w:rPr>
              <w:t>、</w:t>
            </w:r>
            <w:r>
              <w:rPr>
                <w:rFonts w:hint="eastAsia" w:ascii="方正仿宋_GBK" w:hAnsi="方正仿宋_GBK" w:eastAsia="方正仿宋_GBK" w:cs="方正仿宋_GBK"/>
                <w:color w:val="1B1B1B"/>
                <w:kern w:val="0"/>
                <w:sz w:val="21"/>
                <w:szCs w:val="21"/>
                <w:lang w:val="en-US" w:eastAsia="zh-CN"/>
              </w:rPr>
              <w:t>市级</w:t>
            </w:r>
            <w:r>
              <w:rPr>
                <w:rFonts w:hint="eastAsia" w:ascii="方正仿宋_GBK" w:hAnsi="方正仿宋_GBK" w:eastAsia="方正仿宋_GBK" w:cs="方正仿宋_GBK"/>
                <w:color w:val="1B1B1B"/>
                <w:kern w:val="0"/>
                <w:sz w:val="21"/>
                <w:szCs w:val="21"/>
              </w:rPr>
              <w:t>双随机任务检查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40" w:hRule="atLeast"/>
        </w:trPr>
        <w:tc>
          <w:tcPr>
            <w:tcW w:w="454" w:type="dxa"/>
            <w:tcBorders>
              <w:top w:val="nil"/>
              <w:left w:val="single" w:color="auto" w:sz="4" w:space="0"/>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3</w:t>
            </w:r>
          </w:p>
        </w:tc>
        <w:tc>
          <w:tcPr>
            <w:tcW w:w="1197"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学校卫生</w:t>
            </w:r>
          </w:p>
        </w:tc>
        <w:tc>
          <w:tcPr>
            <w:tcW w:w="2222"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（1）传染病预防控制管理.（2）生活饮用水卫生管理要求</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（3）突发公共卫生事件应急处置。</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（4）学校卫生室、保健室</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（5）学校卫生管理员培训</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（6）教学生活设施卫生。</w:t>
            </w:r>
          </w:p>
        </w:tc>
        <w:tc>
          <w:tcPr>
            <w:tcW w:w="2331"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《中华人民共和国传染病防治法》、《学校卫生工作条例》、《医疗机构管理条例》、《生活饮用水卫生监督管理办法》等法律法规</w:t>
            </w:r>
          </w:p>
        </w:tc>
        <w:tc>
          <w:tcPr>
            <w:tcW w:w="1143"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每年</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lang w:val="en-US" w:eastAsia="zh-CN"/>
              </w:rPr>
              <w:t>2</w:t>
            </w:r>
            <w:r>
              <w:rPr>
                <w:rFonts w:hint="eastAsia" w:ascii="方正仿宋_GBK" w:hAnsi="方正仿宋_GBK" w:eastAsia="方正仿宋_GBK" w:cs="方正仿宋_GBK"/>
                <w:color w:val="1B1B1B"/>
                <w:kern w:val="0"/>
                <w:sz w:val="21"/>
                <w:szCs w:val="21"/>
              </w:rPr>
              <w:t>次</w:t>
            </w:r>
          </w:p>
        </w:tc>
        <w:tc>
          <w:tcPr>
            <w:tcW w:w="1168"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日常监督检查、国家</w:t>
            </w:r>
            <w:r>
              <w:rPr>
                <w:rFonts w:hint="eastAsia" w:ascii="方正仿宋_GBK" w:hAnsi="方正仿宋_GBK" w:eastAsia="方正仿宋_GBK" w:cs="方正仿宋_GBK"/>
                <w:color w:val="1B1B1B"/>
                <w:kern w:val="0"/>
                <w:sz w:val="21"/>
                <w:szCs w:val="21"/>
                <w:lang w:eastAsia="zh-CN"/>
              </w:rPr>
              <w:t>、</w:t>
            </w:r>
            <w:r>
              <w:rPr>
                <w:rFonts w:hint="eastAsia" w:ascii="方正仿宋_GBK" w:hAnsi="方正仿宋_GBK" w:eastAsia="方正仿宋_GBK" w:cs="方正仿宋_GBK"/>
                <w:color w:val="1B1B1B"/>
                <w:kern w:val="0"/>
                <w:sz w:val="21"/>
                <w:szCs w:val="21"/>
                <w:lang w:val="en-US" w:eastAsia="zh-CN"/>
              </w:rPr>
              <w:t>市级</w:t>
            </w:r>
            <w:r>
              <w:rPr>
                <w:rFonts w:hint="eastAsia" w:ascii="方正仿宋_GBK" w:hAnsi="方正仿宋_GBK" w:eastAsia="方正仿宋_GBK" w:cs="方正仿宋_GBK"/>
                <w:color w:val="1B1B1B"/>
                <w:kern w:val="0"/>
                <w:sz w:val="21"/>
                <w:szCs w:val="21"/>
              </w:rPr>
              <w:t>双随机任务检查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826" w:hRule="atLeast"/>
        </w:trPr>
        <w:tc>
          <w:tcPr>
            <w:tcW w:w="454" w:type="dxa"/>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4</w:t>
            </w:r>
          </w:p>
        </w:tc>
        <w:tc>
          <w:tcPr>
            <w:tcW w:w="1197"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生活饮用水及</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二次供水</w:t>
            </w:r>
          </w:p>
        </w:tc>
        <w:tc>
          <w:tcPr>
            <w:tcW w:w="2222"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1）供水单位供应的饮用水必须符合国家生活饮用水卫生标准。（2）供水单位新建、改建、扩建的饮用水供水工程项目，应当符合卫生要求，选址和设健审查、竣工验收必须有建设、卫生行政部门参加。新建、改建、扩建的城市公共饮用水供水工程项目由建设行政主管部门负责组织、选址、设健、审查和竣工验收，卫生行政部门参加。（3）供水单位应建立饮用水卫生管理规章制度，配备专职或兼职人员，负责饮用水卫生管理工作。（4）集中式供水单位必须有水质净化消毒设施及必要的水质检验仪器、设备和人员，对水质进行日常性检验，并向当地人民政府卫生行政部门和建设行政主管部门报送检测资料。（5）直接从事供、管水的人员必须取得体检合格证后方可上岗工作，并每年进行一次健康检查。直接从事供、管水的人员，未经卫生知识培训不得上岗工作。（6）饮用水水源地必须设置水源保护区。保护区内严禁修建任何可能危害水源水质卫生的设施及一切有碍水源水质卫生的行为。（7）二次供水设施选址、设健、施工及所用材料，应保证不使饮用水水质受到污染，并有利于清洗和消毒。（8）卫生许可证有效期四年，每年复核一次。有效期满前六个月重新提出申请换发新证。（9）涉及饮用水卫生安全的产品，必须进行卫生安全性评价。与饮用水接触的防护涂料、水质处理器以及新材料和化学物质，须经卫健委审批后方可使用。</w:t>
            </w:r>
          </w:p>
        </w:tc>
        <w:tc>
          <w:tcPr>
            <w:tcW w:w="2331"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《中华人民共和国传染病防治法》、《生活饮用水卫生监督管理办法》、《生活饮用水二次供水卫生规范》、《生活饮用水集中式供水单位卫生规范》等法律法规</w:t>
            </w:r>
          </w:p>
        </w:tc>
        <w:tc>
          <w:tcPr>
            <w:tcW w:w="1143"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每年至少</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1次</w:t>
            </w:r>
          </w:p>
        </w:tc>
        <w:tc>
          <w:tcPr>
            <w:tcW w:w="1168"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日常监督检查、国家</w:t>
            </w:r>
            <w:r>
              <w:rPr>
                <w:rFonts w:hint="eastAsia" w:ascii="方正仿宋_GBK" w:hAnsi="方正仿宋_GBK" w:eastAsia="方正仿宋_GBK" w:cs="方正仿宋_GBK"/>
                <w:color w:val="1B1B1B"/>
                <w:kern w:val="0"/>
                <w:sz w:val="21"/>
                <w:szCs w:val="21"/>
                <w:lang w:eastAsia="zh-CN"/>
              </w:rPr>
              <w:t>、</w:t>
            </w:r>
            <w:r>
              <w:rPr>
                <w:rFonts w:hint="eastAsia" w:ascii="方正仿宋_GBK" w:hAnsi="方正仿宋_GBK" w:eastAsia="方正仿宋_GBK" w:cs="方正仿宋_GBK"/>
                <w:color w:val="1B1B1B"/>
                <w:kern w:val="0"/>
                <w:sz w:val="21"/>
                <w:szCs w:val="21"/>
                <w:lang w:val="en-US" w:eastAsia="zh-CN"/>
              </w:rPr>
              <w:t>市级</w:t>
            </w:r>
            <w:r>
              <w:rPr>
                <w:rFonts w:hint="eastAsia" w:ascii="方正仿宋_GBK" w:hAnsi="方正仿宋_GBK" w:eastAsia="方正仿宋_GBK" w:cs="方正仿宋_GBK"/>
                <w:color w:val="1B1B1B"/>
                <w:kern w:val="0"/>
                <w:sz w:val="21"/>
                <w:szCs w:val="21"/>
              </w:rPr>
              <w:t>双随机任务检查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490" w:hRule="atLeast"/>
        </w:trPr>
        <w:tc>
          <w:tcPr>
            <w:tcW w:w="454" w:type="dxa"/>
            <w:tcBorders>
              <w:top w:val="nil"/>
              <w:left w:val="single" w:color="auto" w:sz="4" w:space="0"/>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5</w:t>
            </w:r>
          </w:p>
        </w:tc>
        <w:tc>
          <w:tcPr>
            <w:tcW w:w="1197"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餐饮具集中消毒</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单位</w:t>
            </w:r>
          </w:p>
        </w:tc>
        <w:tc>
          <w:tcPr>
            <w:tcW w:w="2222"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（1）不得建于居民楼内；</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（2）与可能污染餐饮具的有害场所距离不得小于30米；</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（3）生产场所（包括清洗、消毒、包装）总面积不得小于200平方米；</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（4）消毒工艺流程应按回收、去残渣、浸泡、机洗、消毒、包装、储存设置；</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（5）生产用水应符合《生活饮用水卫生标准》（GB5749）；</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（6）消毒后的餐饮具应符合《食（饮）具消毒卫生标准》（GB14934）；</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（7）使用的消毒产品应符合国家卫生标准和卫生规范；</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（8）批次出厂的餐饮具必须有合格的检验报告；</w:t>
            </w:r>
          </w:p>
        </w:tc>
        <w:tc>
          <w:tcPr>
            <w:tcW w:w="2331"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《生活饮用水卫生标准》、《食（饮）具消毒卫生标准》、《消毒服务机构卫生规范》、《餐饮具集中消毒单位卫生监督规范》等法律法规</w:t>
            </w:r>
          </w:p>
        </w:tc>
        <w:tc>
          <w:tcPr>
            <w:tcW w:w="1143"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每年至少</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1次</w:t>
            </w:r>
          </w:p>
        </w:tc>
        <w:tc>
          <w:tcPr>
            <w:tcW w:w="1168"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日常监督检查、国家</w:t>
            </w:r>
            <w:r>
              <w:rPr>
                <w:rFonts w:hint="eastAsia" w:ascii="方正仿宋_GBK" w:hAnsi="方正仿宋_GBK" w:eastAsia="方正仿宋_GBK" w:cs="方正仿宋_GBK"/>
                <w:color w:val="1B1B1B"/>
                <w:kern w:val="0"/>
                <w:sz w:val="21"/>
                <w:szCs w:val="21"/>
                <w:lang w:eastAsia="zh-CN"/>
              </w:rPr>
              <w:t>、</w:t>
            </w:r>
            <w:r>
              <w:rPr>
                <w:rFonts w:hint="eastAsia" w:ascii="方正仿宋_GBK" w:hAnsi="方正仿宋_GBK" w:eastAsia="方正仿宋_GBK" w:cs="方正仿宋_GBK"/>
                <w:color w:val="1B1B1B"/>
                <w:kern w:val="0"/>
                <w:sz w:val="21"/>
                <w:szCs w:val="21"/>
                <w:lang w:val="en-US" w:eastAsia="zh-CN"/>
              </w:rPr>
              <w:t>市级</w:t>
            </w:r>
            <w:r>
              <w:rPr>
                <w:rFonts w:hint="eastAsia" w:ascii="方正仿宋_GBK" w:hAnsi="方正仿宋_GBK" w:eastAsia="方正仿宋_GBK" w:cs="方正仿宋_GBK"/>
                <w:color w:val="1B1B1B"/>
                <w:kern w:val="0"/>
                <w:sz w:val="21"/>
                <w:szCs w:val="21"/>
              </w:rPr>
              <w:t>双随机任务检查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358" w:hRule="atLeast"/>
        </w:trPr>
        <w:tc>
          <w:tcPr>
            <w:tcW w:w="454" w:type="dxa"/>
            <w:tcBorders>
              <w:top w:val="nil"/>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6</w:t>
            </w:r>
          </w:p>
        </w:tc>
        <w:tc>
          <w:tcPr>
            <w:tcW w:w="1197"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消毒产品生产企业</w:t>
            </w:r>
          </w:p>
        </w:tc>
        <w:tc>
          <w:tcPr>
            <w:tcW w:w="2222"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消毒产品生产企业卫生许可证件、生产条件、原材料管理、产品检验、产品标签和从业人员培训等是否与许可时相一致；企业对《消毒产品生产企业卫生规范(2009年版)》、《消毒产品卫生安全评价规定》的执行等情况。</w:t>
            </w:r>
          </w:p>
        </w:tc>
        <w:tc>
          <w:tcPr>
            <w:tcW w:w="2331"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《消毒产品生产企业卫生规范》、消毒产品标签说明书管理规范等法律法规</w:t>
            </w:r>
          </w:p>
        </w:tc>
        <w:tc>
          <w:tcPr>
            <w:tcW w:w="1143"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每年至少</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1次</w:t>
            </w:r>
          </w:p>
        </w:tc>
        <w:tc>
          <w:tcPr>
            <w:tcW w:w="1168" w:type="dxa"/>
            <w:tcBorders>
              <w:top w:val="nil"/>
              <w:left w:val="nil"/>
              <w:bottom w:val="single" w:color="auto" w:sz="4" w:space="0"/>
              <w:right w:val="single" w:color="auto" w:sz="4" w:space="0"/>
            </w:tcBorders>
            <w:shd w:val="clear" w:color="auto" w:fill="FFFFFF"/>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日常监督检查、国家</w:t>
            </w:r>
            <w:r>
              <w:rPr>
                <w:rFonts w:hint="eastAsia" w:ascii="方正仿宋_GBK" w:hAnsi="方正仿宋_GBK" w:eastAsia="方正仿宋_GBK" w:cs="方正仿宋_GBK"/>
                <w:color w:val="1B1B1B"/>
                <w:kern w:val="0"/>
                <w:sz w:val="21"/>
                <w:szCs w:val="21"/>
                <w:lang w:eastAsia="zh-CN"/>
              </w:rPr>
              <w:t>、</w:t>
            </w:r>
            <w:r>
              <w:rPr>
                <w:rFonts w:hint="eastAsia" w:ascii="方正仿宋_GBK" w:hAnsi="方正仿宋_GBK" w:eastAsia="方正仿宋_GBK" w:cs="方正仿宋_GBK"/>
                <w:color w:val="1B1B1B"/>
                <w:kern w:val="0"/>
                <w:sz w:val="21"/>
                <w:szCs w:val="21"/>
                <w:lang w:val="en-US" w:eastAsia="zh-CN"/>
              </w:rPr>
              <w:t>市级</w:t>
            </w:r>
            <w:r>
              <w:rPr>
                <w:rFonts w:hint="eastAsia" w:ascii="方正仿宋_GBK" w:hAnsi="方正仿宋_GBK" w:eastAsia="方正仿宋_GBK" w:cs="方正仿宋_GBK"/>
                <w:color w:val="1B1B1B"/>
                <w:kern w:val="0"/>
                <w:sz w:val="21"/>
                <w:szCs w:val="21"/>
              </w:rPr>
              <w:t>双随机任务检查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358" w:hRule="atLeast"/>
        </w:trPr>
        <w:tc>
          <w:tcPr>
            <w:tcW w:w="454" w:type="dxa"/>
            <w:tcBorders>
              <w:top w:val="nil"/>
              <w:left w:val="single" w:color="auto" w:sz="4" w:space="0"/>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7</w:t>
            </w:r>
          </w:p>
        </w:tc>
        <w:tc>
          <w:tcPr>
            <w:tcW w:w="1197"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shd w:val="clear" w:color="auto" w:fill="FFFFFF"/>
              </w:rPr>
              <w:t>职业卫生、放射卫生监督</w:t>
            </w:r>
          </w:p>
        </w:tc>
        <w:tc>
          <w:tcPr>
            <w:tcW w:w="2222"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shd w:val="clear" w:color="auto" w:fill="FFFFFF"/>
              </w:rPr>
              <w:t>责任制与制度、职业危害申报、三同时工作、用人单位培训、防护设施与装备、公告告知、检测评价、职业健康体检、诊断诊治、劳务外包</w:t>
            </w:r>
          </w:p>
        </w:tc>
        <w:tc>
          <w:tcPr>
            <w:tcW w:w="2331"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shd w:val="clear" w:color="auto" w:fill="FFFFFF"/>
              </w:rPr>
              <w:t>《职业病防治法》《职业卫生技术服务机构管理办法》《放射诊疗管理规定》等</w:t>
            </w:r>
          </w:p>
        </w:tc>
        <w:tc>
          <w:tcPr>
            <w:tcW w:w="1143"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每年至少</w:t>
            </w:r>
          </w:p>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1次</w:t>
            </w:r>
          </w:p>
        </w:tc>
        <w:tc>
          <w:tcPr>
            <w:tcW w:w="1168" w:type="dxa"/>
            <w:tcBorders>
              <w:top w:val="nil"/>
              <w:left w:val="nil"/>
              <w:bottom w:val="single" w:color="auto" w:sz="4" w:space="0"/>
              <w:right w:val="single" w:color="auto" w:sz="4" w:space="0"/>
            </w:tcBorders>
            <w:shd w:val="clear" w:color="auto" w:fill="F7F7F7"/>
            <w:tcMar>
              <w:top w:w="0" w:type="dxa"/>
              <w:left w:w="88" w:type="dxa"/>
              <w:bottom w:w="0" w:type="dxa"/>
              <w:right w:w="88" w:type="dxa"/>
            </w:tcMar>
            <w:vAlign w:val="center"/>
          </w:tcPr>
          <w:p>
            <w:pPr>
              <w:widowControl/>
              <w:spacing w:line="401" w:lineRule="atLeast"/>
              <w:jc w:val="left"/>
              <w:rPr>
                <w:rFonts w:hint="eastAsia" w:ascii="方正仿宋_GBK" w:hAnsi="方正仿宋_GBK" w:eastAsia="方正仿宋_GBK" w:cs="方正仿宋_GBK"/>
                <w:color w:val="4F4F4F"/>
                <w:kern w:val="0"/>
                <w:sz w:val="21"/>
                <w:szCs w:val="21"/>
              </w:rPr>
            </w:pPr>
            <w:r>
              <w:rPr>
                <w:rFonts w:hint="eastAsia" w:ascii="方正仿宋_GBK" w:hAnsi="方正仿宋_GBK" w:eastAsia="方正仿宋_GBK" w:cs="方正仿宋_GBK"/>
                <w:color w:val="1B1B1B"/>
                <w:kern w:val="0"/>
                <w:sz w:val="21"/>
                <w:szCs w:val="21"/>
              </w:rPr>
              <w:t>日常监督检查、国家</w:t>
            </w:r>
            <w:r>
              <w:rPr>
                <w:rFonts w:hint="eastAsia" w:ascii="方正仿宋_GBK" w:hAnsi="方正仿宋_GBK" w:eastAsia="方正仿宋_GBK" w:cs="方正仿宋_GBK"/>
                <w:color w:val="1B1B1B"/>
                <w:kern w:val="0"/>
                <w:sz w:val="21"/>
                <w:szCs w:val="21"/>
                <w:lang w:eastAsia="zh-CN"/>
              </w:rPr>
              <w:t>、</w:t>
            </w:r>
            <w:r>
              <w:rPr>
                <w:rFonts w:hint="eastAsia" w:ascii="方正仿宋_GBK" w:hAnsi="方正仿宋_GBK" w:eastAsia="方正仿宋_GBK" w:cs="方正仿宋_GBK"/>
                <w:color w:val="1B1B1B"/>
                <w:kern w:val="0"/>
                <w:sz w:val="21"/>
                <w:szCs w:val="21"/>
                <w:lang w:val="en-US" w:eastAsia="zh-CN"/>
              </w:rPr>
              <w:t>市级</w:t>
            </w:r>
            <w:r>
              <w:rPr>
                <w:rFonts w:hint="eastAsia" w:ascii="方正仿宋_GBK" w:hAnsi="方正仿宋_GBK" w:eastAsia="方正仿宋_GBK" w:cs="方正仿宋_GBK"/>
                <w:color w:val="1B1B1B"/>
                <w:kern w:val="0"/>
                <w:sz w:val="21"/>
                <w:szCs w:val="21"/>
              </w:rPr>
              <w:t>双随机任务检查</w:t>
            </w:r>
          </w:p>
        </w:tc>
      </w:tr>
    </w:tbl>
    <w:p>
      <w:pPr>
        <w:rPr>
          <w:rFonts w:hint="eastAsia" w:ascii="方正仿宋_GBK" w:hAnsi="方正仿宋_GBK" w:eastAsia="方正仿宋_GBK" w:cs="方正仿宋_GBK"/>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jFkMDJlZjE5MjU0NTgxYzZiZWVhNDdhNzYzNWUifQ=="/>
  </w:docVars>
  <w:rsids>
    <w:rsidRoot w:val="007A662D"/>
    <w:rsid w:val="004E48F2"/>
    <w:rsid w:val="007A662D"/>
    <w:rsid w:val="00DD1729"/>
    <w:rsid w:val="06AC0092"/>
    <w:rsid w:val="08FC2CBB"/>
    <w:rsid w:val="0F641122"/>
    <w:rsid w:val="1952276C"/>
    <w:rsid w:val="1F246BFA"/>
    <w:rsid w:val="22181C50"/>
    <w:rsid w:val="2C4E1B12"/>
    <w:rsid w:val="2E753904"/>
    <w:rsid w:val="313C50A4"/>
    <w:rsid w:val="3AAC2C5C"/>
    <w:rsid w:val="48AD0F70"/>
    <w:rsid w:val="4B8E75F7"/>
    <w:rsid w:val="66537D23"/>
    <w:rsid w:val="692B0199"/>
    <w:rsid w:val="7BA4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7">
    <w:name w:val="标题 2 Char"/>
    <w:basedOn w:val="5"/>
    <w:link w:val="2"/>
    <w:qFormat/>
    <w:uiPriority w:val="9"/>
    <w:rPr>
      <w:rFonts w:ascii="宋体" w:hAnsi="宋体" w:eastAsia="宋体" w:cs="宋体"/>
      <w:b/>
      <w:bCs/>
      <w:kern w:val="0"/>
      <w:sz w:val="36"/>
      <w:szCs w:val="36"/>
    </w:rPr>
  </w:style>
  <w:style w:type="character" w:customStyle="1" w:styleId="8">
    <w:name w:val="font-se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2024</Words>
  <Characters>2050</Characters>
  <Lines>16</Lines>
  <Paragraphs>4</Paragraphs>
  <TotalTime>2</TotalTime>
  <ScaleCrop>false</ScaleCrop>
  <LinksUpToDate>false</LinksUpToDate>
  <CharactersWithSpaces>2050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2022-09-05T02:15:00Z</dcterms:created>
  <dc:creator>Administration</dc:creator>
  <cp:lastModifiedBy>Administrator</cp:lastModifiedBy>
  <dcterms:modified xsi:type="dcterms:W3CDTF">2023-12-13T10:20:37Z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85850E0F6ED04A12A0539AF0EB1C60CC</vt:lpwstr>
  </property>
</Properties>
</file>