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94" w:lineRule="exact"/>
        <w:jc w:val="center"/>
        <w:textAlignment w:val="auto"/>
        <w:rPr>
          <w:rFonts w:hint="eastAsia" w:ascii="Times New Roman" w:hAnsi="Times New Roman" w:eastAsia="方正小标宋_GBK" w:cs="方正小标宋_GBK"/>
          <w:sz w:val="44"/>
          <w:szCs w:val="44"/>
        </w:rPr>
      </w:pPr>
      <w:r>
        <w:rPr>
          <w:rFonts w:hint="eastAsia" w:ascii="Times New Roman" w:hAnsi="Times New Roman" w:eastAsia="方正小标宋_GBK" w:cs="方正小标宋_GBK"/>
          <w:sz w:val="44"/>
          <w:szCs w:val="44"/>
          <w:lang w:val="en-US" w:eastAsia="zh-CN"/>
        </w:rPr>
        <w:t>奉节</w:t>
      </w:r>
      <w:r>
        <w:rPr>
          <w:rFonts w:hint="eastAsia" w:ascii="Times New Roman" w:hAnsi="Times New Roman" w:eastAsia="方正小标宋_GBK" w:cs="方正小标宋_GBK"/>
          <w:sz w:val="44"/>
          <w:szCs w:val="44"/>
        </w:rPr>
        <w:t>县信访办公室</w:t>
      </w:r>
    </w:p>
    <w:p>
      <w:pPr>
        <w:keepNext w:val="0"/>
        <w:keepLines w:val="0"/>
        <w:pageBreakBefore w:val="0"/>
        <w:widowControl w:val="0"/>
        <w:kinsoku/>
        <w:wordWrap/>
        <w:overflowPunct/>
        <w:topLinePunct w:val="0"/>
        <w:autoSpaceDE/>
        <w:autoSpaceDN/>
        <w:bidi w:val="0"/>
        <w:adjustRightInd/>
        <w:snapToGrid/>
        <w:spacing w:line="594" w:lineRule="exact"/>
        <w:jc w:val="center"/>
        <w:textAlignment w:val="auto"/>
        <w:rPr>
          <w:rFonts w:hint="eastAsia" w:ascii="Times New Roman" w:hAnsi="Times New Roman" w:eastAsia="方正小标宋_GBK" w:cs="方正小标宋_GBK"/>
          <w:sz w:val="44"/>
          <w:szCs w:val="44"/>
        </w:rPr>
      </w:pPr>
      <w:r>
        <w:rPr>
          <w:rFonts w:hint="eastAsia" w:ascii="Times New Roman" w:hAnsi="Times New Roman" w:eastAsia="方正小标宋_GBK" w:cs="方正小标宋_GBK"/>
          <w:sz w:val="44"/>
          <w:szCs w:val="44"/>
        </w:rPr>
        <w:t>202</w:t>
      </w:r>
      <w:r>
        <w:rPr>
          <w:rFonts w:hint="eastAsia" w:ascii="Times New Roman" w:hAnsi="Times New Roman" w:eastAsia="方正小标宋_GBK" w:cs="方正小标宋_GBK"/>
          <w:sz w:val="44"/>
          <w:szCs w:val="44"/>
          <w:lang w:val="en-US" w:eastAsia="zh-CN"/>
        </w:rPr>
        <w:t>3</w:t>
      </w:r>
      <w:r>
        <w:rPr>
          <w:rFonts w:hint="eastAsia" w:ascii="Times New Roman" w:hAnsi="Times New Roman" w:eastAsia="方正小标宋_GBK" w:cs="方正小标宋_GBK"/>
          <w:sz w:val="44"/>
          <w:szCs w:val="44"/>
        </w:rPr>
        <w:t>年度整体支出预算绩效自评报告</w:t>
      </w:r>
    </w:p>
    <w:p>
      <w:pPr>
        <w:keepNext w:val="0"/>
        <w:keepLines w:val="0"/>
        <w:pageBreakBefore w:val="0"/>
        <w:widowControl w:val="0"/>
        <w:kinsoku/>
        <w:wordWrap/>
        <w:overflowPunct/>
        <w:topLinePunct w:val="0"/>
        <w:autoSpaceDE/>
        <w:autoSpaceDN/>
        <w:bidi w:val="0"/>
        <w:adjustRightInd/>
        <w:snapToGrid/>
        <w:spacing w:line="594" w:lineRule="exact"/>
        <w:jc w:val="center"/>
        <w:textAlignment w:val="auto"/>
        <w:rPr>
          <w:rFonts w:hint="eastAsia" w:ascii="Times New Roman" w:hAnsi="Times New Roman" w:eastAsia="方正小标宋_GBK" w:cs="方正小标宋_GBK"/>
          <w:sz w:val="44"/>
          <w:szCs w:val="44"/>
        </w:rPr>
      </w:pP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Times New Roman" w:hAnsi="Times New Roman" w:eastAsia="方正黑体_GBK" w:cs="方正黑体_GBK"/>
          <w:sz w:val="32"/>
          <w:szCs w:val="32"/>
        </w:rPr>
      </w:pPr>
      <w:r>
        <w:rPr>
          <w:rFonts w:hint="eastAsia" w:ascii="Times New Roman" w:hAnsi="Times New Roman" w:eastAsia="方正黑体_GBK" w:cs="方正黑体_GBK"/>
          <w:sz w:val="32"/>
          <w:szCs w:val="32"/>
          <w:lang w:val="en-US" w:eastAsia="zh-CN"/>
        </w:rPr>
        <w:t>一、</w:t>
      </w:r>
      <w:r>
        <w:rPr>
          <w:rFonts w:hint="eastAsia" w:ascii="Times New Roman" w:hAnsi="Times New Roman" w:eastAsia="方正黑体_GBK" w:cs="方正黑体_GBK"/>
          <w:sz w:val="32"/>
          <w:szCs w:val="32"/>
        </w:rPr>
        <w:t>单位概况</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Times New Roman" w:hAnsi="Times New Roman" w:eastAsia="方正楷体_GBK" w:cs="方正楷体_GBK"/>
          <w:sz w:val="32"/>
          <w:szCs w:val="32"/>
        </w:rPr>
      </w:pP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lang w:val="en-US" w:eastAsia="zh-CN"/>
        </w:rPr>
        <w:t>一</w:t>
      </w: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rPr>
        <w:t>基本情况</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Times New Roman" w:hAnsi="Times New Roman" w:eastAsia="方正仿宋_GBK" w:cs="方正仿宋_GBK"/>
          <w:sz w:val="32"/>
          <w:szCs w:val="32"/>
          <w:lang w:eastAsia="zh-CN"/>
        </w:rPr>
      </w:pPr>
      <w:r>
        <w:rPr>
          <w:rFonts w:hint="eastAsia" w:ascii="Times New Roman" w:hAnsi="Times New Roman" w:eastAsia="方正仿宋_GBK" w:cs="方正仿宋_GBK"/>
          <w:sz w:val="32"/>
          <w:szCs w:val="32"/>
        </w:rPr>
        <w:t>202</w:t>
      </w:r>
      <w:r>
        <w:rPr>
          <w:rFonts w:hint="eastAsia" w:ascii="Times New Roman" w:hAnsi="Times New Roman" w:eastAsia="方正仿宋_GBK" w:cs="方正仿宋_GBK"/>
          <w:sz w:val="32"/>
          <w:szCs w:val="32"/>
          <w:lang w:val="en-US" w:eastAsia="zh-CN"/>
        </w:rPr>
        <w:t>3</w:t>
      </w:r>
      <w:r>
        <w:rPr>
          <w:rFonts w:hint="eastAsia" w:ascii="Times New Roman" w:hAnsi="Times New Roman" w:eastAsia="方正仿宋_GBK" w:cs="方正仿宋_GBK"/>
          <w:sz w:val="32"/>
          <w:szCs w:val="32"/>
        </w:rPr>
        <w:t>年我单位预算编制范围包括</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机关奉节县信访办公室及所属事业单位县信访投诉受理中心，作为一级预算单位。我单位核定人员编制数为19人</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其中行政编制 12人，事业编制 6人，其他1人</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，实际在职在岗</w:t>
      </w:r>
      <w:r>
        <w:rPr>
          <w:rFonts w:hint="eastAsia" w:ascii="Times New Roman" w:hAnsi="Times New Roman" w:eastAsia="方正仿宋_GBK" w:cs="方正仿宋_GBK"/>
          <w:sz w:val="32"/>
          <w:szCs w:val="32"/>
          <w:lang w:val="en-US" w:eastAsia="zh-CN"/>
        </w:rPr>
        <w:t>16</w:t>
      </w:r>
      <w:r>
        <w:rPr>
          <w:rFonts w:hint="eastAsia" w:ascii="Times New Roman" w:hAnsi="Times New Roman" w:eastAsia="方正仿宋_GBK" w:cs="方正仿宋_GBK"/>
          <w:sz w:val="32"/>
          <w:szCs w:val="32"/>
        </w:rPr>
        <w:t>人，遗属补助1人。公务用车编制数 1台，实际0台。房屋建筑面积 1235平方米</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产权所属机关事务中心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，使用面积818.08 平方米</w:t>
      </w:r>
      <w:r>
        <w:rPr>
          <w:rFonts w:hint="eastAsia" w:ascii="Times New Roman" w:hAnsi="Times New Roman" w:eastAsia="方正仿宋_GBK" w:cs="方正仿宋_GBK"/>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Times New Roman" w:hAnsi="Times New Roman" w:eastAsia="方正楷体_GBK" w:cs="方正楷体_GBK"/>
          <w:sz w:val="32"/>
          <w:szCs w:val="32"/>
        </w:rPr>
      </w:pP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lang w:val="en-US" w:eastAsia="zh-CN"/>
        </w:rPr>
        <w:t>二</w:t>
      </w: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rPr>
        <w:t>基本职责</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负责处理县内外群众给县委、县政府的来信，接待群众来访</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保证信访渠道畅通</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及时、准确地向县委、县政府和县委、县政府领导同志反映来信来访中提出的重要建议、意见和问题</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综合分析信访信息，开展调查研究，提出制定有关政策的建议。承办县委、县政府和县委、县政府领导同志及上级机关及领导交办的信访事项，督促检查领导同志有关批示件的落实情况</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向乡镇</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街道</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和县级部门、有关单位交办信访事项，督促检查重要信访事项的处理和落实</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提出对有关单位和责任人信访工作职责履行不到位实施责任追究的建议。协调处理县委、县政府领导交办的跨乡镇</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街道</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跨部门的重要信访问题</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协调处理群众集体到县委、县政府上访和异常、突发信访事件。指导全县信访业务工作</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研究、起草我县有关信访工作的相关文件</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总结推广各乡镇</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街道</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、各部门信访工作经验，提出加强和改进信访工作的意见和建议。了解并掌握信访工作队伍建设情况，组织信访干部培训</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指导乡镇</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街道</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 xml:space="preserve">县级部门信访办公信息化建设。对信访信息进行筛选、上报和反馈，对重要信访问题开展调查研究，提出处理意见，供领导决策参考。负责收集、征集、并督促采纳人民群众建议。协调有关乡镇 </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街道</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和部门正确处理人民内部矛盾处置群体性事件，维护社会稳定。按照《信访</w:t>
      </w:r>
      <w:r>
        <w:rPr>
          <w:rFonts w:hint="eastAsia" w:ascii="Times New Roman" w:hAnsi="Times New Roman" w:eastAsia="方正仿宋_GBK" w:cs="方正仿宋_GBK"/>
          <w:sz w:val="32"/>
          <w:szCs w:val="32"/>
          <w:lang w:val="en-US" w:eastAsia="zh-CN"/>
        </w:rPr>
        <w:t>工作</w:t>
      </w:r>
      <w:r>
        <w:rPr>
          <w:rFonts w:hint="eastAsia" w:ascii="Times New Roman" w:hAnsi="Times New Roman" w:eastAsia="方正仿宋_GBK" w:cs="方正仿宋_GBK"/>
          <w:sz w:val="32"/>
          <w:szCs w:val="32"/>
        </w:rPr>
        <w:t>条例》规定，依法接受信访事项的复查、复核。完成县委、县政府交办的其他任务</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Times New Roman" w:hAnsi="Times New Roman" w:eastAsia="方正楷体_GBK" w:cs="方正楷体_GBK"/>
          <w:sz w:val="32"/>
          <w:szCs w:val="32"/>
        </w:rPr>
      </w:pP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lang w:val="en-US" w:eastAsia="zh-CN"/>
        </w:rPr>
        <w:t>三</w:t>
      </w: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rPr>
        <w:t>年度主要工作概述</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Times New Roman" w:hAnsi="Times New Roman" w:eastAsia="方正仿宋_GBK"/>
          <w:sz w:val="32"/>
          <w:szCs w:val="32"/>
        </w:rPr>
      </w:pPr>
      <w:r>
        <w:rPr>
          <w:rFonts w:hint="eastAsia" w:ascii="Times New Roman" w:hAnsi="Times New Roman" w:eastAsia="方正仿宋_GBK" w:cs="方正仿宋_GBK"/>
          <w:sz w:val="32"/>
          <w:szCs w:val="32"/>
        </w:rPr>
        <w:t>2023年，在县委县政府的正确领导下，在县信访联席办、市信访办的关心指导下，县信访办</w:t>
      </w:r>
      <w:r>
        <w:rPr>
          <w:rFonts w:hint="eastAsia" w:ascii="Times New Roman" w:hAnsi="Times New Roman" w:eastAsia="方正仿宋_GBK"/>
          <w:sz w:val="32"/>
          <w:szCs w:val="32"/>
        </w:rPr>
        <w:t>始终坚持以习近平新时代中国特色社会主义思想为指导，深入贯彻落实习近平总书记关于加强和改进人民信访工作的重要思想，紧紧围绕“控增量、减存量、防变量”总体思路与“全国信访工作示范县”创建目标，深化落实《信访工作条例》，突出稳进增效、除险清患、改革求变、惠民有感工作导向，坚持党建统领、整体智治、高效协同，深入践行“浦江经验”，以解决问题为核心、落实责任为关键、依法治理为保障，全力推进信访问题源头治理，着力加强信访突出问题化解，全县信访工作不断取得新成效</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Times New Roman" w:hAnsi="Times New Roman" w:eastAsia="方正楷体_GBK" w:cs="方正楷体_GBK"/>
          <w:sz w:val="32"/>
          <w:szCs w:val="32"/>
        </w:rPr>
      </w:pP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lang w:val="en-US" w:eastAsia="zh-CN"/>
        </w:rPr>
        <w:t>四</w:t>
      </w: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rPr>
        <w:t>绩效目标</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整体支出绩效目标申报及年中追加支出绩效目标情况</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年初预算下达了整体支出绩效目标，由于年中追加了预算，对整体支出绩效目标进行了调整，我单位根据调整后的整体支出绩效目标开展了自评。</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Times New Roman" w:hAnsi="Times New Roman" w:eastAsia="方正楷体_GBK" w:cs="方正楷体_GBK"/>
          <w:sz w:val="32"/>
          <w:szCs w:val="32"/>
        </w:rPr>
      </w:pP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lang w:val="en-US" w:eastAsia="zh-CN"/>
        </w:rPr>
        <w:t>五</w:t>
      </w: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rPr>
        <w:t>年度预决算情况</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我单位 202</w:t>
      </w:r>
      <w:r>
        <w:rPr>
          <w:rFonts w:hint="eastAsia" w:ascii="Times New Roman" w:hAnsi="Times New Roman" w:eastAsia="方正仿宋_GBK" w:cs="方正仿宋_GBK"/>
          <w:sz w:val="32"/>
          <w:szCs w:val="32"/>
          <w:lang w:val="en-US" w:eastAsia="zh-CN"/>
        </w:rPr>
        <w:t>3</w:t>
      </w:r>
      <w:r>
        <w:rPr>
          <w:rFonts w:hint="eastAsia" w:ascii="Times New Roman" w:hAnsi="Times New Roman" w:eastAsia="方正仿宋_GBK" w:cs="方正仿宋_GBK"/>
          <w:sz w:val="32"/>
          <w:szCs w:val="32"/>
        </w:rPr>
        <w:t>年初预算总收入为</w:t>
      </w:r>
      <w:r>
        <w:rPr>
          <w:rFonts w:hint="eastAsia" w:ascii="Times New Roman" w:hAnsi="Times New Roman" w:eastAsia="仿宋" w:cs="仿宋"/>
          <w:color w:val="000000"/>
          <w:sz w:val="32"/>
          <w:szCs w:val="32"/>
          <w:highlight w:val="none"/>
          <w:shd w:val="clear" w:color="auto" w:fill="FFFFFF"/>
          <w:lang w:val="en-US" w:eastAsia="zh-CN"/>
        </w:rPr>
        <w:t>443.11</w:t>
      </w:r>
      <w:r>
        <w:rPr>
          <w:rFonts w:hint="eastAsia" w:ascii="Times New Roman" w:hAnsi="Times New Roman" w:eastAsia="方正仿宋_GBK" w:cs="方正仿宋_GBK"/>
          <w:sz w:val="32"/>
          <w:szCs w:val="32"/>
        </w:rPr>
        <w:t>万元，年中追加收入</w:t>
      </w:r>
      <w:r>
        <w:rPr>
          <w:rFonts w:hint="eastAsia" w:ascii="Times New Roman" w:hAnsi="Times New Roman" w:eastAsia="方正仿宋_GBK" w:cs="方正仿宋_GBK"/>
          <w:sz w:val="32"/>
          <w:szCs w:val="32"/>
          <w:lang w:val="en-US" w:eastAsia="zh-CN"/>
        </w:rPr>
        <w:t>188.63</w:t>
      </w:r>
      <w:r>
        <w:rPr>
          <w:rFonts w:hint="eastAsia" w:ascii="Times New Roman" w:hAnsi="Times New Roman" w:eastAsia="方正仿宋_GBK" w:cs="方正仿宋_GBK"/>
          <w:sz w:val="32"/>
          <w:szCs w:val="32"/>
        </w:rPr>
        <w:t>万元，全年总收入为631.74万元</w:t>
      </w:r>
      <w:r>
        <w:rPr>
          <w:rFonts w:hint="eastAsia" w:ascii="Times New Roman" w:hAnsi="Times New Roman" w:eastAsia="方正仿宋_GBK" w:cs="方正仿宋_GBK"/>
          <w:sz w:val="32"/>
          <w:szCs w:val="32"/>
          <w:lang w:val="en-US" w:eastAsia="zh-CN"/>
        </w:rPr>
        <w:t>；</w:t>
      </w:r>
      <w:r>
        <w:rPr>
          <w:rFonts w:hint="eastAsia" w:ascii="Times New Roman" w:hAnsi="Times New Roman" w:eastAsia="方正仿宋_GBK" w:cs="方正仿宋_GBK"/>
          <w:sz w:val="32"/>
          <w:szCs w:val="32"/>
        </w:rPr>
        <w:t>全年总支出为631.74万元，其中</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基本支出631.74万元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工资福利支出366.6万元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商品和服务支出235.67 万元、对个人和家庭的补助29.47万元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，项目支出</w:t>
      </w:r>
      <w:r>
        <w:rPr>
          <w:rFonts w:hint="eastAsia" w:ascii="Times New Roman" w:hAnsi="Times New Roman" w:eastAsia="方正仿宋_GBK" w:cs="方正仿宋_GBK"/>
          <w:sz w:val="32"/>
          <w:szCs w:val="32"/>
          <w:lang w:val="en-US" w:eastAsia="zh-CN"/>
        </w:rPr>
        <w:t>0</w:t>
      </w:r>
      <w:r>
        <w:rPr>
          <w:rFonts w:hint="eastAsia" w:ascii="Times New Roman" w:hAnsi="Times New Roman" w:eastAsia="方正仿宋_GBK" w:cs="方正仿宋_GBK"/>
          <w:sz w:val="32"/>
          <w:szCs w:val="32"/>
        </w:rPr>
        <w:t>万元。</w:t>
      </w:r>
    </w:p>
    <w:p>
      <w:pPr>
        <w:keepNext w:val="0"/>
        <w:keepLines w:val="0"/>
        <w:pageBreakBefore w:val="0"/>
        <w:widowControl w:val="0"/>
        <w:numPr>
          <w:ilvl w:val="0"/>
          <w:numId w:val="1"/>
        </w:numPr>
        <w:kinsoku/>
        <w:wordWrap/>
        <w:overflowPunct/>
        <w:topLinePunct w:val="0"/>
        <w:autoSpaceDE/>
        <w:autoSpaceDN/>
        <w:bidi w:val="0"/>
        <w:adjustRightInd/>
        <w:snapToGrid/>
        <w:spacing w:line="594" w:lineRule="exact"/>
        <w:ind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年初预算收入</w:t>
      </w:r>
      <w:r>
        <w:rPr>
          <w:rFonts w:hint="eastAsia" w:ascii="Times New Roman" w:hAnsi="Times New Roman" w:eastAsia="仿宋" w:cs="仿宋"/>
          <w:color w:val="000000"/>
          <w:sz w:val="32"/>
          <w:szCs w:val="32"/>
          <w:highlight w:val="none"/>
          <w:shd w:val="clear" w:color="auto" w:fill="FFFFFF"/>
          <w:lang w:val="en-US" w:eastAsia="zh-CN"/>
        </w:rPr>
        <w:t>443.11</w:t>
      </w:r>
      <w:r>
        <w:rPr>
          <w:rFonts w:hint="eastAsia" w:ascii="Times New Roman" w:hAnsi="Times New Roman" w:eastAsia="方正仿宋_GBK" w:cs="方正仿宋_GBK"/>
          <w:sz w:val="32"/>
          <w:szCs w:val="32"/>
        </w:rPr>
        <w:t>万元，其中</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财政拨款收入年初预算</w:t>
      </w:r>
      <w:r>
        <w:rPr>
          <w:rFonts w:hint="eastAsia" w:ascii="Times New Roman" w:hAnsi="Times New Roman" w:eastAsia="仿宋" w:cs="仿宋"/>
          <w:color w:val="000000"/>
          <w:sz w:val="32"/>
          <w:szCs w:val="32"/>
          <w:highlight w:val="none"/>
          <w:shd w:val="clear" w:color="auto" w:fill="FFFFFF"/>
          <w:lang w:val="en-US" w:eastAsia="zh-CN"/>
        </w:rPr>
        <w:t>443.11</w:t>
      </w:r>
      <w:r>
        <w:rPr>
          <w:rFonts w:hint="eastAsia" w:ascii="Times New Roman" w:hAnsi="Times New Roman" w:eastAsia="方正仿宋_GBK" w:cs="方正仿宋_GBK"/>
          <w:sz w:val="32"/>
          <w:szCs w:val="32"/>
        </w:rPr>
        <w:t>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一般公共预算收入</w:t>
      </w:r>
      <w:r>
        <w:rPr>
          <w:rFonts w:hint="eastAsia" w:ascii="Times New Roman" w:hAnsi="Times New Roman" w:eastAsia="仿宋" w:cs="仿宋"/>
          <w:color w:val="000000"/>
          <w:sz w:val="32"/>
          <w:szCs w:val="32"/>
          <w:highlight w:val="none"/>
          <w:shd w:val="clear" w:color="auto" w:fill="FFFFFF"/>
          <w:lang w:val="en-US" w:eastAsia="zh-CN"/>
        </w:rPr>
        <w:t>443.11</w:t>
      </w:r>
      <w:r>
        <w:rPr>
          <w:rFonts w:hint="eastAsia" w:ascii="Times New Roman" w:hAnsi="Times New Roman" w:eastAsia="方正仿宋_GBK" w:cs="方正仿宋_GBK"/>
          <w:sz w:val="32"/>
          <w:szCs w:val="32"/>
        </w:rPr>
        <w:t>万元，政府基金预算收入0万元，国有资本经营收入预算0万元，社保基金预算收入0万元，其他收入0万元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，年中追加专项资金</w:t>
      </w:r>
      <w:r>
        <w:rPr>
          <w:rFonts w:hint="eastAsia" w:ascii="Times New Roman" w:hAnsi="Times New Roman" w:eastAsia="方正仿宋_GBK" w:cs="方正仿宋_GBK"/>
          <w:sz w:val="32"/>
          <w:szCs w:val="32"/>
          <w:lang w:val="en-US" w:eastAsia="zh-CN"/>
        </w:rPr>
        <w:t>188.63</w:t>
      </w:r>
      <w:r>
        <w:rPr>
          <w:rFonts w:hint="eastAsia" w:ascii="Times New Roman" w:hAnsi="Times New Roman" w:eastAsia="方正仿宋_GBK" w:cs="方正仿宋_GBK"/>
          <w:sz w:val="32"/>
          <w:szCs w:val="32"/>
        </w:rPr>
        <w:t>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一般公共预算收入</w:t>
      </w:r>
      <w:r>
        <w:rPr>
          <w:rFonts w:hint="eastAsia" w:ascii="Times New Roman" w:hAnsi="Times New Roman" w:eastAsia="方正仿宋_GBK" w:cs="方正仿宋_GBK"/>
          <w:sz w:val="32"/>
          <w:szCs w:val="32"/>
          <w:lang w:val="en-US" w:eastAsia="zh-CN"/>
        </w:rPr>
        <w:t>188.63</w:t>
      </w:r>
      <w:r>
        <w:rPr>
          <w:rFonts w:hint="eastAsia" w:ascii="Times New Roman" w:hAnsi="Times New Roman" w:eastAsia="方正仿宋_GBK" w:cs="方正仿宋_GBK"/>
          <w:sz w:val="32"/>
          <w:szCs w:val="32"/>
        </w:rPr>
        <w:t>万元，政府基金预算收入0万元，国有资本经营收入预算0万元，社保基金预算收入0万元，其他收入0万元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，共计收入 631.74万元。</w:t>
      </w:r>
    </w:p>
    <w:p>
      <w:pPr>
        <w:keepNext w:val="0"/>
        <w:keepLines w:val="0"/>
        <w:pageBreakBefore w:val="0"/>
        <w:widowControl w:val="0"/>
        <w:numPr>
          <w:ilvl w:val="0"/>
          <w:numId w:val="1"/>
        </w:numPr>
        <w:kinsoku/>
        <w:wordWrap/>
        <w:overflowPunct/>
        <w:topLinePunct w:val="0"/>
        <w:autoSpaceDE/>
        <w:autoSpaceDN/>
        <w:bidi w:val="0"/>
        <w:adjustRightInd/>
        <w:snapToGrid/>
        <w:spacing w:line="594" w:lineRule="exact"/>
        <w:ind w:left="0" w:leftChars="0"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年初预算支出</w:t>
      </w:r>
      <w:r>
        <w:rPr>
          <w:rFonts w:hint="eastAsia" w:ascii="Times New Roman" w:hAnsi="Times New Roman" w:eastAsia="仿宋" w:cs="仿宋"/>
          <w:color w:val="000000"/>
          <w:sz w:val="32"/>
          <w:szCs w:val="32"/>
          <w:highlight w:val="none"/>
          <w:shd w:val="clear" w:color="auto" w:fill="FFFFFF"/>
          <w:lang w:val="en-US" w:eastAsia="zh-CN"/>
        </w:rPr>
        <w:t>443.11</w:t>
      </w:r>
      <w:r>
        <w:rPr>
          <w:rFonts w:hint="eastAsia" w:ascii="Times New Roman" w:hAnsi="Times New Roman" w:eastAsia="方正仿宋_GBK" w:cs="方正仿宋_GBK"/>
          <w:sz w:val="32"/>
          <w:szCs w:val="32"/>
        </w:rPr>
        <w:t xml:space="preserve"> 万元，基本支出</w:t>
      </w:r>
      <w:r>
        <w:rPr>
          <w:rFonts w:hint="eastAsia" w:ascii="Times New Roman" w:hAnsi="Times New Roman" w:eastAsia="仿宋" w:cs="仿宋"/>
          <w:color w:val="000000"/>
          <w:sz w:val="32"/>
          <w:szCs w:val="32"/>
          <w:highlight w:val="none"/>
          <w:shd w:val="clear" w:color="auto" w:fill="FFFFFF"/>
          <w:lang w:val="en-US" w:eastAsia="zh-CN"/>
        </w:rPr>
        <w:t>443.11</w:t>
      </w:r>
      <w:r>
        <w:rPr>
          <w:rFonts w:hint="eastAsia" w:ascii="Times New Roman" w:hAnsi="Times New Roman" w:eastAsia="方正仿宋_GBK" w:cs="方正仿宋_GBK"/>
          <w:sz w:val="32"/>
          <w:szCs w:val="32"/>
        </w:rPr>
        <w:t xml:space="preserve"> 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工资福利支出</w:t>
      </w:r>
      <w:r>
        <w:rPr>
          <w:rFonts w:hint="eastAsia" w:ascii="Times New Roman" w:hAnsi="Times New Roman" w:eastAsia="方正仿宋_GBK" w:cs="方正仿宋_GBK"/>
          <w:sz w:val="32"/>
          <w:szCs w:val="32"/>
          <w:lang w:val="en-US" w:eastAsia="zh-CN"/>
        </w:rPr>
        <w:t>358.05</w:t>
      </w:r>
      <w:r>
        <w:rPr>
          <w:rFonts w:hint="eastAsia" w:ascii="Times New Roman" w:hAnsi="Times New Roman" w:eastAsia="方正仿宋_GBK" w:cs="方正仿宋_GBK"/>
          <w:sz w:val="32"/>
          <w:szCs w:val="32"/>
        </w:rPr>
        <w:t>万元、商品和服务支出</w:t>
      </w:r>
      <w:r>
        <w:rPr>
          <w:rFonts w:hint="eastAsia" w:ascii="Times New Roman" w:hAnsi="Times New Roman" w:eastAsia="方正仿宋_GBK" w:cs="方正仿宋_GBK"/>
          <w:sz w:val="32"/>
          <w:szCs w:val="32"/>
          <w:lang w:val="en-US" w:eastAsia="zh-CN"/>
        </w:rPr>
        <w:t>85.06</w:t>
      </w:r>
      <w:r>
        <w:rPr>
          <w:rFonts w:hint="eastAsia" w:ascii="Times New Roman" w:hAnsi="Times New Roman" w:eastAsia="方正仿宋_GBK" w:cs="方正仿宋_GBK"/>
          <w:sz w:val="32"/>
          <w:szCs w:val="32"/>
        </w:rPr>
        <w:t>万元、对个人和家庭的补助0万元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，项目支出</w:t>
      </w:r>
      <w:r>
        <w:rPr>
          <w:rFonts w:hint="eastAsia" w:ascii="Times New Roman" w:hAnsi="Times New Roman" w:eastAsia="方正仿宋_GBK" w:cs="方正仿宋_GBK"/>
          <w:sz w:val="32"/>
          <w:szCs w:val="32"/>
          <w:lang w:val="en-US" w:eastAsia="zh-CN"/>
        </w:rPr>
        <w:t>0</w:t>
      </w:r>
      <w:r>
        <w:rPr>
          <w:rFonts w:hint="eastAsia" w:ascii="Times New Roman" w:hAnsi="Times New Roman" w:eastAsia="方正仿宋_GBK" w:cs="方正仿宋_GBK"/>
          <w:sz w:val="32"/>
          <w:szCs w:val="32"/>
        </w:rPr>
        <w:t>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年中追加专项支</w:t>
      </w:r>
      <w:r>
        <w:rPr>
          <w:rFonts w:hint="eastAsia" w:ascii="Times New Roman" w:hAnsi="Times New Roman" w:eastAsia="方正仿宋_GBK" w:cs="方正仿宋_GBK"/>
          <w:sz w:val="32"/>
          <w:szCs w:val="32"/>
          <w:lang w:eastAsia="zh-CN"/>
        </w:rPr>
        <w:t>出</w:t>
      </w:r>
      <w:r>
        <w:rPr>
          <w:rFonts w:hint="eastAsia" w:ascii="Times New Roman" w:hAnsi="Times New Roman" w:eastAsia="方正仿宋_GBK" w:cs="方正仿宋_GBK"/>
          <w:sz w:val="32"/>
          <w:szCs w:val="32"/>
          <w:lang w:val="en-US" w:eastAsia="zh-CN"/>
        </w:rPr>
        <w:t>188.63</w:t>
      </w:r>
      <w:r>
        <w:rPr>
          <w:rFonts w:hint="eastAsia" w:ascii="Times New Roman" w:hAnsi="Times New Roman" w:eastAsia="方正仿宋_GBK" w:cs="方正仿宋_GBK"/>
          <w:sz w:val="32"/>
          <w:szCs w:val="32"/>
        </w:rPr>
        <w:t>万元，共计支出为631.74万元。</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Times New Roman" w:hAnsi="Times New Roman" w:eastAsia="方正黑体_GBK" w:cs="方正黑体_GBK"/>
          <w:sz w:val="32"/>
          <w:szCs w:val="32"/>
        </w:rPr>
      </w:pPr>
      <w:r>
        <w:rPr>
          <w:rFonts w:hint="eastAsia" w:ascii="Times New Roman" w:hAnsi="Times New Roman" w:eastAsia="方正黑体_GBK" w:cs="方正黑体_GBK"/>
          <w:sz w:val="32"/>
          <w:szCs w:val="32"/>
        </w:rPr>
        <w:t>二、整体支出管理及使用情况</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lang w:val="en-US" w:eastAsia="zh-CN"/>
        </w:rPr>
        <w:t>一</w:t>
      </w: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rPr>
        <w:t>基本支出</w:t>
      </w:r>
      <w:r>
        <w:rPr>
          <w:rFonts w:hint="eastAsia" w:ascii="Times New Roman" w:hAnsi="Times New Roman" w:eastAsia="方正楷体_GBK" w:cs="方正楷体_GBK"/>
          <w:sz w:val="32"/>
          <w:szCs w:val="32"/>
          <w:lang w:eastAsia="zh-CN"/>
        </w:rPr>
        <w:t>：</w:t>
      </w:r>
      <w:r>
        <w:rPr>
          <w:rFonts w:hint="eastAsia" w:ascii="Times New Roman" w:hAnsi="Times New Roman" w:eastAsia="方正仿宋_GBK" w:cs="方正仿宋_GBK"/>
          <w:sz w:val="32"/>
          <w:szCs w:val="32"/>
        </w:rPr>
        <w:t>202</w:t>
      </w:r>
      <w:r>
        <w:rPr>
          <w:rFonts w:hint="eastAsia" w:ascii="Times New Roman" w:hAnsi="Times New Roman" w:eastAsia="方正仿宋_GBK" w:cs="方正仿宋_GBK"/>
          <w:sz w:val="32"/>
          <w:szCs w:val="32"/>
          <w:lang w:val="en-US" w:eastAsia="zh-CN"/>
        </w:rPr>
        <w:t>3</w:t>
      </w:r>
      <w:r>
        <w:rPr>
          <w:rFonts w:hint="eastAsia" w:ascii="Times New Roman" w:hAnsi="Times New Roman" w:eastAsia="方正仿宋_GBK" w:cs="方正仿宋_GBK"/>
          <w:sz w:val="32"/>
          <w:szCs w:val="32"/>
        </w:rPr>
        <w:t>年度我单位基本支出631.74万元，其中</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人员支出</w:t>
      </w:r>
      <w:r>
        <w:rPr>
          <w:rFonts w:hint="eastAsia" w:ascii="Times New Roman" w:hAnsi="Times New Roman" w:eastAsia="方正仿宋_GBK" w:cs="方正仿宋_GBK"/>
          <w:sz w:val="32"/>
          <w:szCs w:val="32"/>
          <w:lang w:val="en-US" w:eastAsia="zh-CN"/>
        </w:rPr>
        <w:t>396.07</w:t>
      </w:r>
      <w:r>
        <w:rPr>
          <w:rFonts w:hint="eastAsia" w:ascii="Times New Roman" w:hAnsi="Times New Roman" w:eastAsia="方正仿宋_GBK" w:cs="方正仿宋_GBK"/>
          <w:sz w:val="32"/>
          <w:szCs w:val="32"/>
        </w:rPr>
        <w:t>万元，公用支出</w:t>
      </w:r>
      <w:r>
        <w:rPr>
          <w:rFonts w:hint="eastAsia" w:ascii="Times New Roman" w:hAnsi="Times New Roman" w:eastAsia="方正仿宋_GBK" w:cs="方正仿宋_GBK"/>
          <w:sz w:val="32"/>
          <w:szCs w:val="32"/>
          <w:lang w:val="en-US" w:eastAsia="zh-CN"/>
        </w:rPr>
        <w:t>235.67</w:t>
      </w:r>
      <w:r>
        <w:rPr>
          <w:rFonts w:hint="eastAsia" w:ascii="Times New Roman" w:hAnsi="Times New Roman" w:eastAsia="方正仿宋_GBK" w:cs="方正仿宋_GBK"/>
          <w:sz w:val="32"/>
          <w:szCs w:val="32"/>
        </w:rPr>
        <w:t>万元。</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202</w:t>
      </w:r>
      <w:r>
        <w:rPr>
          <w:rFonts w:hint="eastAsia" w:ascii="Times New Roman" w:hAnsi="Times New Roman" w:eastAsia="方正仿宋_GBK" w:cs="方正仿宋_GBK"/>
          <w:sz w:val="32"/>
          <w:szCs w:val="32"/>
          <w:lang w:val="en-US" w:eastAsia="zh-CN"/>
        </w:rPr>
        <w:t>3</w:t>
      </w:r>
      <w:r>
        <w:rPr>
          <w:rFonts w:hint="eastAsia" w:ascii="Times New Roman" w:hAnsi="Times New Roman" w:eastAsia="方正仿宋_GBK" w:cs="方正仿宋_GBK"/>
          <w:sz w:val="32"/>
          <w:szCs w:val="32"/>
        </w:rPr>
        <w:t>年</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三公</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经费支出1.06万元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预算为1.06万元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lang w:val="en-US" w:eastAsia="zh-CN"/>
        </w:rPr>
        <w:t>与去年持平</w:t>
      </w:r>
      <w:r>
        <w:rPr>
          <w:rFonts w:hint="eastAsia" w:ascii="Times New Roman" w:hAnsi="Times New Roman" w:eastAsia="方正仿宋_GBK" w:cs="方正仿宋_GBK"/>
          <w:sz w:val="32"/>
          <w:szCs w:val="32"/>
        </w:rPr>
        <w:t>。其中</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公务接待费1.06万元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预算为1.06万元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w:t>
      </w:r>
      <w:r>
        <w:rPr>
          <w:rFonts w:hint="eastAsia" w:ascii="Times New Roman" w:hAnsi="Times New Roman" w:eastAsia="方正仿宋_GBK" w:cs="方正仿宋_GBK"/>
          <w:sz w:val="32"/>
          <w:szCs w:val="32"/>
          <w:lang w:val="en-US" w:eastAsia="zh-CN"/>
        </w:rPr>
        <w:t>与去年持平</w:t>
      </w:r>
      <w:r>
        <w:rPr>
          <w:rFonts w:hint="eastAsia" w:ascii="Times New Roman" w:hAnsi="Times New Roman" w:eastAsia="方正仿宋_GBK" w:cs="方正仿宋_GBK"/>
          <w:sz w:val="32"/>
          <w:szCs w:val="32"/>
        </w:rPr>
        <w:t>，公务用车运行维护费0万元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预算为0万元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，政府采购完成0万元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预算为0万元</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lang w:val="en-US" w:eastAsia="zh-CN"/>
        </w:rPr>
        <w:t>二</w:t>
      </w: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rPr>
        <w:t>项目支出</w:t>
      </w:r>
      <w:r>
        <w:rPr>
          <w:rFonts w:hint="eastAsia" w:ascii="Times New Roman" w:hAnsi="Times New Roman" w:eastAsia="方正楷体_GBK" w:cs="方正楷体_GBK"/>
          <w:sz w:val="32"/>
          <w:szCs w:val="32"/>
          <w:lang w:eastAsia="zh-CN"/>
        </w:rPr>
        <w:t>：</w:t>
      </w:r>
      <w:r>
        <w:rPr>
          <w:rFonts w:hint="eastAsia" w:ascii="Times New Roman" w:hAnsi="Times New Roman" w:eastAsia="方正仿宋_GBK" w:cs="方正仿宋_GBK"/>
          <w:sz w:val="32"/>
          <w:szCs w:val="32"/>
        </w:rPr>
        <w:t>202</w:t>
      </w:r>
      <w:r>
        <w:rPr>
          <w:rFonts w:hint="eastAsia" w:ascii="Times New Roman" w:hAnsi="Times New Roman" w:eastAsia="方正仿宋_GBK" w:cs="方正仿宋_GBK"/>
          <w:sz w:val="32"/>
          <w:szCs w:val="32"/>
          <w:lang w:val="en-US" w:eastAsia="zh-CN"/>
        </w:rPr>
        <w:t>3</w:t>
      </w:r>
      <w:r>
        <w:rPr>
          <w:rFonts w:hint="eastAsia" w:ascii="Times New Roman" w:hAnsi="Times New Roman" w:eastAsia="方正仿宋_GBK" w:cs="方正仿宋_GBK"/>
          <w:sz w:val="32"/>
          <w:szCs w:val="32"/>
        </w:rPr>
        <w:t xml:space="preserve">年财政拨款项目支出 </w:t>
      </w:r>
      <w:r>
        <w:rPr>
          <w:rFonts w:hint="eastAsia" w:ascii="Times New Roman" w:hAnsi="Times New Roman" w:eastAsia="方正仿宋_GBK" w:cs="方正仿宋_GBK"/>
          <w:sz w:val="32"/>
          <w:szCs w:val="32"/>
          <w:lang w:val="en-US" w:eastAsia="zh-CN"/>
        </w:rPr>
        <w:t>0</w:t>
      </w:r>
      <w:r>
        <w:rPr>
          <w:rFonts w:hint="eastAsia" w:ascii="Times New Roman" w:hAnsi="Times New Roman" w:eastAsia="方正仿宋_GBK" w:cs="方正仿宋_GBK"/>
          <w:sz w:val="32"/>
          <w:szCs w:val="32"/>
        </w:rPr>
        <w:t>万元，</w:t>
      </w:r>
      <w:r>
        <w:rPr>
          <w:rFonts w:hint="eastAsia" w:ascii="Times New Roman" w:hAnsi="Times New Roman" w:eastAsia="方正仿宋_GBK" w:cs="方正仿宋_GBK"/>
          <w:sz w:val="32"/>
          <w:szCs w:val="32"/>
          <w:lang w:val="en-US" w:eastAsia="zh-CN"/>
        </w:rPr>
        <w:t>与去年持平</w:t>
      </w:r>
      <w:r>
        <w:rPr>
          <w:rFonts w:hint="eastAsia" w:ascii="Times New Roman" w:hAnsi="Times New Roman" w:eastAsia="方正仿宋_GBK" w:cs="方正仿宋_GBK"/>
          <w:sz w:val="32"/>
          <w:szCs w:val="32"/>
        </w:rPr>
        <w:t>。</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Times New Roman" w:hAnsi="Times New Roman" w:eastAsia="方正黑体_GBK" w:cs="方正黑体_GBK"/>
          <w:sz w:val="32"/>
          <w:szCs w:val="32"/>
        </w:rPr>
      </w:pPr>
      <w:r>
        <w:rPr>
          <w:rFonts w:hint="eastAsia" w:ascii="Times New Roman" w:hAnsi="Times New Roman" w:eastAsia="方正黑体_GBK" w:cs="方正黑体_GBK"/>
          <w:sz w:val="32"/>
          <w:szCs w:val="32"/>
        </w:rPr>
        <w:t>三、整体支出绩效情况</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lang w:val="en-US" w:eastAsia="zh-CN"/>
        </w:rPr>
        <w:t>一</w:t>
      </w: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rPr>
        <w:t>财务管理制度建设情况</w:t>
      </w:r>
      <w:r>
        <w:rPr>
          <w:rFonts w:hint="eastAsia" w:ascii="Times New Roman" w:hAnsi="Times New Roman" w:eastAsia="方正楷体_GBK" w:cs="方正楷体_GBK"/>
          <w:sz w:val="32"/>
          <w:szCs w:val="32"/>
          <w:lang w:eastAsia="zh-CN"/>
        </w:rPr>
        <w:t>：</w:t>
      </w:r>
      <w:r>
        <w:rPr>
          <w:rFonts w:hint="eastAsia" w:ascii="Times New Roman" w:hAnsi="Times New Roman" w:eastAsia="方正仿宋_GBK" w:cs="方正仿宋_GBK"/>
          <w:sz w:val="32"/>
          <w:szCs w:val="32"/>
        </w:rPr>
        <w:t>资金拨付严格按程序申报</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审批，合理合规使用资金，确保财政资金安全。</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lang w:val="en-US" w:eastAsia="zh-CN"/>
        </w:rPr>
        <w:t>二</w:t>
      </w: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rPr>
        <w:t>资产管理</w:t>
      </w:r>
      <w:r>
        <w:rPr>
          <w:rFonts w:hint="eastAsia" w:ascii="Times New Roman" w:hAnsi="Times New Roman" w:eastAsia="方正楷体_GBK" w:cs="方正楷体_GBK"/>
          <w:sz w:val="32"/>
          <w:szCs w:val="32"/>
          <w:lang w:eastAsia="zh-CN"/>
        </w:rPr>
        <w:t>：</w:t>
      </w:r>
      <w:r>
        <w:rPr>
          <w:rFonts w:hint="eastAsia" w:ascii="Times New Roman" w:hAnsi="Times New Roman" w:eastAsia="方正仿宋_GBK" w:cs="方正仿宋_GBK"/>
          <w:sz w:val="32"/>
          <w:szCs w:val="32"/>
        </w:rPr>
        <w:t>按照要求及时报送资产情况报表，确保各项资产核算准确、</w:t>
      </w:r>
      <w:r>
        <w:rPr>
          <w:rFonts w:hint="eastAsia" w:ascii="Times New Roman" w:hAnsi="Times New Roman" w:eastAsia="方正仿宋_GBK" w:cs="方正仿宋_GBK"/>
          <w:sz w:val="32"/>
          <w:szCs w:val="32"/>
          <w:lang w:val="en-US" w:eastAsia="zh-CN"/>
        </w:rPr>
        <w:t>账实相符</w:t>
      </w:r>
      <w:r>
        <w:rPr>
          <w:rFonts w:hint="eastAsia" w:ascii="Times New Roman" w:hAnsi="Times New Roman" w:eastAsia="方正仿宋_GBK" w:cs="方正仿宋_GBK"/>
          <w:sz w:val="32"/>
          <w:szCs w:val="32"/>
        </w:rPr>
        <w:t>、管理到位。</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lang w:val="en-US" w:eastAsia="zh-CN"/>
        </w:rPr>
        <w:t>三</w:t>
      </w: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rPr>
        <w:t>预决算公开</w:t>
      </w: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rPr>
        <w:t xml:space="preserve"> </w:t>
      </w:r>
      <w:r>
        <w:rPr>
          <w:rFonts w:hint="eastAsia" w:ascii="Times New Roman" w:hAnsi="Times New Roman" w:eastAsia="方正仿宋_GBK" w:cs="方正仿宋_GBK"/>
          <w:sz w:val="32"/>
          <w:szCs w:val="32"/>
        </w:rPr>
        <w:t>在县人民政府门户网站上按时进行了预决算公开。</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lang w:val="en-US" w:eastAsia="zh-CN"/>
        </w:rPr>
        <w:t>四</w:t>
      </w: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rPr>
        <w:t>“三公”经费控制情况</w:t>
      </w:r>
      <w:r>
        <w:rPr>
          <w:rFonts w:hint="eastAsia" w:ascii="Times New Roman" w:hAnsi="Times New Roman" w:eastAsia="方正楷体_GBK" w:cs="方正楷体_GBK"/>
          <w:sz w:val="32"/>
          <w:szCs w:val="32"/>
          <w:lang w:eastAsia="zh-CN"/>
        </w:rPr>
        <w:t>：</w:t>
      </w:r>
      <w:r>
        <w:rPr>
          <w:rFonts w:hint="eastAsia" w:ascii="Times New Roman" w:hAnsi="Times New Roman" w:eastAsia="方正仿宋_GBK" w:cs="方正仿宋_GBK"/>
          <w:sz w:val="32"/>
          <w:szCs w:val="32"/>
        </w:rPr>
        <w:t>能严格遵守各项规章制度，</w:t>
      </w:r>
      <w:r>
        <w:rPr>
          <w:rFonts w:hint="eastAsia" w:ascii="Times New Roman" w:hAnsi="Times New Roman" w:eastAsia="方正仿宋_GBK" w:cs="方正仿宋_GBK"/>
          <w:sz w:val="32"/>
          <w:szCs w:val="32"/>
          <w:lang w:val="en-US" w:eastAsia="zh-CN"/>
        </w:rPr>
        <w:t>严</w:t>
      </w:r>
      <w:r>
        <w:rPr>
          <w:rFonts w:hint="eastAsia" w:ascii="Times New Roman" w:hAnsi="Times New Roman" w:eastAsia="方正仿宋_GBK" w:cs="方正仿宋_GBK"/>
          <w:sz w:val="32"/>
          <w:szCs w:val="32"/>
        </w:rPr>
        <w:t>控“三公”经费支出，“三公”经费减少，并及时在县人民政府门户网站上对“</w:t>
      </w:r>
      <w:bookmarkStart w:id="0" w:name="_GoBack"/>
      <w:bookmarkEnd w:id="0"/>
      <w:r>
        <w:rPr>
          <w:rFonts w:hint="eastAsia" w:ascii="Times New Roman" w:hAnsi="Times New Roman" w:eastAsia="方正仿宋_GBK" w:cs="方正仿宋_GBK"/>
          <w:sz w:val="32"/>
          <w:szCs w:val="32"/>
        </w:rPr>
        <w:t>三公”经费情况进行公示。</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Times New Roman" w:hAnsi="Times New Roman" w:eastAsia="方正仿宋_GBK" w:cs="方正仿宋_GBK"/>
          <w:sz w:val="32"/>
          <w:szCs w:val="32"/>
          <w:lang w:eastAsia="zh-CN"/>
        </w:rPr>
      </w:pP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lang w:val="en-US" w:eastAsia="zh-CN"/>
        </w:rPr>
        <w:t>五</w:t>
      </w: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rPr>
        <w:t>政府采购情况</w:t>
      </w:r>
      <w:r>
        <w:rPr>
          <w:rFonts w:hint="eastAsia" w:ascii="Times New Roman" w:hAnsi="Times New Roman" w:eastAsia="方正楷体_GBK" w:cs="方正楷体_GBK"/>
          <w:sz w:val="32"/>
          <w:szCs w:val="32"/>
          <w:lang w:eastAsia="zh-CN"/>
        </w:rPr>
        <w:t>：</w:t>
      </w:r>
      <w:r>
        <w:rPr>
          <w:rFonts w:hint="eastAsia" w:ascii="Times New Roman" w:hAnsi="Times New Roman" w:eastAsia="方正仿宋_GBK" w:cs="方正仿宋_GBK"/>
          <w:sz w:val="32"/>
          <w:szCs w:val="32"/>
        </w:rPr>
        <w:t>无</w:t>
      </w:r>
      <w:r>
        <w:rPr>
          <w:rFonts w:hint="eastAsia" w:ascii="Times New Roman" w:hAnsi="Times New Roman" w:eastAsia="方正仿宋_GBK" w:cs="方正仿宋_GBK"/>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ascii="Times New Roman" w:hAnsi="Times New Roman" w:eastAsia="方正仿宋_GBK"/>
          <w:sz w:val="32"/>
          <w:szCs w:val="32"/>
        </w:rPr>
      </w:pP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lang w:val="en-US" w:eastAsia="zh-CN"/>
        </w:rPr>
        <w:t>六</w:t>
      </w:r>
      <w:r>
        <w:rPr>
          <w:rFonts w:hint="eastAsia" w:ascii="Times New Roman" w:hAnsi="Times New Roman" w:eastAsia="方正楷体_GBK" w:cs="方正楷体_GBK"/>
          <w:sz w:val="32"/>
          <w:szCs w:val="32"/>
          <w:lang w:eastAsia="zh-CN"/>
        </w:rPr>
        <w:t>）</w:t>
      </w:r>
      <w:r>
        <w:rPr>
          <w:rFonts w:hint="eastAsia" w:ascii="Times New Roman" w:hAnsi="Times New Roman" w:eastAsia="方正楷体_GBK" w:cs="方正楷体_GBK"/>
          <w:sz w:val="32"/>
          <w:szCs w:val="32"/>
        </w:rPr>
        <w:t>认真履行职责情况</w:t>
      </w:r>
      <w:r>
        <w:rPr>
          <w:rFonts w:hint="eastAsia" w:ascii="Times New Roman" w:hAnsi="Times New Roman" w:eastAsia="方正楷体_GBK" w:cs="方正楷体_GBK"/>
          <w:sz w:val="32"/>
          <w:szCs w:val="32"/>
          <w:lang w:eastAsia="zh-CN"/>
        </w:rPr>
        <w:t>：</w:t>
      </w:r>
      <w:r>
        <w:rPr>
          <w:rFonts w:hint="eastAsia" w:ascii="方正仿宋_GBK" w:hAnsi="方正仿宋_GBK" w:eastAsia="方正仿宋_GBK" w:cs="方正仿宋_GBK"/>
          <w:sz w:val="32"/>
          <w:szCs w:val="32"/>
        </w:rPr>
        <w:t>一是信访形势整体向好</w:t>
      </w:r>
      <w:r>
        <w:rPr>
          <w:rFonts w:hint="eastAsia" w:ascii="Times New Roman" w:hAnsi="Times New Roman" w:eastAsia="方正楷体_GBK"/>
          <w:sz w:val="32"/>
          <w:szCs w:val="32"/>
        </w:rPr>
        <w:t>。</w:t>
      </w:r>
      <w:r>
        <w:rPr>
          <w:rFonts w:hint="eastAsia" w:ascii="Times New Roman" w:hAnsi="Times New Roman" w:eastAsia="方正仿宋_GBK"/>
          <w:sz w:val="32"/>
          <w:szCs w:val="32"/>
        </w:rPr>
        <w:t>2023年，共受理群众信访事项1630件2192人次。其中：重复信访462件，占总量的28.34%；信件277件，占总量的16.99%；网上投诉1188件（含走访代理426件），网上信访占比达72.88%。信访结构更趋合理。</w:t>
      </w:r>
      <w:r>
        <w:rPr>
          <w:rFonts w:hint="eastAsia" w:ascii="方正仿宋_GBK" w:hAnsi="方正仿宋_GBK" w:eastAsia="方正仿宋_GBK" w:cs="方正仿宋_GBK"/>
          <w:sz w:val="32"/>
          <w:szCs w:val="32"/>
        </w:rPr>
        <w:t>二是信访事项办理高效。</w:t>
      </w:r>
      <w:r>
        <w:rPr>
          <w:rFonts w:hint="eastAsia" w:ascii="Times New Roman" w:hAnsi="Times New Roman" w:eastAsia="方正仿宋_GBK"/>
          <w:sz w:val="32"/>
          <w:szCs w:val="32"/>
          <w:lang w:val="en-US" w:eastAsia="zh-CN"/>
        </w:rPr>
        <w:t>全县各级各部门信访事项及时受理率100%、按期答复率100%；初次求决类信访事项一次性化解率95.03%，群众参评率95.87%、参评群众满意率96.33%。</w:t>
      </w:r>
      <w:r>
        <w:rPr>
          <w:rFonts w:hint="eastAsia" w:ascii="方正仿宋_GBK" w:hAnsi="方正仿宋_GBK" w:eastAsia="方正仿宋_GBK" w:cs="方正仿宋_GBK"/>
          <w:sz w:val="32"/>
          <w:szCs w:val="32"/>
        </w:rPr>
        <w:t>三是信访活动保障有力。高质量完成全</w:t>
      </w:r>
      <w:r>
        <w:rPr>
          <w:rFonts w:hint="eastAsia" w:ascii="Times New Roman" w:hAnsi="Times New Roman" w:eastAsia="方正仿宋_GBK"/>
          <w:sz w:val="32"/>
          <w:szCs w:val="32"/>
        </w:rPr>
        <w:t>国两会、成都大运会、杭州亚运会等重要敏感时期信访安全保障任务，实现“六个零”目标和“三个不发生”。</w:t>
      </w:r>
      <w:r>
        <w:rPr>
          <w:rFonts w:hint="eastAsia" w:ascii="方正仿宋_GBK" w:hAnsi="方正仿宋_GBK" w:eastAsia="方正仿宋_GBK" w:cs="方正仿宋_GBK"/>
          <w:sz w:val="32"/>
          <w:szCs w:val="32"/>
        </w:rPr>
        <w:t>四是信访品牌创建有方。在</w:t>
      </w:r>
      <w:r>
        <w:rPr>
          <w:rFonts w:hint="eastAsia" w:ascii="Times New Roman" w:hAnsi="Times New Roman" w:eastAsia="方正仿宋_GBK"/>
          <w:sz w:val="32"/>
          <w:szCs w:val="32"/>
        </w:rPr>
        <w:t>化解信访积案过程中，我们认真总结提炼，形成了“探索‘三四三’工作机制，攻坚克难化积案”的典型经验，先后获市委政法委、市信访联席办简报专版刊发，在人民网、重庆日报等媒体进行了专题宣传报道，义胜县长做出肯定性批示，巫山县组团来奉学习交流。</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Times New Roman" w:hAnsi="Times New Roman" w:eastAsia="方正黑体_GBK" w:cs="方正黑体_GBK"/>
          <w:sz w:val="32"/>
          <w:szCs w:val="32"/>
          <w:lang w:val="en-US" w:eastAsia="zh-CN"/>
        </w:rPr>
      </w:pPr>
      <w:r>
        <w:rPr>
          <w:rFonts w:hint="eastAsia" w:ascii="Times New Roman" w:hAnsi="Times New Roman" w:eastAsia="方正黑体_GBK" w:cs="方正黑体_GBK"/>
          <w:sz w:val="32"/>
          <w:szCs w:val="32"/>
          <w:lang w:val="en-US" w:eastAsia="zh-CN"/>
        </w:rPr>
        <w:t>四、评价结论及分析</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通过认真开展单位整体支出绩效目标自评，综合评分100分评价结果为优。</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Times New Roman" w:hAnsi="Times New Roman" w:eastAsia="方正楷体_GBK" w:cs="方正楷体_GBK"/>
          <w:sz w:val="32"/>
          <w:szCs w:val="32"/>
          <w:lang w:val="en-US" w:eastAsia="zh-CN"/>
        </w:rPr>
      </w:pPr>
      <w:r>
        <w:rPr>
          <w:rFonts w:hint="eastAsia" w:ascii="Times New Roman" w:hAnsi="Times New Roman" w:eastAsia="方正楷体_GBK" w:cs="方正楷体_GBK"/>
          <w:sz w:val="32"/>
          <w:szCs w:val="32"/>
          <w:lang w:val="en-US" w:eastAsia="zh-CN"/>
        </w:rPr>
        <w:t>（一）经济性分析</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执行绩效评价体系，从以下几个方面提升了我单位的绩效工作：一是加大支出管理。严格执行公务接待、公车管理及差旅费会议费管理，坚持厉行节约，努力降低财政运行成本。二是严格预算约束做好增收节支，极力控制非生产性支出，降低行政运行成本，严肃财经纪律，坚决反对铺张浪费。三是加强预算执行，建立健全财政资金使用管理办法，促进资金使用效益。四是积极化解存量债务，严控政府性债务风险。</w:t>
      </w:r>
    </w:p>
    <w:p>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firstLine="640" w:firstLineChars="200"/>
        <w:textAlignment w:val="auto"/>
        <w:rPr>
          <w:rFonts w:hint="eastAsia" w:ascii="Times New Roman" w:hAnsi="Times New Roman" w:eastAsia="方正楷体_GBK" w:cs="方正楷体_GBK"/>
          <w:sz w:val="32"/>
          <w:szCs w:val="32"/>
          <w:lang w:val="en-US" w:eastAsia="zh-CN"/>
        </w:rPr>
      </w:pPr>
      <w:r>
        <w:rPr>
          <w:rFonts w:hint="eastAsia" w:ascii="Times New Roman" w:hAnsi="Times New Roman" w:eastAsia="方正楷体_GBK" w:cs="方正楷体_GBK"/>
          <w:sz w:val="32"/>
          <w:szCs w:val="32"/>
          <w:lang w:val="en-US" w:eastAsia="zh-CN"/>
        </w:rPr>
        <w:t>（二）效率性分析</w:t>
      </w:r>
    </w:p>
    <w:p>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firstLine="640" w:firstLineChars="200"/>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项目严格按照实施内容及阶段控制表执行，资金使用严格遵循预期目标，如期完成。项目验收方式基本合理，验收结果公正。</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Times New Roman" w:hAnsi="Times New Roman" w:eastAsia="方正楷体_GBK" w:cs="方正楷体_GBK"/>
          <w:sz w:val="32"/>
          <w:szCs w:val="32"/>
          <w:lang w:val="en-US" w:eastAsia="zh-CN"/>
        </w:rPr>
      </w:pPr>
      <w:r>
        <w:rPr>
          <w:rFonts w:hint="eastAsia" w:ascii="Times New Roman" w:hAnsi="Times New Roman" w:eastAsia="方正楷体_GBK" w:cs="方正楷体_GBK"/>
          <w:sz w:val="32"/>
          <w:szCs w:val="32"/>
          <w:lang w:val="en-US" w:eastAsia="zh-CN"/>
        </w:rPr>
        <w:t>（三）效益性分析</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 xml:space="preserve">2023年，我单位的绩效评价工作在办党组的坚强领导下，在人民群众的监督指导下，在社会各界的大力支持下，深入挖掘增收潜力，坚持稳增长、调结构、促改革、惠民生、防风险，各项支出得到较好保障，为社会大局和谐稳定提供了坚强保障。    </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黑体_GBK" w:cs="方正黑体_GBK"/>
          <w:sz w:val="32"/>
          <w:szCs w:val="32"/>
          <w:lang w:val="en-US" w:eastAsia="zh-CN"/>
        </w:rPr>
        <w:t>五、存在的问题</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（一）因业务水平有限，年初预算的编制支出类别上理解不够，比如基本支出和项目支出，在日常业务操作时容易出错。</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（二）预决算项目支出编制需进一步明确、精细化。同时项目执行率需进一步提高。</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三）随着对预、决算编制工作水平要求越来越高，数据编制要求越来越精准、规范；时间紧、任务重；加之现行决算工作与实际账务处理工作间衔接还存在一定差异；会计人员业务明显增加，人员紧缺，加之业务操作水平有限，实际操作中确实感到力不从心。</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Times New Roman" w:hAnsi="Times New Roman" w:eastAsia="方正黑体_GBK" w:cs="方正黑体_GBK"/>
          <w:sz w:val="32"/>
          <w:szCs w:val="32"/>
          <w:lang w:val="en-US" w:eastAsia="zh-CN"/>
        </w:rPr>
      </w:pPr>
      <w:r>
        <w:rPr>
          <w:rFonts w:hint="eastAsia" w:ascii="Times New Roman" w:hAnsi="Times New Roman" w:eastAsia="方正黑体_GBK" w:cs="方正黑体_GBK"/>
          <w:sz w:val="32"/>
          <w:szCs w:val="32"/>
          <w:lang w:val="en-US" w:eastAsia="zh-CN"/>
        </w:rPr>
        <w:t>六、改进措施和有关建议</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（一）细化预算编制工作，进一步加强内设机构的预算管理意识，严格按照预算编制的相关制度和要求进行预算编制。</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二）加强财务管理，严格财务审核。加强单位财务管理，健全单位财务管理制度体系，规范单位财务行为。在费用报账支付时，按照预算规定的费用项目和用途进行资金使用审核、财务严格核算，杜绝超支现象的发生。</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（三）合理安排会计岗位，适当增加会计人员，增加业务知识培训，加强决算工作与账务处理工作衔接。</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Times New Roman" w:hAnsi="Times New Roman" w:eastAsia="方正仿宋_GBK" w:cs="方正仿宋_GBK"/>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附件： 部门（单位）整体支出预算绩效自评表</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Times New Roman" w:hAnsi="Times New Roman" w:eastAsia="方正仿宋_GBK" w:cs="方正仿宋_GBK"/>
          <w:sz w:val="32"/>
          <w:szCs w:val="32"/>
          <w:lang w:val="en-US" w:eastAsia="zh-CN"/>
        </w:rPr>
      </w:pP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 xml:space="preserve">                           奉节县信访办公室</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 xml:space="preserve">                            2024年1月30日</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Times New Roman" w:hAnsi="Times New Roman" w:eastAsia="方正仿宋_GBK" w:cs="方正仿宋_GBK"/>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Times New Roman" w:hAnsi="Times New Roman" w:eastAsia="方正仿宋_GBK" w:cs="方正仿宋_GBK"/>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Times New Roman" w:hAnsi="Times New Roman" w:eastAsia="方正仿宋_GBK" w:cs="方正仿宋_GBK"/>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Times New Roman" w:hAnsi="Times New Roman" w:eastAsia="方正仿宋_GBK" w:cs="方正仿宋_GBK"/>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Times New Roman" w:hAnsi="Times New Roman" w:eastAsia="方正仿宋_GBK" w:cs="方正仿宋_GBK"/>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Times New Roman" w:hAnsi="Times New Roman" w:eastAsia="方正仿宋_GBK" w:cs="方正仿宋_GBK"/>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Times New Roman" w:hAnsi="Times New Roman" w:eastAsia="方正仿宋_GBK" w:cs="方正仿宋_GBK"/>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Times New Roman" w:hAnsi="Times New Roman" w:eastAsia="方正仿宋_GBK" w:cs="方正仿宋_GBK"/>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94" w:lineRule="exact"/>
        <w:textAlignment w:val="auto"/>
        <w:rPr>
          <w:rFonts w:hint="default" w:ascii="Times New Roman" w:hAnsi="Times New Roman" w:eastAsia="方正仿宋_GBK" w:cs="方正仿宋_GBK"/>
          <w:sz w:val="32"/>
          <w:szCs w:val="32"/>
          <w:lang w:val="en-US" w:eastAsia="zh-CN"/>
        </w:rPr>
      </w:pPr>
    </w:p>
    <w:sectPr>
      <w:footerReference r:id="rId3" w:type="default"/>
      <w:pgSz w:w="11906" w:h="16838"/>
      <w:pgMar w:top="2098" w:right="1446" w:bottom="1644" w:left="1446"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方正仿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0F3C52"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461722"/>
    <w:multiLevelType w:val="singleLevel"/>
    <w:tmpl w:val="0C461722"/>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dmYzEwZWVhNzE0ZjhiY2I1ZGM2ODlhN2FhMTY3NDgifQ=="/>
  </w:docVars>
  <w:rsids>
    <w:rsidRoot w:val="00000000"/>
    <w:rsid w:val="01072343"/>
    <w:rsid w:val="031B15BA"/>
    <w:rsid w:val="03EF46BF"/>
    <w:rsid w:val="04B52C5F"/>
    <w:rsid w:val="04D9499D"/>
    <w:rsid w:val="0D2C7836"/>
    <w:rsid w:val="12B04A66"/>
    <w:rsid w:val="155618F4"/>
    <w:rsid w:val="1616403B"/>
    <w:rsid w:val="1618179F"/>
    <w:rsid w:val="17127A9D"/>
    <w:rsid w:val="19C41123"/>
    <w:rsid w:val="1BA50EE0"/>
    <w:rsid w:val="1E391DB3"/>
    <w:rsid w:val="1F0432CE"/>
    <w:rsid w:val="1FBA5176"/>
    <w:rsid w:val="207A5CC4"/>
    <w:rsid w:val="211E2D2B"/>
    <w:rsid w:val="21F4671D"/>
    <w:rsid w:val="246102B6"/>
    <w:rsid w:val="28643ED1"/>
    <w:rsid w:val="28A739AB"/>
    <w:rsid w:val="2EEB0EA8"/>
    <w:rsid w:val="32C52503"/>
    <w:rsid w:val="39777F08"/>
    <w:rsid w:val="3B84690C"/>
    <w:rsid w:val="3C1108C0"/>
    <w:rsid w:val="3DBF378F"/>
    <w:rsid w:val="40624D42"/>
    <w:rsid w:val="407056B1"/>
    <w:rsid w:val="417C1E33"/>
    <w:rsid w:val="44615A3C"/>
    <w:rsid w:val="45320ABD"/>
    <w:rsid w:val="466E4440"/>
    <w:rsid w:val="477F5000"/>
    <w:rsid w:val="4AC705C3"/>
    <w:rsid w:val="4BA864A3"/>
    <w:rsid w:val="4C1142BE"/>
    <w:rsid w:val="52D51C92"/>
    <w:rsid w:val="53334A48"/>
    <w:rsid w:val="56A417B8"/>
    <w:rsid w:val="56E542AB"/>
    <w:rsid w:val="570A3D11"/>
    <w:rsid w:val="5D1C02FB"/>
    <w:rsid w:val="605F3F2D"/>
    <w:rsid w:val="60E16A77"/>
    <w:rsid w:val="612E4715"/>
    <w:rsid w:val="639758FA"/>
    <w:rsid w:val="66D71AD7"/>
    <w:rsid w:val="76AA651F"/>
    <w:rsid w:val="77B533CE"/>
    <w:rsid w:val="78C108EC"/>
    <w:rsid w:val="79FD2E0A"/>
    <w:rsid w:val="7A044199"/>
    <w:rsid w:val="7A6F5AB6"/>
    <w:rsid w:val="7D0C7D3D"/>
    <w:rsid w:val="7ED4682F"/>
    <w:rsid w:val="FBE892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Default"/>
    <w:basedOn w:val="3"/>
    <w:next w:val="1"/>
    <w:qFormat/>
    <w:uiPriority w:val="0"/>
    <w:pPr>
      <w:widowControl w:val="0"/>
      <w:autoSpaceDE w:val="0"/>
      <w:autoSpaceDN w:val="0"/>
      <w:adjustRightInd w:val="0"/>
    </w:pPr>
    <w:rPr>
      <w:rFonts w:ascii="方正仿宋_GBK" w:hAnsi="Times New Roman" w:eastAsia="方正仿宋_GBK" w:cs="Times New Roman"/>
      <w:color w:val="000000"/>
      <w:sz w:val="24"/>
      <w:szCs w:val="24"/>
      <w:lang w:val="en-US" w:eastAsia="zh-CN" w:bidi="ar-SA"/>
    </w:rPr>
  </w:style>
  <w:style w:type="paragraph" w:styleId="3">
    <w:name w:val="Plain Text"/>
    <w:basedOn w:val="1"/>
    <w:qFormat/>
    <w:uiPriority w:val="0"/>
    <w:rPr>
      <w:rFonts w:ascii="宋体" w:hAnsi="Courier New" w:cs="Courier New"/>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3099</Words>
  <Characters>3318</Characters>
  <Lines>0</Lines>
  <Paragraphs>0</Paragraphs>
  <TotalTime>0</TotalTime>
  <ScaleCrop>false</ScaleCrop>
  <LinksUpToDate>false</LinksUpToDate>
  <CharactersWithSpaces>3391</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2023-07-11T09:21:00Z</dcterms:created>
  <dc:creator>kxdn</dc:creator>
  <cp:lastModifiedBy>guest</cp:lastModifiedBy>
  <dcterms:modified xsi:type="dcterms:W3CDTF">2024-12-20T11:57:27Z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B9BA51CF362649B995946B22F0546467_12</vt:lpwstr>
  </property>
</Properties>
</file>