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default" w:ascii="Times New Roman" w:hAnsi="Times New Roman" w:eastAsia="方正仿宋_GBK" w:cs="Times New Roman"/>
          <w:b/>
          <w:sz w:val="44"/>
          <w:szCs w:val="44"/>
        </w:rPr>
      </w:pPr>
      <w:r>
        <w:rPr>
          <w:rFonts w:hint="eastAsia" w:cs="Times New Roman"/>
          <w:b/>
          <w:sz w:val="44"/>
          <w:szCs w:val="44"/>
          <w:lang w:val="en-US" w:eastAsia="zh-CN"/>
        </w:rPr>
        <w:t>百日清零、储备资金</w:t>
      </w:r>
      <w:r>
        <w:rPr>
          <w:rFonts w:hint="default" w:ascii="Times New Roman" w:hAnsi="Times New Roman" w:eastAsia="方正仿宋_GBK" w:cs="Times New Roman"/>
          <w:b/>
          <w:sz w:val="44"/>
          <w:szCs w:val="44"/>
          <w:lang w:val="en-US" w:eastAsia="zh-CN"/>
        </w:rPr>
        <w:t>项目支出</w:t>
      </w:r>
      <w:r>
        <w:rPr>
          <w:rFonts w:hint="default" w:ascii="Times New Roman" w:hAnsi="Times New Roman" w:eastAsia="方正仿宋_GBK" w:cs="Times New Roman"/>
          <w:b/>
          <w:sz w:val="44"/>
          <w:szCs w:val="44"/>
        </w:rPr>
        <w:t>自评报告</w:t>
      </w:r>
    </w:p>
    <w:p>
      <w:pPr>
        <w:spacing w:line="600" w:lineRule="exact"/>
        <w:jc w:val="center"/>
        <w:rPr>
          <w:rFonts w:hint="default" w:ascii="Times New Roman" w:hAnsi="Times New Roman" w:eastAsia="方正仿宋_GBK" w:cs="Times New Roman"/>
          <w:b/>
          <w:sz w:val="30"/>
          <w:szCs w:val="30"/>
        </w:rPr>
      </w:pPr>
    </w:p>
    <w:p>
      <w:pPr>
        <w:spacing w:line="600" w:lineRule="exact"/>
        <w:ind w:firstLine="560" w:firstLineChars="200"/>
        <w:rPr>
          <w:rFonts w:hint="default" w:ascii="Times New Roman" w:hAnsi="Times New Roman" w:eastAsia="方正仿宋_GBK" w:cs="Times New Roman"/>
          <w:sz w:val="28"/>
          <w:szCs w:val="28"/>
        </w:rPr>
      </w:pP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一、绩效目标分解下达情况</w:t>
      </w:r>
    </w:p>
    <w:p>
      <w:pPr>
        <w:spacing w:line="600" w:lineRule="exact"/>
        <w:ind w:firstLine="640" w:firstLineChars="200"/>
        <w:outlineLvl w:val="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（一）县财政下达</w:t>
      </w:r>
      <w:r>
        <w:rPr>
          <w:rFonts w:hint="default" w:ascii="Times New Roman" w:hAnsi="Times New Roman" w:eastAsia="方正仿宋_GBK" w:cs="Times New Roman"/>
          <w:sz w:val="32"/>
          <w:szCs w:val="32"/>
          <w:lang w:eastAsia="zh-CN"/>
        </w:rPr>
        <w:t>项目</w:t>
      </w:r>
      <w:r>
        <w:rPr>
          <w:rFonts w:hint="default" w:ascii="Times New Roman" w:hAnsi="Times New Roman" w:eastAsia="方正仿宋_GBK" w:cs="Times New Roman"/>
          <w:sz w:val="32"/>
          <w:szCs w:val="32"/>
        </w:rPr>
        <w:t>绩效目标情况。</w:t>
      </w:r>
      <w:r>
        <w:rPr>
          <w:rFonts w:hint="default" w:ascii="Times New Roman" w:hAnsi="Times New Roman" w:eastAsia="方正仿宋_GBK" w:cs="Times New Roman"/>
          <w:sz w:val="32"/>
          <w:szCs w:val="32"/>
          <w:lang w:eastAsia="zh-CN"/>
        </w:rPr>
        <w:t>奉节县财政局《关</w:t>
      </w:r>
      <w:r>
        <w:rPr>
          <w:rFonts w:hint="default" w:ascii="Times New Roman" w:hAnsi="Times New Roman" w:cs="Times New Roman"/>
          <w:sz w:val="32"/>
          <w:szCs w:val="32"/>
          <w:lang w:val="en-US" w:eastAsia="zh-CN"/>
        </w:rPr>
        <w:t>于</w:t>
      </w:r>
      <w:r>
        <w:rPr>
          <w:rFonts w:hint="default" w:ascii="Times New Roman" w:hAnsi="Times New Roman" w:eastAsia="方正仿宋_GBK" w:cs="Times New Roman"/>
          <w:sz w:val="32"/>
          <w:szCs w:val="32"/>
          <w:lang w:eastAsia="zh-CN"/>
        </w:rPr>
        <w:t>下达</w:t>
      </w:r>
      <w:r>
        <w:rPr>
          <w:rFonts w:hint="eastAsia" w:cs="Times New Roman"/>
          <w:sz w:val="32"/>
          <w:szCs w:val="32"/>
          <w:lang w:val="en-US" w:eastAsia="zh-CN"/>
        </w:rPr>
        <w:t>百日大会战征地拆迁成本资金结算</w:t>
      </w:r>
      <w:r>
        <w:rPr>
          <w:rFonts w:hint="default" w:ascii="Times New Roman" w:hAnsi="Times New Roman" w:eastAsia="方正仿宋_GBK" w:cs="Times New Roman"/>
          <w:sz w:val="32"/>
          <w:szCs w:val="32"/>
          <w:lang w:val="en-US" w:eastAsia="zh-CN"/>
        </w:rPr>
        <w:t>的通知</w:t>
      </w:r>
      <w:r>
        <w:rPr>
          <w:rFonts w:hint="default" w:ascii="Times New Roman" w:hAnsi="Times New Roman" w:eastAsia="方正仿宋_GBK" w:cs="Times New Roman"/>
          <w:sz w:val="32"/>
          <w:szCs w:val="32"/>
          <w:lang w:eastAsia="zh-CN"/>
        </w:rPr>
        <w:t>》（奉节财建〔2022〕43号），在下达资金预算时同步下达了绩效目标。</w:t>
      </w:r>
    </w:p>
    <w:p>
      <w:pPr>
        <w:tabs>
          <w:tab w:val="left" w:pos="7080"/>
        </w:tabs>
        <w:spacing w:line="600" w:lineRule="exact"/>
        <w:ind w:firstLine="640" w:firstLineChars="200"/>
        <w:outlineLvl w:val="0"/>
        <w:rPr>
          <w:rFonts w:hint="eastAsia" w:cs="Times New Roman"/>
          <w:sz w:val="32"/>
          <w:szCs w:val="32"/>
          <w:lang w:eastAsia="zh-CN"/>
        </w:rPr>
      </w:pPr>
      <w:r>
        <w:rPr>
          <w:rFonts w:hint="default" w:ascii="Times New Roman" w:hAnsi="Times New Roman" w:eastAsia="方正仿宋_GBK" w:cs="Times New Roman"/>
          <w:sz w:val="32"/>
          <w:szCs w:val="32"/>
        </w:rPr>
        <w:t>（二）部门资金安排、分解下达预算和绩效目标情况</w:t>
      </w:r>
      <w:r>
        <w:rPr>
          <w:rFonts w:hint="eastAsia" w:cs="Times New Roman"/>
          <w:sz w:val="32"/>
          <w:szCs w:val="32"/>
          <w:lang w:eastAsia="zh-CN"/>
        </w:rPr>
        <w:t>。</w:t>
      </w:r>
    </w:p>
    <w:p>
      <w:pPr>
        <w:tabs>
          <w:tab w:val="left" w:pos="7080"/>
        </w:tabs>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按奉节县实施城市规划建设和其它项目建设需要缴存征地社会保障费用和开展国有土地使用权收回收购工作，维护公共利益，保障土地权利人合法权益，促进土地资源高效配置和合理利用。</w:t>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二、绩效目标完成情况分析</w:t>
      </w:r>
    </w:p>
    <w:p>
      <w:pPr>
        <w:spacing w:line="600" w:lineRule="exact"/>
        <w:ind w:firstLine="640" w:firstLineChars="200"/>
        <w:outlineLvl w:val="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（一）资金投入情况分析。</w:t>
      </w:r>
    </w:p>
    <w:p>
      <w:pPr>
        <w:spacing w:line="600" w:lineRule="exact"/>
        <w:ind w:firstLine="640" w:firstLineChars="200"/>
        <w:rPr>
          <w:rFonts w:hint="eastAsia" w:cs="Times New Roman"/>
          <w:color w:val="auto"/>
          <w:sz w:val="32"/>
          <w:szCs w:val="32"/>
          <w:lang w:val="en-US" w:eastAsia="zh-CN"/>
        </w:rPr>
      </w:pPr>
      <w:r>
        <w:rPr>
          <w:rFonts w:hint="eastAsia" w:cs="Times New Roman"/>
          <w:sz w:val="32"/>
          <w:szCs w:val="32"/>
          <w:lang w:val="en-US" w:eastAsia="zh-CN"/>
        </w:rPr>
        <w:t>1.</w:t>
      </w:r>
      <w:r>
        <w:rPr>
          <w:rFonts w:hint="default" w:ascii="Times New Roman" w:hAnsi="Times New Roman" w:eastAsia="方正仿宋_GBK" w:cs="Times New Roman"/>
          <w:sz w:val="32"/>
          <w:szCs w:val="32"/>
        </w:rPr>
        <w:t>项目资金到位情况</w:t>
      </w:r>
      <w:r>
        <w:rPr>
          <w:rFonts w:hint="eastAsia" w:cs="Times New Roman"/>
          <w:sz w:val="32"/>
          <w:szCs w:val="32"/>
          <w:lang w:eastAsia="zh-CN"/>
        </w:rPr>
        <w:t>。</w:t>
      </w:r>
      <w:r>
        <w:rPr>
          <w:rFonts w:hint="eastAsia" w:cs="Times New Roman"/>
          <w:sz w:val="32"/>
          <w:szCs w:val="32"/>
          <w:lang w:val="en-US" w:eastAsia="zh-CN"/>
        </w:rPr>
        <w:t>2022年3月28日收到</w:t>
      </w:r>
      <w:r>
        <w:rPr>
          <w:rFonts w:hint="default" w:ascii="Times New Roman" w:hAnsi="Times New Roman" w:eastAsia="方正仿宋_GBK" w:cs="Times New Roman"/>
          <w:color w:val="auto"/>
          <w:sz w:val="32"/>
          <w:szCs w:val="32"/>
          <w:lang w:eastAsia="zh-CN"/>
        </w:rPr>
        <w:t>项目资金</w:t>
      </w:r>
      <w:r>
        <w:rPr>
          <w:rFonts w:hint="eastAsia" w:cs="Times New Roman"/>
          <w:color w:val="auto"/>
          <w:sz w:val="32"/>
          <w:szCs w:val="32"/>
          <w:lang w:val="en-US" w:eastAsia="zh-CN"/>
        </w:rPr>
        <w:t>209.1016万元</w:t>
      </w:r>
      <w:r>
        <w:rPr>
          <w:rFonts w:hint="default" w:ascii="Times New Roman" w:hAnsi="Times New Roman" w:eastAsia="方正仿宋_GBK" w:cs="Times New Roman"/>
          <w:color w:val="auto"/>
          <w:sz w:val="32"/>
          <w:szCs w:val="32"/>
          <w:lang w:eastAsia="zh-CN"/>
        </w:rPr>
        <w:t>，共计到位</w:t>
      </w:r>
      <w:r>
        <w:rPr>
          <w:rFonts w:hint="eastAsia" w:cs="Times New Roman"/>
          <w:color w:val="auto"/>
          <w:sz w:val="32"/>
          <w:szCs w:val="32"/>
          <w:lang w:val="en-US" w:eastAsia="zh-CN"/>
        </w:rPr>
        <w:t>209.1016万元。</w:t>
      </w:r>
    </w:p>
    <w:p>
      <w:pPr>
        <w:spacing w:line="600" w:lineRule="exact"/>
        <w:ind w:firstLine="640" w:firstLineChars="200"/>
        <w:rPr>
          <w:rFonts w:hint="eastAsia" w:cs="Times New Roman"/>
          <w:color w:val="auto"/>
          <w:sz w:val="32"/>
          <w:szCs w:val="32"/>
          <w:lang w:val="en-US" w:eastAsia="zh-CN"/>
        </w:rPr>
      </w:pPr>
      <w:r>
        <w:rPr>
          <w:rFonts w:hint="eastAsia" w:cs="Times New Roman"/>
          <w:color w:val="auto"/>
          <w:sz w:val="32"/>
          <w:szCs w:val="32"/>
          <w:lang w:val="en-US" w:eastAsia="zh-CN"/>
        </w:rPr>
        <w:t>2.</w:t>
      </w:r>
      <w:r>
        <w:rPr>
          <w:rFonts w:hint="default" w:ascii="Times New Roman" w:hAnsi="Times New Roman" w:eastAsia="方正仿宋_GBK" w:cs="Times New Roman"/>
          <w:color w:val="auto"/>
          <w:sz w:val="32"/>
          <w:szCs w:val="32"/>
        </w:rPr>
        <w:t>项目资金执行情况</w:t>
      </w:r>
      <w:r>
        <w:rPr>
          <w:rFonts w:hint="eastAsia" w:cs="Times New Roman"/>
          <w:color w:val="auto"/>
          <w:sz w:val="32"/>
          <w:szCs w:val="32"/>
          <w:lang w:eastAsia="zh-CN"/>
        </w:rPr>
        <w:t>。</w:t>
      </w:r>
      <w:r>
        <w:rPr>
          <w:rFonts w:hint="eastAsia" w:cs="Times New Roman"/>
          <w:color w:val="auto"/>
          <w:sz w:val="32"/>
          <w:szCs w:val="32"/>
          <w:lang w:val="en-US" w:eastAsia="zh-CN"/>
        </w:rPr>
        <w:t>2022年4月6日</w:t>
      </w:r>
      <w:r>
        <w:rPr>
          <w:rFonts w:hint="default" w:ascii="Times New Roman" w:hAnsi="Times New Roman" w:eastAsia="方正仿宋_GBK" w:cs="Times New Roman"/>
          <w:color w:val="auto"/>
          <w:sz w:val="32"/>
          <w:szCs w:val="32"/>
          <w:lang w:eastAsia="zh-CN"/>
        </w:rPr>
        <w:t>时间支付项目资金</w:t>
      </w:r>
      <w:r>
        <w:rPr>
          <w:rFonts w:hint="eastAsia" w:cs="Times New Roman"/>
          <w:color w:val="auto"/>
          <w:sz w:val="32"/>
          <w:szCs w:val="32"/>
          <w:lang w:val="en-US" w:eastAsia="zh-CN"/>
        </w:rPr>
        <w:t>22.4703万元、186.6313万元</w:t>
      </w:r>
      <w:r>
        <w:rPr>
          <w:rFonts w:hint="default" w:ascii="Times New Roman" w:hAnsi="Times New Roman" w:eastAsia="方正仿宋_GBK" w:cs="Times New Roman"/>
          <w:color w:val="auto"/>
          <w:sz w:val="32"/>
          <w:szCs w:val="32"/>
          <w:lang w:eastAsia="zh-CN"/>
        </w:rPr>
        <w:t>，共计支付</w:t>
      </w:r>
      <w:r>
        <w:rPr>
          <w:rFonts w:hint="eastAsia" w:cs="Times New Roman"/>
          <w:color w:val="auto"/>
          <w:sz w:val="32"/>
          <w:szCs w:val="32"/>
          <w:lang w:val="en-US" w:eastAsia="zh-CN"/>
        </w:rPr>
        <w:t>209.1016万元。</w:t>
      </w:r>
    </w:p>
    <w:p>
      <w:pPr>
        <w:spacing w:line="600" w:lineRule="exact"/>
        <w:ind w:firstLine="640" w:firstLineChars="200"/>
        <w:rPr>
          <w:rFonts w:hint="default" w:ascii="Times New Roman" w:hAnsi="Times New Roman" w:eastAsia="方正仿宋_GBK" w:cs="Times New Roman"/>
          <w:sz w:val="32"/>
          <w:szCs w:val="32"/>
        </w:rPr>
      </w:pPr>
      <w:r>
        <w:rPr>
          <w:rFonts w:hint="eastAsia" w:cs="Times New Roman"/>
          <w:color w:val="auto"/>
          <w:sz w:val="32"/>
          <w:szCs w:val="32"/>
          <w:lang w:val="en-US" w:eastAsia="zh-CN"/>
        </w:rPr>
        <w:t>3.</w:t>
      </w:r>
      <w:r>
        <w:rPr>
          <w:rFonts w:hint="default" w:ascii="Times New Roman" w:hAnsi="Times New Roman" w:eastAsia="方正仿宋_GBK" w:cs="Times New Roman"/>
          <w:color w:val="auto"/>
          <w:sz w:val="32"/>
          <w:szCs w:val="32"/>
        </w:rPr>
        <w:t>项目资金管理情况</w:t>
      </w:r>
      <w:r>
        <w:rPr>
          <w:rFonts w:hint="eastAsia" w:cs="Times New Roman"/>
          <w:color w:val="auto"/>
          <w:sz w:val="32"/>
          <w:szCs w:val="32"/>
          <w:lang w:eastAsia="zh-CN"/>
        </w:rPr>
        <w:t>。</w:t>
      </w:r>
      <w:r>
        <w:rPr>
          <w:rFonts w:hint="default" w:ascii="Times New Roman" w:hAnsi="Times New Roman" w:eastAsia="方正仿宋_GBK" w:cs="Times New Roman"/>
          <w:color w:val="auto"/>
          <w:sz w:val="32"/>
          <w:szCs w:val="32"/>
        </w:rPr>
        <w:t>根据渝</w:t>
      </w:r>
      <w:r>
        <w:rPr>
          <w:rFonts w:hint="default" w:ascii="Times New Roman" w:hAnsi="Times New Roman" w:eastAsia="方正仿宋_GBK" w:cs="Times New Roman"/>
          <w:sz w:val="32"/>
          <w:szCs w:val="32"/>
        </w:rPr>
        <w:t>府办发【2021】121号文件规定对实施城镇规划建设土地征收缴存征地社会保障费用；根据《重庆市国有土地使用权收回收购办法》（渝规资规范〔2020〕15号）文件开展国有土地使用权收回收购工作，按政府批准的收回收购项目补偿价款；实际土地储备运行开支。</w:t>
      </w:r>
    </w:p>
    <w:p>
      <w:pPr>
        <w:spacing w:line="600" w:lineRule="exact"/>
        <w:ind w:firstLine="640" w:firstLineChars="200"/>
        <w:outlineLvl w:val="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（二）总体绩效目标完成情况分析。</w:t>
      </w:r>
    </w:p>
    <w:p>
      <w:pPr>
        <w:pStyle w:val="2"/>
        <w:ind w:firstLine="640" w:firstLineChars="200"/>
        <w:rPr>
          <w:rFonts w:hint="default"/>
        </w:rPr>
      </w:pPr>
      <w:r>
        <w:rPr>
          <w:rFonts w:hint="default" w:ascii="Times New Roman" w:hAnsi="Times New Roman" w:eastAsia="方正仿宋_GBK" w:cs="Times New Roman"/>
          <w:color w:val="auto"/>
          <w:kern w:val="2"/>
          <w:sz w:val="32"/>
          <w:szCs w:val="32"/>
          <w:lang w:val="en-US" w:eastAsia="zh-CN" w:bidi="ar-SA"/>
        </w:rPr>
        <w:t>按奉节县实施城市规划建设和其它项目建设需要缴存征地社会保障费用和开展国有土地使用权收回收购工作，维护公共利益，保障土地权利人合法权益，促进土地资源高效配置和合理利用。已拨付康乐镇等城镇规划建设等征迁成本</w:t>
      </w:r>
      <w:r>
        <w:rPr>
          <w:rFonts w:hint="eastAsia" w:ascii="Times New Roman" w:cs="Times New Roman"/>
          <w:color w:val="auto"/>
          <w:kern w:val="2"/>
          <w:sz w:val="32"/>
          <w:szCs w:val="32"/>
          <w:lang w:val="en-US" w:eastAsia="zh-CN" w:bidi="ar-SA"/>
        </w:rPr>
        <w:t>、</w:t>
      </w:r>
      <w:r>
        <w:rPr>
          <w:rFonts w:hint="default" w:ascii="Times New Roman" w:hAnsi="Times New Roman" w:eastAsia="方正仿宋_GBK" w:cs="Times New Roman"/>
          <w:color w:val="auto"/>
          <w:kern w:val="2"/>
          <w:sz w:val="32"/>
          <w:szCs w:val="32"/>
          <w:lang w:val="en-US" w:eastAsia="zh-CN" w:bidi="ar-SA"/>
        </w:rPr>
        <w:t>土地储备各项费用</w:t>
      </w:r>
      <w:r>
        <w:rPr>
          <w:rFonts w:hint="eastAsia" w:ascii="Times New Roman" w:cs="Times New Roman"/>
          <w:color w:val="auto"/>
          <w:kern w:val="2"/>
          <w:sz w:val="32"/>
          <w:szCs w:val="32"/>
          <w:lang w:val="en-US" w:eastAsia="zh-CN" w:bidi="ar-SA"/>
        </w:rPr>
        <w:t>。</w:t>
      </w:r>
    </w:p>
    <w:p>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bCs/>
          <w:sz w:val="32"/>
          <w:szCs w:val="32"/>
        </w:rPr>
        <w:t>（三）绩效目标完成情况分析。</w:t>
      </w:r>
      <w:r>
        <w:rPr>
          <w:rFonts w:hint="default" w:ascii="Times New Roman" w:hAnsi="Times New Roman" w:eastAsia="方正仿宋_GBK" w:cs="Times New Roman"/>
          <w:sz w:val="32"/>
          <w:szCs w:val="32"/>
        </w:rPr>
        <w:t>（根据年初绩效目标及指标逐项分析）</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1.产出指标完成情况分析。</w:t>
      </w:r>
    </w:p>
    <w:p>
      <w:pPr>
        <w:spacing w:line="600" w:lineRule="exact"/>
        <w:ind w:firstLine="640" w:firstLineChars="200"/>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（1）数量指标。已拨付康乐镇等城镇规划建设等征迁成本</w:t>
      </w:r>
      <w:r>
        <w:rPr>
          <w:rFonts w:hint="eastAsia" w:cs="Times New Roman"/>
          <w:sz w:val="32"/>
          <w:szCs w:val="32"/>
          <w:lang w:eastAsia="zh-CN"/>
        </w:rPr>
        <w:t>剩余部分</w:t>
      </w:r>
      <w:r>
        <w:rPr>
          <w:rFonts w:hint="eastAsia" w:cs="Times New Roman"/>
          <w:color w:val="auto"/>
          <w:sz w:val="32"/>
          <w:szCs w:val="32"/>
          <w:lang w:val="en-US" w:eastAsia="zh-CN"/>
        </w:rPr>
        <w:t>186.6313万元，已拨付土地储备各项费用剩余部分22.4703万元。</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（2）质量指标。</w:t>
      </w:r>
    </w:p>
    <w:p>
      <w:pPr>
        <w:spacing w:line="600" w:lineRule="exact"/>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（3）时效指标。</w:t>
      </w:r>
      <w:r>
        <w:rPr>
          <w:rFonts w:hint="eastAsia" w:cs="Times New Roman"/>
          <w:sz w:val="32"/>
          <w:szCs w:val="32"/>
          <w:lang w:eastAsia="zh-CN"/>
        </w:rPr>
        <w:t>按时完成率</w:t>
      </w:r>
      <w:r>
        <w:rPr>
          <w:rFonts w:hint="eastAsia" w:cs="Times New Roman"/>
          <w:sz w:val="32"/>
          <w:szCs w:val="32"/>
          <w:lang w:val="en-US" w:eastAsia="zh-CN"/>
        </w:rPr>
        <w:t>100%。</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（4）成本指标。</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2.效益指标完成情况分析。</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（1）经济效益。</w:t>
      </w:r>
    </w:p>
    <w:p>
      <w:pPr>
        <w:spacing w:line="600" w:lineRule="exact"/>
        <w:ind w:firstLine="640" w:firstLineChars="200"/>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（2）社会效益。达到城市规划和项目建设需要</w:t>
      </w:r>
      <w:r>
        <w:rPr>
          <w:rFonts w:hint="eastAsia" w:cs="Times New Roman"/>
          <w:sz w:val="32"/>
          <w:szCs w:val="32"/>
          <w:lang w:eastAsia="zh-CN"/>
        </w:rPr>
        <w:t>，维护公共利益，保障土地权利人合法权益。</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（3）生态效益。</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（4）可持续影响。</w:t>
      </w:r>
    </w:p>
    <w:p>
      <w:pPr>
        <w:spacing w:line="600" w:lineRule="exact"/>
        <w:ind w:firstLine="640" w:firstLineChars="200"/>
        <w:rPr>
          <w:rFonts w:hint="default"/>
          <w:lang w:val="en-US"/>
        </w:rPr>
      </w:pPr>
      <w:r>
        <w:rPr>
          <w:rFonts w:hint="default" w:ascii="Times New Roman" w:hAnsi="Times New Roman" w:eastAsia="方正仿宋_GBK" w:cs="Times New Roman"/>
          <w:sz w:val="32"/>
          <w:szCs w:val="32"/>
        </w:rPr>
        <w:t>3.满意度指标完成情况分析。</w:t>
      </w:r>
      <w:r>
        <w:rPr>
          <w:rFonts w:hint="default" w:ascii="Times New Roman" w:hAnsi="Times New Roman" w:eastAsia="方正仿宋_GBK" w:cs="Times New Roman"/>
          <w:color w:val="auto"/>
          <w:kern w:val="2"/>
          <w:sz w:val="32"/>
          <w:szCs w:val="32"/>
          <w:lang w:val="en-US" w:eastAsia="zh-CN" w:bidi="ar-SA"/>
        </w:rPr>
        <w:t>服务对象满意度</w:t>
      </w:r>
      <w:r>
        <w:rPr>
          <w:rFonts w:hint="eastAsia" w:cs="Times New Roman"/>
          <w:color w:val="auto"/>
          <w:kern w:val="2"/>
          <w:sz w:val="32"/>
          <w:szCs w:val="32"/>
          <w:lang w:val="en-US" w:eastAsia="zh-CN" w:bidi="ar-SA"/>
        </w:rPr>
        <w:t>达</w:t>
      </w:r>
      <w:r>
        <w:rPr>
          <w:rFonts w:hint="eastAsia" w:ascii="Times New Roman" w:cs="Times New Roman"/>
          <w:color w:val="auto"/>
          <w:kern w:val="2"/>
          <w:sz w:val="32"/>
          <w:szCs w:val="32"/>
          <w:lang w:val="en-US" w:eastAsia="zh-CN" w:bidi="ar-SA"/>
        </w:rPr>
        <w:t>90%。</w:t>
      </w:r>
    </w:p>
    <w:p>
      <w:pPr>
        <w:numPr>
          <w:ilvl w:val="0"/>
          <w:numId w:val="0"/>
        </w:numPr>
        <w:spacing w:line="600" w:lineRule="exact"/>
        <w:ind w:left="640" w:leftChars="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三、绩效自评结果情况</w:t>
      </w:r>
    </w:p>
    <w:p>
      <w:pPr>
        <w:numPr>
          <w:ilvl w:val="0"/>
          <w:numId w:val="0"/>
        </w:numPr>
        <w:ind w:firstLine="640" w:firstLineChars="200"/>
        <w:rPr>
          <w:rFonts w:hint="default" w:ascii="Times New Roman" w:hAnsi="Times New Roman" w:cs="Times New Roman"/>
        </w:rPr>
      </w:pPr>
      <w:r>
        <w:rPr>
          <w:rFonts w:hint="default" w:ascii="Times New Roman" w:hAnsi="Times New Roman" w:eastAsia="仿宋_GB2312" w:cs="Times New Roman"/>
          <w:i w:val="0"/>
          <w:iCs w:val="0"/>
          <w:caps w:val="0"/>
          <w:color w:val="000000"/>
          <w:spacing w:val="0"/>
          <w:sz w:val="32"/>
          <w:szCs w:val="32"/>
          <w:lang w:val="en-US" w:eastAsia="zh-CN"/>
        </w:rPr>
        <w:t>通过认真开展单位项目支出绩效目标自评，综合评分</w:t>
      </w:r>
      <w:r>
        <w:rPr>
          <w:rFonts w:hint="eastAsia" w:eastAsia="仿宋_GB2312" w:cs="Times New Roman"/>
          <w:i w:val="0"/>
          <w:iCs w:val="0"/>
          <w:caps w:val="0"/>
          <w:color w:val="000000"/>
          <w:spacing w:val="0"/>
          <w:sz w:val="32"/>
          <w:szCs w:val="32"/>
          <w:lang w:val="en-US" w:eastAsia="zh-CN"/>
        </w:rPr>
        <w:t>98</w:t>
      </w:r>
      <w:r>
        <w:rPr>
          <w:rFonts w:hint="default" w:ascii="Times New Roman" w:hAnsi="Times New Roman" w:eastAsia="仿宋_GB2312" w:cs="Times New Roman"/>
          <w:i w:val="0"/>
          <w:iCs w:val="0"/>
          <w:caps w:val="0"/>
          <w:color w:val="000000"/>
          <w:spacing w:val="0"/>
          <w:sz w:val="32"/>
          <w:szCs w:val="32"/>
          <w:lang w:val="en-US" w:eastAsia="zh-CN"/>
        </w:rPr>
        <w:t>分，评价结果为</w:t>
      </w:r>
      <w:r>
        <w:rPr>
          <w:rFonts w:hint="default" w:ascii="Times New Roman" w:hAnsi="Times New Roman" w:eastAsia="仿宋_GB2312" w:cs="Times New Roman"/>
          <w:i w:val="0"/>
          <w:iCs w:val="0"/>
          <w:caps w:val="0"/>
          <w:color w:val="auto"/>
          <w:spacing w:val="0"/>
          <w:sz w:val="32"/>
          <w:szCs w:val="32"/>
          <w:lang w:val="en-US" w:eastAsia="zh-CN"/>
        </w:rPr>
        <w:t>优</w:t>
      </w:r>
      <w:r>
        <w:rPr>
          <w:rFonts w:hint="default" w:ascii="Times New Roman" w:hAnsi="Times New Roman" w:eastAsia="仿宋_GB2312" w:cs="Times New Roman"/>
          <w:i w:val="0"/>
          <w:iCs w:val="0"/>
          <w:caps w:val="0"/>
          <w:color w:val="000000"/>
          <w:spacing w:val="0"/>
          <w:sz w:val="32"/>
          <w:szCs w:val="32"/>
          <w:lang w:val="en-US" w:eastAsia="zh-CN"/>
        </w:rPr>
        <w:t>。</w:t>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lang w:eastAsia="zh-CN"/>
        </w:rPr>
        <w:t>四、</w:t>
      </w:r>
      <w:r>
        <w:rPr>
          <w:rFonts w:hint="default" w:ascii="Times New Roman" w:hAnsi="Times New Roman" w:eastAsia="方正黑体_GBK" w:cs="Times New Roman"/>
          <w:bCs/>
          <w:sz w:val="32"/>
          <w:szCs w:val="32"/>
        </w:rPr>
        <w:t>偏离绩效目标的原因和下一步改进措施</w:t>
      </w:r>
    </w:p>
    <w:p>
      <w:pPr>
        <w:spacing w:line="600" w:lineRule="exact"/>
        <w:ind w:firstLine="640" w:firstLineChars="200"/>
        <w:rPr>
          <w:rFonts w:hint="eastAsia" w:cs="Times New Roman"/>
          <w:sz w:val="32"/>
          <w:szCs w:val="32"/>
          <w:lang w:eastAsia="zh-CN"/>
        </w:rPr>
      </w:pPr>
      <w:r>
        <w:rPr>
          <w:rFonts w:hint="eastAsia" w:ascii="方正仿宋_GBK" w:hAnsi="方正仿宋_GBK" w:cs="方正仿宋_GBK"/>
          <w:szCs w:val="32"/>
        </w:rPr>
        <w:t>该项目绩效目标完成较好</w:t>
      </w:r>
      <w:r>
        <w:rPr>
          <w:rFonts w:hint="eastAsia" w:ascii="方正仿宋_GBK" w:hAnsi="方正仿宋_GBK" w:cs="方正仿宋_GBK"/>
          <w:szCs w:val="32"/>
          <w:lang w:eastAsia="zh-CN"/>
        </w:rPr>
        <w:t>，已完成征拆成本、储备资金的拨付工作。</w:t>
      </w:r>
      <w:r>
        <w:rPr>
          <w:rFonts w:hint="default" w:ascii="Times New Roman" w:hAnsi="Times New Roman" w:eastAsia="方正仿宋_GBK" w:cs="Times New Roman"/>
          <w:sz w:val="32"/>
          <w:szCs w:val="32"/>
        </w:rPr>
        <w:t>下一步</w:t>
      </w:r>
      <w:r>
        <w:rPr>
          <w:rFonts w:hint="eastAsia" w:cs="Times New Roman"/>
          <w:sz w:val="32"/>
          <w:szCs w:val="32"/>
          <w:lang w:eastAsia="zh-CN"/>
        </w:rPr>
        <w:t>我中心将继续加强资金管理</w:t>
      </w:r>
      <w:r>
        <w:rPr>
          <w:rFonts w:hint="default" w:ascii="Times New Roman" w:hAnsi="Times New Roman" w:eastAsia="方正仿宋_GBK" w:cs="Times New Roman"/>
          <w:sz w:val="32"/>
          <w:szCs w:val="32"/>
        </w:rPr>
        <w:t>，</w:t>
      </w:r>
      <w:r>
        <w:rPr>
          <w:rFonts w:hint="eastAsia" w:cs="Times New Roman"/>
          <w:sz w:val="32"/>
          <w:szCs w:val="32"/>
          <w:lang w:eastAsia="zh-CN"/>
        </w:rPr>
        <w:t>做好各项土储储备工作。</w:t>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五、其他需要说明的问题</w:t>
      </w:r>
    </w:p>
    <w:p>
      <w:pPr>
        <w:spacing w:line="600" w:lineRule="exact"/>
        <w:ind w:firstLine="640" w:firstLineChars="200"/>
        <w:rPr>
          <w:rFonts w:hint="eastAsia" w:cs="Times New Roman"/>
          <w:sz w:val="32"/>
          <w:szCs w:val="32"/>
          <w:lang w:eastAsia="zh-CN"/>
        </w:rPr>
      </w:pPr>
      <w:r>
        <w:rPr>
          <w:rFonts w:hint="eastAsia" w:cs="Times New Roman"/>
          <w:sz w:val="32"/>
          <w:szCs w:val="32"/>
          <w:lang w:eastAsia="zh-CN"/>
        </w:rPr>
        <w:t>无</w:t>
      </w:r>
    </w:p>
    <w:p>
      <w:pPr>
        <w:spacing w:line="600" w:lineRule="exact"/>
        <w:ind w:firstLine="0" w:firstLineChars="0"/>
        <w:rPr>
          <w:rFonts w:hint="default" w:ascii="Times New Roman" w:hAnsi="Times New Roman" w:cs="Times New Roman"/>
          <w:sz w:val="32"/>
          <w:szCs w:val="32"/>
          <w:lang w:val="en-US" w:eastAsia="zh-CN"/>
        </w:rPr>
      </w:pPr>
      <w:r>
        <w:rPr>
          <w:rFonts w:hint="default" w:ascii="Times New Roman" w:hAnsi="Times New Roman" w:eastAsia="方正仿宋_GBK" w:cs="Times New Roman"/>
          <w:sz w:val="32"/>
          <w:szCs w:val="32"/>
          <w:lang w:eastAsia="zh-CN"/>
        </w:rPr>
        <w:t>附</w:t>
      </w:r>
      <w:r>
        <w:rPr>
          <w:rFonts w:hint="default" w:ascii="Times New Roman" w:hAnsi="Times New Roman" w:cs="Times New Roman"/>
          <w:sz w:val="32"/>
          <w:szCs w:val="32"/>
          <w:lang w:val="en-US" w:eastAsia="zh-CN"/>
        </w:rPr>
        <w:t>件</w:t>
      </w:r>
      <w:r>
        <w:rPr>
          <w:rFonts w:hint="default" w:ascii="Times New Roman" w:hAnsi="Times New Roman" w:cs="Times New Roman"/>
          <w:sz w:val="32"/>
          <w:szCs w:val="32"/>
          <w:lang w:eastAsia="zh-CN"/>
        </w:rPr>
        <w:t>：</w:t>
      </w:r>
      <w:r>
        <w:rPr>
          <w:rFonts w:hint="default" w:ascii="Times New Roman" w:hAnsi="Times New Roman" w:eastAsia="方正仿宋_GBK" w:cs="Times New Roman"/>
          <w:sz w:val="32"/>
          <w:szCs w:val="32"/>
          <w:lang w:eastAsia="zh-CN"/>
        </w:rPr>
        <w:t>项目支出预算绩效目标自评</w:t>
      </w:r>
      <w:r>
        <w:rPr>
          <w:rFonts w:hint="default" w:ascii="Times New Roman" w:hAnsi="Times New Roman" w:cs="Times New Roman"/>
          <w:sz w:val="32"/>
          <w:szCs w:val="32"/>
          <w:lang w:val="en-US" w:eastAsia="zh-CN"/>
        </w:rPr>
        <w:t>表</w:t>
      </w:r>
    </w:p>
    <w:p/>
    <w:p>
      <w:pPr>
        <w:pStyle w:val="2"/>
      </w:pPr>
    </w:p>
    <w:p>
      <w:pPr>
        <w:jc w:val="right"/>
        <w:rPr>
          <w:rFonts w:hint="eastAsia"/>
          <w:lang w:eastAsia="zh-CN"/>
        </w:rPr>
      </w:pPr>
      <w:r>
        <w:rPr>
          <w:rFonts w:hint="eastAsia"/>
          <w:lang w:eastAsia="zh-CN"/>
        </w:rPr>
        <w:t>奉节县土地征收中心</w:t>
      </w:r>
    </w:p>
    <w:p>
      <w:pPr>
        <w:pStyle w:val="2"/>
        <w:jc w:val="right"/>
        <w:rPr>
          <w:rFonts w:hint="default"/>
          <w:lang w:val="en-US" w:eastAsia="zh-CN"/>
        </w:rPr>
      </w:pPr>
      <w:r>
        <w:rPr>
          <w:rFonts w:hint="eastAsia" w:ascii="Times New Roman" w:hAnsi="Times New Roman" w:eastAsia="方正仿宋_GBK" w:cs="Times New Roman"/>
          <w:color w:val="auto"/>
          <w:kern w:val="2"/>
          <w:sz w:val="32"/>
          <w:szCs w:val="20"/>
          <w:lang w:val="en-US" w:eastAsia="zh-CN" w:bidi="ar-SA"/>
        </w:rPr>
        <w:t>2023年</w:t>
      </w:r>
      <w:bookmarkStart w:id="0" w:name="_GoBack"/>
      <w:bookmarkEnd w:id="0"/>
      <w:r>
        <w:rPr>
          <w:rFonts w:hint="eastAsia" w:ascii="Times New Roman" w:hAnsi="Times New Roman" w:eastAsia="方正仿宋_GBK" w:cs="Times New Roman"/>
          <w:color w:val="auto"/>
          <w:kern w:val="2"/>
          <w:sz w:val="32"/>
          <w:szCs w:val="20"/>
          <w:lang w:val="en-US" w:eastAsia="zh-CN" w:bidi="ar-SA"/>
        </w:rPr>
        <w:t>3月14日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方正黑体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DB0B36"/>
    <w:rsid w:val="032E7157"/>
    <w:rsid w:val="05343E02"/>
    <w:rsid w:val="083C1222"/>
    <w:rsid w:val="1D380D67"/>
    <w:rsid w:val="1DB2063D"/>
    <w:rsid w:val="1EE86D8E"/>
    <w:rsid w:val="1FE36B13"/>
    <w:rsid w:val="2BAB5715"/>
    <w:rsid w:val="2C295476"/>
    <w:rsid w:val="2D7C7538"/>
    <w:rsid w:val="412449C5"/>
    <w:rsid w:val="422E6205"/>
    <w:rsid w:val="446B131B"/>
    <w:rsid w:val="4A162404"/>
    <w:rsid w:val="52777A66"/>
    <w:rsid w:val="579307E8"/>
    <w:rsid w:val="63CD4CA3"/>
    <w:rsid w:val="6BDB0B36"/>
    <w:rsid w:val="7BAF7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Body Text"/>
    <w:basedOn w:val="1"/>
    <w:semiHidden/>
    <w:unhideWhenUsed/>
    <w:qFormat/>
    <w:uiPriority w:val="99"/>
    <w:pPr>
      <w:spacing w:after="120"/>
    </w:pPr>
  </w:style>
  <w:style w:type="paragraph" w:styleId="4">
    <w:name w:val="Body Text First Indent"/>
    <w:basedOn w:val="3"/>
    <w:unhideWhenUsed/>
    <w:qFormat/>
    <w:uiPriority w:val="99"/>
    <w:pPr>
      <w:ind w:firstLine="420" w:firstLineChars="1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2023-03-14T06:16:00Z</dcterms:created>
  <dc:creator>Administrator</dc:creator>
  <cp:lastModifiedBy>Administrator</cp:lastModifiedBy>
  <dcterms:modified xsi:type="dcterms:W3CDTF">2023-03-27T03:14:03Z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B477CC6D62B448C4AA567F4EF67E6F67</vt:lpwstr>
  </property>
</Properties>
</file>