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eastAsia="zh-CN" w:bidi="ar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bidi="ar"/>
        </w:rPr>
        <w:t>奉节县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eastAsia="zh-CN" w:bidi="ar"/>
        </w:rPr>
        <w:t>商务委员会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bidi="ar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"/>
        </w:rPr>
        <w:t>202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"/>
        </w:rPr>
        <w:t>3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"/>
        </w:rPr>
        <w:t>年度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bidi="ar"/>
        </w:rPr>
        <w:t>整体支出预算绩效自评报告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一、单位概况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我单位预算编制范围包括：商务委员会机关及所属事业单位、代管单位共计4个单位。将商务委员会作为一级预算单位，具体为县商务委，内设机构4个：办公室、市场科、电商科、商贸科；事业单位3个：商务信息中心、商务执法大队、贸促会。我单位核定人员编制数为32人（其中行政编制12人，事业编制20人），实际在职在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人，遗属补助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商务执法大队公务用车编制数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1台，实际1台。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基本职责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1.贯彻执行国家有关商贸流通业、餐饮服务业的法律、法规、规章和方针政策；提出商贸流通业发展政策建议，制定全县商贸流通业发展目标规划和布局并组织实施；促进市场体系的建立和完善。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负责推进商贸流通业发展，拟订开拓市场、促进消费的政策措施，提出培育商贸流通企业、促进商贸流通中小企业发展的政策建议，推动流通标准化和连锁经营、特许经营、物流配送、电子商务等现代流通方式的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承担组织实施重要商品市场调控和流通管理工作；建立健全生活必需品市场供应应急管理机制，统计、监测、分析市场运行，商品供求状况；负责重要商品的储备管理工作；负责执行商贸流通业行业规范、行业标准和市场准入规则；承担指导各种经济成分商业的协调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负责城乡商贸统筹发展工作，指导大宗产品批发市场规划和城乡商业网点规划，合理规划布局大型商场、大型市场建设项目；承担城乡统筹商贸网络建设工作，推进城乡市场体系建设。组织社会大流通，负责本县及外出和外地来奉举办大型商品交易、展览、展示活动的协调、组织和管理；引导开展各类促销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.承担牵头协调整顿和规范市场经济秩序工作。拟订规范市场运行、流通秩序的政策措施，推动商务领域信用建设，指导商业信用销售，建立市场诚信公共服务平台，负责商贸流通业的行政执法监管和商务举报投诉受理，参与打击商业欺诈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.承担商贸流通业监督管理工作。按有关规定对汽车流通、旧货流通、拍卖、典当、租赁、再生资源回收等行业进行监督管理；对辖区内散装水泥、酒类等重要商品经营进行监督管理。按有关规定对成品油流通进行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7.负责推动商贸流通科技信息化建设，会同有关部门管理商贸流通各类业务资金、专项基金，组织、指导商贸流通业职工技能培训。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8.组织拟订电子商务发展政策、措施并组织实施；统筹完善电子商务支撑体系建设；推进电子商务领域合作与交流；推进农村电子商务发展。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.负责统筹全县进出口贸易。组织实施和指导对外贸易促进体系建设和对外贸易促进活动。负责对外贸易统计和运行情况分析。指导企业开展国际化经营、对外贸易、经济合作、劳务合作；指导企业利用外资；监督检查外商投资企业执行有关法律法规和合同、章程的情况；管理和协调外商投诉工作。贯彻执行国家有关口岸、物流工作的方针政策和法律、法规；牵头推进全县口岸、仓储、物流工作，牵头拟订全县物流产业发展计划、中长期发展规划和政策措施；协调海关有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10.负责机关、直属事业单位和行业社会组织党建工作。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11.代管中国国际贸易促进委员会重庆市奉节县委员会。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12.完成县委、县政府交办的其他任务。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（三）年度主要工作概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eastAsia="zh-CN"/>
        </w:rPr>
        <w:t>一、主要经济指标完成情况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一是社零增速达到7.3%。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2023年，全县社会消费品零售总额达到131.58亿元，同比增速7.3%；批发业销售额达到276.18亿元，同比增速13.8%；零售业销售额达到110.84亿元，同比增速9.8%；餐饮业营业额达到20.06亿元，同比增速11.2%；住宿业营业额达到11.57亿元，同比增速12.9%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工作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亮点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一是进出口总额增速渝东北第二。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成功举办奉节脐橙空运出口首航仪式，被《人民日报》2023年3月23日第13版宣传报道，全年外贸进出口总额已突破1.3亿元，较比去年增长145.3%，增速全市第三，渝东北第二。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二是陆海新通道实现零突破。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成功举办奉节脐橙经西部陆海新通道出口首发仪式，被《人民日报》客户端等媒体报道25条次，全年通过西部陆海新通道出口奉节脐橙8标箱，货运值80万元。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三是实际利用外资实现零突破。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成功对接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巴基斯坦库布拉公司（KUBRA enterprise），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实际利用外资协议额20万美元，到位资金10万美元。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四是会展经济活力焕发。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全面唱响“爱尚奉节”消费品牌，成功举办中国（重庆）蚕桑丝绸产业高质量发展大会等各类会展节庆活动，被《人民日报》客户端、中央广电总台国际在线、人民网等重点媒体宣传报道51条次，获“不夜重庆生活节优秀组织奖”，“周周有活动、月月有消费”逐步实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五是餐饮获奖接二连三。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国家5钻级酒家零突破（国鑫大酒楼），竹园䀇子鸡、夔州一品锅成功获评重庆地标菜，平凤小吃、羊儿山小吃、温胡子炸酱面被重庆小面协会授予经营服务规范门店，竹园䀇子鸡荣获“巴味渝珍”杯重庆好食材特色美食大赛十大特色热菜奖，1人被评为“绿色饭店年度先进工作者”，1人被评为“巴味渝珍”杯重庆好食材特色美食大赛优秀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六是成功入选典型案例。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鲁渝协作消费帮扶任务完成全市第一，“创新三链机制·促进鲁渝协作走深走实”案例成功入选为鲁渝消费协作典型案例，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具有奉节辨识度的鲁渝协作“升级版”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逐渐成型。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七是成功创建试点城市。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全力推动区域消费中心城市建设，成功入选第二批“商文旅体融合发展城市试点”区县名单。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年商务工作总结及主要做法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 w:bidi="ar-SA"/>
        </w:rPr>
        <w:t>（一）持续强化党建统领。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="0" w:afterAutospacing="0" w:line="594" w:lineRule="exact"/>
        <w:ind w:left="0" w:leftChars="0" w:right="0" w:rightChars="0"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一是抓从严治党。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坚持旗帜鲜明讲政治，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县商务委党组主动推进管党从严，</w:t>
      </w:r>
      <w:r>
        <w:rPr>
          <w:rFonts w:hint="eastAsia" w:ascii="Times New Roman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制定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巡察整改措施41条、审计整改措施24条，制定《县商务委干部执行力作风建设深化年实施方案》，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梳理重点岗位廉政风险点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8个，个人岗位廉政风险点29个，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制定措施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42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条，开展廉政谈话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0余人次、作风督查1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次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，严格落实“三重一大”“第一议题”要求，召开党组会28次，强化了党管商务基本原则。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二是抓党建引领。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主动聚焦“三项重点任务”求突破</w:t>
      </w:r>
      <w:r>
        <w:rPr>
          <w:rFonts w:hint="eastAsia" w:ascii="Times New Roman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聚焦“红岩先锋”求变革</w:t>
      </w:r>
      <w:r>
        <w:rPr>
          <w:rFonts w:hint="eastAsia" w:ascii="Times New Roman" w:hAnsi="Times New Roman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聚焦“双晒双比·建功奉节”求作为，党组专题研究13次，完成</w:t>
      </w:r>
      <w:r>
        <w:rPr>
          <w:rFonts w:hint="eastAsia" w:ascii="Times New Roman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清单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问题</w:t>
      </w:r>
      <w:r>
        <w:rPr>
          <w:rFonts w:hint="eastAsia" w:ascii="Times New Roman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整改11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个，办理督察问题2</w:t>
      </w:r>
      <w:r>
        <w:rPr>
          <w:rFonts w:hint="eastAsia" w:ascii="Times New Roman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57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个</w:t>
      </w:r>
      <w:r>
        <w:rPr>
          <w:rFonts w:hint="eastAsia" w:ascii="Times New Roman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安全问题168个，开展中心组理论学习</w:t>
      </w:r>
      <w:r>
        <w:rPr>
          <w:rFonts w:hint="eastAsia" w:ascii="Times New Roman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16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次、职工学习26次，办理民生之声问政事项15</w:t>
      </w:r>
      <w:r>
        <w:rPr>
          <w:rFonts w:hint="eastAsia" w:ascii="Times New Roman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9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件，</w:t>
      </w:r>
      <w:r>
        <w:rPr>
          <w:rFonts w:hint="eastAsia" w:ascii="Times New Roman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细化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三年行动方案</w:t>
      </w:r>
      <w:r>
        <w:rPr>
          <w:rFonts w:hint="eastAsia" w:ascii="Times New Roman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7个、专项行动方案4个，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推动形成了商务领域项项争先、你追我赶新局面。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三是抓凝心聚魂。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全面推动主题教育落实，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梳理习近平总书记关于</w:t>
      </w:r>
      <w:r>
        <w:rPr>
          <w:rFonts w:hint="eastAsia" w:ascii="Times New Roman" w:cs="Times New Roman"/>
          <w:b w:val="0"/>
          <w:bCs w:val="0"/>
          <w:color w:val="auto"/>
          <w:sz w:val="32"/>
          <w:szCs w:val="32"/>
          <w:lang w:val="en-US" w:eastAsia="zh-CN"/>
        </w:rPr>
        <w:t>开放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和消费的地位作用14条、目标指向16条、总体要求14次、重点任务25条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，累计完成集中学习18次、组织读书班7天，完成课题调研4个，推动问题整改3个</w:t>
      </w:r>
      <w:r>
        <w:rPr>
          <w:rFonts w:hint="eastAsia" w:ascii="Times New Roman" w:cs="Times New Roman"/>
          <w:b w:val="0"/>
          <w:bCs w:val="0"/>
          <w:color w:val="auto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结合脐橙空运出口、陆海新通道发车仪式、蚕桑丝绸大会等亮点工作，开展正面宣传报道150篇</w:t>
      </w:r>
      <w:r>
        <w:rPr>
          <w:rFonts w:hint="eastAsia" w:ascii="Times New Roman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；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严格落实意识形态工作责任制，清理排查敏感信息500余条。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eastAsia="zh-CN"/>
        </w:rPr>
        <w:t>）持续挖掘消费潜力。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leftChars="0" w:right="0" w:rightChars="0"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一是联动促销常态化。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聚焦培育建设区域消费中心城市目标，以“爱尚奉节”为主题制定《奉节县2023年“爱尚奉节”系列消费促进活动实施方案》，筹划大型消费促进活动15场，依托滨江郦城集聚区50余家火锅店打造最有温度的火锅一条街，依托5公里滨江路80余处烧烤、火锅点位打造最有烟火气的夜市一条街，刺激了消费需求，提振了消费信心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二是会展经济全域化。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积极发挥市级（县级）部门、商会（协会）作用，成功举办“丝路巴蜀·锦绣川渝”成渝双城蚕桑丝绸消费节暨奉节好味美食节、“爱尚奉节·不夜生活”不夜奉节生活节等活动10余场，获得2023不夜重庆生活节优秀组织奖，组织150余家企业精选380余种特色产品参加域外展会，成功推动企业、部门“走出去、开眼界、长见识”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三是消费帮扶品牌化。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成功举办2023“橙香连鲁渝消费助振兴”奉节柑橘进山东专场推介活动、成功协办奉节农产品产销对接沙坪坝专场暨第二届e乡e味消费文化节活动，鲁渝协作消费帮扶额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1.532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亿元，撰写“创新三链机制·促进鲁渝协作走深走实”案例成功入选为鲁渝消费协作典型案例，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具有奉节辨识度的鲁渝协作“升级版”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逐渐成型。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eastAsia="zh-CN"/>
        </w:rPr>
        <w:t>）持续深化对外开放。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一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是对外贸易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持续发力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组建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对外开放暨融入西部陆海新通道建设工作专班，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成立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县口岸物流服务中心；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成功推动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众赢服饰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出口美国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、县国资公司大蒜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出口巴基斯坦、乡坛子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盐渍红辣椒出口台湾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成功举办奉节脐橙空运出口首航仪式、奉节脐橙经西部陆海新通道出口首发仪式，推动奉节脐橙“借船出海”“空运出口”常态化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二是主体培育稳定向好。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依托生态工业园、返乡创业园等载体，培育一批产供销、内外贸一体化企业，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脐橙果园出口备案达5000余亩，加工厂出口备案3家，外贸备案登记企业52家，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丰富出口产品10余个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邀请市口岸物流办、重庆海关、万州海关组织肉类及加工食品进出口贸易培训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优化重庆口岸营商环境暨国际贸易“单一窗口”宣讲培训1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0余人次。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三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是合作交流逐步开拓。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积极融入重庆市内陆开放高地建设，</w:t>
      </w:r>
      <w:r>
        <w:rPr>
          <w:rFonts w:hint="default" w:ascii="Times New Roman" w:hAnsi="Times New Roman" w:eastAsia="方正仿宋_GBK" w:cs="Times New Roman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  <w:t>常态化对接海关、渝新欧等部门20余次，接待来奉考察外贸企业30个，助力企业增加外贸订单20余个</w:t>
      </w:r>
      <w:r>
        <w:rPr>
          <w:rFonts w:hint="eastAsia" w:ascii="Times New Roman" w:hAnsi="Times New Roman" w:cs="Times New Roman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组团参加进博会、国际农产品流通产业大会、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巴基斯坦首届国际食品及农业展览会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渝贸全球重庆出口商品（泰国）展览会暨赴菲律宾经贸对接活动，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实现奉节特色优势产品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深度宣传推介。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eastAsia="zh-CN"/>
        </w:rPr>
        <w:t>）持续唱响住餐品牌。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right="0" w:rightChars="0"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一是聚焦文化赋能。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以住餐赋文化为抓手，开展诗画文化进酒店、进餐厅活动，组织编撰“奉节好味·十大特色菜”文化故事，主动用好夔门印像“市级美食街”示范效应，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将33个乡镇（街道）划分为9个片区，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分别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举办不低于3天的美食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文化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推介活动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，参展企业达230余家，同步开展主播探店活动，推送美食文化视频12条次，点赞量超80万次。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二是聚焦品牌打造。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以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“奉节好味·百碗千盘”三年行动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为契机，组织开展奉节“十强火锅”“十强小面”“十佳名店”评选，竹园䀇子鸡、夔州一品锅成功获评重庆地标菜，国鑫大酒楼成功创建“国家级五钻酒店”，平凤小吃、羊儿山小吃、温胡子炸酱面被重庆小面协会授予经营服务规范门店，研发并推出麻辣兔头、水晶蘸水兔等“夔州兔”招牌菜品10余道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三是聚焦服务提质。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以创建国家旅游文明示范单位为目标，主动为旅游产业“注魂”“护航”，成功举办第二届中国长江“三峡凉都”（奉节）康养旅游避暑季系列活动，组织住餐标准化培训150余人次，培育品牌餐饮店20家、品牌火锅店10家、特色餐馆10家、新增餐位1200余个，新增本土酒店5家，民宿客栈20家、新增床位1000余个，承载能力有效提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（五）持续强化数商兴农。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一是推动电商产业集聚。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全力推进京东（奉节）数字经济产业园建设，入驻企业23家，解决就业人员200人，推动本地电商企业上京东平台15家，开设自营2家；全力打造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三峡集团·京东（奉节）新经济人才中心，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围绕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数据标注、跨境电商等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岗位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招聘342人。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二是推动电商主体孵化。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建成网货供应基地12个，推出网适特色产品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10余款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，累计培育孵化电商市场主体3450家，成功举办618电商产业发展高质量发展论坛，开展跨境电商专题培训500余人次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，成功孵化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eastAsia="zh-CN" w:bidi="ar-SA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家本地有优势的传统电商企业拓展转型，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跨境电商交易额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达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1.16亿元。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三是推动电商模式创新。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开展抖音直播带货、快手直播带货活动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eastAsia="zh-CN" w:bidi="ar-SA"/>
        </w:rPr>
        <w:t>50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余场，销售奉节脐橙、奉节腊肉等农特产品达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eastAsia="zh-CN" w:bidi="ar-SA"/>
        </w:rPr>
        <w:t>8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000万元；研究制定乡镇农产品电商销售方案，指导各乡镇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建立区域电商产业发展工作联席会议制度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，全力推动农特产品线上销售，完成奉节脐橙线上销售8.7万吨，线上销售额达9.4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eastAsia="zh-CN" w:bidi="ar-SA"/>
        </w:rPr>
        <w:t>亿元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；全年电商交易额60.05亿元，同比增长10.56%；网络零售额30.54亿元，同比增长14.64%。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eastAsia="zh-CN"/>
        </w:rPr>
        <w:t>）持续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补齐物流短板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leftChars="0" w:right="0" w:rightChars="0"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一是规划引领强基础。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按照“一枢纽两基地四园区多节点”布局重点项目，规划物流仓储用地32公顷（新增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规划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物流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用地380亩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），已开工建设甘溪沟冷链物流集散中心、奉节县邮政分拨中心，县域综合型共同配送中心、白马物流园、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高铁生态城智慧物流基地产业集聚区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有序推进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二是健全体系延链条。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全力完善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物流产业体系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，升级电商物流综合服务站点217个，覆盖64个脱贫村，在安坪下坝社区、鹤峰莲花社区、公平车家社区等7个返乡入乡创业园建成物流服务站点，培育重庆入驿达供应链管理有限公司等现代物流企业6家，开通奉节至浙江、广东、宜昌、成都及重庆主城等物流专线6条，实现了农村物流服务有效覆盖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三是开拓创新求突破。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整合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美团优选、安德物流、中通冷链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资源实现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乡村物流共同配送，岩湾乡、羊市镇“邮快合作”“快企合作”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试点初见成效；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鹤峰乡、吐祥镇、兴隆镇等5个乡镇综合服务中心及村级服务站点标准化建设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取得较大进展；探索并打造奉节县县乡村三级物流智慧系统，通过构建“一网多用”智联平台，促进了县乡村三级物流“降本增效”。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（七）持续推动招商引资。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一是围绕项目抓招商。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入库奉节县农副产品集散中心（农批市场）、奉节县高铁生态城智慧物流基地等重点项目，先后赴安徽、云南、陕西等地开展物流项目对接活动5次，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赴武汉、江苏、陕西、广东、福建等省市及泰国开展招商引资工作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56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天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成功签约招商引资项目12个，其中亿元以上项目2个，协议投资额30.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27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亿元；在谈项目6个，总投资约15亿元，重点投资项目2个。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二是多措并举抓招商。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大力开展走出去、请进来招商引资活动的同时，组团参加第五届西洽会，通过展会、节会客商云集的优势开展招商引资和项目推介；全年共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拜访北京糖果社科技有限公司、泰国正大集团等企业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75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接待安徽西商投资集团、供销冷链物流（湖南）有限公司、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江苏绿港集团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等4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eastAsia="zh-CN" w:bidi="ar-SA"/>
        </w:rPr>
        <w:t>7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企业到奉考察项目投资。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三是靠前服务抓落地。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成立工作专班，为企业考察、调研、注册提供“一站式服务”，协助办理企业登记20余户，组织召开市场主体座谈会4次，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组织25名党员干部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深入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130家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企业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，走访调研收集整理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融资、房租、用水用电、用人等方面问题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84个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（八）持续筑牢安全防线。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一是突出政治站位。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严格落实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“管行业必须管安全、管业务必须管安全”原则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，每次党组会专题研究安全生产工作，累计研究部署27次，研判安全生产形势18次，强化执法检查队伍，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发现并解决安全生产问题65件次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，推动了“党政同责、一岗双责”末端落实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二是突出模式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创新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主动强化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宣传引导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发放宣传材料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eastAsia="zh-CN" w:bidi="ar-SA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000余份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组织重点商贸场所负责人安全培训120余人次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；探索成立商业安全委员会，拟定《奉节县商业安全委员会组织机构成员单位主要职责和工作制度（送审稿）》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，开展重点行业领域的安全生产大排查大整治8次，开展重要节日节点检查4次。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三是突出问题整改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主动落实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行业自查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扎实开展商贸流通领域安全生产日常监管，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zh-CN" w:eastAsia="zh-CN" w:bidi="ar-SA"/>
        </w:rPr>
        <w:t>发现并整改问题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150余个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开展成品油行业专项整治行动、大型商业综合体安全专项整治行动、重大事故隐患专项排查整治行动等专项行动10余次，对全县340家限额以上商贸企业、51家加油站及2座油库进行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常态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监督检查，共检查各类主体215次，发现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并整改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消防安全等各类问题138处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leftChars="0"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（九）持续推动法治建设。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leftChars="0" w:firstLine="643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一是聚焦依法行政。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坚持领导干部带头学法、尊法、守法、用法，将习近平法治思想和习近平总书记系列重要讲话精神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列入“第一议题”，开展各类组织学法活动10余次，组织参加市、县执法培训16人次，对商贸领域生产企业进行法制培训5批次；积极落实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““一件事一次办”等一体化办理事项改革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要求，完成成品油企业、拍卖企业10项行政许可相关工作。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二是聚焦依法履职。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建立法律顾问制度，全年围绕商务领域中心工作、重点项目、重大事项、招商引资投资协议等全程开展法律服务30余次；同步将法治建设内容纳入委领导班子干部年度述职报告，切实推进了法治建设责任。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三是聚焦依法服务。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深入开展“互联网+政务服务”，建立商务系统市场主体名录库、执法检查人员名录库，持续推进商务领域社会信用体系建设，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发放信用宣传资料1000余份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运用评价结果20余次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；持续优化法治营商环境，印发《县商务委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2023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年度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“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优化营商环境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”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工作实施方案》，细化任务清单20余项。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十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eastAsia="zh-CN"/>
        </w:rPr>
        <w:t>）持续落实党管武装。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94" w:lineRule="exact"/>
        <w:ind w:left="0" w:leftChars="0" w:right="0" w:rightChars="0"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一是聚焦队伍建设。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将武装工作列入党组议题，明确专人负责武装工作，预建基干民兵党组织1个，油料保障编组20人，按要求完成体格检查、政治考核、专业技能考核和民兵政治教育等工作，筑牢了后备力量政治基础。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二是聚焦国防动员。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主动落实重庆警备区党委五届十三次全体(扩大)会议和奉节县2023年度武装工作会议精神，按照县深化国防动员体制改革方案及相关要求落实潜力调查、数据统计等相关工作，参与完成县人武部、县国动办联合组织的协同演练，强化了职能作用发挥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三是聚焦双拥共建。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全力参与创建国家级双拥模范城工作，积极配合县委宣传部抓好全民国防教育活动开展，结合结对联创、志愿服务开展宣传教育活动5次，发放宣传资料500余份，结合“八一”慰问退役军人5人，发放慰问金2500元，协助解决退役军人遗留问题5人次，营造了关心国防、关爱退役军人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（四）绩效目标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整体支出绩效目标申报及年中追加支出绩效目标情况：年初预算下达了整体支出绩效目标，由于年中追加了预算，对整体支出绩效目标进行了调整，我单位根据调整后的整体支出绩效目标开展了自评。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（五）年度预决算情况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我单位202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年初预算总收入为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903.93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万元，年中追加收入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2255.18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万元，全年总收入为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3159.11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万元；全年总支出为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3159.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万元，其中：基本支出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944.86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万元（工资福利支出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564.92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万元、商品和服务支出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92.98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万元、对个人和家庭的补助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286.96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万元），项目支出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2214.25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年初预算收入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903.93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万元，其中：财政拨款收入年初预算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903.93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万元（一般公共预算收入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903.93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万元，政府基金预算收入0.00万元，国有资本经营收入预算0.00万元，社保基金预算收入0.00万元，其他收入0.00万元），年中追加专项资金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2255.18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万元（一般公共预算收入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0.00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万元，政府基金预算收入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0.00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万元，国有资本经营收入预算0.00万元，社保基金预算收入0.00万元，其他收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入2255.18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万元），共计收入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3159.11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年初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预算支出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903.93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万元，年中追加专项支出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2255.18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,基本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支出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944.86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项目支出2214.25万元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，共计支出为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3159.11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二、整体支出管理及使用情况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（一）基本支出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年度基本支出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944.86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万元，其中：人员支出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851.87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万元，公用支出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92.99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年“三公”经费支出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万元（预算为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9.5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万元）。其中：公务接待费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万元（预算为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5.5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万元），公务用车运行维护费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万元（预算为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（二）项目支出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年财政拨款项目支出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2214.25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万元，（其中：一般公共服务支出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0.92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万元，卫生健康支出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1631.73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万元，农林水支出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581.60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万元）。 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三、整体支出绩效情况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（一）财务管理制度建设情况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资金拨付严格按程序申报、审批，做到无审批不支出，无预算不列支，合理合规使用资金，确保财政资金安全。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（二）资产管理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产管理方面，严格按照《重庆市市级行政事业单位国有资产处置管理办法》（渝财资产〔2013〕43号）规定，每年年末对资产进行清理，新购资产时向财政部门、主管部门申请，批复后再进行资产采购，并在资产管理系统中登记，按照要求及时报送资产情况报表，确保各项资产核算准确、帐实相符、管理到位；资产处置报财政部门、主管部门审批，办理资产报废手续，进行资产清理，处置收入上缴市级国库。无随意处置现象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（三）预决算公开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在县人民政府门户网站上按时进行了预决算公开。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（四）“三公”经费控制情况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严格遵守各项规章制度，严控“三公”经费支出，202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年“三公”经费减少，并及时在县人民政府门户网站上对“三公”经费情况进行公示。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（五）政府采购情况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我单位202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年政府采购发生额为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280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,认真按照政府采购程序履行手续.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（六）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认真履行职责情况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年年度考核为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合格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评价结论及分析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通过认真开展单位整体支出绩效目标自评，综合评分9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分，评价结果为优。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（一）经济性分析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执行绩效评价体系，从以下几个方面提升了我单位的绩效工作：一是要加大支出管理。严格执行公务接待、公车管理及差旅费、会议费管理，坚持厉行节约，努力降低财政运行成本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二是严格预算约束做好增收节支，极力控制非生产性支出，降低行政运行成本，严肃财经纪律，坚决反对铺张浪费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三是加强预算执行，建立健全财政资金使用管理办法，促进资金使用效益；四是积极化解存量债务，严控政府性债务风险。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（二）效率性分析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年，通过财政资金绩效管理，加强了对财政资金使用的过程监督和成效监管，切实提高了财政资金使用效率。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（三）效益性分析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年，我单位的绩效评价工作在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领导班子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的坚强领导下，在社会各界的大力支持下，深入挖掘增收潜力，坚持稳增长、调结构、促改革、惠民生、防风险，各项支出得到较好保障。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我单位公务卡使用率较低，主要原因：持卡人消费意识不高，单位职工报销票据需要一定期限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，但是财务不及时兑付影响个人信用记录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心理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六、改进措施和有关建议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（一）细化预算编制工作，进一步加强内设机构的预算管理意识，严格按照预算编制的相关制度和要求进行预算编制。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（二）加强财务管理，严格财务审核。健全单位财务管理制度体系，规范单位财务行为。在费用报账支付时，按照预算规定的费用项目和用途进行资金使用审核、财务严格核算，杜绝超支现象发生。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（三）增加业务知识培训，加强决算工作与账务处理工作衔接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；加大公务卡宣传力度，鼓励职工出差使用公务卡支付结算。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奉节县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商务委员会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0NGUwZjVjMzhlNTFlNzVhZWNjYWYxZTllZTQ5ZjMifQ=="/>
  </w:docVars>
  <w:rsids>
    <w:rsidRoot w:val="00E76675"/>
    <w:rsid w:val="00013B6F"/>
    <w:rsid w:val="00042239"/>
    <w:rsid w:val="00093A41"/>
    <w:rsid w:val="00106B82"/>
    <w:rsid w:val="0018371D"/>
    <w:rsid w:val="00205DF7"/>
    <w:rsid w:val="0027698B"/>
    <w:rsid w:val="00286129"/>
    <w:rsid w:val="002B5D7D"/>
    <w:rsid w:val="002E74AE"/>
    <w:rsid w:val="0033771C"/>
    <w:rsid w:val="00350769"/>
    <w:rsid w:val="00355160"/>
    <w:rsid w:val="00380897"/>
    <w:rsid w:val="003972B5"/>
    <w:rsid w:val="003D5B69"/>
    <w:rsid w:val="003E2A06"/>
    <w:rsid w:val="00420FCA"/>
    <w:rsid w:val="0042419B"/>
    <w:rsid w:val="00455DDE"/>
    <w:rsid w:val="004F6515"/>
    <w:rsid w:val="00554F08"/>
    <w:rsid w:val="00555E01"/>
    <w:rsid w:val="005627AE"/>
    <w:rsid w:val="0059196E"/>
    <w:rsid w:val="005A0A6C"/>
    <w:rsid w:val="005D69C3"/>
    <w:rsid w:val="005F4CFC"/>
    <w:rsid w:val="00602F34"/>
    <w:rsid w:val="0061340E"/>
    <w:rsid w:val="00625F75"/>
    <w:rsid w:val="00662375"/>
    <w:rsid w:val="00672C0F"/>
    <w:rsid w:val="00681E38"/>
    <w:rsid w:val="00697F47"/>
    <w:rsid w:val="006A3900"/>
    <w:rsid w:val="006D4043"/>
    <w:rsid w:val="006E3BB2"/>
    <w:rsid w:val="006F0652"/>
    <w:rsid w:val="00737046"/>
    <w:rsid w:val="0074264C"/>
    <w:rsid w:val="0079699B"/>
    <w:rsid w:val="007B407E"/>
    <w:rsid w:val="007D6753"/>
    <w:rsid w:val="0081688D"/>
    <w:rsid w:val="00820D04"/>
    <w:rsid w:val="00821515"/>
    <w:rsid w:val="00857500"/>
    <w:rsid w:val="0085789E"/>
    <w:rsid w:val="00880AF6"/>
    <w:rsid w:val="0088602F"/>
    <w:rsid w:val="008D0A27"/>
    <w:rsid w:val="00910471"/>
    <w:rsid w:val="00926B93"/>
    <w:rsid w:val="00984E79"/>
    <w:rsid w:val="009B7ADE"/>
    <w:rsid w:val="009E71C0"/>
    <w:rsid w:val="00A46455"/>
    <w:rsid w:val="00A5791D"/>
    <w:rsid w:val="00AA6B3C"/>
    <w:rsid w:val="00B850FE"/>
    <w:rsid w:val="00C02CD6"/>
    <w:rsid w:val="00C22E66"/>
    <w:rsid w:val="00C33215"/>
    <w:rsid w:val="00C617C5"/>
    <w:rsid w:val="00C62BB1"/>
    <w:rsid w:val="00C9630B"/>
    <w:rsid w:val="00CE0CF5"/>
    <w:rsid w:val="00CE456B"/>
    <w:rsid w:val="00CF475A"/>
    <w:rsid w:val="00D01D8F"/>
    <w:rsid w:val="00D17AE4"/>
    <w:rsid w:val="00D333B9"/>
    <w:rsid w:val="00D4204B"/>
    <w:rsid w:val="00D548A0"/>
    <w:rsid w:val="00D84EA7"/>
    <w:rsid w:val="00D91AB1"/>
    <w:rsid w:val="00D92EF5"/>
    <w:rsid w:val="00DA4807"/>
    <w:rsid w:val="00DD707A"/>
    <w:rsid w:val="00DE0514"/>
    <w:rsid w:val="00DE336D"/>
    <w:rsid w:val="00DF0488"/>
    <w:rsid w:val="00E06599"/>
    <w:rsid w:val="00E06675"/>
    <w:rsid w:val="00E66945"/>
    <w:rsid w:val="00E754A2"/>
    <w:rsid w:val="00E76675"/>
    <w:rsid w:val="00EE7FFB"/>
    <w:rsid w:val="00F63E2F"/>
    <w:rsid w:val="00FC2C0E"/>
    <w:rsid w:val="00FE781E"/>
    <w:rsid w:val="03C1108B"/>
    <w:rsid w:val="050466F6"/>
    <w:rsid w:val="05774488"/>
    <w:rsid w:val="059D340B"/>
    <w:rsid w:val="0A065B63"/>
    <w:rsid w:val="0B3E79A7"/>
    <w:rsid w:val="0F914240"/>
    <w:rsid w:val="10210C49"/>
    <w:rsid w:val="1704268F"/>
    <w:rsid w:val="189141FC"/>
    <w:rsid w:val="1ABB2E84"/>
    <w:rsid w:val="1E2108F5"/>
    <w:rsid w:val="1F1F58DA"/>
    <w:rsid w:val="1F415148"/>
    <w:rsid w:val="1F425358"/>
    <w:rsid w:val="1F667D7E"/>
    <w:rsid w:val="34F158B7"/>
    <w:rsid w:val="37152CD5"/>
    <w:rsid w:val="37A15645"/>
    <w:rsid w:val="3E311788"/>
    <w:rsid w:val="48061E82"/>
    <w:rsid w:val="489F3397"/>
    <w:rsid w:val="58BD4975"/>
    <w:rsid w:val="5A2C1932"/>
    <w:rsid w:val="5B890DA2"/>
    <w:rsid w:val="62247FAE"/>
    <w:rsid w:val="666B3123"/>
    <w:rsid w:val="6FC4033A"/>
    <w:rsid w:val="71F349A4"/>
    <w:rsid w:val="74306BAE"/>
    <w:rsid w:val="74561564"/>
    <w:rsid w:val="7B05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link w:val="15"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3">
    <w:name w:val="Plain Text"/>
    <w:basedOn w:val="1"/>
    <w:next w:val="4"/>
    <w:qFormat/>
    <w:uiPriority w:val="0"/>
    <w:rPr>
      <w:rFonts w:ascii="宋体" w:hAnsi="Courier New"/>
    </w:rPr>
  </w:style>
  <w:style w:type="paragraph" w:customStyle="1" w:styleId="4">
    <w:name w:val="p0"/>
    <w:basedOn w:val="1"/>
    <w:qFormat/>
    <w:uiPriority w:val="99"/>
    <w:pPr>
      <w:widowControl/>
    </w:pPr>
    <w:rPr>
      <w:sz w:val="21"/>
      <w:szCs w:val="21"/>
    </w:rPr>
  </w:style>
  <w:style w:type="paragraph" w:styleId="7">
    <w:name w:val="Body Text"/>
    <w:basedOn w:val="1"/>
    <w:next w:val="1"/>
    <w:link w:val="16"/>
    <w:qFormat/>
    <w:uiPriority w:val="0"/>
    <w:pPr>
      <w:spacing w:after="120"/>
    </w:pPr>
    <w:rPr>
      <w:szCs w:val="24"/>
    </w:rPr>
  </w:style>
  <w:style w:type="paragraph" w:styleId="8">
    <w:name w:val="toc 5"/>
    <w:basedOn w:val="1"/>
    <w:next w:val="1"/>
    <w:semiHidden/>
    <w:unhideWhenUsed/>
    <w:qFormat/>
    <w:uiPriority w:val="39"/>
    <w:pPr>
      <w:ind w:left="1680" w:leftChars="800"/>
    </w:pPr>
  </w:style>
  <w:style w:type="paragraph" w:styleId="9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3">
    <w:name w:val="页眉 字符"/>
    <w:basedOn w:val="12"/>
    <w:link w:val="10"/>
    <w:qFormat/>
    <w:uiPriority w:val="99"/>
    <w:rPr>
      <w:sz w:val="18"/>
      <w:szCs w:val="18"/>
    </w:rPr>
  </w:style>
  <w:style w:type="character" w:customStyle="1" w:styleId="14">
    <w:name w:val="页脚 字符"/>
    <w:basedOn w:val="12"/>
    <w:link w:val="9"/>
    <w:qFormat/>
    <w:uiPriority w:val="99"/>
    <w:rPr>
      <w:sz w:val="18"/>
      <w:szCs w:val="18"/>
    </w:rPr>
  </w:style>
  <w:style w:type="character" w:customStyle="1" w:styleId="15">
    <w:name w:val="标题 1 字符"/>
    <w:basedOn w:val="12"/>
    <w:link w:val="5"/>
    <w:qFormat/>
    <w:uiPriority w:val="0"/>
    <w:rPr>
      <w:rFonts w:ascii="宋体" w:hAnsi="宋体" w:eastAsia="宋体" w:cs="Times New Roman"/>
      <w:b/>
      <w:bCs/>
      <w:kern w:val="44"/>
      <w:sz w:val="48"/>
      <w:szCs w:val="48"/>
    </w:rPr>
  </w:style>
  <w:style w:type="character" w:customStyle="1" w:styleId="16">
    <w:name w:val="正文文本 字符"/>
    <w:basedOn w:val="12"/>
    <w:link w:val="7"/>
    <w:qFormat/>
    <w:uiPriority w:val="0"/>
    <w:rPr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NormalCharacter"/>
    <w:qFormat/>
    <w:uiPriority w:val="0"/>
  </w:style>
  <w:style w:type="paragraph" w:styleId="19">
    <w:name w:val="No Spacing"/>
    <w:qFormat/>
    <w:uiPriority w:val="99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7218</Words>
  <Characters>7740</Characters>
  <Lines>38</Lines>
  <Paragraphs>10</Paragraphs>
  <TotalTime>3</TotalTime>
  <ScaleCrop>false</ScaleCrop>
  <LinksUpToDate>false</LinksUpToDate>
  <CharactersWithSpaces>7744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2022-04-04T04:43:00Z</dcterms:created>
  <dc:creator>Administrator</dc:creator>
  <cp:lastModifiedBy>Administrator</cp:lastModifiedBy>
  <cp:lastPrinted>2022-07-13T07:03:00Z</cp:lastPrinted>
  <dcterms:modified xsi:type="dcterms:W3CDTF">2025-08-18T07:29:11Z</dcterms:modified>
  <cp:revision>138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116B3F49C86944CFA34B6A42182043BA</vt:lpwstr>
  </property>
</Properties>
</file>