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2022年赢顺脐橙种植股份合作社“两品一标”创建及示范社建设项目支出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绩效目标分解下达情况</w:t>
      </w:r>
    </w:p>
    <w:p>
      <w:pPr>
        <w:widowControl/>
        <w:spacing w:line="54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下达2022年财政涉农统筹整合农业产业项目资金计划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》（奉节财农[2022]118号），在下达资金预算时同步下达了绩效目标。</w:t>
      </w:r>
      <w:r>
        <w:rPr>
          <w:rFonts w:hint="eastAsia" w:cs="Times New Roman"/>
          <w:sz w:val="32"/>
          <w:szCs w:val="32"/>
          <w:lang w:eastAsia="zh-CN"/>
        </w:rPr>
        <w:t>由于实际需求发生了变化，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为解决实际需求，</w:t>
      </w:r>
      <w:r>
        <w:rPr>
          <w:rFonts w:hint="eastAsia" w:cs="Times New Roman"/>
          <w:sz w:val="32"/>
          <w:szCs w:val="32"/>
          <w:lang w:eastAsia="zh-CN"/>
        </w:rPr>
        <w:t>故向农业农村委申请调整了建设内容，变更文件名称为：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奉节县农业农村委员会关于调整2022年奉节县赢顺脐橙种植股份合作社“两品一标”创建及示范社建设项目实施内容的复函（奉节农函〔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〕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190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号），因此也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对绩效目标进行了调整，我们根据调整后的绩效目标开展自评。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  <w:bCs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  <w:t>2022年11月</w:t>
      </w:r>
      <w:r>
        <w:rPr>
          <w:rFonts w:hint="default" w:ascii="Times New Roman" w:hAnsi="Times New Roman" w:cs="Times New Roman"/>
          <w:bCs/>
          <w:sz w:val="32"/>
          <w:szCs w:val="32"/>
          <w:lang w:eastAsia="zh-CN"/>
        </w:rPr>
        <w:t>收到项目</w:t>
      </w:r>
      <w:r>
        <w:rPr>
          <w:rFonts w:hint="eastAsia" w:ascii="Times New Roman" w:hAnsi="Times New Roman" w:cs="Times New Roman"/>
          <w:bCs/>
          <w:sz w:val="32"/>
          <w:szCs w:val="32"/>
          <w:lang w:eastAsia="zh-CN"/>
        </w:rPr>
        <w:t>自筹</w:t>
      </w:r>
      <w:r>
        <w:rPr>
          <w:rFonts w:hint="default" w:ascii="Times New Roman" w:hAnsi="Times New Roman" w:cs="Times New Roman"/>
          <w:bCs/>
          <w:sz w:val="32"/>
          <w:szCs w:val="32"/>
          <w:lang w:eastAsia="zh-CN"/>
        </w:rPr>
        <w:t>资金</w:t>
      </w:r>
      <w:r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  <w:t>20.52万元</w:t>
      </w:r>
      <w:r>
        <w:rPr>
          <w:rFonts w:hint="default" w:ascii="Times New Roman" w:hAnsi="Times New Roman" w:cs="Times New Roman"/>
          <w:bCs/>
          <w:sz w:val="32"/>
          <w:szCs w:val="32"/>
          <w:lang w:eastAsia="zh-CN"/>
        </w:rPr>
        <w:t>，</w:t>
      </w:r>
      <w:r>
        <w:rPr>
          <w:rFonts w:hint="eastAsia" w:cs="Times New Roman"/>
          <w:bCs/>
          <w:sz w:val="32"/>
          <w:szCs w:val="32"/>
          <w:lang w:val="en-US" w:eastAsia="zh-CN"/>
        </w:rPr>
        <w:t>2023年收到财政资金20万元，</w:t>
      </w:r>
      <w:r>
        <w:rPr>
          <w:rFonts w:hint="default" w:ascii="Times New Roman" w:hAnsi="Times New Roman" w:cs="Times New Roman"/>
          <w:bCs/>
          <w:sz w:val="32"/>
          <w:szCs w:val="32"/>
          <w:lang w:eastAsia="zh-CN"/>
        </w:rPr>
        <w:t>共计到位</w:t>
      </w:r>
      <w:r>
        <w:rPr>
          <w:rFonts w:hint="eastAsia" w:cs="Times New Roman"/>
          <w:bCs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  <w:t>0.52万元</w:t>
      </w:r>
      <w:r>
        <w:rPr>
          <w:rFonts w:hint="default" w:ascii="Times New Roman" w:hAnsi="Times New Roman" w:cs="Times New Roman"/>
          <w:bCs/>
          <w:sz w:val="32"/>
          <w:szCs w:val="32"/>
          <w:lang w:eastAsia="zh-CN"/>
        </w:rPr>
        <w:t>；</w:t>
      </w:r>
      <w:r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  <w:t>2022年11月</w:t>
      </w:r>
      <w:r>
        <w:rPr>
          <w:rFonts w:hint="default" w:ascii="Times New Roman" w:hAnsi="Times New Roman" w:cs="Times New Roman"/>
          <w:bCs/>
          <w:sz w:val="32"/>
          <w:szCs w:val="32"/>
          <w:lang w:eastAsia="zh-CN"/>
        </w:rPr>
        <w:t>支付项目资金</w:t>
      </w:r>
      <w:r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  <w:t>20.52万元</w:t>
      </w:r>
      <w:r>
        <w:rPr>
          <w:rFonts w:hint="default" w:ascii="Times New Roman" w:hAnsi="Times New Roman" w:cs="Times New Roman"/>
          <w:bCs/>
          <w:sz w:val="32"/>
          <w:szCs w:val="32"/>
          <w:lang w:eastAsia="zh-CN"/>
        </w:rPr>
        <w:t>，</w:t>
      </w:r>
      <w:r>
        <w:rPr>
          <w:rFonts w:hint="eastAsia" w:cs="Times New Roman"/>
          <w:bCs/>
          <w:sz w:val="32"/>
          <w:szCs w:val="32"/>
          <w:lang w:val="en-US" w:eastAsia="zh-CN"/>
        </w:rPr>
        <w:t>2023年支付项目资金20万元，</w:t>
      </w:r>
      <w:r>
        <w:rPr>
          <w:rFonts w:hint="default" w:ascii="Times New Roman" w:hAnsi="Times New Roman" w:cs="Times New Roman"/>
          <w:bCs/>
          <w:sz w:val="32"/>
          <w:szCs w:val="32"/>
          <w:lang w:eastAsia="zh-CN"/>
        </w:rPr>
        <w:t>共计支付</w:t>
      </w:r>
      <w:r>
        <w:rPr>
          <w:rFonts w:hint="eastAsia" w:cs="Times New Roman"/>
          <w:bCs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  <w:t>0.52万元</w:t>
      </w:r>
      <w:r>
        <w:rPr>
          <w:rFonts w:hint="default" w:ascii="Times New Roman" w:hAnsi="Times New Roman" w:cs="Times New Roman"/>
          <w:bCs/>
          <w:sz w:val="32"/>
          <w:szCs w:val="32"/>
          <w:lang w:eastAsia="zh-CN"/>
        </w:rPr>
        <w:t>。</w:t>
      </w:r>
      <w:r>
        <w:rPr>
          <w:rFonts w:hint="default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资金管理情况</w:t>
      </w:r>
      <w:r>
        <w:rPr>
          <w:rFonts w:hint="eastAsia" w:cs="Times New Roman"/>
          <w:sz w:val="32"/>
          <w:szCs w:val="32"/>
          <w:lang w:eastAsia="zh-CN"/>
        </w:rPr>
        <w:t>：我镇严格按照《奉节县人民政府办公室关于印发〈奉节县财政资金暂行管理办法〉的通知》（奉节府发〔</w:t>
      </w:r>
      <w:r>
        <w:rPr>
          <w:rFonts w:hint="eastAsia" w:cs="Times New Roman"/>
          <w:sz w:val="32"/>
          <w:szCs w:val="32"/>
          <w:lang w:val="en-US" w:eastAsia="zh-CN"/>
        </w:rPr>
        <w:t>2022〕13号</w:t>
      </w:r>
      <w:r>
        <w:rPr>
          <w:rFonts w:hint="eastAsia" w:cs="Times New Roman"/>
          <w:sz w:val="32"/>
          <w:szCs w:val="32"/>
          <w:lang w:eastAsia="zh-CN"/>
        </w:rPr>
        <w:t>）文件要求管理和使用资金，认真做好资金监管工作，确保专款专用，并严格按施工进度拨款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  <w:r>
        <w:rPr>
          <w:rFonts w:hint="eastAsia" w:cs="Times New Roman"/>
          <w:bCs/>
          <w:sz w:val="32"/>
          <w:szCs w:val="32"/>
          <w:lang w:eastAsia="zh-CN"/>
        </w:rPr>
        <w:t>已完成新修人行便道347m，规格：0.8米宽，0.1米厚，采用混泥土浇筑结构，砂浆强度不小于C20；混凝土浆砌M7.5片石梯田堡坎240.43m³,新建果园周转蓄水池80m³，采用钢筋混凝土浇筑结构；4.果园土壤改良180亩，亩施优质有机肥0.3吨，共施优质有机肥54吨；5.其他二类费用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已完成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土壤改良</w:t>
      </w:r>
      <w:r>
        <w:rPr>
          <w:rFonts w:hint="eastAsia" w:cs="Times New Roman"/>
          <w:sz w:val="32"/>
          <w:szCs w:val="32"/>
          <w:lang w:val="en-US" w:eastAsia="zh-CN"/>
        </w:rPr>
        <w:t>180亩，</w:t>
      </w:r>
      <w:r>
        <w:rPr>
          <w:rFonts w:hint="eastAsia" w:cs="Times New Roman"/>
          <w:bCs/>
          <w:sz w:val="32"/>
          <w:szCs w:val="32"/>
          <w:lang w:eastAsia="zh-CN"/>
        </w:rPr>
        <w:t>新修人行便道347m，混凝土浆砌M7.5片石梯田堡坎240.43m³,新建果园周转蓄水池80m³，采用钢筋混凝土浇筑结构。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已完成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验收</w:t>
      </w:r>
      <w:r>
        <w:rPr>
          <w:rFonts w:hint="eastAsia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合格</w:t>
      </w:r>
      <w:r>
        <w:rPr>
          <w:rFonts w:hint="eastAsia" w:cs="Times New Roman"/>
          <w:sz w:val="32"/>
          <w:szCs w:val="32"/>
          <w:lang w:eastAsia="zh-CN"/>
        </w:rPr>
        <w:t>率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已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按</w:t>
      </w:r>
      <w:r>
        <w:rPr>
          <w:rFonts w:hint="eastAsia" w:cs="Times New Roman"/>
          <w:sz w:val="32"/>
          <w:szCs w:val="32"/>
          <w:lang w:eastAsia="zh-CN"/>
        </w:rPr>
        <w:t>规定时限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完成</w:t>
      </w:r>
      <w:r>
        <w:rPr>
          <w:rFonts w:hint="eastAsia" w:cs="Times New Roman"/>
          <w:sz w:val="32"/>
          <w:szCs w:val="32"/>
          <w:lang w:eastAsia="zh-CN"/>
        </w:rPr>
        <w:t>了项目建设内容，完成率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（4）成本指标。财政扶持</w:t>
      </w:r>
      <w:r>
        <w:rPr>
          <w:rFonts w:hint="eastAsia" w:cs="Times New Roman"/>
          <w:sz w:val="32"/>
          <w:szCs w:val="32"/>
          <w:lang w:eastAsia="zh-CN"/>
        </w:rPr>
        <w:t>补助资金</w:t>
      </w:r>
      <w:r>
        <w:rPr>
          <w:rFonts w:hint="eastAsia" w:cs="Times New Roman"/>
          <w:sz w:val="32"/>
          <w:szCs w:val="32"/>
          <w:lang w:val="en-US" w:eastAsia="zh-CN"/>
        </w:rPr>
        <w:t>20万元已收到并及时支付到位，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自筹资金</w:t>
      </w:r>
      <w:r>
        <w:rPr>
          <w:rFonts w:hint="eastAsia" w:cs="Times New Roman"/>
          <w:sz w:val="32"/>
          <w:szCs w:val="32"/>
          <w:lang w:val="en-US" w:eastAsia="zh-CN"/>
        </w:rPr>
        <w:t>20.52万元已到位并及时支付。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  <w:r>
        <w:rPr>
          <w:rFonts w:hint="eastAsia" w:cs="Times New Roman"/>
          <w:sz w:val="32"/>
          <w:szCs w:val="32"/>
          <w:lang w:eastAsia="zh-CN"/>
        </w:rPr>
        <w:t>已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新增收入</w:t>
      </w:r>
      <w:r>
        <w:rPr>
          <w:rFonts w:hint="eastAsia" w:cs="Times New Roman"/>
          <w:sz w:val="32"/>
          <w:szCs w:val="32"/>
          <w:lang w:val="en-US" w:eastAsia="zh-CN"/>
        </w:rPr>
        <w:t>9.6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</w:t>
      </w:r>
      <w:r>
        <w:rPr>
          <w:rFonts w:hint="eastAsia" w:cs="Times New Roman"/>
          <w:sz w:val="32"/>
          <w:szCs w:val="32"/>
          <w:lang w:eastAsia="zh-CN"/>
        </w:rPr>
        <w:t>，完成经济效益指标。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  <w:r>
        <w:rPr>
          <w:rFonts w:hint="eastAsia" w:cs="Times New Roman"/>
          <w:sz w:val="32"/>
          <w:szCs w:val="32"/>
          <w:lang w:eastAsia="zh-CN"/>
        </w:rPr>
        <w:t>已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带动用工800人次</w:t>
      </w:r>
      <w:r>
        <w:rPr>
          <w:rFonts w:hint="eastAsia" w:cs="Times New Roman"/>
          <w:sz w:val="32"/>
          <w:szCs w:val="32"/>
          <w:lang w:eastAsia="zh-CN"/>
        </w:rPr>
        <w:t>，完成了社会效益指标。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（3）生态效益。保护本地生态环境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3.满意度指标完成情况分析。参与农户满意度</w:t>
      </w:r>
      <w:r>
        <w:rPr>
          <w:rFonts w:hint="eastAsia" w:cs="Times New Roman"/>
          <w:sz w:val="32"/>
          <w:szCs w:val="32"/>
          <w:lang w:eastAsia="zh-CN"/>
        </w:rPr>
        <w:t>达</w:t>
      </w:r>
      <w:r>
        <w:rPr>
          <w:rFonts w:hint="eastAsia" w:cs="Times New Roman"/>
          <w:sz w:val="32"/>
          <w:szCs w:val="32"/>
          <w:lang w:val="en-US" w:eastAsia="zh-CN"/>
        </w:rPr>
        <w:t>96%以上。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60040F45-7C73-428D-99BB-2D7EE3FAC8D6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CB01D8C6-A000-447B-AC92-FF88D6419D66}"/>
  </w:font>
  <w:font w:name="方正黑体_GBK">
    <w:panose1 w:val="03000509000000000000"/>
    <w:charset w:val="86"/>
    <w:family w:val="script"/>
    <w:pitch w:val="default"/>
    <w:sig w:usb0="00000000" w:usb1="00000000" w:usb2="00000000" w:usb3="00000000" w:csb0="00000000" w:csb1="00000000"/>
    <w:embedRegular r:id="rId3" w:fontKey="{D8ECF50B-C82D-4CCF-A3BA-C73670B8F18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213AB6E9-C805-46DA-82EA-626E6C72D5F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14860FDB-6161-42B0-92C1-E2B3D00EFA55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1363A7"/>
    <w:multiLevelType w:val="singleLevel"/>
    <w:tmpl w:val="DC1363A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M2UwZTJlMWVlMGEzNTc2M2M0OWYxNTIwY2ZjZGIifQ=="/>
  </w:docVars>
  <w:rsids>
    <w:rsidRoot w:val="00000000"/>
    <w:rsid w:val="01E63CD1"/>
    <w:rsid w:val="02364F8E"/>
    <w:rsid w:val="03321D76"/>
    <w:rsid w:val="0C607954"/>
    <w:rsid w:val="172D0D7B"/>
    <w:rsid w:val="1C0D1E2E"/>
    <w:rsid w:val="269478D8"/>
    <w:rsid w:val="29130F8B"/>
    <w:rsid w:val="2BD06A38"/>
    <w:rsid w:val="37A24A9D"/>
    <w:rsid w:val="3F3312EC"/>
    <w:rsid w:val="41250249"/>
    <w:rsid w:val="4BDF193C"/>
    <w:rsid w:val="5B266A0B"/>
    <w:rsid w:val="5B281A91"/>
    <w:rsid w:val="65BE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981</Words>
  <Characters>1103</Characters>
  <Lines>0</Lines>
  <Paragraphs>0</Paragraphs>
  <TotalTime>6</TotalTime>
  <ScaleCrop>false</ScaleCrop>
  <LinksUpToDate>false</LinksUpToDate>
  <CharactersWithSpaces>1104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2024-04-12T02:50:23Z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190245BC28294DB0BE854C972F8C0FCB_13</vt:lpwstr>
  </property>
</Properties>
</file>