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default" w:ascii="Times New Roman" w:hAnsi="Times New Roman" w:eastAsia="方正仿宋_GBK" w:cs="Times New Roman"/>
          <w:b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仿宋_GBK" w:cs="Times New Roman"/>
          <w:b/>
          <w:sz w:val="44"/>
          <w:szCs w:val="44"/>
          <w:lang w:val="en-US" w:eastAsia="zh-CN"/>
        </w:rPr>
        <w:t>奉节县安坪镇望江村便民服务中心</w:t>
      </w:r>
    </w:p>
    <w:p>
      <w:pPr>
        <w:spacing w:line="600" w:lineRule="exact"/>
        <w:jc w:val="center"/>
        <w:rPr>
          <w:rFonts w:hint="default" w:ascii="Times New Roman" w:hAnsi="Times New Roman" w:eastAsia="方正仿宋_GBK" w:cs="Times New Roman"/>
          <w:b/>
          <w:sz w:val="44"/>
          <w:szCs w:val="44"/>
        </w:rPr>
      </w:pPr>
      <w:r>
        <w:rPr>
          <w:rFonts w:hint="default" w:ascii="Times New Roman" w:hAnsi="Times New Roman" w:eastAsia="方正仿宋_GBK" w:cs="Times New Roman"/>
          <w:b/>
          <w:sz w:val="44"/>
          <w:szCs w:val="44"/>
          <w:lang w:val="en-US" w:eastAsia="zh-CN"/>
        </w:rPr>
        <w:t>项目支出</w:t>
      </w:r>
      <w:r>
        <w:rPr>
          <w:rFonts w:hint="default" w:ascii="Times New Roman" w:hAnsi="Times New Roman" w:eastAsia="方正仿宋_GBK" w:cs="Times New Roman"/>
          <w:b/>
          <w:sz w:val="44"/>
          <w:szCs w:val="44"/>
        </w:rPr>
        <w:t>自评报告</w:t>
      </w:r>
    </w:p>
    <w:p>
      <w:pPr>
        <w:spacing w:line="600" w:lineRule="exact"/>
        <w:ind w:firstLine="560" w:firstLineChars="200"/>
        <w:rPr>
          <w:rFonts w:hint="eastAsia" w:ascii="Times New Roman" w:hAnsi="Times New Roman" w:eastAsia="方正仿宋_GBK" w:cs="Times New Roman"/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一、绩效目标分解下达情况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cs="Times New Roman"/>
          <w:sz w:val="32"/>
          <w:szCs w:val="32"/>
          <w:lang w:val="en-US" w:eastAsia="zh-CN"/>
        </w:rPr>
        <w:t xml:space="preserve">  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（一）县财政下达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绩效目标情况。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奉节县财政局《关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于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开展20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22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年度项目资金绩效评价工作的通知》（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奉节财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绩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〔20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cs="Times New Roman"/>
          <w:color w:val="000000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〕</w:t>
      </w:r>
      <w:r>
        <w:rPr>
          <w:rFonts w:hint="eastAsia" w:ascii="Times New Roman" w:hAnsi="Times New Roman" w:cs="Times New Roman"/>
          <w:color w:val="000000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号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），在下达资金预算时同步下达了绩效目标。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二、绩效目标完成情况分析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（一）资金投入情况分析。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项目资金到位</w:t>
      </w:r>
      <w:r>
        <w:rPr>
          <w:rFonts w:hint="eastAsia" w:cs="Times New Roman"/>
          <w:sz w:val="32"/>
          <w:szCs w:val="32"/>
          <w:lang w:eastAsia="zh-CN"/>
        </w:rPr>
        <w:t>及拨付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情况</w:t>
      </w:r>
      <w:r>
        <w:rPr>
          <w:rFonts w:hint="eastAsia" w:cs="Times New Roman"/>
          <w:sz w:val="32"/>
          <w:szCs w:val="32"/>
          <w:lang w:eastAsia="zh-CN"/>
        </w:rPr>
        <w:t>：</w:t>
      </w:r>
      <w:r>
        <w:rPr>
          <w:rFonts w:hint="eastAsia" w:cs="Times New Roman"/>
          <w:sz w:val="32"/>
          <w:szCs w:val="32"/>
          <w:lang w:val="en-US" w:eastAsia="zh-CN"/>
        </w:rPr>
        <w:t>该项目预算资金45万，于2022年12月2日分别拨付22.5万元和15万元，于2022年12月12日拨付6万元，共计支付43.5万元。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本项目正在办理工程结算中，</w:t>
      </w:r>
      <w:r>
        <w:rPr>
          <w:rFonts w:hint="eastAsia" w:cs="Times New Roman"/>
          <w:color w:val="auto"/>
          <w:sz w:val="32"/>
          <w:szCs w:val="32"/>
          <w:lang w:eastAsia="zh-CN"/>
        </w:rPr>
        <w:t>剩余资金在结算办理完毕后拨付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；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项目资金管理情况</w:t>
      </w:r>
      <w:r>
        <w:rPr>
          <w:rFonts w:hint="eastAsia" w:cs="Times New Roman"/>
          <w:sz w:val="32"/>
          <w:szCs w:val="32"/>
          <w:lang w:eastAsia="zh-CN"/>
        </w:rPr>
        <w:t>：本项目</w:t>
      </w:r>
      <w:r>
        <w:rPr>
          <w:rFonts w:hint="eastAsia" w:cs="Times New Roman"/>
          <w:color w:val="auto"/>
          <w:sz w:val="32"/>
          <w:szCs w:val="32"/>
          <w:lang w:eastAsia="zh-CN"/>
        </w:rPr>
        <w:t>按进度拨款，专款专用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（二）总体绩效目标完成情况分析。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对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照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预算批复下达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的绩效目标</w:t>
      </w:r>
      <w:r>
        <w:rPr>
          <w:rFonts w:hint="eastAsia" w:ascii="Times New Roman" w:cs="Times New Roman"/>
          <w:color w:val="auto"/>
          <w:sz w:val="32"/>
          <w:szCs w:val="32"/>
          <w:lang w:val="en-US" w:eastAsia="zh-CN"/>
        </w:rPr>
        <w:t>（100分）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，结合项目实施过程中的预算执行和运行监控，组织开展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绩效目标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自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评</w:t>
      </w:r>
      <w:r>
        <w:rPr>
          <w:rFonts w:hint="eastAsia" w:ascii="Times New Roman" w:cs="Times New Roman"/>
          <w:color w:val="auto"/>
          <w:sz w:val="32"/>
          <w:szCs w:val="32"/>
          <w:lang w:eastAsia="zh-CN"/>
        </w:rPr>
        <w:t>结果：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预算执行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0</w:t>
      </w:r>
      <w:r>
        <w:rPr>
          <w:rFonts w:hint="eastAsia" w:ascii="Times New Roman" w:cs="Times New Roman"/>
          <w:color w:val="auto"/>
          <w:sz w:val="32"/>
          <w:szCs w:val="32"/>
          <w:lang w:val="en-US" w:eastAsia="zh-CN"/>
        </w:rPr>
        <w:t>分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产出指标50分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、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效益指标30分</w:t>
      </w:r>
      <w:r>
        <w:rPr>
          <w:rFonts w:hint="eastAsia" w:ascii="Times New Roman" w:cs="Times New Roman"/>
          <w:color w:val="auto"/>
          <w:sz w:val="32"/>
          <w:szCs w:val="32"/>
          <w:lang w:eastAsia="zh-CN"/>
        </w:rPr>
        <w:t>、满意度指标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10</w:t>
      </w:r>
      <w:r>
        <w:rPr>
          <w:rFonts w:hint="eastAsia" w:ascii="Times New Roman" w:cs="Times New Roman"/>
          <w:color w:val="auto"/>
          <w:sz w:val="32"/>
          <w:szCs w:val="32"/>
          <w:lang w:eastAsia="zh-CN"/>
        </w:rPr>
        <w:t>分，共计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90</w:t>
      </w:r>
      <w:r>
        <w:rPr>
          <w:rFonts w:hint="eastAsia" w:ascii="Times New Roman" w:cs="Times New Roman"/>
          <w:color w:val="auto"/>
          <w:sz w:val="32"/>
          <w:szCs w:val="32"/>
          <w:lang w:val="en-US" w:eastAsia="zh-CN"/>
        </w:rPr>
        <w:t>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（三）绩效目标完成情况分析。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（根据年初绩效目标及指标逐项分析）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1.产出指标完成情况分析。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（1）数量指标。</w:t>
      </w:r>
      <w:r>
        <w:rPr>
          <w:rFonts w:hint="eastAsia" w:cs="Times New Roman"/>
          <w:sz w:val="32"/>
          <w:szCs w:val="32"/>
          <w:lang w:eastAsia="zh-CN"/>
        </w:rPr>
        <w:t>完成便民服务中心一个，包括便民服务大厅、村会议室、图书室、 村民小组长室、便民文化广场等建设内容，便民服务中心设计共2层，建筑面积约390平方米；计</w:t>
      </w:r>
      <w:r>
        <w:rPr>
          <w:rFonts w:hint="eastAsia" w:cs="Times New Roman"/>
          <w:sz w:val="32"/>
          <w:szCs w:val="32"/>
          <w:lang w:val="en-US" w:eastAsia="zh-CN"/>
        </w:rPr>
        <w:t>10分。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（2）质量指标。</w:t>
      </w:r>
      <w:r>
        <w:rPr>
          <w:rFonts w:hint="eastAsia" w:cs="Times New Roman"/>
          <w:sz w:val="32"/>
          <w:szCs w:val="32"/>
          <w:lang w:eastAsia="zh-CN"/>
        </w:rPr>
        <w:t>验收合格率</w:t>
      </w:r>
      <w:r>
        <w:rPr>
          <w:rFonts w:hint="eastAsia" w:cs="Times New Roman"/>
          <w:sz w:val="32"/>
          <w:szCs w:val="32"/>
          <w:lang w:val="en-US" w:eastAsia="zh-CN"/>
        </w:rPr>
        <w:t>100%，计10分。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（3）时效指标。</w:t>
      </w: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项目完成及时率</w:t>
      </w:r>
      <w:r>
        <w:rPr>
          <w:rFonts w:hint="eastAsia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100%，计</w:t>
      </w:r>
      <w:r>
        <w:rPr>
          <w:rFonts w:hint="eastAsia" w:ascii="Times New Roman" w:hAnsi="Times New Roman" w:cs="Times New Roman"/>
          <w:color w:val="auto"/>
          <w:kern w:val="2"/>
          <w:sz w:val="32"/>
          <w:szCs w:val="32"/>
          <w:lang w:val="en-US" w:eastAsia="zh-CN" w:bidi="ar-SA"/>
        </w:rPr>
        <w:t>2</w:t>
      </w:r>
      <w:r>
        <w:rPr>
          <w:rFonts w:hint="eastAsia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  <w:lang w:val="en-US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（4）成本指标。</w:t>
      </w:r>
      <w:r>
        <w:rPr>
          <w:rFonts w:hint="eastAsia" w:cs="Times New Roman"/>
          <w:bCs/>
          <w:sz w:val="32"/>
          <w:szCs w:val="32"/>
          <w:lang w:eastAsia="zh-CN"/>
        </w:rPr>
        <w:t>成本严格控制在预算金额内，目前使用</w:t>
      </w:r>
      <w:r>
        <w:rPr>
          <w:rFonts w:hint="eastAsia" w:cs="Times New Roman"/>
          <w:bCs/>
          <w:sz w:val="32"/>
          <w:szCs w:val="32"/>
          <w:lang w:val="en-US" w:eastAsia="zh-CN"/>
        </w:rPr>
        <w:t>43.5万，计10分。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2.效益指标完成情况分析。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（1）经济效益。</w:t>
      </w:r>
      <w:r>
        <w:rPr>
          <w:rFonts w:hint="eastAsia" w:cs="Times New Roman"/>
          <w:sz w:val="32"/>
          <w:szCs w:val="32"/>
          <w:lang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  <w:lang w:val="en-US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（2）社会效益。</w:t>
      </w:r>
      <w:r>
        <w:rPr>
          <w:rFonts w:hint="eastAsia" w:cs="Times New Roman"/>
          <w:bCs/>
          <w:sz w:val="32"/>
          <w:szCs w:val="32"/>
          <w:lang w:eastAsia="zh-CN"/>
        </w:rPr>
        <w:t>受益村民</w:t>
      </w:r>
      <w:r>
        <w:rPr>
          <w:rFonts w:hint="eastAsia" w:cs="Times New Roman"/>
          <w:bCs/>
          <w:sz w:val="32"/>
          <w:szCs w:val="32"/>
          <w:lang w:val="en-US" w:eastAsia="zh-CN"/>
        </w:rPr>
        <w:t>2910人，计10分；受益党员70人，计10分。小计20分。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（3）生态效益。</w:t>
      </w:r>
      <w:r>
        <w:rPr>
          <w:rFonts w:hint="eastAsia" w:cs="Times New Roman"/>
          <w:sz w:val="32"/>
          <w:szCs w:val="32"/>
          <w:lang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（4）可持续影响。</w:t>
      </w:r>
      <w:r>
        <w:rPr>
          <w:rFonts w:hint="eastAsia" w:cs="Times New Roman"/>
          <w:sz w:val="32"/>
          <w:szCs w:val="32"/>
          <w:lang w:eastAsia="zh-CN"/>
        </w:rPr>
        <w:t>设计寿命可使用</w:t>
      </w:r>
      <w:r>
        <w:rPr>
          <w:rFonts w:hint="eastAsia" w:cs="Times New Roman"/>
          <w:sz w:val="32"/>
          <w:szCs w:val="32"/>
          <w:lang w:val="en-US" w:eastAsia="zh-CN"/>
        </w:rPr>
        <w:t>50年，计10分。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3.满意度指标完成情况分析。</w:t>
      </w:r>
      <w:r>
        <w:rPr>
          <w:rFonts w:hint="eastAsia" w:cs="Times New Roman"/>
          <w:sz w:val="32"/>
          <w:szCs w:val="32"/>
          <w:lang w:eastAsia="zh-CN"/>
        </w:rPr>
        <w:t>群众满意度</w:t>
      </w:r>
      <w:r>
        <w:rPr>
          <w:rFonts w:hint="eastAsia" w:cs="Times New Roman"/>
          <w:sz w:val="32"/>
          <w:szCs w:val="32"/>
          <w:lang w:val="en-US" w:eastAsia="zh-CN"/>
        </w:rPr>
        <w:t>95%，计10分。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三、绩效自评结果情况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通过认真开展单位项目支出绩效目标自评，综合评分</w:t>
      </w:r>
      <w:r>
        <w:rPr>
          <w:rFonts w:hint="eastAsia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90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分，评价结果为</w:t>
      </w:r>
      <w:r>
        <w:rPr>
          <w:rFonts w:hint="eastAsia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优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  <w:lang w:eastAsia="zh-CN"/>
        </w:rPr>
        <w:t>四、</w:t>
      </w: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偏离绩效目标的原因和下一步改进措施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eastAsia" w:eastAsia="方正仿宋_GBK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绩效指标未完成原因</w:t>
      </w:r>
      <w:r>
        <w:rPr>
          <w:rFonts w:hint="eastAsia" w:cs="Times New Roman"/>
          <w:sz w:val="32"/>
          <w:szCs w:val="32"/>
          <w:lang w:eastAsia="zh-CN"/>
        </w:rPr>
        <w:t>为：预算执行率</w:t>
      </w:r>
      <w:r>
        <w:rPr>
          <w:rFonts w:hint="eastAsia" w:cs="Times New Roman"/>
          <w:sz w:val="32"/>
          <w:szCs w:val="32"/>
          <w:lang w:val="en-US" w:eastAsia="zh-CN"/>
        </w:rPr>
        <w:t>0</w:t>
      </w:r>
      <w:r>
        <w:rPr>
          <w:rFonts w:hint="eastAsia" w:cs="Times New Roman"/>
          <w:color w:val="auto"/>
          <w:kern w:val="2"/>
          <w:sz w:val="32"/>
          <w:szCs w:val="32"/>
          <w:lang w:val="en-US" w:eastAsia="zh-CN" w:bidi="ar-SA"/>
        </w:rPr>
        <w:t>未达到100%；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下一步改进措施</w:t>
      </w:r>
      <w:r>
        <w:rPr>
          <w:rFonts w:hint="eastAsia" w:cs="Times New Roman"/>
          <w:sz w:val="32"/>
          <w:szCs w:val="32"/>
          <w:lang w:eastAsia="zh-CN"/>
        </w:rPr>
        <w:t>：完成</w:t>
      </w:r>
      <w:bookmarkStart w:id="0" w:name="_GoBack"/>
      <w:bookmarkEnd w:id="0"/>
      <w:r>
        <w:rPr>
          <w:rFonts w:hint="eastAsia" w:cs="Times New Roman"/>
          <w:sz w:val="32"/>
          <w:szCs w:val="32"/>
          <w:lang w:eastAsia="zh-CN"/>
        </w:rPr>
        <w:t>项目结算工作，项目预算全部执行到位。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五、其他需要说明的问题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中央巡视、各级审计和财政监督中发现的问题及其所涉及的金额。</w:t>
      </w:r>
      <w:r>
        <w:rPr>
          <w:rFonts w:hint="eastAsia" w:cs="Times New Roman"/>
          <w:sz w:val="32"/>
          <w:szCs w:val="32"/>
          <w:lang w:eastAsia="zh-CN"/>
        </w:rPr>
        <w:t>（无）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附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件</w:t>
      </w:r>
      <w:r>
        <w:rPr>
          <w:rFonts w:hint="default" w:ascii="Times New Roman" w:hAnsi="Times New Roman" w:cs="Times New Roman"/>
          <w:sz w:val="32"/>
          <w:szCs w:val="32"/>
          <w:lang w:eastAsia="zh-CN"/>
        </w:rPr>
        <w:t>：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项目支出预算绩效目标自评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表</w:t>
      </w:r>
    </w:p>
    <w:p>
      <w:pPr>
        <w:pStyle w:val="2"/>
        <w:rPr>
          <w:rFonts w:hint="default" w:ascii="Times New Roman" w:hAnsi="Times New Roman" w:cs="Times New Roman"/>
          <w:lang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hhYjU4NDg0N2VkYjc5YWI3NjY0MjFlMGNhZWVmNDEifQ=="/>
  </w:docVars>
  <w:rsids>
    <w:rsidRoot w:val="00000000"/>
    <w:rsid w:val="04836EC1"/>
    <w:rsid w:val="1A4202FF"/>
    <w:rsid w:val="1C0D1E2E"/>
    <w:rsid w:val="2B2D7EE8"/>
    <w:rsid w:val="3105315F"/>
    <w:rsid w:val="3AAB331B"/>
    <w:rsid w:val="4C7D7030"/>
    <w:rsid w:val="53576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859</Words>
  <Characters>929</Characters>
  <Lines>0</Lines>
  <Paragraphs>0</Paragraphs>
  <TotalTime>46</TotalTime>
  <ScaleCrop>false</ScaleCrop>
  <LinksUpToDate>false</LinksUpToDate>
  <CharactersWithSpaces>932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2023-02-27T02:35:00Z</dcterms:created>
  <dc:creator>user</dc:creator>
  <cp:lastModifiedBy>顺其自然</cp:lastModifiedBy>
  <cp:lastPrinted>2023-03-07T06:26:00Z</cp:lastPrinted>
  <dcterms:modified xsi:type="dcterms:W3CDTF">2024-04-12T11:15:02Z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  <property fmtid="{D5CDD505-2E9C-101B-9397-08002B2CF9AE}" pid="3" name="ICV">
    <vt:lpwstr>01FAE46AF4AD417E831CD3545549D6D4</vt:lpwstr>
  </property>
</Properties>
</file>