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  <w:lang w:val="en-US" w:eastAsia="zh-CN"/>
        </w:rPr>
        <w:t>安坪镇大保村脐橙产业提质增效项目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color w:val="auto"/>
          <w:sz w:val="28"/>
          <w:szCs w:val="28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绩效目标分解下达情况</w:t>
      </w:r>
    </w:p>
    <w:p>
      <w:pPr>
        <w:widowControl/>
        <w:spacing w:line="54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绩效目标情况。</w:t>
      </w:r>
      <w:r>
        <w:rPr>
          <w:rFonts w:hint="default" w:ascii="方正仿宋_GBK" w:eastAsia="方正仿宋_GBK" w:cs="宋体" w:hAnsiTheme="minorEastAsia"/>
          <w:color w:val="auto"/>
          <w:kern w:val="0"/>
          <w:sz w:val="32"/>
          <w:szCs w:val="32"/>
          <w:lang w:val="en-US" w:eastAsia="zh-CN"/>
        </w:rPr>
        <w:t>奉节县财政局</w:t>
      </w:r>
      <w:r>
        <w:rPr>
          <w:rFonts w:hint="eastAsia" w:ascii="方正仿宋_GBK" w:eastAsia="方正仿宋_GBK" w:cs="宋体" w:hAnsiTheme="minorEastAsia"/>
          <w:color w:val="auto"/>
          <w:kern w:val="0"/>
          <w:sz w:val="32"/>
          <w:szCs w:val="32"/>
          <w:lang w:val="en-US" w:eastAsia="zh-CN"/>
        </w:rPr>
        <w:t>《</w:t>
      </w:r>
      <w:r>
        <w:rPr>
          <w:rFonts w:hint="default" w:ascii="方正仿宋_GBK" w:eastAsia="方正仿宋_GBK" w:cs="宋体" w:hAnsiTheme="minorEastAsia"/>
          <w:color w:val="auto"/>
          <w:kern w:val="0"/>
          <w:sz w:val="32"/>
          <w:szCs w:val="32"/>
          <w:lang w:val="en-US" w:eastAsia="zh-CN"/>
        </w:rPr>
        <w:t>奉节县财政局关于下达2023年第二批衔接资金计划的通知</w:t>
      </w:r>
      <w:r>
        <w:rPr>
          <w:rFonts w:hint="eastAsia" w:ascii="方正仿宋_GBK" w:eastAsia="方正仿宋_GBK" w:cs="宋体" w:hAnsiTheme="minorEastAsia"/>
          <w:color w:val="auto"/>
          <w:kern w:val="0"/>
          <w:sz w:val="32"/>
          <w:szCs w:val="32"/>
          <w:lang w:val="en-US" w:eastAsia="zh-CN"/>
        </w:rPr>
        <w:t>》（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奉节财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272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号</w:t>
      </w:r>
      <w:r>
        <w:rPr>
          <w:rFonts w:hint="eastAsia" w:ascii="方正仿宋_GBK" w:eastAsia="方正仿宋_GBK" w:cs="宋体" w:hAnsiTheme="minorEastAsia"/>
          <w:color w:val="auto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，在下达资金预算时同步下达了绩效目标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</w:pP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2023年8月收到财政资金120万元，2023年11月收到财政资金50万元，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170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lang w:val="en-US" w:eastAsia="zh-CN"/>
        </w:rPr>
        <w:t>202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lang w:val="en-US" w:eastAsia="zh-CN"/>
        </w:rPr>
        <w:t>年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  <w:t>支付项目资金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120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  <w:t>，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2023年11月支付项目资金50万元，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  <w:t>共计支付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170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eastAsia="zh-CN"/>
        </w:rPr>
        <w:t>。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资金管理情况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color w:val="auto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color w:val="auto"/>
          <w:sz w:val="32"/>
          <w:szCs w:val="32"/>
          <w:lang w:eastAsia="zh-CN"/>
        </w:rPr>
        <w:t>已完成新修人行便道347m，规格：0.8米宽，0.1米厚，采用混泥土浇筑结构，砂浆强度不小于C20；混凝土浆砌M7.5片石梯田堡坎240.43m³,新建果园周转蓄水池80m³，采用钢筋混凝土浇筑结构；4.果园土壤改良180亩，亩施优质有机肥0.3吨，共施优质有机肥54吨；5.其他二类费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已完成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土壤改良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180亩，</w:t>
      </w:r>
      <w:r>
        <w:rPr>
          <w:rFonts w:hint="eastAsia" w:cs="Times New Roman"/>
          <w:bCs/>
          <w:color w:val="auto"/>
          <w:sz w:val="32"/>
          <w:szCs w:val="32"/>
          <w:lang w:eastAsia="zh-CN"/>
        </w:rPr>
        <w:t>新修人行便道347m，混凝土浆砌M7.5片石梯田堡坎240.43m³,新建果园周转蓄水池80m³，采用钢筋混凝土浇筑结构。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（2）质量指标。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已完成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验收</w:t>
      </w:r>
      <w:r>
        <w:rPr>
          <w:rFonts w:hint="eastAsia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合格</w:t>
      </w:r>
      <w:r>
        <w:rPr>
          <w:rFonts w:hint="eastAsia" w:cs="Times New Roman"/>
          <w:color w:val="auto"/>
          <w:sz w:val="32"/>
          <w:szCs w:val="32"/>
          <w:lang w:eastAsia="zh-CN"/>
        </w:rPr>
        <w:t>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按</w:t>
      </w:r>
      <w:r>
        <w:rPr>
          <w:rFonts w:hint="eastAsia" w:cs="Times New Roman"/>
          <w:color w:val="auto"/>
          <w:sz w:val="32"/>
          <w:szCs w:val="32"/>
          <w:lang w:eastAsia="zh-CN"/>
        </w:rPr>
        <w:t>规定时限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完成</w:t>
      </w:r>
      <w:r>
        <w:rPr>
          <w:rFonts w:hint="eastAsia" w:cs="Times New Roman"/>
          <w:color w:val="auto"/>
          <w:sz w:val="32"/>
          <w:szCs w:val="32"/>
          <w:lang w:eastAsia="zh-CN"/>
        </w:rPr>
        <w:t>了项目建设内容，完成率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95%。</w:t>
      </w:r>
    </w:p>
    <w:p>
      <w:pPr>
        <w:spacing w:line="600" w:lineRule="exact"/>
        <w:ind w:firstLine="640" w:firstLineChars="200"/>
        <w:rPr>
          <w:rFonts w:hint="eastAsia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（4）成本指标。财政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170万元已收到并及时支付到位。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（1）经济效益。</w:t>
      </w:r>
      <w:r>
        <w:rPr>
          <w:rFonts w:hint="eastAsia" w:cs="Times New Roman"/>
          <w:color w:val="auto"/>
          <w:sz w:val="32"/>
          <w:szCs w:val="32"/>
          <w:lang w:eastAsia="zh-CN"/>
        </w:rPr>
        <w:t>亩产增量0.25吨；优质果提升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（2）社会效益。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亩均年降低劳动力5个</w:t>
      </w:r>
      <w:r>
        <w:rPr>
          <w:rFonts w:hint="eastAsia" w:cs="Times New Roman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（3）生态效益。</w:t>
      </w:r>
      <w:r>
        <w:rPr>
          <w:rFonts w:hint="eastAsia" w:cs="Times New Roman"/>
          <w:color w:val="auto"/>
          <w:sz w:val="32"/>
          <w:szCs w:val="32"/>
          <w:lang w:eastAsia="zh-CN"/>
        </w:rPr>
        <w:t>无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（4）可持续影响。</w:t>
      </w:r>
      <w:r>
        <w:rPr>
          <w:rFonts w:hint="eastAsia" w:cs="Times New Roman"/>
          <w:color w:val="auto"/>
          <w:sz w:val="32"/>
          <w:szCs w:val="32"/>
          <w:lang w:eastAsia="zh-CN"/>
        </w:rPr>
        <w:t>持续时间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3.满意度指标完成情况分析。受益贫困人口满意度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98%，受益群众满意度98%以上。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97.5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分，评价结果为优。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cs="Times New Roman"/>
          <w:color w:val="auto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cs="Times New Roman"/>
          <w:color w:val="auto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color w:val="auto"/>
          <w:lang w:eastAsia="zh-CN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599F297-6128-42CC-9D84-23685EC8E89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39EC6D2-E47D-4A83-BCE0-FF99E3EA9B9E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3" w:fontKey="{04203726-4096-46A7-89BF-0F506F2844E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373E9BE-1E2A-486C-9D61-538200D3CAE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1363A7"/>
    <w:multiLevelType w:val="singleLevel"/>
    <w:tmpl w:val="DC1363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2364F8E"/>
    <w:rsid w:val="03321D76"/>
    <w:rsid w:val="05980DAB"/>
    <w:rsid w:val="0C607954"/>
    <w:rsid w:val="172D0D7B"/>
    <w:rsid w:val="1C0D1E2E"/>
    <w:rsid w:val="269478D8"/>
    <w:rsid w:val="29130F8B"/>
    <w:rsid w:val="2BD06A38"/>
    <w:rsid w:val="37A24A9D"/>
    <w:rsid w:val="39D51961"/>
    <w:rsid w:val="3F3312EC"/>
    <w:rsid w:val="41250249"/>
    <w:rsid w:val="43DE0C50"/>
    <w:rsid w:val="49DB5168"/>
    <w:rsid w:val="4BDF193C"/>
    <w:rsid w:val="52464B2D"/>
    <w:rsid w:val="567B367B"/>
    <w:rsid w:val="5B266A0B"/>
    <w:rsid w:val="5B281A91"/>
    <w:rsid w:val="635605A2"/>
    <w:rsid w:val="74C6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1103</Characters>
  <Lines>0</Lines>
  <Paragraphs>0</Paragraphs>
  <TotalTime>16</TotalTime>
  <ScaleCrop>false</ScaleCrop>
  <LinksUpToDate>false</LinksUpToDate>
  <CharactersWithSpaces>1104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2024-04-12T08:17:23Z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480B444EB3754B4D9A77FD11C9457F26_13</vt:lpwstr>
  </property>
</Properties>
</file>