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违法建筑拆除整治工作经费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违法建筑拆除整治工作经费的通知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》（奉节财预〔2021〕23号），在下达资金预算时同步下达了绩效目标。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：拆违项目资金于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2021年2月到账，共计22万元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2021年2月用于蜀东门脐橙专业合作社违法建筑拆除资金213000元；2021年2月整治石庙景区三峡之巅资金6700元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加强对本辖区违法建筑的监督，完成对蜀东门脐橙专业合作社、石庙景区三峡之巅的整治。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完成对蜀东门脐橙专业合作社的拆除。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：按照相关要求进行强拆。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：动态监督，及时上报。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：有效控制禁违拆违建，鼓励群众自行拆除违法建设，监督上报，全区违法建设得到改善。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jc w:val="both"/>
        <w:textAlignment w:val="auto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基层人民群众对此项工作非常支持满意。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 w:right="0" w:rightChars="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偏离绩效目标的原因：有些违建情况未及时发现。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改进措施：动员群众自查自报，发现情况及时上报，做好预防措施。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tbl>
      <w:tblPr>
        <w:tblStyle w:val="5"/>
        <w:tblpPr w:leftFromText="180" w:rightFromText="180" w:vertAnchor="text" w:horzAnchor="page" w:tblpX="1915" w:tblpY="464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61"/>
        <w:gridCol w:w="885"/>
        <w:gridCol w:w="1974"/>
        <w:gridCol w:w="975"/>
        <w:gridCol w:w="705"/>
        <w:gridCol w:w="990"/>
        <w:gridCol w:w="190"/>
        <w:gridCol w:w="108"/>
        <w:gridCol w:w="317"/>
        <w:gridCol w:w="515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违法建筑拆除整治工作经费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李勇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县违法建筑整治工作指挥部办公室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0" w:leftChars="0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5"/>
                <w:szCs w:val="15"/>
                <w:lang w:eastAsia="zh-CN"/>
              </w:rPr>
              <w:t>全年预算数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执行数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完成非库区地灾点监测，保障区域内人民群众生命财产安全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　</w:t>
            </w:r>
          </w:p>
          <w:p>
            <w:pPr>
              <w:bidi w:val="0"/>
              <w:jc w:val="both"/>
              <w:rPr>
                <w:rFonts w:ascii="Times New Roman" w:hAnsi="Times New Roman" w:eastAsia="方正仿宋_GBK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已完成目标，投入资金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强拆蜀东门建筑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按标准执法、拆除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动态发现、及时上报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鼓励群众自查自报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全区违法建筑改善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有效控制违法建设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群众对治理的满意度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158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kOTI5MWRkNGJjOTZiZTE1ZTZjZWM0ODYyZDBjZWYifQ=="/>
  </w:docVars>
  <w:rsids>
    <w:rsidRoot w:val="3C9332A5"/>
    <w:rsid w:val="019C7181"/>
    <w:rsid w:val="04A83F49"/>
    <w:rsid w:val="14922833"/>
    <w:rsid w:val="188B16F9"/>
    <w:rsid w:val="19375EE1"/>
    <w:rsid w:val="1B835B95"/>
    <w:rsid w:val="1D190FCA"/>
    <w:rsid w:val="1D5263CB"/>
    <w:rsid w:val="23582973"/>
    <w:rsid w:val="3A15327D"/>
    <w:rsid w:val="3C9332A5"/>
    <w:rsid w:val="42431DBF"/>
    <w:rsid w:val="46B9051F"/>
    <w:rsid w:val="4E541E88"/>
    <w:rsid w:val="5542490F"/>
    <w:rsid w:val="623A476E"/>
    <w:rsid w:val="68106CAE"/>
    <w:rsid w:val="78C3487A"/>
    <w:rsid w:val="7AA02320"/>
    <w:rsid w:val="7E9208A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1069</Words>
  <Characters>1178</Characters>
  <Lines>0</Lines>
  <Paragraphs>0</Paragraphs>
  <TotalTime>0</TotalTime>
  <ScaleCrop>false</ScaleCrop>
  <LinksUpToDate>false</LinksUpToDate>
  <CharactersWithSpaces>1390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cp:lastPrinted>2022-05-19T02:47:00Z</cp:lastPrinted>
  <dcterms:modified xsi:type="dcterms:W3CDTF">2022-05-28T10:24:04Z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65920E66A4AB4585B9743534BFC16F04</vt:lpwstr>
  </property>
</Properties>
</file>