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2021年财政衔接资金公益性岗位项目资金项目支出自评报告</w:t>
      </w:r>
    </w:p>
    <w:p>
      <w:pPr>
        <w:spacing w:line="600" w:lineRule="exact"/>
        <w:jc w:val="left"/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《关于2021年财政衔接资金公益性岗位项目资金的通知》（</w:t>
      </w:r>
      <w:r>
        <w:rPr>
          <w:rFonts w:hint="eastAsia" w:eastAsia="方正仿宋_GBK"/>
          <w:sz w:val="32"/>
          <w:szCs w:val="32"/>
        </w:rPr>
        <w:t>奉节财农〔2021〕304号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shd w:val="clear" w:fill="FFFFFF"/>
        </w:rPr>
        <w:t>） 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0" w:lineRule="atLeast"/>
        <w:ind w:left="0" w:right="0"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0" w:lineRule="atLeast"/>
        <w:ind w:left="0" w:right="0" w:firstLine="640" w:firstLineChars="200"/>
        <w:textAlignment w:val="auto"/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2021年12月财政局全额下达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2021年财政衔接资金公益性岗位项目资金5.57万元，因年底结账支付系统暂时关闭未能及时支付，我镇未能拨付该笔项目资金，因扶贫迎检要求，暂由前进村垫付。2021年12月财政局将该笔资金全额追减，2022年已重新拨付我镇并归还前进村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74" w:lineRule="exact"/>
        <w:ind w:left="0" w:right="0"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该项目绩效自评按照“公开、公平、公正”的原则进行。以相关法律、法规、规章以及奉节县有关文件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74" w:lineRule="exact"/>
        <w:ind w:left="0" w:right="0"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为了进一步帮扶就业困难群体就业，加强公益性岗位的开发与管理，根据《关于做好财政衔接资金公益性岗位开发管理工作的通知》（奉节人社发〔2021〕161号）要求，白帝镇人民政府按照文件要求开发了财政扶贫专项资金公益性岗位26名。 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0" w:lineRule="atLeast"/>
        <w:ind w:left="0" w:right="0"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按文件标准设立岗位合格率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shd w:val="clear" w:fill="FFFFFF"/>
        </w:rPr>
        <w:t>在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镇范围内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shd w:val="clear" w:fill="FFFFFF"/>
        </w:rPr>
        <w:t>开发公益性岗位实现公共利益和安置符合条件的就业困难人员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shd w:val="clear" w:fill="FFFFFF"/>
        </w:rPr>
        <w:t>公益性岗位由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村（社区）</w:t>
      </w:r>
      <w:r>
        <w:rPr>
          <w:rFonts w:hint="eastAsia"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shd w:val="clear" w:fill="FFFFFF"/>
        </w:rPr>
        <w:t>和用人单位按照“公开公平、兼顾困难”的原则共同负责招聘：方案上报、信息发布、组织报名、推荐应聘、聘用备案、退出机制等。公益性岗位人员采取“谁使用、谁负责”管理机制。 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开发公益性岗位及时率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带动贫困户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户均增收2142元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（2）社会效益。增加贫困人口就业人数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26人次，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公益性岗位政策知晓率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90%。</w:t>
      </w:r>
    </w:p>
    <w:p>
      <w:pPr>
        <w:pStyle w:val="3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74" w:lineRule="exact"/>
        <w:ind w:right="0" w:rightChars="0"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3.满意度指标完成情况分析。建档立卡贫困人口满意度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95%。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640" w:leftChars="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通过认真开展单位项目支出绩效目标自评，综合评分98分，评价结果为优。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公益性岗位项目总体良好，但也存在一定的问题：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1.临时性人员流动性大、补贴不高、工作量大； 2.加强公益性岗位人员培训，提高公益性岗位人员素质。公益性岗位人员大部分是“4050”人员，人员年龄偏大、文化程度低、技能单一，这些存在问题与用人单位对员工的需求存在一定的差距，也对公益性岗位工作有一定的影响，因此，要加强公益性岗位人员培训，提高人员素质，以更好的适应工作需要。 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一是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加强人员管理。各用人单位负责界定岗位职责、制定具体的管理制度、开展业务培训，并负责人员日常的管理工作。 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二是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健全管理机制，建立人员进出机制。在符合岗位工作需要的前提下，要确保年龄偏大、文化程度偏低、无技术特长且家庭生活特别困难的失业人员、零就业家庭、失地农民得到优先帮扶。用人单位要对从业人员的履职情况予以客观的评价，对不能履行职能职责的要向上级提出解聘建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tbl>
      <w:tblPr>
        <w:tblStyle w:val="4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1217"/>
        <w:gridCol w:w="750"/>
        <w:gridCol w:w="1245"/>
        <w:gridCol w:w="228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2021年财政衔接资金公益性岗位项目资金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马宏宇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奉节县就业局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白帝镇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5.57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5.5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5.57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开发26名财政专项资金公益性岗位，每户增收2142元。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完成26名财政衔接资金公益性岗位，每户增收2142元。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提供公益性岗位26个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26个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26个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岗位符合文件要求率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开发岗位及时率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带动贫困户年增加收入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户均增收2142元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户均增收2142元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增加贫困人口就业人数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26人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26人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政策知晓率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建档立卡贫困人口满意度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马宏宇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马宏宇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2022.5.17</w:t>
            </w:r>
          </w:p>
        </w:tc>
      </w:tr>
    </w:tbl>
    <w:p>
      <w:pPr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98434B"/>
    <w:multiLevelType w:val="singleLevel"/>
    <w:tmpl w:val="A198434B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ZjU2MDBiNDhlMmZjZTU1ZDMxM2MwZGViZGFjNzkifQ=="/>
  </w:docVars>
  <w:rsids>
    <w:rsidRoot w:val="44610419"/>
    <w:rsid w:val="15CE23A2"/>
    <w:rsid w:val="16263618"/>
    <w:rsid w:val="16C62D5A"/>
    <w:rsid w:val="18CC36F6"/>
    <w:rsid w:val="1D4B5D9F"/>
    <w:rsid w:val="1ED21448"/>
    <w:rsid w:val="221C196E"/>
    <w:rsid w:val="22323D6E"/>
    <w:rsid w:val="26700ECC"/>
    <w:rsid w:val="267047E0"/>
    <w:rsid w:val="2C05612F"/>
    <w:rsid w:val="2C085DCC"/>
    <w:rsid w:val="30B9756B"/>
    <w:rsid w:val="32764ACB"/>
    <w:rsid w:val="44610419"/>
    <w:rsid w:val="44E92D35"/>
    <w:rsid w:val="45137781"/>
    <w:rsid w:val="47BE4F54"/>
    <w:rsid w:val="480B7B34"/>
    <w:rsid w:val="4EB36E01"/>
    <w:rsid w:val="54D43D95"/>
    <w:rsid w:val="5F9D1511"/>
    <w:rsid w:val="790863AB"/>
    <w:rsid w:val="7B14738A"/>
    <w:rsid w:val="7EB4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2720</Words>
  <Characters>2908</Characters>
  <Lines>0</Lines>
  <Paragraphs>0</Paragraphs>
  <TotalTime>4</TotalTime>
  <ScaleCrop>false</ScaleCrop>
  <LinksUpToDate>false</LinksUpToDate>
  <CharactersWithSpaces>3193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2020-12-07T08:23:00Z</dcterms:created>
  <dc:creator>Administrator</dc:creator>
  <cp:lastModifiedBy>Administrator</cp:lastModifiedBy>
  <dcterms:modified xsi:type="dcterms:W3CDTF">2022-05-27T14:12:37Z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F42E254363BC48C58812292C696DF397</vt:lpwstr>
  </property>
</Properties>
</file>