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2021年白帝镇石庙村葡萄建设项目支出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2021年白帝镇石庙村葡萄建设项目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支出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〔2021〕152号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960" w:leftChars="200" w:hanging="320" w:hanging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项目建设</w:t>
      </w: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"/>
        </w:rPr>
        <w:t>补贴资金及时、足额划转到</w:t>
      </w:r>
      <w:r>
        <w:rPr>
          <w:rFonts w:hint="eastAsia" w:ascii="方正仿宋_GBK" w:hAnsi="方正仿宋_GBK" w:cs="方正仿宋_GBK"/>
          <w:b w:val="0"/>
          <w:kern w:val="2"/>
          <w:sz w:val="32"/>
          <w:szCs w:val="32"/>
          <w:lang w:val="en-US" w:eastAsia="zh-CN" w:bidi="ar"/>
        </w:rPr>
        <w:t>石庙村。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2021年白帝镇石庙村葡萄建设项目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资金300万元整，已全部拨付给石庙村。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项目资金300万元已全部拨付，拨付率为100%。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白帝镇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石庙村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葡萄建设项目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0万元整，已全部拨付给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石庙村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用于项目设施建设。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白帝</w:t>
      </w:r>
      <w:r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石庙村</w:t>
      </w:r>
      <w:r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葡萄建设项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已全部完工。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1.产出指标完成情况分析。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</w:rPr>
        <w:t>（1）数量指标。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完成葡萄种植面积580亩。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</w:rPr>
        <w:t>（2）质量指标。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工程验收合格率100%。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</w:rPr>
        <w:t>（3）时效指标。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补助资金到位及时率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</w:rPr>
        <w:t>2.效益指标完成情况分析。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增加贫困户稳定性务工岗位10个，建卡贫困户临时用工100人次，产业带动贫困户发展10户。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lang w:eastAsia="zh-CN"/>
        </w:rPr>
        <w:t>贫困户满意度达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336"/>
        <w:gridCol w:w="870"/>
        <w:gridCol w:w="960"/>
        <w:gridCol w:w="1126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2021年</w:t>
            </w:r>
            <w:r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石庙村</w:t>
            </w:r>
            <w:r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葡萄建设项目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王安兴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奉节县白帝镇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白帝镇石庙村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围栏、葡萄园门廊、葡萄园售卖长廊、雕塑小品、标识标牌、艺术挡墙、景观石、地表清理、干铺碎石及虎皮石道路等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完善休闲基础设施，提升葡萄园整体形象，增加农民经济收入，促进乡村旅游的发展。同时为农业持续发展奠定基础，提高农用地的经济效益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3000-3500余元。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葡萄种植面积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580亩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580亩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工程合格率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资金到位及时率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产业发展带动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50户150人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贫困户稳定性务工岗位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建卡贫困户临时用工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100人次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产业发展带动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贫困户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贫困户满意度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tabs>
                <w:tab w:val="clear" w:pos="312"/>
              </w:tabs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72302442">
    <w:nsid w:val="7B84D36A"/>
    <w:multiLevelType w:val="singleLevel"/>
    <w:tmpl w:val="7B84D36A"/>
    <w:lvl w:ilvl="0" w:tentative="1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229704972">
    <w:nsid w:val="FC1C2D0C"/>
    <w:multiLevelType w:val="singleLevel"/>
    <w:tmpl w:val="FC1C2D0C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072302442"/>
  </w:num>
  <w:num w:numId="2">
    <w:abstractNumId w:val="42297049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143158FC"/>
    <w:rsid w:val="213423E3"/>
    <w:rsid w:val="23582973"/>
    <w:rsid w:val="25FA2EF4"/>
    <w:rsid w:val="383C5919"/>
    <w:rsid w:val="38927828"/>
    <w:rsid w:val="3C9332A5"/>
    <w:rsid w:val="3DDA1F62"/>
    <w:rsid w:val="3DEE62BF"/>
    <w:rsid w:val="483238A7"/>
    <w:rsid w:val="51A5529E"/>
    <w:rsid w:val="53D275A2"/>
    <w:rsid w:val="54461C4E"/>
    <w:rsid w:val="5B2B2793"/>
    <w:rsid w:val="5BD478FB"/>
    <w:rsid w:val="5F871EA6"/>
    <w:rsid w:val="610D5A0D"/>
    <w:rsid w:val="65133D1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1185</Words>
  <Characters>1316</Characters>
  <Lines>0</Lines>
  <Paragraphs>0</Paragraphs>
  <ScaleCrop>false</ScaleCrop>
  <LinksUpToDate>false</LinksUpToDate>
  <CharactersWithSpaces>1425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dcterms:modified xsi:type="dcterms:W3CDTF">2022-05-30T02:30:23Z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384613E33A2A453F9D45DF2209CF0940</vt:lpwstr>
  </property>
</Properties>
</file>