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default" w:ascii="Times New Roman" w:hAnsi="Times New Roman" w:cs="Times New Roman"/>
        </w:rPr>
        <w:pict>
          <v:shape id="_x0000_s1026" o:spid="_x0000_s1026" o:spt="136" type="#_x0000_t136" style="position:absolute;left:0pt;margin-left:92.5pt;margin-top:94.25pt;height:53.85pt;width:411pt;mso-position-horizontal-relative:page;mso-position-vertical-relative:margin;z-index:251660288;mso-width-relative:page;mso-height-relative:page;" fillcolor="#FF0000" filled="t" stroked="f" coordsize="21600,21600" adj="10800">
            <v:path/>
            <v:fill on="t" color2="#FFFFFF" focussize="0,0"/>
            <v:stroke on="f"/>
            <v:imagedata o:title=""/>
            <o:lock v:ext="edit" aspectratio="f"/>
            <v:textpath on="t" fitshape="t" fitpath="t" trim="t" xscale="f" string="奉节县红土乡人民政府" style="font-family:方正小标宋_GBK;font-size:36pt;font-weight:bold;v-text-align:center;"/>
          </v:shape>
        </w:pict>
      </w:r>
    </w:p>
    <w:p>
      <w:pPr>
        <w:jc w:val="center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jc w:val="center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jc w:val="center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/>
        </w:rPr>
      </w:pPr>
    </w:p>
    <w:p>
      <w:pPr>
        <w:spacing w:line="600" w:lineRule="exact"/>
        <w:jc w:val="center"/>
        <w:rPr>
          <w:rFonts w:hint="eastAsia" w:ascii="Times New Roman" w:hAnsi="Times New Roman" w:eastAsia="方正楷体_GBK" w:cs="方正楷体_GBK"/>
          <w:b w:val="0"/>
          <w:bCs w:val="0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1031875</wp:posOffset>
                </wp:positionH>
                <wp:positionV relativeFrom="margin">
                  <wp:posOffset>2900680</wp:posOffset>
                </wp:positionV>
                <wp:extent cx="5615940" cy="0"/>
                <wp:effectExtent l="0" t="10795" r="3810" b="17780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222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81.25pt;margin-top:228.4pt;height:0pt;width:442.2pt;mso-position-horizontal-relative:page;mso-position-vertical-relative:margin;z-index:251661312;mso-width-relative:page;mso-height-relative:page;" filled="f" stroked="t" coordsize="21600,21600" o:gfxdata="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K3Afh2AAAAAwBAAAPAAAAAAAAAAEAIAAAACIAAABkcnMvZG93bnJldi54bWxQSwECFAAUAAAA&#10;CACHTuJA+cidce4BAADqAwAADgAAAAAAAAABACAAAAAnAQAAZHJzL2Uyb0RvYy54bWxQSwUGAAAA&#10;AAYABgBZAQAAhwUAAAAA&#10;">
                <v:fill on="f" focussize="0,0"/>
                <v:stroke weight="1.7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eastAsia="zh-CN"/>
        </w:rPr>
        <w:t>红土府函〔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2022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eastAsia="zh-CN"/>
        </w:rPr>
        <w:t>〕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57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楷体_GBK" w:cs="方正楷体_GBK"/>
          <w:b w:val="0"/>
          <w:bCs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奉节县红土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乡</w:t>
      </w: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关于报送2021年度绩效目标自评情况的函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根据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奉节财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绩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〔202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〕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号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文件精神，我单位对2021年度单位整体支出、项目支出绩效目标进行了自评，现将自评情况函告于后，请予以审查。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18" w:leftChars="304" w:hanging="1280" w:hangingChars="4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：</w:t>
      </w:r>
      <w:r>
        <w:rPr>
          <w:rFonts w:hint="eastAsia" w:ascii="Times New Roman" w:hAnsi="Times New Roman" w:eastAsia="方正仿宋_GBK" w:cs="Times New Roman"/>
          <w:color w:val="auto"/>
          <w:spacing w:val="-6"/>
          <w:sz w:val="32"/>
          <w:szCs w:val="32"/>
          <w:lang w:val="en-US" w:eastAsia="zh-CN"/>
        </w:rPr>
        <w:t>1. 红土乡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整体支出预算绩效目标自评报告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600" w:firstLineChars="500"/>
        <w:textAlignment w:val="auto"/>
        <w:rPr>
          <w:rFonts w:hint="default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2. 红土乡整体支出预算绩效自评表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600" w:firstLineChars="5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3. 红土乡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项目支出预算绩效目标自评情况说明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50" w:firstLineChars="500"/>
        <w:textAlignment w:val="auto"/>
        <w:rPr>
          <w:rFonts w:hint="eastAsia"/>
          <w:color w:val="auto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（此页无正文）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5120" w:firstLineChars="160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奉节县红土乡人民政府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 xml:space="preserve">                                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20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日</w:t>
      </w: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6" w:beforeLines="100"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红土乡整体支出预算绩效目标自评报告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一、</w:t>
      </w: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单位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．机构情况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红土乡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党委、政府设置党政综合办事机构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个，事业单位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个：文化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服务中心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、农业服务中心、劳动就业和社会保障服务所、退役军人服务站、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综合行政执法大队、特色产业发展中心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2. 人员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编制情况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单位2021年末实有人数为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人，较2020年增加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人，主要原因是其中行政人员2021年度新招录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人，换届选举调入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人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换届选举调出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人，2021年度遴选调出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人，实际行政人员增加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人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其中非参公事业单位人员2021年度遴选调出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人，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大学生村官调入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1人，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事业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工勤调入1人，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实际参公事业单位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减少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人。公务用车编制数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台，实际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台。房屋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建筑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面积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2200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平方米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，使用面积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2200平方米。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1"/>
        <w:rPr>
          <w:rFonts w:hint="eastAsia" w:ascii="方正楷体_GBK" w:hAnsi="方正楷体_GBK" w:eastAsia="方正楷体_GBK" w:cs="方正楷体_GBK"/>
          <w:b w:val="0"/>
          <w:bCs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 w:val="0"/>
          <w:bCs/>
          <w:sz w:val="32"/>
          <w:szCs w:val="32"/>
        </w:rPr>
        <w:t>（</w:t>
      </w:r>
      <w:r>
        <w:rPr>
          <w:rFonts w:hint="eastAsia" w:ascii="方正楷体_GBK" w:hAnsi="方正楷体_GBK" w:eastAsia="方正楷体_GBK" w:cs="方正楷体_GBK"/>
          <w:b w:val="0"/>
          <w:bCs/>
          <w:sz w:val="32"/>
          <w:szCs w:val="32"/>
          <w:lang w:eastAsia="zh-CN"/>
        </w:rPr>
        <w:t>二</w:t>
      </w:r>
      <w:r>
        <w:rPr>
          <w:rFonts w:hint="eastAsia" w:ascii="方正楷体_GBK" w:hAnsi="方正楷体_GBK" w:eastAsia="方正楷体_GBK" w:cs="方正楷体_GBK"/>
          <w:b w:val="0"/>
          <w:bCs/>
          <w:sz w:val="32"/>
          <w:szCs w:val="32"/>
        </w:rPr>
        <w:t>）基本</w:t>
      </w:r>
      <w:r>
        <w:rPr>
          <w:rFonts w:hint="eastAsia" w:ascii="方正楷体_GBK" w:hAnsi="方正楷体_GBK" w:eastAsia="方正楷体_GBK" w:cs="方正楷体_GBK"/>
          <w:b w:val="0"/>
          <w:bCs/>
          <w:sz w:val="32"/>
          <w:szCs w:val="32"/>
          <w:lang w:eastAsia="zh-CN"/>
        </w:rPr>
        <w:t>职责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leftChars="0" w:firstLine="640" w:firstLineChars="200"/>
        <w:textAlignment w:val="auto"/>
        <w:rPr>
          <w:rFonts w:hint="default"/>
        </w:rPr>
      </w:pP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shd w:val="clear" w:color="auto" w:fill="FFFFFF"/>
          <w:lang w:val="en-US" w:eastAsia="zh-CN"/>
        </w:rPr>
        <w:t xml:space="preserve">1. 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shd w:val="clear" w:color="auto" w:fill="FFFFFF"/>
        </w:rPr>
        <w:t>主要职能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shd w:val="clear" w:color="auto" w:fill="FFFFFF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color w:val="000000"/>
          <w:sz w:val="32"/>
          <w:szCs w:val="32"/>
          <w:highlight w:val="none"/>
          <w:shd w:val="clear" w:color="auto" w:fill="FFFFFF"/>
        </w:rPr>
        <w:t>贯彻落实党和国家的路线、方针、政策；制定和实施经济发展计划；加强政策引导，推进农业和农村经济结构调整，提高农业生产综合能力；制定和实施社会事业发展规划，建立健全保障机制，促进社会事业发展；加强社会管理，维护社会稳定；发展社会公共事业和集体公益事业，加强社会化服务体系建设，提高公共服务水平；加强应急工作机制建设，保障公共安全，负责抗灾抢险和突发事件处理工作；强化道德法治建设，提高公民整体素质水平；加强政府自身建设，进一步巩固农村基层政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三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）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年度主要工作概述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bookmarkStart w:id="0" w:name="YS060102"/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1.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特色产业提质增效。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持续做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强“红土贡米”，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5年来，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水稻播种面积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逐年递增，建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成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“万亩贡米”基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地，红土米价每斤高出市场均价2元以上，全乡水稻年产值达2600万元以上，白鹤坝1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00亩高标准农田实现机械化、标准化生产，贡米产业成为名副其实的稳供产业、脱贫增收产业。优化产业布局，种植黄精、佛手、金银花、等中药材2800余亩，种植白桃、脆李、猕猴桃等小水果4000亩，引进祥飞智能蚕桑公司落户三星，密植桑园带动农户增收，红土乡老屋村蜂蜜产业已启动建设，红土食用菌产业项目已完成厂房安装，设备即将安装到位，预计下月能建成投产。特色养殖业快速发展，现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生猪养殖场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5个，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生猪存栏4125头，出栏8564头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，山羊养殖场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22个，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山羊存栏6623只，出栏6342只，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养鸡场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4个，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禽存栏32156羽，出栏47652羽，肉类总产量1025吨，禽蛋产量455吨</w:t>
      </w:r>
      <w:r>
        <w:rPr>
          <w:rFonts w:hint="default" w:ascii="Times New Roman" w:hAnsi="Times New Roman" w:eastAsia="方正仿宋_GBK" w:cs="Times New Roman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2.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乡村面貌全面改观。深入开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展“六项专项治理”，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加大场镇违法建设、占道经营整治力度，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有效疏通化解场镇管理堵点、难点，多次获得县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上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综合评比检查一等奖；落实耕地保护责任，完成农村乱占耕地建房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453户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摸排任务；完成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288平方米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下广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市政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环卫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停车场建设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白鹤农业公园环线公路太阳能路灯110盏安装，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九台村、三星村公路沿线安装太阳能路灯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250 盏。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建设二三级污水管网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4500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米，完成白鹤坝、鸡鸣店、龙水湾三处污水处理厂和污水管网测绘规划。完成峰岳、红土、野茶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4处地灾整治工程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；加强基础设施投入，完成村主公路硬化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63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公里，整治140公里泥结石路，硬化140公里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产业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人行路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整治山坪塘335口，新建集中供水22处、分散供水163处，整治输水堰12公里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开展农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村“清洁村庄”行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动，落实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111名贫困户人员就近就业，其中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68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个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岗位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用于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清扫保洁，建立农村环境卫生管理长效机制。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抓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好河长制、林长制工作，实现河长巡河与护林员巡林常态化；取缔非法采砂采石4处，整治固体废弃物排放点2处；深入推进厕所革命，完成卫生厕所824户；完成峰岳、九台便民服务中心改扩建，完成野茶村便民服务中心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1"/>
        <w:rPr>
          <w:rFonts w:hint="eastAsia" w:ascii="方正楷体_GBK" w:hAnsi="方正楷体_GBK" w:eastAsia="方正楷体_GBK" w:cs="方正楷体_GBK"/>
          <w:b w:val="0"/>
          <w:bCs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b w:val="0"/>
          <w:bCs/>
          <w:sz w:val="32"/>
          <w:szCs w:val="32"/>
          <w:lang w:eastAsia="zh-CN"/>
        </w:rPr>
        <w:t>（四）绩效目标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整体支出绩效目标申报及年中追加支出绩效目标情况：年初预算下达了整体支出绩效目标，由于年中追加了预算，对整体支出绩效目标进行了调整，我单位根据调整后的整体支出绩效目标开展了自评。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（五）年度预决算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我单位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初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预算总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收入为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1208.8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万元，年中追加收入1734.32万元，全年总收入为2943.12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；全年总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支出为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2943.12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万元，其中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基本支出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1376.73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工资福利支出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840.67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万元、商品和服务支出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275.52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万元、对个人和家庭的补助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260.54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），项目支出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1566.39万元。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. 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年初预算收入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1208.8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万元，其中：财政拨款收入年初预算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1208.8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（一般公共预算收入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418.76万元，文化旅游体育与传媒收入44.2万元，社会保障和就业收入165.44万元，卫生健康收入43.08万元，城乡社区收入15.08万元，农林水收入482.32万元，住房保障收入39.92万元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年中追加预算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1734.32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（一般公共预算收入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175.58万元，文化旅游体育与传媒减少8.55万元，社会保障和就业收入29.09万元，卫生健康收入8万元，节能环保收入521.09万元，城乡社区收入109.83万元，农林水收入859.75万元，交通运输收入13.9万元，灾害防治及应急管理收入25.63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），共计收入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2943.12万元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. 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年初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预算支出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2943.12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万元，基本支出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1376.73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元（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工资福利支出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840.67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万元、商品和服务支出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275.52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万元、对个人和家庭的补助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260.54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，项目支出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1566.39万元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；年中追加专项支出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0万元，共计支出为1566.39万元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二、</w:t>
      </w: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整体支出管理及使用情况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（一）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基本支出：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年度我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乡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基本支出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1376.73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万元，其中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人员支出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1101.22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万元，公用支出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275.52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“</w:t>
      </w:r>
      <w:bookmarkStart w:id="1" w:name="_GoBack"/>
      <w:bookmarkEnd w:id="1"/>
      <w:r>
        <w:rPr>
          <w:rFonts w:hint="default" w:ascii="Times New Roman" w:hAnsi="Times New Roman" w:eastAsia="方正仿宋_GBK" w:cs="Times New Roman"/>
          <w:sz w:val="32"/>
          <w:szCs w:val="32"/>
        </w:rPr>
        <w:t>三公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经费支出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6.87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万元（预算为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万元），同比去年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增加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%。其中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公务接待费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0.27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万元（预算为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万元），同比去年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增加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72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%，公务用车运行维护费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6.6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万元（预算为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万元），同比上年增加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（减少）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%，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政府采购完成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（二）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项目支出：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年财政拨款项目支出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1566.39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万元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，同比上年增加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53.4%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兑付2021年耕地地力保护和种粮大户补贴资金支出275.56万元，2021年山东协作重庆第一批市县级援助资金支出200万元，农村公路项目资金支出225万元，2017年度新一轮退耕还林工程（第五年）补助资金支出40.87万元，2020年度前一轮退耕还林工程延长补助第一批补助资金支出22.72万元，2020年财金协同支持镇乡产业发展奖补资金项目支出50万元，2021年老屋村蜜蜂养殖项目资金支出75万元，红土乡贡米产业建设项目支出100万元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</w:rPr>
        <w:t>三、整体支出绩效情况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（一）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财务管理制度建设情况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资金拨付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是否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严格按程序申报、审批，合理合规使用资金，确保财政资金安全。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（二）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资产管理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按照要求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及时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报送资产情况报表，确保各项资产核算准确、帐实相符、管理到位。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（三）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预决算公开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在县人民政府门户网站上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按时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进行了预决算公开。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（四）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“三公”经费控制情况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严格遵守各项规章制度，严控“三公”经费支出，“三公”经费减少，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并及时在县人民政府门户网站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上对“三公”经费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情况进行公示。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（五）政府采购情况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2021年全年政府采购固定资产设备38件，价值11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9万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元。其中包含新录入公务用车一辆价值2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万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评价结论</w:t>
      </w: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通过认真开展单位整体支出绩效目标自评，综合评分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100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（一）经济性分析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执行绩效评价体系，从以下几个方面提升了我单位的绩效工作：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一是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要加大支出管理。严格执行公务接待、公车管理及差旅费、会议费管理，坚持厉行节约，努力降低财政运行成本。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二是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严格预算约束做好增收节支，极力控制非生产性支出，降低行政运行成本，严肃财经纪律，坚决反对铺张浪费。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三是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加强预算执行，建立健全财政资金使用管理办法，促进资金使用效益；</w:t>
      </w:r>
      <w:r>
        <w:rPr>
          <w:rFonts w:hint="default" w:ascii="Times New Roman" w:hAnsi="Times New Roman" w:eastAsia="方正仿宋_GBK" w:cs="Times New Roman"/>
          <w:b/>
          <w:bCs/>
          <w:sz w:val="32"/>
          <w:szCs w:val="32"/>
          <w:lang w:val="en-US" w:eastAsia="zh-CN"/>
        </w:rPr>
        <w:t>四是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积极化解存量债务，严控政府性债务风险。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（二）效率性分析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项目严格按照实施内容及阶段控制表执行，资金的使用严格遵循预期目标，如期完成。项目验收方式基本合理，验收结果公正。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  <w:lang w:val="en-US" w:eastAsia="zh-CN"/>
        </w:rPr>
        <w:t>（三）效益性分析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2021年，我单位的绩效评价工作在红土乡党委的坚强领导下，在人民群众的监督指导下，在社会各界的大力支持下，深入挖掘增收潜力，坚持稳增长、调结构、促改革、惠民生、防风险，各项支出得到较好保障，为建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设“美丽红土”提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供了坚强保障。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五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、存在的问题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因业务水平有限，年初预算的编制支出类别上理解不够，比如基本支出和项目支出，在日常业务操作时容易出错。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预决算项目支出编制需进一步明确、精细化。同时项目执行率需进一步提高。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随着对预、决算编制工作水平要求越来越高，数据编制要求越来越精准、规范；时间紧、任务大；加之现行决算工作与实际账务处理工作间衔接还存在一定差异；会计人员业务明显增加，人员紧缺，加之业务操作水平有限，实际操作中确实感到力不从心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六</w:t>
      </w:r>
      <w:r>
        <w:rPr>
          <w:rFonts w:hint="eastAsia" w:ascii="方正黑体_GBK" w:hAnsi="方正黑体_GBK" w:eastAsia="方正黑体_GBK" w:cs="方正黑体_GBK"/>
          <w:sz w:val="32"/>
          <w:szCs w:val="32"/>
        </w:rPr>
        <w:t>、改进措施和有关建议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（一）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细化预算编制工作，进一步加强内设机构的预算管理意识，严格按照预算编制的相关制度和要求进行预算编制。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（二）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加强财务管理，严格财务审核。加强单位财务管理，健全单位财务管理制度体系，规范单位财务行为。在费用报账支付时，按照预算规定的费用项目和用途进行资金使用审核、财务严格核算，杜绝超支现象的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（三）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合理安排会计岗位，适当增加会计人员，增加业务知识培训，加强决算工作与账务处理工作衔接。  </w:t>
      </w: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pStyle w:val="11"/>
        <w:rPr>
          <w:rFonts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eastAsia="zh-CN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2</w:t>
      </w:r>
    </w:p>
    <w:tbl>
      <w:tblPr>
        <w:tblStyle w:val="12"/>
        <w:tblW w:w="9587" w:type="dxa"/>
        <w:tblInd w:w="-2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315"/>
        <w:gridCol w:w="1319"/>
        <w:gridCol w:w="1651"/>
        <w:gridCol w:w="1110"/>
        <w:gridCol w:w="435"/>
        <w:gridCol w:w="736"/>
        <w:gridCol w:w="76"/>
        <w:gridCol w:w="1288"/>
        <w:gridCol w:w="121"/>
        <w:gridCol w:w="13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9587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lang w:val="en-US" w:eastAsia="zh-CN"/>
              </w:rPr>
            </w:pP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  <w:lang w:val="en-US" w:eastAsia="zh-CN"/>
              </w:rPr>
              <w:t>红土乡整体支出预算绩效自评表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eastAsia" w:ascii="方正小标宋_GBK" w:hAnsi="方正小标宋_GBK" w:eastAsia="方正小标宋_GBK" w:cs="方正小标宋_GBK"/>
                <w:sz w:val="44"/>
                <w:szCs w:val="44"/>
              </w:rPr>
            </w:pPr>
            <w:r>
              <w:rPr>
                <w:rFonts w:hint="default" w:ascii="Times New Roman" w:hAnsi="Times New Roman" w:eastAsia="方正楷体_GBK" w:cs="Times New Roman"/>
                <w:sz w:val="32"/>
                <w:szCs w:val="32"/>
                <w:lang w:val="en-US" w:eastAsia="zh-CN"/>
              </w:rPr>
              <w:t>（2021年度）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单位名称</w:t>
            </w: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</w:rPr>
              <w:t>奉节县红土乡人民政</w:t>
            </w:r>
            <w:r>
              <w:rPr>
                <w:rFonts w:hint="eastAsia" w:ascii="Times New Roman" w:hAnsi="Times New Roman" w:eastAsia="方正仿宋_GBK" w:cs="Times New Roman"/>
                <w:lang w:eastAsia="zh-CN"/>
              </w:rPr>
              <w:t>府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内设机构个数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16</w:t>
            </w:r>
          </w:p>
        </w:tc>
        <w:tc>
          <w:tcPr>
            <w:tcW w:w="1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职工实有人数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项目负责人</w:t>
            </w: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eastAsia="zh-CN"/>
              </w:rPr>
              <w:t>李远学</w:t>
            </w:r>
          </w:p>
        </w:tc>
        <w:tc>
          <w:tcPr>
            <w:tcW w:w="22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联系电话</w:t>
            </w:r>
          </w:p>
        </w:tc>
        <w:tc>
          <w:tcPr>
            <w:tcW w:w="27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13996501763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4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预算及执行整体规模（万元）</w:t>
            </w: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资金来源与结构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年初预算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追加预算</w:t>
            </w:r>
          </w:p>
        </w:tc>
        <w:tc>
          <w:tcPr>
            <w:tcW w:w="1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预算执行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执行率%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资金来源：（1）财政拨款</w:t>
            </w:r>
          </w:p>
        </w:tc>
        <w:tc>
          <w:tcPr>
            <w:tcW w:w="11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1208.79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1734.33</w:t>
            </w:r>
          </w:p>
        </w:tc>
        <w:tc>
          <w:tcPr>
            <w:tcW w:w="1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2943.12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（2）其他资金</w:t>
            </w:r>
          </w:p>
        </w:tc>
        <w:tc>
          <w:tcPr>
            <w:tcW w:w="11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资金结构：（1）基本支出</w:t>
            </w:r>
          </w:p>
        </w:tc>
        <w:tc>
          <w:tcPr>
            <w:tcW w:w="11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1208.79</w:t>
            </w: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167.94</w:t>
            </w:r>
          </w:p>
        </w:tc>
        <w:tc>
          <w:tcPr>
            <w:tcW w:w="1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1376.73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5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29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（2）项目支出</w:t>
            </w:r>
          </w:p>
        </w:tc>
        <w:tc>
          <w:tcPr>
            <w:tcW w:w="11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</w:rPr>
            </w:pPr>
          </w:p>
        </w:tc>
        <w:tc>
          <w:tcPr>
            <w:tcW w:w="117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1566.39</w:t>
            </w:r>
          </w:p>
        </w:tc>
        <w:tc>
          <w:tcPr>
            <w:tcW w:w="14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1566.39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0" w:hRule="atLeast"/>
        </w:trPr>
        <w:tc>
          <w:tcPr>
            <w:tcW w:w="154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年度总体目标及完成情况</w:t>
            </w: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</w:rPr>
            </w:pPr>
            <w:r>
              <w:rPr>
                <w:rFonts w:hint="eastAsia" w:ascii="方正仿宋_GBK" w:hAnsi="方正仿宋_GBK" w:eastAsia="方正仿宋_GBK" w:cs="方正仿宋_GBK"/>
                <w:lang w:val="en-US" w:eastAsia="zh-CN"/>
              </w:rPr>
              <w:t>年初工作 计划综述</w:t>
            </w:r>
          </w:p>
        </w:tc>
        <w:tc>
          <w:tcPr>
            <w:tcW w:w="672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400" w:firstLineChars="2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一是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  <w:t>确保完成基层基础规范化建设，年底综合考核达到优秀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  <w:t>。二是落实机关过紧日子，机关实现“保民生、保工资、保运转"，保障高效运转。三是抓招商引资。全力推进光伏项目，6万千万装机的光伏项目规划面积192亩，1000亩核心示范基地完成高标准农田改造，努力建成红土万亩贡米基地；发展生猪、山羊、蚕桑养殖、中药材种植为重点，持续打造一批示范园、示范户，形成产业链带动就业，实现十四五良好开局。四是按照日常工作清单，完成低保、五保、残疾人生活补贴、重度残疾人护理补贴等其他民生工作；纵深推进扫黑除恶专项斗争，压实信访维稳工作责任，加大矛盾纠纷排查化解力度，完善多元化矛盾纠纷化解机制，确保“小事不出村（社）、大事不出乡、矛盾不上交”，全力维护社会稳定。五是推进卫生院、文化广场、养老服务站等公益设施的建设，全面提升群众的美好幸福感。六是结合新时代文明实践积分银行建设，建党100周年契机，各村（社区）开展多样文化活动，活动发展次数15次。七是抓基础设施。利用区位优势和资源禀赋，依托红土乡白鹤村独特的资源打造奉节县首个农业园区-白鹤现代农业园发展旅游业，完善基础设施，改善人居环境，另打造3-5个农旅融合的生态观光园区。项目管理完整率达到100%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7" w:hRule="atLeast"/>
        </w:trPr>
        <w:tc>
          <w:tcPr>
            <w:tcW w:w="154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全年完成 情况综述</w:t>
            </w:r>
          </w:p>
        </w:tc>
        <w:tc>
          <w:tcPr>
            <w:tcW w:w="6723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firstLine="400" w:firstLineChars="2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lang w:eastAsia="zh-CN"/>
              </w:rPr>
              <w:t>一是</w:t>
            </w: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</w:rPr>
              <w:t>全面完成县委等有关部门下达的党建工作任务。</w:t>
            </w: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lang w:eastAsia="zh-CN"/>
              </w:rPr>
              <w:t>二是确保机关及村（居）委会正常运行，实现年度财政预算资金零结转。三是全面抓招商引资，发展产业村集体经济产业红土村食用菌、老屋村蜂蜜、三星村智能蚕桑等项目落地；培育市场主体，加快区域经济发展。四是完成落实低保、五保、残疾人生活补贴、重度残疾人护理补贴等其他民生工作，社保考核为优秀；完善城镇街道基础设施建设，城镇管理综合考核为优秀。五是开展多种多样的群众文化、工会活动，活动次数15次以上。六是推进卫生院、文化广场、养老服务站等公益设施的建设，进一步加大农村人居环境整治，建设“美丽乡村”。年底民调考核</w:t>
            </w: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方正仿宋_GBK" w:hAnsi="方正仿宋_GBK" w:eastAsia="方正仿宋_GBK" w:cs="方正仿宋_GBK"/>
                <w:sz w:val="20"/>
                <w:szCs w:val="20"/>
                <w:lang w:eastAsia="zh-CN"/>
              </w:rPr>
              <w:t>分以上。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9587" w:type="dxa"/>
            <w:gridSpan w:val="11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分解目标自评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完成值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自评得分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投入管理指标 （30分）</w:t>
            </w:r>
          </w:p>
        </w:tc>
        <w:tc>
          <w:tcPr>
            <w:tcW w:w="16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预算编审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编制完整性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  <w:t>完整率100%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1.5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  <w:t>完整率100%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编制准确性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  <w:t>准确率100%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1.5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  <w:t>准确率100%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绩效目标管理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  <w:t>合格率95%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  <w:t>合格率95%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预算执行率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公用经费控制率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“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三公</w:t>
            </w:r>
            <w:r>
              <w:rPr>
                <w:rFonts w:hint="eastAsia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”</w:t>
            </w: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经费控制率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结转结余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资金结转结余率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零结转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零结转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预决算信息公开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预决算信息公开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完整及时公开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完整及时公开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基础信息完整性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预算管理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在职人员控制率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管理制度健全性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健全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健全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资金使用合规性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合规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合规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公务卡理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公务卡刷卡率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政府采购管理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政府采购执行率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资产管理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管理制度健全性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管理制度安全性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固定资产利用率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</w:t>
            </w:r>
            <w:r>
              <w:rPr>
                <w:rStyle w:val="30"/>
                <w:rFonts w:hint="eastAsia" w:ascii="方正仿宋_GBK" w:hAnsi="方正仿宋_GBK" w:eastAsia="方正仿宋_GBK" w:cs="方正仿宋_GBK"/>
                <w:sz w:val="20"/>
                <w:szCs w:val="20"/>
                <w:lang w:val="en-US" w:eastAsia="zh-CN" w:bidi="ar"/>
              </w:rPr>
              <w:t>25</w:t>
            </w:r>
            <w:r>
              <w:rPr>
                <w:rStyle w:val="31"/>
                <w:rFonts w:hint="eastAsia" w:ascii="方正仿宋_GBK" w:hAnsi="方正仿宋_GBK" w:eastAsia="方正仿宋_GBK" w:cs="方正仿宋_GBK"/>
                <w:sz w:val="20"/>
                <w:szCs w:val="20"/>
                <w:lang w:val="en-US" w:eastAsia="zh-CN" w:bidi="ar"/>
              </w:rPr>
              <w:t>分）</w:t>
            </w:r>
          </w:p>
        </w:tc>
        <w:tc>
          <w:tcPr>
            <w:tcW w:w="1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质量达标率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完成及时率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成本节约率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效果指标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</w:t>
            </w:r>
            <w:r>
              <w:rPr>
                <w:rStyle w:val="30"/>
                <w:rFonts w:hint="eastAsia" w:ascii="方正仿宋_GBK" w:hAnsi="方正仿宋_GBK" w:eastAsia="方正仿宋_GBK" w:cs="方正仿宋_GBK"/>
                <w:sz w:val="20"/>
                <w:szCs w:val="20"/>
                <w:lang w:val="en-US" w:eastAsia="zh-CN" w:bidi="ar"/>
              </w:rPr>
              <w:t>35</w:t>
            </w:r>
            <w:r>
              <w:rPr>
                <w:rStyle w:val="31"/>
                <w:rFonts w:hint="eastAsia" w:ascii="方正仿宋_GBK" w:hAnsi="方正仿宋_GBK" w:eastAsia="方正仿宋_GBK" w:cs="方正仿宋_GBK"/>
                <w:sz w:val="20"/>
                <w:szCs w:val="20"/>
                <w:lang w:val="en-US" w:eastAsia="zh-CN" w:bidi="ar"/>
              </w:rPr>
              <w:t>分）</w:t>
            </w:r>
          </w:p>
        </w:tc>
        <w:tc>
          <w:tcPr>
            <w:tcW w:w="16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组织财政收入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招商引资金额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争取上级资金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确保单位运转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确保社会稳定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5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提升单位形象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节能减排达标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减少水土流失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影响力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经济发展规划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4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6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单位内控制度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81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1427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exact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社会公众或服务对象满意度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95%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451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分值合计：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100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default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100</w:t>
            </w: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6" w:beforeLines="100"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奉节县红土乡人民政府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项目支出预算绩效目标自评情况说明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2021年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年初下达项目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个，金额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57.03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万元；年中追加下达项目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35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个，金额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1513.77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万元；2020年因为项目未竣工没有开展绩效目标自评的项目0个纳入2021年绩效目标自评，共计应有44个项目开展绩效目标自评。因2021年未实施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0个、未竣工项目0个、取消项目0个，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故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2021年实际开展绩效目标自评44个，金额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1570.8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特此说明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8" w:space="1"/>
          <w:bottom w:val="single" w:color="auto" w:sz="8" w:space="1"/>
        </w:pBdr>
        <w:tabs>
          <w:tab w:val="left" w:pos="63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left="0" w:leftChars="0" w:right="0" w:rightChars="0" w:firstLine="280" w:firstLineChars="100"/>
        <w:jc w:val="both"/>
        <w:textAlignment w:val="center"/>
        <w:outlineLvl w:val="9"/>
        <w:rPr>
          <w:rFonts w:hint="default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奉节县</w:t>
      </w:r>
      <w:r>
        <w:rPr>
          <w:rFonts w:hint="eastAsia" w:ascii="方正仿宋_GBK" w:hAnsi="方正仿宋_GBK" w:eastAsia="方正仿宋_GBK" w:cs="方正仿宋_GBK"/>
          <w:sz w:val="28"/>
          <w:szCs w:val="28"/>
          <w:lang w:eastAsia="zh-CN"/>
        </w:rPr>
        <w:t>红土乡党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 xml:space="preserve">政办公室  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 xml:space="preserve">        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20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22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年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月</w:t>
      </w:r>
      <w:r>
        <w:rPr>
          <w:rFonts w:hint="eastAsia" w:ascii="方正仿宋_GBK" w:hAnsi="方正仿宋_GBK" w:eastAsia="方正仿宋_GBK" w:cs="方正仿宋_GBK"/>
          <w:sz w:val="28"/>
          <w:szCs w:val="28"/>
          <w:lang w:val="en-US" w:eastAsia="zh-CN"/>
        </w:rPr>
        <w:t>31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日印发</w:t>
      </w: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rPr>
        <w:rFonts w:hint="eastAsia" w:ascii="方正仿宋_GBK" w:hAnsi="方正仿宋_GBK" w:eastAsia="方正仿宋_GBK" w:cs="方正仿宋_GBK"/>
        <w:sz w:val="28"/>
        <w:szCs w:val="28"/>
      </w:rPr>
    </w:pPr>
    <w:r>
      <w:rPr>
        <w:rFonts w:hint="eastAsia" w:ascii="方正仿宋_GBK" w:hAnsi="方正仿宋_GBK" w:eastAsia="方正仿宋_GBK" w:cs="方正仿宋_GBK"/>
        <w:sz w:val="28"/>
        <w:szCs w:val="2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方正仿宋_GBK" w:hAnsi="方正仿宋_GBK" w:eastAsia="方正仿宋_GBK" w:cs="方正仿宋_GBK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方正仿宋_GBK" w:hAnsi="方正仿宋_GBK" w:eastAsia="方正仿宋_GBK" w:cs="方正仿宋_GBK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B668B4"/>
    <w:multiLevelType w:val="singleLevel"/>
    <w:tmpl w:val="89B668B4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zZDc5NmQ4ZWZhZjlmY2U5OGY1OTkxMzRjNzkxNGMifQ=="/>
  </w:docVars>
  <w:rsids>
    <w:rsidRoot w:val="00000000"/>
    <w:rsid w:val="002E680C"/>
    <w:rsid w:val="00B85752"/>
    <w:rsid w:val="011031FA"/>
    <w:rsid w:val="014579F2"/>
    <w:rsid w:val="021E5285"/>
    <w:rsid w:val="02EA2559"/>
    <w:rsid w:val="031E117B"/>
    <w:rsid w:val="03783B74"/>
    <w:rsid w:val="04183A75"/>
    <w:rsid w:val="04450108"/>
    <w:rsid w:val="07BC0307"/>
    <w:rsid w:val="0820039C"/>
    <w:rsid w:val="08224D25"/>
    <w:rsid w:val="08FF3F08"/>
    <w:rsid w:val="09166087"/>
    <w:rsid w:val="09930026"/>
    <w:rsid w:val="0A8470D2"/>
    <w:rsid w:val="0B1037EE"/>
    <w:rsid w:val="0BB45DBC"/>
    <w:rsid w:val="0C3879EC"/>
    <w:rsid w:val="0C4E3ABC"/>
    <w:rsid w:val="0D213132"/>
    <w:rsid w:val="0DDA349F"/>
    <w:rsid w:val="0DE70371"/>
    <w:rsid w:val="0E7C5765"/>
    <w:rsid w:val="0F4A2AA8"/>
    <w:rsid w:val="10BA2C49"/>
    <w:rsid w:val="11C51B22"/>
    <w:rsid w:val="120F72A7"/>
    <w:rsid w:val="129A7506"/>
    <w:rsid w:val="132366E5"/>
    <w:rsid w:val="1342173D"/>
    <w:rsid w:val="13A6428C"/>
    <w:rsid w:val="13B31C71"/>
    <w:rsid w:val="13EA6A75"/>
    <w:rsid w:val="1400158B"/>
    <w:rsid w:val="147E28C7"/>
    <w:rsid w:val="14B14BBA"/>
    <w:rsid w:val="162904BC"/>
    <w:rsid w:val="16750977"/>
    <w:rsid w:val="16EB4CDD"/>
    <w:rsid w:val="18A22F2E"/>
    <w:rsid w:val="19485BDF"/>
    <w:rsid w:val="1B8912A0"/>
    <w:rsid w:val="1CC06511"/>
    <w:rsid w:val="1DED6693"/>
    <w:rsid w:val="1E3C2412"/>
    <w:rsid w:val="1E6029C8"/>
    <w:rsid w:val="1FAE20FE"/>
    <w:rsid w:val="1FC76FC3"/>
    <w:rsid w:val="207B0FC3"/>
    <w:rsid w:val="207D1CF7"/>
    <w:rsid w:val="212D2192"/>
    <w:rsid w:val="217D58B1"/>
    <w:rsid w:val="219D2994"/>
    <w:rsid w:val="2205032E"/>
    <w:rsid w:val="22244303"/>
    <w:rsid w:val="2226532E"/>
    <w:rsid w:val="22551457"/>
    <w:rsid w:val="2365514D"/>
    <w:rsid w:val="23757E64"/>
    <w:rsid w:val="25986AD3"/>
    <w:rsid w:val="25B37FB2"/>
    <w:rsid w:val="26291AE4"/>
    <w:rsid w:val="27FC19FA"/>
    <w:rsid w:val="28191561"/>
    <w:rsid w:val="291F7601"/>
    <w:rsid w:val="29246C15"/>
    <w:rsid w:val="296D3A90"/>
    <w:rsid w:val="2ACA1E2C"/>
    <w:rsid w:val="2B23166E"/>
    <w:rsid w:val="2C581EB1"/>
    <w:rsid w:val="2CE350A3"/>
    <w:rsid w:val="2D470BE4"/>
    <w:rsid w:val="2DA36B52"/>
    <w:rsid w:val="2EED0853"/>
    <w:rsid w:val="2F0E61CF"/>
    <w:rsid w:val="2F484B3D"/>
    <w:rsid w:val="2F621FDC"/>
    <w:rsid w:val="2FBA6770"/>
    <w:rsid w:val="2FE340FC"/>
    <w:rsid w:val="30A13618"/>
    <w:rsid w:val="314F25B4"/>
    <w:rsid w:val="3220726F"/>
    <w:rsid w:val="32754BA4"/>
    <w:rsid w:val="336016EA"/>
    <w:rsid w:val="33687233"/>
    <w:rsid w:val="35140C3A"/>
    <w:rsid w:val="35307032"/>
    <w:rsid w:val="35573A2A"/>
    <w:rsid w:val="35AE67A8"/>
    <w:rsid w:val="36245ADF"/>
    <w:rsid w:val="365B5ADE"/>
    <w:rsid w:val="382B2D94"/>
    <w:rsid w:val="383043D6"/>
    <w:rsid w:val="384071B8"/>
    <w:rsid w:val="3844075F"/>
    <w:rsid w:val="38872C91"/>
    <w:rsid w:val="39593ED3"/>
    <w:rsid w:val="39785BB5"/>
    <w:rsid w:val="3A664C47"/>
    <w:rsid w:val="3A827605"/>
    <w:rsid w:val="3B3032B7"/>
    <w:rsid w:val="3B390A96"/>
    <w:rsid w:val="3C2B3C88"/>
    <w:rsid w:val="3D2D5578"/>
    <w:rsid w:val="3D4A3172"/>
    <w:rsid w:val="3D543A3B"/>
    <w:rsid w:val="3DAF4C79"/>
    <w:rsid w:val="3DD252AC"/>
    <w:rsid w:val="3DDB6FE0"/>
    <w:rsid w:val="3E790DE7"/>
    <w:rsid w:val="3EBF1ED5"/>
    <w:rsid w:val="3EC12109"/>
    <w:rsid w:val="3EFB2C75"/>
    <w:rsid w:val="3F7D6A90"/>
    <w:rsid w:val="3FE159A9"/>
    <w:rsid w:val="40571DE9"/>
    <w:rsid w:val="413325AE"/>
    <w:rsid w:val="413E6BD4"/>
    <w:rsid w:val="41A76CFE"/>
    <w:rsid w:val="4203593A"/>
    <w:rsid w:val="4294203E"/>
    <w:rsid w:val="43347888"/>
    <w:rsid w:val="437B3E22"/>
    <w:rsid w:val="43B93898"/>
    <w:rsid w:val="43E544ED"/>
    <w:rsid w:val="446009E8"/>
    <w:rsid w:val="446249FE"/>
    <w:rsid w:val="4463212E"/>
    <w:rsid w:val="44F96C8F"/>
    <w:rsid w:val="45692356"/>
    <w:rsid w:val="45692CD1"/>
    <w:rsid w:val="45B22369"/>
    <w:rsid w:val="45B33810"/>
    <w:rsid w:val="45D3537F"/>
    <w:rsid w:val="46022277"/>
    <w:rsid w:val="460A015B"/>
    <w:rsid w:val="46B877B5"/>
    <w:rsid w:val="482633AB"/>
    <w:rsid w:val="48D25EB5"/>
    <w:rsid w:val="48E90E90"/>
    <w:rsid w:val="49351C98"/>
    <w:rsid w:val="49945380"/>
    <w:rsid w:val="4A503118"/>
    <w:rsid w:val="4A800EF3"/>
    <w:rsid w:val="4AE64E17"/>
    <w:rsid w:val="4AF01FA4"/>
    <w:rsid w:val="4B8C0E01"/>
    <w:rsid w:val="4C2720A7"/>
    <w:rsid w:val="4CA36BBA"/>
    <w:rsid w:val="4D033E56"/>
    <w:rsid w:val="4D7B5DDA"/>
    <w:rsid w:val="4E553FF1"/>
    <w:rsid w:val="4E8C0795"/>
    <w:rsid w:val="4E9A4D00"/>
    <w:rsid w:val="4ED83570"/>
    <w:rsid w:val="4EF66838"/>
    <w:rsid w:val="4F281A29"/>
    <w:rsid w:val="4F550989"/>
    <w:rsid w:val="50341A18"/>
    <w:rsid w:val="504B0AF2"/>
    <w:rsid w:val="507969EA"/>
    <w:rsid w:val="508A199C"/>
    <w:rsid w:val="51A81BE8"/>
    <w:rsid w:val="51D91653"/>
    <w:rsid w:val="532463AA"/>
    <w:rsid w:val="53AF6487"/>
    <w:rsid w:val="55145DE9"/>
    <w:rsid w:val="5535712A"/>
    <w:rsid w:val="554F59C5"/>
    <w:rsid w:val="5630376F"/>
    <w:rsid w:val="56757B33"/>
    <w:rsid w:val="567C1E78"/>
    <w:rsid w:val="5797742D"/>
    <w:rsid w:val="58CB7F6E"/>
    <w:rsid w:val="593432D4"/>
    <w:rsid w:val="597749FB"/>
    <w:rsid w:val="59D50E2E"/>
    <w:rsid w:val="5AB125C6"/>
    <w:rsid w:val="5EA2085A"/>
    <w:rsid w:val="5F00091D"/>
    <w:rsid w:val="5F6D2BA5"/>
    <w:rsid w:val="5FD72E23"/>
    <w:rsid w:val="60471F6A"/>
    <w:rsid w:val="60CD2418"/>
    <w:rsid w:val="61206A71"/>
    <w:rsid w:val="62E46275"/>
    <w:rsid w:val="637B5521"/>
    <w:rsid w:val="6380184A"/>
    <w:rsid w:val="63913E9B"/>
    <w:rsid w:val="64CD69F6"/>
    <w:rsid w:val="65033FE6"/>
    <w:rsid w:val="651B2BCA"/>
    <w:rsid w:val="656D19C7"/>
    <w:rsid w:val="66355631"/>
    <w:rsid w:val="67C52B38"/>
    <w:rsid w:val="67E23464"/>
    <w:rsid w:val="683D1A5D"/>
    <w:rsid w:val="68920A19"/>
    <w:rsid w:val="68B85A0E"/>
    <w:rsid w:val="690F4CD0"/>
    <w:rsid w:val="698651DE"/>
    <w:rsid w:val="6A23180C"/>
    <w:rsid w:val="6BD336DA"/>
    <w:rsid w:val="6BF125C7"/>
    <w:rsid w:val="6C223F7D"/>
    <w:rsid w:val="6C224BE6"/>
    <w:rsid w:val="6ED439EB"/>
    <w:rsid w:val="6F2E59FC"/>
    <w:rsid w:val="6F7362F9"/>
    <w:rsid w:val="7089628D"/>
    <w:rsid w:val="70EC413F"/>
    <w:rsid w:val="71B76D57"/>
    <w:rsid w:val="72850322"/>
    <w:rsid w:val="729A6806"/>
    <w:rsid w:val="729E1CEF"/>
    <w:rsid w:val="72B27D60"/>
    <w:rsid w:val="737C5D7D"/>
    <w:rsid w:val="741F7A1B"/>
    <w:rsid w:val="74C440E9"/>
    <w:rsid w:val="75EF4646"/>
    <w:rsid w:val="763C1E3D"/>
    <w:rsid w:val="765949A5"/>
    <w:rsid w:val="77862DAD"/>
    <w:rsid w:val="783474E5"/>
    <w:rsid w:val="78350B8C"/>
    <w:rsid w:val="789F55AF"/>
    <w:rsid w:val="78F8541C"/>
    <w:rsid w:val="79B12707"/>
    <w:rsid w:val="7A2263D6"/>
    <w:rsid w:val="7A25308C"/>
    <w:rsid w:val="7AA021C2"/>
    <w:rsid w:val="7AD545E3"/>
    <w:rsid w:val="7AF20A33"/>
    <w:rsid w:val="7B3F2C05"/>
    <w:rsid w:val="7C114DF1"/>
    <w:rsid w:val="7CFD06A9"/>
    <w:rsid w:val="7D207E8E"/>
    <w:rsid w:val="7DC97839"/>
    <w:rsid w:val="7DFB56FC"/>
    <w:rsid w:val="7EF10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paragraph" w:styleId="4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14">
    <w:name w:val="Default Paragraph Font"/>
    <w:qFormat/>
    <w:uiPriority w:val="1"/>
  </w:style>
  <w:style w:type="table" w:default="1" w:styleId="1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5">
    <w:name w:val="Normal Indent"/>
    <w:basedOn w:val="1"/>
    <w:qFormat/>
    <w:uiPriority w:val="0"/>
    <w:pPr>
      <w:ind w:firstLine="420"/>
    </w:pPr>
    <w:rPr>
      <w:rFonts w:eastAsia="仿宋_GB2312"/>
    </w:rPr>
  </w:style>
  <w:style w:type="paragraph" w:styleId="6">
    <w:name w:val="Body Text"/>
    <w:basedOn w:val="1"/>
    <w:next w:val="1"/>
    <w:qFormat/>
    <w:uiPriority w:val="0"/>
    <w:pPr>
      <w:spacing w:after="120"/>
    </w:pPr>
  </w:style>
  <w:style w:type="paragraph" w:styleId="7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Message Header"/>
    <w:basedOn w:val="1"/>
    <w:next w:val="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  <w:szCs w:val="24"/>
    </w:rPr>
  </w:style>
  <w:style w:type="paragraph" w:styleId="10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1">
    <w:name w:val="Title"/>
    <w:basedOn w:val="1"/>
    <w:qFormat/>
    <w:uiPriority w:val="0"/>
    <w:pPr>
      <w:jc w:val="center"/>
    </w:pPr>
    <w:rPr>
      <w:rFonts w:ascii="Times New Roman" w:hAnsi="Times New Roman"/>
      <w:sz w:val="20"/>
      <w:u w:val="single"/>
      <w:lang w:eastAsia="en-US"/>
    </w:rPr>
  </w:style>
  <w:style w:type="table" w:styleId="13">
    <w:name w:val="Table Grid"/>
    <w:basedOn w:val="12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">
    <w:name w:val="Strong"/>
    <w:basedOn w:val="14"/>
    <w:qFormat/>
    <w:uiPriority w:val="0"/>
    <w:rPr>
      <w:b/>
    </w:rPr>
  </w:style>
  <w:style w:type="character" w:styleId="16">
    <w:name w:val="page number"/>
    <w:basedOn w:val="14"/>
    <w:qFormat/>
    <w:uiPriority w:val="99"/>
  </w:style>
  <w:style w:type="character" w:styleId="17">
    <w:name w:val="Hyperlink"/>
    <w:basedOn w:val="14"/>
    <w:qFormat/>
    <w:uiPriority w:val="99"/>
    <w:rPr>
      <w:color w:val="0000FF"/>
      <w:u w:val="single"/>
    </w:rPr>
  </w:style>
  <w:style w:type="character" w:customStyle="1" w:styleId="18">
    <w:name w:val="页眉 Char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Char"/>
    <w:basedOn w:val="14"/>
    <w:link w:val="7"/>
    <w:qFormat/>
    <w:uiPriority w:val="99"/>
    <w:rPr>
      <w:sz w:val="18"/>
      <w:szCs w:val="18"/>
    </w:rPr>
  </w:style>
  <w:style w:type="paragraph" w:customStyle="1" w:styleId="20">
    <w:name w:val="p0"/>
    <w:basedOn w:val="1"/>
    <w:qFormat/>
    <w:uiPriority w:val="0"/>
    <w:pPr>
      <w:widowControl/>
    </w:pPr>
    <w:rPr>
      <w:rFonts w:eastAsia="宋体"/>
      <w:kern w:val="0"/>
      <w:sz w:val="21"/>
      <w:szCs w:val="21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NormalCharacter"/>
    <w:qFormat/>
    <w:uiPriority w:val="0"/>
    <w:rPr>
      <w:rFonts w:ascii="Times New Roman" w:hAnsi="Times New Roman" w:eastAsia="宋体"/>
    </w:rPr>
  </w:style>
  <w:style w:type="character" w:customStyle="1" w:styleId="23">
    <w:name w:val="font2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font61"/>
    <w:basedOn w:val="14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paragraph" w:customStyle="1" w:styleId="25">
    <w:name w:val="普通(网站) Char"/>
    <w:basedOn w:val="1"/>
    <w:qFormat/>
    <w:uiPriority w:val="0"/>
    <w:pPr>
      <w:spacing w:before="100" w:beforeAutospacing="1" w:after="100" w:afterAutospacing="1"/>
      <w:jc w:val="left"/>
    </w:pPr>
    <w:rPr>
      <w:rFonts w:hint="eastAsia" w:ascii="宋体" w:hAnsi="宋体"/>
      <w:kern w:val="0"/>
      <w:sz w:val="24"/>
    </w:rPr>
  </w:style>
  <w:style w:type="character" w:customStyle="1" w:styleId="26">
    <w:name w:val="font81"/>
    <w:basedOn w:val="14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27">
    <w:name w:val="font31"/>
    <w:basedOn w:val="1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8">
    <w:name w:val="font91"/>
    <w:basedOn w:val="14"/>
    <w:qFormat/>
    <w:uiPriority w:val="0"/>
    <w:rPr>
      <w:rFonts w:hint="eastAsia"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29">
    <w:name w:val="font51"/>
    <w:basedOn w:val="14"/>
    <w:qFormat/>
    <w:uiPriority w:val="0"/>
    <w:rPr>
      <w:rFonts w:hint="eastAsia"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30">
    <w:name w:val="font101"/>
    <w:basedOn w:val="14"/>
    <w:qFormat/>
    <w:uiPriority w:val="0"/>
    <w:rPr>
      <w:rFonts w:hint="eastAsia" w:ascii="方正仿宋_GBK" w:hAnsi="方正仿宋_GBK" w:eastAsia="方正仿宋_GBK" w:cs="方正仿宋_GBK"/>
      <w:b/>
      <w:bCs/>
      <w:color w:val="000000"/>
      <w:sz w:val="22"/>
      <w:szCs w:val="22"/>
      <w:u w:val="none"/>
    </w:rPr>
  </w:style>
  <w:style w:type="character" w:customStyle="1" w:styleId="31">
    <w:name w:val="font71"/>
    <w:basedOn w:val="14"/>
    <w:qFormat/>
    <w:uiPriority w:val="0"/>
    <w:rPr>
      <w:rFonts w:hint="eastAsia" w:ascii="方正仿宋_GBK" w:hAnsi="方正仿宋_GBK" w:eastAsia="方正仿宋_GBK" w:cs="方正仿宋_GBK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395</Words>
  <Characters>420</Characters>
  <Paragraphs>82</Paragraphs>
  <TotalTime>1</TotalTime>
  <ScaleCrop>false</ScaleCrop>
  <LinksUpToDate>false</LinksUpToDate>
  <CharactersWithSpaces>505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2018-03-17T01:06:00Z</dcterms:created>
  <dc:creator>PC</dc:creator>
  <cp:lastModifiedBy>Administrator</cp:lastModifiedBy>
  <cp:lastPrinted>2022-05-24T09:03:00Z</cp:lastPrinted>
  <dcterms:modified xsi:type="dcterms:W3CDTF">2025-04-23T12:23:34Z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538257C4FA4A40D48044D64CAF7698C9</vt:lpwstr>
  </property>
</Properties>
</file>