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2021城乡居民基本医疗保险参保缴费工作经费项目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2021城乡居民基本医疗保险参保缴费工作经费的通知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〔2021〕168号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2.5万元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已到位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：已按文件要求执行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按文件要求管理使用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已完成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医保缴费人员30739人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医保参保率80.21%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医保经费2.5万元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医保知识普及率大于等于95%。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满意度大于等于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通过认真开展单位项目支出绩效目标自评，综合评分为94.8分，评价结果为优。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医保参保率为</w:t>
      </w:r>
      <w:r>
        <w:rPr>
          <w:rFonts w:hint="eastAsia"/>
          <w:lang w:val="en-US" w:eastAsia="zh-CN"/>
        </w:rPr>
        <w:t>80.21%，未达到100%，主要原因是群众医保知识匮乏，不重视，下一步将加大医保知识宣传，提高群众医保参保率。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项目支出绩效目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3071543"/>
    <w:rsid w:val="3E221E65"/>
    <w:rsid w:val="558A283A"/>
    <w:rsid w:val="60F12F0B"/>
    <w:rsid w:val="717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477</Characters>
  <Lines>0</Lines>
  <Paragraphs>0</Paragraphs>
  <TotalTime>10</TotalTime>
  <ScaleCrop>false</ScaleCrop>
  <LinksUpToDate>false</LinksUpToDate>
  <CharactersWithSpaces>477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2022-05-27T01:07:51Z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92EF5219E1FE4F93BB87E76D13941A6D</vt:lpwstr>
  </property>
</Properties>
</file>