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2021年乡镇专职消防队及其他形式消防队经费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奉节县财政局（奉节财行[2021]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2021年乡镇专职消防队及其他形式消防队经费2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元，用于朱衣镇政府义务队消防站工资津贴发放、车辆器材维护保养、培训费、差旅费等各项经费支出。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到位2021年乡镇专职消防队及其他形式消防队经费2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2021年乡镇专职消防队及其他形式消防队经费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方案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开展相关工作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确保乡镇义务队消防站的正常运行，提高初期火灾扑救能力。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按照数量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质量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确保工作正常运行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乡镇消防安全形势稳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hAnsi="方正仿宋_GBK" w:cs="方正仿宋_GBK"/>
          <w:sz w:val="32"/>
          <w:szCs w:val="32"/>
          <w:lang w:eastAsia="zh-CN"/>
        </w:rPr>
        <w:t>经济效益。减少初期火灾损失、提升人员工作积极性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乡镇队员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队员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34D86A07"/>
    <w:rsid w:val="34D8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2022-06-08T01:35:00Z</dcterms:created>
  <dc:creator>。</dc:creator>
  <cp:lastModifiedBy>。</cp:lastModifiedBy>
  <dcterms:modified xsi:type="dcterms:W3CDTF">2022-06-08T02:52:29Z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3ACDD04D72F8435CB396805FACEE49A9</vt:lpwstr>
  </property>
</Properties>
</file>