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奉节县</w:t>
      </w:r>
      <w:r>
        <w:rPr>
          <w:rFonts w:hint="eastAsia" w:ascii="方正小标宋_GBK" w:hAnsi="方正小标宋_GBK" w:eastAsia="方正小标宋_GBK" w:cs="方正小标宋_GBK"/>
          <w:sz w:val="44"/>
          <w:szCs w:val="44"/>
          <w:lang w:eastAsia="zh-CN"/>
        </w:rPr>
        <w:t>残疾人联合会</w:t>
      </w:r>
    </w:p>
    <w:p>
      <w:pPr>
        <w:keepNext w:val="0"/>
        <w:keepLines w:val="0"/>
        <w:pageBreakBefore w:val="0"/>
        <w:kinsoku/>
        <w:wordWrap/>
        <w:overflowPunct/>
        <w:topLinePunct w:val="0"/>
        <w:autoSpaceDE/>
        <w:autoSpaceDN/>
        <w:bidi w:val="0"/>
        <w:adjustRightInd/>
        <w:snapToGrid/>
        <w:spacing w:line="600" w:lineRule="exact"/>
        <w:ind w:firstLine="880" w:firstLineChars="2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年部门决算情况说明</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kinsoku/>
        <w:wordWrap/>
        <w:overflowPunct/>
        <w:topLinePunct w:val="0"/>
        <w:autoSpaceDE/>
        <w:autoSpaceDN/>
        <w:bidi w:val="0"/>
        <w:adjustRightInd/>
        <w:snapToGrid/>
        <w:spacing w:line="600" w:lineRule="exact"/>
        <w:ind w:left="0" w:leftChars="0" w:firstLine="537" w:firstLineChars="168"/>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（一）职能职责</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坚持党的领导。坚决贯彻党的意志和主张，坚定不移走中国特色社会主义残疾人事业发展道路，切实承担引导广大残疾人听党话、跟党走的政治任务，增强残联工作的政治性、残联组织的先进性和群众性。突出基本定位。不断巩固和扩大党执政的残疾人群众基础基本职责。代表残疾人共同利益，维护残疾人合法权益；团结帮助残疾人，为残疾人服务；履行法律赋予的职责，承担政府委托的任务，管理和发展残疾人事业。促进残疾人平等、充分参与社会生活，共享社会物质文化成果。扩展残联的组织覆盖和工作覆盖。扩大残联组织对新领域新阶层的有效覆盖，重点加强对乡镇（街道）、村（社区）残联组织覆盖。打造残联工作服务品牌，探索开展网上残疾人工作，优化残疾人服务体系，创新残联工作方式方法，接长手臂、形成链条、扩大影响。</w:t>
      </w:r>
    </w:p>
    <w:p>
      <w:pPr>
        <w:keepNext w:val="0"/>
        <w:keepLines w:val="0"/>
        <w:pageBreakBefore w:val="0"/>
        <w:kinsoku/>
        <w:wordWrap/>
        <w:overflowPunct/>
        <w:topLinePunct w:val="0"/>
        <w:autoSpaceDE/>
        <w:autoSpaceDN/>
        <w:bidi w:val="0"/>
        <w:adjustRightInd/>
        <w:snapToGrid/>
        <w:spacing w:line="600" w:lineRule="exact"/>
        <w:ind w:left="0" w:leftChars="0" w:firstLine="560" w:firstLineChars="175"/>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（二）机构设置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奉节县残疾人联合会是</w:t>
      </w:r>
      <w:r>
        <w:rPr>
          <w:rFonts w:hint="default" w:ascii="Times New Roman" w:hAnsi="Times New Roman" w:eastAsia="方正仿宋_GBK" w:cs="Times New Roman"/>
          <w:sz w:val="32"/>
          <w:szCs w:val="32"/>
          <w:lang w:eastAsia="zh-CN"/>
        </w:rPr>
        <w:t>群团</w:t>
      </w:r>
      <w:r>
        <w:rPr>
          <w:rFonts w:hint="default" w:ascii="Times New Roman" w:hAnsi="Times New Roman" w:eastAsia="方正仿宋_GBK" w:cs="Times New Roman"/>
          <w:sz w:val="32"/>
          <w:szCs w:val="32"/>
        </w:rPr>
        <w:t>行政管理单位，在职人员共有</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名，其中有行政编制</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名，实有人数</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名，事业单位编制</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名，实有人数</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名，共</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37" w:firstLineChars="168"/>
        <w:textAlignment w:val="auto"/>
        <w:rPr>
          <w:rStyle w:val="8"/>
          <w:rFonts w:hint="eastAsia" w:ascii="方正楷体_GBK" w:hAnsi="方正楷体_GBK" w:eastAsia="方正楷体_GBK" w:cs="方正楷体_GBK"/>
          <w:b w:val="0"/>
          <w:bCs w:val="0"/>
          <w:sz w:val="32"/>
          <w:szCs w:val="32"/>
        </w:rPr>
      </w:pPr>
      <w:r>
        <w:rPr>
          <w:rStyle w:val="8"/>
          <w:rFonts w:hint="eastAsia" w:ascii="方正楷体_GBK" w:hAnsi="方正楷体_GBK" w:eastAsia="方正楷体_GBK" w:cs="方正楷体_GBK"/>
          <w:b w:val="0"/>
          <w:bCs w:val="0"/>
          <w:sz w:val="32"/>
          <w:szCs w:val="32"/>
        </w:rPr>
        <w:t>（</w:t>
      </w:r>
      <w:r>
        <w:rPr>
          <w:rStyle w:val="8"/>
          <w:rFonts w:hint="eastAsia" w:ascii="方正楷体_GBK" w:hAnsi="方正楷体_GBK" w:eastAsia="方正楷体_GBK" w:cs="方正楷体_GBK"/>
          <w:b w:val="0"/>
          <w:bCs w:val="0"/>
          <w:sz w:val="32"/>
          <w:szCs w:val="32"/>
          <w:lang w:eastAsia="zh-CN"/>
        </w:rPr>
        <w:t>三</w:t>
      </w:r>
      <w:r>
        <w:rPr>
          <w:rStyle w:val="8"/>
          <w:rFonts w:hint="eastAsia" w:ascii="方正楷体_GBK" w:hAnsi="方正楷体_GBK" w:eastAsia="方正楷体_GBK" w:cs="方正楷体_GBK"/>
          <w:b w:val="0"/>
          <w:bCs w:val="0"/>
          <w:sz w:val="32"/>
          <w:szCs w:val="32"/>
        </w:rPr>
        <w:t>）单位构成。</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奉节县残疾人联合会</w:t>
      </w:r>
      <w:r>
        <w:rPr>
          <w:rFonts w:hint="default" w:ascii="Times New Roman" w:hAnsi="Times New Roman" w:eastAsia="方正仿宋_GBK" w:cs="Times New Roman"/>
          <w:color w:val="333333"/>
          <w:sz w:val="32"/>
          <w:szCs w:val="32"/>
          <w:lang w:eastAsia="zh-CN"/>
        </w:rPr>
        <w:t>本级</w:t>
      </w:r>
      <w:r>
        <w:rPr>
          <w:rFonts w:hint="default" w:ascii="Times New Roman" w:hAnsi="Times New Roman" w:eastAsia="方正仿宋_GBK" w:cs="Times New Roman"/>
          <w:color w:val="333333"/>
          <w:sz w:val="32"/>
          <w:szCs w:val="32"/>
        </w:rPr>
        <w:t>下设残疾人服务中心，主要职责：保障残疾人的合法权益，为残疾人提供服务保障。负责残疾人就业指导与培训、失业登记、心理咨询、康复训练等服务工作，承办县残联交办的其他事项。</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8"/>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lang w:val="en-US" w:eastAsia="zh-CN"/>
        </w:rPr>
        <w:t xml:space="preserve"> </w:t>
      </w:r>
      <w:r>
        <w:rPr>
          <w:rStyle w:val="8"/>
          <w:rFonts w:hint="eastAsia" w:ascii="方正楷体_GBK" w:hAnsi="方正楷体_GBK" w:eastAsia="方正楷体_GBK" w:cs="方正楷体_GBK"/>
          <w:b w:val="0"/>
          <w:bCs w:val="0"/>
          <w:sz w:val="32"/>
          <w:szCs w:val="32"/>
          <w:lang w:val="en-US" w:eastAsia="zh-CN"/>
        </w:rPr>
        <w:t xml:space="preserve">  </w:t>
      </w:r>
      <w:r>
        <w:rPr>
          <w:rStyle w:val="8"/>
          <w:rFonts w:hint="default" w:ascii="方正楷体_GBK" w:hAnsi="方正楷体_GBK" w:eastAsia="方正楷体_GBK" w:cs="方正楷体_GBK"/>
          <w:b w:val="0"/>
          <w:bCs w:val="0"/>
          <w:sz w:val="32"/>
          <w:szCs w:val="32"/>
        </w:rPr>
        <w:t>（</w:t>
      </w:r>
      <w:r>
        <w:rPr>
          <w:rStyle w:val="8"/>
          <w:rFonts w:hint="default" w:ascii="方正楷体_GBK" w:hAnsi="方正楷体_GBK" w:eastAsia="方正楷体_GBK" w:cs="方正楷体_GBK"/>
          <w:b w:val="0"/>
          <w:bCs w:val="0"/>
          <w:sz w:val="32"/>
          <w:szCs w:val="32"/>
          <w:lang w:eastAsia="zh-CN"/>
        </w:rPr>
        <w:t>四</w:t>
      </w:r>
      <w:r>
        <w:rPr>
          <w:rStyle w:val="8"/>
          <w:rFonts w:hint="default" w:ascii="方正楷体_GBK" w:hAnsi="方正楷体_GBK" w:eastAsia="方正楷体_GBK" w:cs="方正楷体_GBK"/>
          <w:b w:val="0"/>
          <w:bCs w:val="0"/>
          <w:sz w:val="32"/>
          <w:szCs w:val="32"/>
        </w:rPr>
        <w:t>）机构改革情况。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本部门涉及本次党和国家机构改革，对此专门说明如下：一是机构改革情况。本次机构改革本部门没有涉及，仍然保持原机构情况。</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部门决算情况说明</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499" w:firstLineChars="156"/>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color w:val="333333"/>
          <w:sz w:val="32"/>
          <w:szCs w:val="32"/>
        </w:rPr>
        <w:t>（</w:t>
      </w:r>
      <w:r>
        <w:rPr>
          <w:rFonts w:hint="eastAsia" w:ascii="方正楷体_GBK" w:hAnsi="方正楷体_GBK" w:eastAsia="方正楷体_GBK" w:cs="方正楷体_GBK"/>
          <w:b w:val="0"/>
          <w:bCs w:val="0"/>
          <w:color w:val="333333"/>
          <w:sz w:val="32"/>
          <w:szCs w:val="32"/>
          <w:lang w:eastAsia="zh-CN"/>
        </w:rPr>
        <w:t>一</w:t>
      </w:r>
      <w:r>
        <w:rPr>
          <w:rFonts w:hint="eastAsia" w:ascii="方正楷体_GBK" w:hAnsi="方正楷体_GBK" w:eastAsia="方正楷体_GBK" w:cs="方正楷体_GBK"/>
          <w:b w:val="0"/>
          <w:bCs w:val="0"/>
          <w:color w:val="333333"/>
          <w:sz w:val="32"/>
          <w:szCs w:val="32"/>
        </w:rPr>
        <w:t>）收入支出决算总体情况说明</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333333"/>
          <w:sz w:val="32"/>
          <w:szCs w:val="32"/>
        </w:rPr>
        <w:t>1.总体情况。</w:t>
      </w:r>
      <w:r>
        <w:rPr>
          <w:rFonts w:hint="default" w:ascii="Times New Roman" w:hAnsi="Times New Roman" w:eastAsia="方正仿宋_GBK" w:cs="Times New Roman"/>
          <w:sz w:val="32"/>
          <w:szCs w:val="32"/>
        </w:rPr>
        <w:t>本单位20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年度收入合计</w:t>
      </w:r>
      <w:r>
        <w:rPr>
          <w:rFonts w:hint="default" w:ascii="Times New Roman" w:hAnsi="Times New Roman" w:eastAsia="方正仿宋_GBK" w:cs="Times New Roman"/>
          <w:sz w:val="32"/>
          <w:szCs w:val="32"/>
          <w:lang w:val="en-US" w:eastAsia="zh-CN"/>
        </w:rPr>
        <w:t>1688.1</w:t>
      </w:r>
      <w:r>
        <w:rPr>
          <w:rFonts w:hint="default" w:ascii="Times New Roman" w:hAnsi="Times New Roman" w:eastAsia="方正仿宋_GBK" w:cs="Times New Roman"/>
          <w:sz w:val="32"/>
          <w:szCs w:val="32"/>
        </w:rPr>
        <w:t>万元，其中：财政拨款收入</w:t>
      </w:r>
      <w:r>
        <w:rPr>
          <w:rFonts w:hint="default" w:ascii="Times New Roman" w:hAnsi="Times New Roman" w:eastAsia="方正仿宋_GBK" w:cs="Times New Roman"/>
          <w:sz w:val="32"/>
          <w:szCs w:val="32"/>
          <w:lang w:val="en-US" w:eastAsia="zh-CN"/>
        </w:rPr>
        <w:t>1688.1</w:t>
      </w:r>
      <w:r>
        <w:rPr>
          <w:rFonts w:hint="default" w:ascii="Times New Roman" w:hAnsi="Times New Roman" w:eastAsia="方正仿宋_GBK" w:cs="Times New Roman"/>
          <w:sz w:val="32"/>
          <w:szCs w:val="32"/>
        </w:rPr>
        <w:t>万元，占100%。20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年度支出合计</w:t>
      </w:r>
      <w:r>
        <w:rPr>
          <w:rFonts w:hint="default" w:ascii="Times New Roman" w:hAnsi="Times New Roman" w:eastAsia="方正仿宋_GBK" w:cs="Times New Roman"/>
          <w:sz w:val="32"/>
          <w:szCs w:val="32"/>
          <w:lang w:val="en-US" w:eastAsia="zh-CN"/>
        </w:rPr>
        <w:t>1688.1</w:t>
      </w:r>
      <w:r>
        <w:rPr>
          <w:rFonts w:hint="default" w:ascii="Times New Roman" w:hAnsi="Times New Roman" w:eastAsia="方正仿宋_GBK" w:cs="Times New Roman"/>
          <w:sz w:val="32"/>
          <w:szCs w:val="32"/>
        </w:rPr>
        <w:t>万元，其中：基本支出</w:t>
      </w:r>
      <w:r>
        <w:rPr>
          <w:rFonts w:hint="default" w:ascii="Times New Roman" w:hAnsi="Times New Roman" w:eastAsia="方正仿宋_GBK" w:cs="Times New Roman"/>
          <w:sz w:val="32"/>
          <w:szCs w:val="32"/>
          <w:lang w:val="en-US" w:eastAsia="zh-CN"/>
        </w:rPr>
        <w:t>221.97</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13.2</w:t>
      </w: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val="en-US" w:eastAsia="zh-CN"/>
        </w:rPr>
        <w:t>1466.13</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81.8</w:t>
      </w:r>
      <w:r>
        <w:rPr>
          <w:rFonts w:hint="default" w:ascii="Times New Roman" w:hAnsi="Times New Roman" w:eastAsia="方正仿宋_GBK" w:cs="Times New Roman"/>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333333"/>
          <w:sz w:val="32"/>
          <w:szCs w:val="32"/>
        </w:rPr>
        <w:t>2.收入情况。</w:t>
      </w: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年度收入合计</w:t>
      </w:r>
      <w:r>
        <w:rPr>
          <w:rFonts w:hint="default" w:ascii="Times New Roman" w:hAnsi="Times New Roman" w:eastAsia="方正仿宋_GBK" w:cs="Times New Roman"/>
          <w:color w:val="333333"/>
          <w:sz w:val="32"/>
          <w:szCs w:val="32"/>
          <w:lang w:val="en-US" w:eastAsia="zh-CN"/>
        </w:rPr>
        <w:t>1688.1</w:t>
      </w:r>
      <w:r>
        <w:rPr>
          <w:rFonts w:hint="default" w:ascii="Times New Roman" w:hAnsi="Times New Roman" w:eastAsia="方正仿宋_GBK" w:cs="Times New Roman"/>
          <w:color w:val="333333"/>
          <w:sz w:val="32"/>
          <w:szCs w:val="32"/>
        </w:rPr>
        <w:t>万元，较上年决算数</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lang w:val="en-US" w:eastAsia="zh-CN"/>
        </w:rPr>
        <w:t>488.72</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eastAsia="zh-CN"/>
        </w:rPr>
        <w:t>下降</w:t>
      </w:r>
      <w:r>
        <w:rPr>
          <w:rFonts w:hint="default" w:ascii="Times New Roman" w:hAnsi="Times New Roman" w:eastAsia="方正仿宋_GBK" w:cs="Times New Roman"/>
          <w:color w:val="333333"/>
          <w:sz w:val="32"/>
          <w:szCs w:val="32"/>
          <w:lang w:val="en-US" w:eastAsia="zh-CN"/>
        </w:rPr>
        <w:t>22.45</w:t>
      </w:r>
      <w:r>
        <w:rPr>
          <w:rFonts w:hint="default" w:ascii="Times New Roman" w:hAnsi="Times New Roman" w:eastAsia="方正仿宋_GBK" w:cs="Times New Roman"/>
          <w:color w:val="333333"/>
          <w:sz w:val="32"/>
          <w:szCs w:val="32"/>
        </w:rPr>
        <w:t>%。其中：财政拨款收入</w:t>
      </w:r>
      <w:r>
        <w:rPr>
          <w:rFonts w:hint="default" w:ascii="Times New Roman" w:hAnsi="Times New Roman" w:eastAsia="方正仿宋_GBK" w:cs="Times New Roman"/>
          <w:color w:val="333333"/>
          <w:sz w:val="32"/>
          <w:szCs w:val="32"/>
          <w:lang w:val="en-US" w:eastAsia="zh-CN"/>
        </w:rPr>
        <w:t>1688.1</w:t>
      </w:r>
      <w:r>
        <w:rPr>
          <w:rFonts w:hint="default" w:ascii="Times New Roman" w:hAnsi="Times New Roman" w:eastAsia="方正仿宋_GBK" w:cs="Times New Roman"/>
          <w:color w:val="333333"/>
          <w:sz w:val="32"/>
          <w:szCs w:val="32"/>
        </w:rPr>
        <w:t>万元，占100.00%。</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b w:val="0"/>
          <w:bCs w:val="0"/>
          <w:color w:val="333333"/>
          <w:sz w:val="32"/>
          <w:szCs w:val="32"/>
        </w:rPr>
        <w:t>3.支出情况。</w:t>
      </w: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年度支出合计</w:t>
      </w:r>
      <w:r>
        <w:rPr>
          <w:rFonts w:hint="default" w:ascii="Times New Roman" w:hAnsi="Times New Roman" w:eastAsia="方正仿宋_GBK" w:cs="Times New Roman"/>
          <w:color w:val="333333"/>
          <w:sz w:val="32"/>
          <w:szCs w:val="32"/>
          <w:lang w:val="en-US" w:eastAsia="zh-CN"/>
        </w:rPr>
        <w:t>1688.1</w:t>
      </w:r>
      <w:r>
        <w:rPr>
          <w:rFonts w:hint="default" w:ascii="Times New Roman" w:hAnsi="Times New Roman" w:eastAsia="方正仿宋_GBK" w:cs="Times New Roman"/>
          <w:color w:val="333333"/>
          <w:sz w:val="32"/>
          <w:szCs w:val="32"/>
        </w:rPr>
        <w:t>万元，较上年决算数</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lang w:val="en-US" w:eastAsia="zh-CN"/>
        </w:rPr>
        <w:t>488.72</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eastAsia="zh-CN"/>
        </w:rPr>
        <w:t>下降</w:t>
      </w:r>
      <w:r>
        <w:rPr>
          <w:rFonts w:hint="default" w:ascii="Times New Roman" w:hAnsi="Times New Roman" w:eastAsia="方正仿宋_GBK" w:cs="Times New Roman"/>
          <w:color w:val="333333"/>
          <w:sz w:val="32"/>
          <w:szCs w:val="32"/>
          <w:lang w:val="en-US" w:eastAsia="zh-CN"/>
        </w:rPr>
        <w:t>22.45</w:t>
      </w:r>
      <w:r>
        <w:rPr>
          <w:rFonts w:hint="default" w:ascii="Times New Roman" w:hAnsi="Times New Roman" w:eastAsia="方正仿宋_GBK" w:cs="Times New Roman"/>
          <w:color w:val="333333"/>
          <w:sz w:val="32"/>
          <w:szCs w:val="32"/>
        </w:rPr>
        <w:t>%。其中：</w:t>
      </w:r>
      <w:r>
        <w:rPr>
          <w:rFonts w:hint="default" w:ascii="Times New Roman" w:hAnsi="Times New Roman" w:eastAsia="方正仿宋_GBK" w:cs="Times New Roman"/>
          <w:sz w:val="32"/>
          <w:szCs w:val="32"/>
        </w:rPr>
        <w:t>基本支出</w:t>
      </w:r>
      <w:r>
        <w:rPr>
          <w:rFonts w:hint="default" w:ascii="Times New Roman" w:hAnsi="Times New Roman" w:eastAsia="方正仿宋_GBK" w:cs="Times New Roman"/>
          <w:sz w:val="32"/>
          <w:szCs w:val="32"/>
          <w:lang w:val="en-US" w:eastAsia="zh-CN"/>
        </w:rPr>
        <w:t>221.97</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13.2</w:t>
      </w: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val="en-US" w:eastAsia="zh-CN"/>
        </w:rPr>
        <w:t>1466.13</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81.8</w:t>
      </w:r>
      <w:r>
        <w:rPr>
          <w:rFonts w:hint="default" w:ascii="Times New Roman" w:hAnsi="Times New Roman" w:eastAsia="方正仿宋_GBK" w:cs="Times New Roman"/>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color w:val="333333"/>
          <w:sz w:val="32"/>
          <w:szCs w:val="32"/>
        </w:rPr>
        <w:t>4.结转结余情况。</w:t>
      </w: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年度年末结转和结余0.00万元，</w:t>
      </w:r>
      <w:r>
        <w:rPr>
          <w:rFonts w:hint="default" w:ascii="Times New Roman" w:hAnsi="Times New Roman" w:eastAsia="方正仿宋_GBK" w:cs="Times New Roman"/>
          <w:color w:val="333333"/>
          <w:sz w:val="32"/>
          <w:szCs w:val="32"/>
          <w:lang w:eastAsia="zh-CN"/>
        </w:rPr>
        <w:t>与</w:t>
      </w:r>
      <w:r>
        <w:rPr>
          <w:rFonts w:hint="default" w:ascii="Times New Roman" w:hAnsi="Times New Roman" w:eastAsia="方正仿宋_GBK" w:cs="Times New Roman"/>
          <w:color w:val="333333"/>
          <w:sz w:val="32"/>
          <w:szCs w:val="32"/>
        </w:rPr>
        <w:t>上年决算数</w:t>
      </w:r>
      <w:r>
        <w:rPr>
          <w:rFonts w:hint="default" w:ascii="Times New Roman" w:hAnsi="Times New Roman" w:eastAsia="方正仿宋_GBK" w:cs="Times New Roman"/>
          <w:color w:val="333333"/>
          <w:sz w:val="32"/>
          <w:szCs w:val="32"/>
          <w:lang w:eastAsia="zh-CN"/>
        </w:rPr>
        <w:t>持平。</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377" w:firstLineChars="118"/>
        <w:textAlignment w:val="auto"/>
        <w:rPr>
          <w:rFonts w:hint="eastAsia" w:ascii="方正楷体_GBK" w:hAnsi="方正楷体_GBK" w:eastAsia="方正楷体_GBK" w:cs="方正楷体_GBK"/>
          <w:b w:val="0"/>
          <w:bCs w:val="0"/>
          <w:sz w:val="32"/>
          <w:szCs w:val="32"/>
        </w:rPr>
      </w:pPr>
      <w:r>
        <w:rPr>
          <w:rStyle w:val="8"/>
          <w:rFonts w:hint="eastAsia" w:ascii="方正楷体_GBK" w:hAnsi="方正楷体_GBK" w:eastAsia="方正楷体_GBK" w:cs="方正楷体_GBK"/>
          <w:b w:val="0"/>
          <w:bCs w:val="0"/>
          <w:sz w:val="32"/>
          <w:szCs w:val="32"/>
        </w:rPr>
        <w:t>（二）财政拨款收入支出决算总体情况说明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b w:val="0"/>
          <w:bCs w:val="0"/>
          <w:color w:val="333333"/>
          <w:sz w:val="32"/>
          <w:szCs w:val="32"/>
        </w:rPr>
        <w:t>20</w:t>
      </w:r>
      <w:r>
        <w:rPr>
          <w:rFonts w:hint="default" w:ascii="Times New Roman" w:hAnsi="Times New Roman" w:eastAsia="方正仿宋_GBK" w:cs="Times New Roman"/>
          <w:b w:val="0"/>
          <w:bCs w:val="0"/>
          <w:color w:val="333333"/>
          <w:sz w:val="32"/>
          <w:szCs w:val="32"/>
          <w:lang w:val="en-US" w:eastAsia="zh-CN"/>
        </w:rPr>
        <w:t>20</w:t>
      </w:r>
      <w:r>
        <w:rPr>
          <w:rFonts w:hint="default" w:ascii="Times New Roman" w:hAnsi="Times New Roman" w:eastAsia="方正仿宋_GBK" w:cs="Times New Roman"/>
          <w:color w:val="333333"/>
          <w:sz w:val="32"/>
          <w:szCs w:val="32"/>
        </w:rPr>
        <w:t>年度财政拨款收、支总计</w:t>
      </w:r>
      <w:r>
        <w:rPr>
          <w:rFonts w:hint="default" w:ascii="Times New Roman" w:hAnsi="Times New Roman" w:eastAsia="方正仿宋_GBK" w:cs="Times New Roman"/>
          <w:color w:val="333333"/>
          <w:sz w:val="32"/>
          <w:szCs w:val="32"/>
          <w:lang w:val="en-US" w:eastAsia="zh-CN"/>
        </w:rPr>
        <w:t>1688.1</w:t>
      </w:r>
      <w:r>
        <w:rPr>
          <w:rFonts w:hint="default" w:ascii="Times New Roman" w:hAnsi="Times New Roman" w:eastAsia="方正仿宋_GBK" w:cs="Times New Roman"/>
          <w:color w:val="333333"/>
          <w:sz w:val="32"/>
          <w:szCs w:val="32"/>
        </w:rPr>
        <w:t>万元。与20</w:t>
      </w:r>
      <w:r>
        <w:rPr>
          <w:rFonts w:hint="default" w:ascii="Times New Roman" w:hAnsi="Times New Roman" w:eastAsia="方正仿宋_GBK" w:cs="Times New Roman"/>
          <w:color w:val="333333"/>
          <w:sz w:val="32"/>
          <w:szCs w:val="32"/>
          <w:lang w:val="en-US" w:eastAsia="zh-CN"/>
        </w:rPr>
        <w:t>19</w:t>
      </w:r>
      <w:r>
        <w:rPr>
          <w:rFonts w:hint="default" w:ascii="Times New Roman" w:hAnsi="Times New Roman" w:eastAsia="方正仿宋_GBK" w:cs="Times New Roman"/>
          <w:color w:val="333333"/>
          <w:sz w:val="32"/>
          <w:szCs w:val="32"/>
        </w:rPr>
        <w:t>年相比，财政拨款收、支总计各</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lang w:val="en-US" w:eastAsia="zh-CN"/>
        </w:rPr>
        <w:t>488.72</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eastAsia="zh-CN"/>
        </w:rPr>
        <w:t>下降</w:t>
      </w:r>
      <w:r>
        <w:rPr>
          <w:rFonts w:hint="default" w:ascii="Times New Roman" w:hAnsi="Times New Roman" w:eastAsia="方正仿宋_GBK" w:cs="Times New Roman"/>
          <w:color w:val="333333"/>
          <w:sz w:val="32"/>
          <w:szCs w:val="32"/>
          <w:lang w:val="en-US" w:eastAsia="zh-CN"/>
        </w:rPr>
        <w:t>22.45</w:t>
      </w:r>
      <w:r>
        <w:rPr>
          <w:rFonts w:hint="default" w:ascii="Times New Roman" w:hAnsi="Times New Roman" w:eastAsia="方正仿宋_GBK" w:cs="Times New Roman"/>
          <w:color w:val="333333"/>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sz w:val="32"/>
          <w:szCs w:val="32"/>
        </w:rPr>
        <w:t xml:space="preserve">  </w:t>
      </w:r>
      <w:r>
        <w:rPr>
          <w:rStyle w:val="8"/>
          <w:rFonts w:hint="eastAsia" w:ascii="Times New Roman" w:hAnsi="Times New Roman" w:eastAsia="方正仿宋_GBK" w:cs="Times New Roman"/>
          <w:sz w:val="32"/>
          <w:szCs w:val="32"/>
          <w:lang w:val="en-US" w:eastAsia="zh-CN"/>
        </w:rPr>
        <w:t xml:space="preserve"> </w:t>
      </w:r>
      <w:r>
        <w:rPr>
          <w:rStyle w:val="8"/>
          <w:rFonts w:hint="eastAsia" w:ascii="方正楷体_GBK" w:hAnsi="方正楷体_GBK" w:eastAsia="方正楷体_GBK" w:cs="方正楷体_GBK"/>
          <w:b w:val="0"/>
          <w:bCs w:val="0"/>
          <w:sz w:val="32"/>
          <w:szCs w:val="32"/>
        </w:rPr>
        <w:t>（三）一般公共预算财政拨款支出决算情况说明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b w:val="0"/>
          <w:bCs w:val="0"/>
          <w:color w:val="333333"/>
          <w:sz w:val="32"/>
          <w:szCs w:val="32"/>
        </w:rPr>
        <w:t>1.收入情况。</w:t>
      </w: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年度一般公共预算财政拨款收入</w:t>
      </w:r>
      <w:r>
        <w:rPr>
          <w:rFonts w:hint="default" w:ascii="Times New Roman" w:hAnsi="Times New Roman" w:eastAsia="方正仿宋_GBK" w:cs="Times New Roman"/>
          <w:color w:val="333333"/>
          <w:sz w:val="32"/>
          <w:szCs w:val="32"/>
          <w:lang w:val="en-US" w:eastAsia="zh-CN"/>
        </w:rPr>
        <w:t>1602.08</w:t>
      </w:r>
      <w:r>
        <w:rPr>
          <w:rFonts w:hint="default" w:ascii="Times New Roman" w:hAnsi="Times New Roman" w:eastAsia="方正仿宋_GBK" w:cs="Times New Roman"/>
          <w:color w:val="333333"/>
          <w:sz w:val="32"/>
          <w:szCs w:val="32"/>
        </w:rPr>
        <w:t>万元，较上年决算数</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lang w:val="en-US" w:eastAsia="zh-CN"/>
        </w:rPr>
        <w:t>431.74</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eastAsia="zh-CN"/>
        </w:rPr>
        <w:t>下降</w:t>
      </w:r>
      <w:r>
        <w:rPr>
          <w:rFonts w:hint="default" w:ascii="Times New Roman" w:hAnsi="Times New Roman" w:eastAsia="方正仿宋_GBK" w:cs="Times New Roman"/>
          <w:color w:val="333333"/>
          <w:sz w:val="32"/>
          <w:szCs w:val="32"/>
          <w:lang w:val="en-US" w:eastAsia="zh-CN"/>
        </w:rPr>
        <w:t>21.22</w:t>
      </w:r>
      <w:r>
        <w:rPr>
          <w:rFonts w:hint="default" w:ascii="Times New Roman" w:hAnsi="Times New Roman" w:eastAsia="方正仿宋_GBK" w:cs="Times New Roman"/>
          <w:color w:val="333333"/>
          <w:sz w:val="32"/>
          <w:szCs w:val="32"/>
        </w:rPr>
        <w:t>%。较年初预算数增加</w:t>
      </w:r>
      <w:r>
        <w:rPr>
          <w:rFonts w:hint="default" w:ascii="Times New Roman" w:hAnsi="Times New Roman" w:eastAsia="方正仿宋_GBK" w:cs="Times New Roman"/>
          <w:sz w:val="32"/>
          <w:szCs w:val="32"/>
          <w:lang w:val="en-US" w:eastAsia="zh-CN"/>
        </w:rPr>
        <w:t>1380.11</w:t>
      </w:r>
      <w:r>
        <w:rPr>
          <w:rFonts w:hint="default" w:ascii="Times New Roman" w:hAnsi="Times New Roman" w:eastAsia="方正仿宋_GBK" w:cs="Times New Roman"/>
          <w:color w:val="333333"/>
          <w:sz w:val="32"/>
          <w:szCs w:val="32"/>
        </w:rPr>
        <w:t>万元，增长</w:t>
      </w:r>
      <w:r>
        <w:rPr>
          <w:rFonts w:hint="default" w:ascii="Times New Roman" w:hAnsi="Times New Roman" w:eastAsia="方正仿宋_GBK" w:cs="Times New Roman"/>
          <w:color w:val="333333"/>
          <w:sz w:val="32"/>
          <w:szCs w:val="32"/>
          <w:lang w:val="en-US" w:eastAsia="zh-CN"/>
        </w:rPr>
        <w:t>621.76</w:t>
      </w:r>
      <w:r>
        <w:rPr>
          <w:rFonts w:hint="default" w:ascii="Times New Roman" w:hAnsi="Times New Roman" w:eastAsia="方正仿宋_GBK" w:cs="Times New Roman"/>
          <w:color w:val="333333"/>
          <w:sz w:val="32"/>
          <w:szCs w:val="32"/>
        </w:rPr>
        <w:t>%。主要原因是年中追加安排专项资金支出及基本预算支出</w:t>
      </w:r>
      <w:r>
        <w:rPr>
          <w:rFonts w:hint="default" w:ascii="Times New Roman" w:hAnsi="Times New Roman" w:eastAsia="方正仿宋_GBK" w:cs="Times New Roman"/>
          <w:sz w:val="32"/>
          <w:szCs w:val="32"/>
          <w:lang w:val="en-US" w:eastAsia="zh-CN"/>
        </w:rPr>
        <w:t>1380.11</w:t>
      </w:r>
      <w:r>
        <w:rPr>
          <w:rFonts w:hint="default" w:ascii="Times New Roman" w:hAnsi="Times New Roman" w:eastAsia="方正仿宋_GBK" w:cs="Times New Roman"/>
          <w:color w:val="333333"/>
          <w:sz w:val="32"/>
          <w:szCs w:val="32"/>
        </w:rPr>
        <w:t>万元。此外，年初</w:t>
      </w:r>
      <w:r>
        <w:rPr>
          <w:rFonts w:hint="default" w:ascii="Times New Roman" w:hAnsi="Times New Roman" w:eastAsia="方正仿宋_GBK" w:cs="Times New Roman"/>
          <w:color w:val="333333"/>
          <w:sz w:val="32"/>
          <w:szCs w:val="32"/>
          <w:lang w:eastAsia="zh-CN"/>
        </w:rPr>
        <w:t>无</w:t>
      </w:r>
      <w:r>
        <w:rPr>
          <w:rFonts w:hint="default" w:ascii="Times New Roman" w:hAnsi="Times New Roman" w:eastAsia="方正仿宋_GBK" w:cs="Times New Roman"/>
          <w:color w:val="333333"/>
          <w:sz w:val="32"/>
          <w:szCs w:val="32"/>
        </w:rPr>
        <w:t>财政拨款结转和结余。</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lang w:eastAsia="zh-CN"/>
        </w:rPr>
      </w:pPr>
      <w:r>
        <w:rPr>
          <w:rFonts w:hint="default" w:ascii="Times New Roman" w:hAnsi="Times New Roman" w:eastAsia="方正仿宋_GBK" w:cs="Times New Roman"/>
          <w:b w:val="0"/>
          <w:bCs w:val="0"/>
          <w:color w:val="333333"/>
          <w:sz w:val="32"/>
          <w:szCs w:val="32"/>
        </w:rPr>
        <w:t>2.支出情况。</w:t>
      </w: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年度一般公共预算财政拨款支出</w:t>
      </w:r>
      <w:r>
        <w:rPr>
          <w:rFonts w:hint="default" w:ascii="Times New Roman" w:hAnsi="Times New Roman" w:eastAsia="方正仿宋_GBK" w:cs="Times New Roman"/>
          <w:color w:val="333333"/>
          <w:sz w:val="32"/>
          <w:szCs w:val="32"/>
          <w:lang w:val="en-US" w:eastAsia="zh-CN"/>
        </w:rPr>
        <w:t>1602.08</w:t>
      </w:r>
      <w:r>
        <w:rPr>
          <w:rFonts w:hint="default" w:ascii="Times New Roman" w:hAnsi="Times New Roman" w:eastAsia="方正仿宋_GBK" w:cs="Times New Roman"/>
          <w:color w:val="333333"/>
          <w:sz w:val="32"/>
          <w:szCs w:val="32"/>
        </w:rPr>
        <w:t>万元，较上年决算数</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lang w:val="en-US" w:eastAsia="zh-CN"/>
        </w:rPr>
        <w:t>826.74</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eastAsia="zh-CN"/>
        </w:rPr>
        <w:t>下降</w:t>
      </w:r>
      <w:r>
        <w:rPr>
          <w:rFonts w:hint="default" w:ascii="Times New Roman" w:hAnsi="Times New Roman" w:eastAsia="方正仿宋_GBK" w:cs="Times New Roman"/>
          <w:color w:val="333333"/>
          <w:sz w:val="32"/>
          <w:szCs w:val="32"/>
          <w:lang w:val="en-US" w:eastAsia="zh-CN"/>
        </w:rPr>
        <w:t>34.04</w:t>
      </w:r>
      <w:r>
        <w:rPr>
          <w:rFonts w:hint="default" w:ascii="Times New Roman" w:hAnsi="Times New Roman" w:eastAsia="方正仿宋_GBK" w:cs="Times New Roman"/>
          <w:color w:val="333333"/>
          <w:sz w:val="32"/>
          <w:szCs w:val="32"/>
        </w:rPr>
        <w:t>%。较年初预算数增加</w:t>
      </w:r>
      <w:r>
        <w:rPr>
          <w:rFonts w:hint="default" w:ascii="Times New Roman" w:hAnsi="Times New Roman" w:eastAsia="方正仿宋_GBK" w:cs="Times New Roman"/>
          <w:sz w:val="32"/>
          <w:szCs w:val="32"/>
          <w:lang w:val="en-US" w:eastAsia="zh-CN"/>
        </w:rPr>
        <w:t>1380.11</w:t>
      </w:r>
      <w:r>
        <w:rPr>
          <w:rFonts w:hint="default" w:ascii="Times New Roman" w:hAnsi="Times New Roman" w:eastAsia="方正仿宋_GBK" w:cs="Times New Roman"/>
          <w:color w:val="333333"/>
          <w:sz w:val="32"/>
          <w:szCs w:val="32"/>
        </w:rPr>
        <w:t>万元，增长</w:t>
      </w:r>
      <w:r>
        <w:rPr>
          <w:rFonts w:hint="default" w:ascii="Times New Roman" w:hAnsi="Times New Roman" w:eastAsia="方正仿宋_GBK" w:cs="Times New Roman"/>
          <w:color w:val="333333"/>
          <w:sz w:val="32"/>
          <w:szCs w:val="32"/>
          <w:lang w:val="en-US" w:eastAsia="zh-CN"/>
        </w:rPr>
        <w:t>621.76</w:t>
      </w:r>
      <w:r>
        <w:rPr>
          <w:rFonts w:hint="default" w:ascii="Times New Roman" w:hAnsi="Times New Roman" w:eastAsia="方正仿宋_GBK" w:cs="Times New Roman"/>
          <w:color w:val="333333"/>
          <w:sz w:val="32"/>
          <w:szCs w:val="32"/>
        </w:rPr>
        <w:t>%。主要原因是年中追加安排专项资金支出及基本预算支出</w:t>
      </w:r>
      <w:r>
        <w:rPr>
          <w:rFonts w:hint="default" w:ascii="Times New Roman" w:hAnsi="Times New Roman" w:eastAsia="方正仿宋_GBK" w:cs="Times New Roman"/>
          <w:color w:val="333333"/>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b w:val="0"/>
          <w:bCs w:val="0"/>
          <w:color w:val="333333"/>
          <w:sz w:val="32"/>
          <w:szCs w:val="32"/>
        </w:rPr>
        <w:t>3.结转结余情况。</w:t>
      </w: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年度年末一般公共预算财政拨款结转和结余0万元，</w:t>
      </w:r>
      <w:r>
        <w:rPr>
          <w:rFonts w:hint="default" w:ascii="Times New Roman" w:hAnsi="Times New Roman" w:eastAsia="方正仿宋_GBK" w:cs="Times New Roman"/>
          <w:color w:val="333333"/>
          <w:sz w:val="32"/>
          <w:szCs w:val="32"/>
          <w:lang w:eastAsia="zh-CN"/>
        </w:rPr>
        <w:t>与</w:t>
      </w:r>
      <w:r>
        <w:rPr>
          <w:rFonts w:hint="default" w:ascii="Times New Roman" w:hAnsi="Times New Roman" w:eastAsia="方正仿宋_GBK" w:cs="Times New Roman"/>
          <w:color w:val="333333"/>
          <w:sz w:val="32"/>
          <w:szCs w:val="32"/>
        </w:rPr>
        <w:t>上年决算数</w:t>
      </w:r>
      <w:r>
        <w:rPr>
          <w:rFonts w:hint="default" w:ascii="Times New Roman" w:hAnsi="Times New Roman" w:eastAsia="方正仿宋_GBK" w:cs="Times New Roman"/>
          <w:color w:val="333333"/>
          <w:sz w:val="32"/>
          <w:szCs w:val="32"/>
          <w:lang w:eastAsia="zh-CN"/>
        </w:rPr>
        <w:t>持平</w:t>
      </w:r>
      <w:r>
        <w:rPr>
          <w:rFonts w:hint="default" w:ascii="Times New Roman" w:hAnsi="Times New Roman" w:eastAsia="方正仿宋_GBK" w:cs="Times New Roman"/>
          <w:color w:val="333333"/>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b w:val="0"/>
          <w:bCs w:val="0"/>
          <w:color w:val="333333"/>
          <w:sz w:val="32"/>
          <w:szCs w:val="32"/>
        </w:rPr>
        <w:t>4.比较情况。</w:t>
      </w:r>
      <w:r>
        <w:rPr>
          <w:rFonts w:hint="default" w:ascii="Times New Roman" w:hAnsi="Times New Roman" w:eastAsia="方正仿宋_GBK" w:cs="Times New Roman"/>
          <w:color w:val="333333"/>
          <w:sz w:val="32"/>
          <w:szCs w:val="32"/>
        </w:rPr>
        <w:t>本部门20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年度一般公共预算财政拨款支出主要用于以下几个方面：</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19" w:firstLineChars="131"/>
        <w:textAlignment w:val="auto"/>
        <w:rPr>
          <w:rFonts w:hint="default" w:ascii="Times New Roman" w:hAnsi="Times New Roman" w:eastAsia="方正仿宋_GBK" w:cs="Times New Roman"/>
          <w:color w:val="333333"/>
          <w:sz w:val="32"/>
          <w:szCs w:val="32"/>
          <w:lang w:eastAsia="zh-CN"/>
        </w:rPr>
      </w:pPr>
      <w:r>
        <w:rPr>
          <w:rFonts w:hint="default" w:ascii="Times New Roman" w:hAnsi="Times New Roman" w:eastAsia="方正仿宋_GBK" w:cs="Times New Roman"/>
          <w:color w:val="333333"/>
          <w:sz w:val="32"/>
          <w:szCs w:val="32"/>
        </w:rPr>
        <w:t>（1）社会保障与就业支出</w:t>
      </w:r>
      <w:r>
        <w:rPr>
          <w:rFonts w:hint="default" w:ascii="Times New Roman" w:hAnsi="Times New Roman" w:eastAsia="方正仿宋_GBK" w:cs="Times New Roman"/>
          <w:color w:val="333333"/>
          <w:sz w:val="32"/>
          <w:szCs w:val="32"/>
          <w:lang w:val="en-US" w:eastAsia="zh-CN"/>
        </w:rPr>
        <w:t>1582.88</w:t>
      </w:r>
      <w:r>
        <w:rPr>
          <w:rFonts w:hint="default" w:ascii="Times New Roman" w:hAnsi="Times New Roman" w:eastAsia="方正仿宋_GBK" w:cs="Times New Roman"/>
          <w:color w:val="333333"/>
          <w:sz w:val="32"/>
          <w:szCs w:val="32"/>
        </w:rPr>
        <w:t>万元，占98.</w:t>
      </w:r>
      <w:r>
        <w:rPr>
          <w:rFonts w:hint="default" w:ascii="Times New Roman" w:hAnsi="Times New Roman" w:eastAsia="方正仿宋_GBK" w:cs="Times New Roman"/>
          <w:color w:val="333333"/>
          <w:sz w:val="32"/>
          <w:szCs w:val="32"/>
          <w:lang w:val="en-US" w:eastAsia="zh-CN"/>
        </w:rPr>
        <w:t>8</w:t>
      </w:r>
      <w:r>
        <w:rPr>
          <w:rFonts w:hint="default" w:ascii="Times New Roman" w:hAnsi="Times New Roman" w:eastAsia="方正仿宋_GBK" w:cs="Times New Roman"/>
          <w:color w:val="333333"/>
          <w:sz w:val="32"/>
          <w:szCs w:val="32"/>
        </w:rPr>
        <w:t>%，较年初预算数增加</w:t>
      </w:r>
      <w:r>
        <w:rPr>
          <w:rFonts w:hint="default" w:ascii="Times New Roman" w:hAnsi="Times New Roman" w:eastAsia="方正仿宋_GBK" w:cs="Times New Roman"/>
          <w:color w:val="333333"/>
          <w:sz w:val="32"/>
          <w:szCs w:val="32"/>
          <w:lang w:val="en-US" w:eastAsia="zh-CN"/>
        </w:rPr>
        <w:t>1380.11</w:t>
      </w:r>
      <w:r>
        <w:rPr>
          <w:rFonts w:hint="default" w:ascii="Times New Roman" w:hAnsi="Times New Roman" w:eastAsia="方正仿宋_GBK" w:cs="Times New Roman"/>
          <w:color w:val="333333"/>
          <w:sz w:val="32"/>
          <w:szCs w:val="32"/>
        </w:rPr>
        <w:t>万元，增长</w:t>
      </w:r>
      <w:r>
        <w:rPr>
          <w:rFonts w:hint="default" w:ascii="Times New Roman" w:hAnsi="Times New Roman" w:eastAsia="方正仿宋_GBK" w:cs="Times New Roman"/>
          <w:color w:val="333333"/>
          <w:sz w:val="32"/>
          <w:szCs w:val="32"/>
          <w:lang w:val="en-US" w:eastAsia="zh-CN"/>
        </w:rPr>
        <w:t>680.63</w:t>
      </w:r>
      <w:r>
        <w:rPr>
          <w:rFonts w:hint="default" w:ascii="Times New Roman" w:hAnsi="Times New Roman" w:eastAsia="方正仿宋_GBK" w:cs="Times New Roman"/>
          <w:color w:val="333333"/>
          <w:sz w:val="32"/>
          <w:szCs w:val="32"/>
        </w:rPr>
        <w:t>%</w:t>
      </w:r>
      <w:r>
        <w:rPr>
          <w:rFonts w:hint="default" w:ascii="Times New Roman" w:hAnsi="Times New Roman" w:eastAsia="方正仿宋_GBK" w:cs="Times New Roman"/>
          <w:color w:val="333333"/>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259" w:firstLineChars="81"/>
        <w:textAlignment w:val="auto"/>
        <w:rPr>
          <w:rFonts w:hint="default" w:ascii="Times New Roman" w:hAnsi="Times New Roman" w:eastAsia="方正仿宋_GBK" w:cs="Times New Roman"/>
          <w:color w:val="333333"/>
          <w:sz w:val="32"/>
          <w:szCs w:val="32"/>
          <w:lang w:eastAsia="zh-CN"/>
        </w:rPr>
      </w:pP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（2）卫生健康支出</w:t>
      </w:r>
      <w:r>
        <w:rPr>
          <w:rFonts w:hint="default" w:ascii="Times New Roman" w:hAnsi="Times New Roman" w:eastAsia="方正仿宋_GBK" w:cs="Times New Roman"/>
          <w:color w:val="333333"/>
          <w:sz w:val="32"/>
          <w:szCs w:val="32"/>
          <w:lang w:val="en-US" w:eastAsia="zh-CN"/>
        </w:rPr>
        <w:t>9.6</w:t>
      </w:r>
      <w:r>
        <w:rPr>
          <w:rFonts w:hint="default" w:ascii="Times New Roman" w:hAnsi="Times New Roman" w:eastAsia="方正仿宋_GBK" w:cs="Times New Roman"/>
          <w:color w:val="333333"/>
          <w:sz w:val="32"/>
          <w:szCs w:val="32"/>
        </w:rPr>
        <w:t>万元，占0.</w:t>
      </w:r>
      <w:r>
        <w:rPr>
          <w:rFonts w:hint="default" w:ascii="Times New Roman" w:hAnsi="Times New Roman" w:eastAsia="方正仿宋_GBK" w:cs="Times New Roman"/>
          <w:color w:val="333333"/>
          <w:sz w:val="32"/>
          <w:szCs w:val="32"/>
          <w:lang w:val="en-US" w:eastAsia="zh-CN"/>
        </w:rPr>
        <w:t>6</w:t>
      </w:r>
      <w:r>
        <w:rPr>
          <w:rFonts w:hint="default" w:ascii="Times New Roman" w:hAnsi="Times New Roman" w:eastAsia="方正仿宋_GBK" w:cs="Times New Roman"/>
          <w:color w:val="333333"/>
          <w:sz w:val="32"/>
          <w:szCs w:val="32"/>
        </w:rPr>
        <w:t>%，较年初预算数增加0.00万元，增长0.00%</w:t>
      </w:r>
      <w:r>
        <w:rPr>
          <w:rFonts w:hint="default" w:ascii="Times New Roman" w:hAnsi="Times New Roman" w:eastAsia="方正仿宋_GBK" w:cs="Times New Roman"/>
          <w:color w:val="333333"/>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99" w:firstLineChars="156"/>
        <w:textAlignment w:val="auto"/>
        <w:rPr>
          <w:rFonts w:hint="default" w:ascii="Times New Roman" w:hAnsi="Times New Roman" w:eastAsia="方正仿宋_GBK" w:cs="Times New Roman"/>
          <w:color w:val="333333"/>
          <w:sz w:val="32"/>
          <w:szCs w:val="32"/>
          <w:lang w:eastAsia="zh-CN"/>
        </w:rPr>
      </w:pPr>
      <w:r>
        <w:rPr>
          <w:rFonts w:hint="default" w:ascii="Times New Roman" w:hAnsi="Times New Roman" w:eastAsia="方正仿宋_GBK" w:cs="Times New Roman"/>
          <w:color w:val="333333"/>
          <w:sz w:val="32"/>
          <w:szCs w:val="32"/>
        </w:rPr>
        <w:t>（3）一般公共服务支出</w:t>
      </w:r>
      <w:r>
        <w:rPr>
          <w:rFonts w:hint="default" w:ascii="Times New Roman" w:hAnsi="Times New Roman" w:eastAsia="方正仿宋_GBK" w:cs="Times New Roman"/>
          <w:color w:val="333333"/>
          <w:sz w:val="32"/>
          <w:szCs w:val="32"/>
          <w:lang w:val="en-US" w:eastAsia="zh-CN"/>
        </w:rPr>
        <w:t>0.28</w:t>
      </w:r>
      <w:r>
        <w:rPr>
          <w:rFonts w:hint="default" w:ascii="Times New Roman" w:hAnsi="Times New Roman" w:eastAsia="方正仿宋_GBK" w:cs="Times New Roman"/>
          <w:color w:val="333333"/>
          <w:sz w:val="32"/>
          <w:szCs w:val="32"/>
        </w:rPr>
        <w:t>万元，占</w:t>
      </w:r>
      <w:r>
        <w:rPr>
          <w:rFonts w:hint="default" w:ascii="Times New Roman" w:hAnsi="Times New Roman" w:eastAsia="方正仿宋_GBK" w:cs="Times New Roman"/>
          <w:color w:val="333333"/>
          <w:sz w:val="32"/>
          <w:szCs w:val="32"/>
          <w:lang w:val="en-US" w:eastAsia="zh-CN"/>
        </w:rPr>
        <w:t>0.02</w:t>
      </w:r>
      <w:r>
        <w:rPr>
          <w:rFonts w:hint="default" w:ascii="Times New Roman" w:hAnsi="Times New Roman" w:eastAsia="方正仿宋_GBK" w:cs="Times New Roman"/>
          <w:color w:val="333333"/>
          <w:sz w:val="32"/>
          <w:szCs w:val="32"/>
        </w:rPr>
        <w:t>%，较年初预算数增加</w:t>
      </w:r>
      <w:r>
        <w:rPr>
          <w:rFonts w:hint="default" w:ascii="Times New Roman" w:hAnsi="Times New Roman" w:eastAsia="方正仿宋_GBK" w:cs="Times New Roman"/>
          <w:color w:val="333333"/>
          <w:sz w:val="32"/>
          <w:szCs w:val="32"/>
          <w:lang w:val="en-US" w:eastAsia="zh-CN"/>
        </w:rPr>
        <w:t>0</w:t>
      </w:r>
      <w:r>
        <w:rPr>
          <w:rFonts w:hint="default" w:ascii="Times New Roman" w:hAnsi="Times New Roman" w:eastAsia="方正仿宋_GBK" w:cs="Times New Roman"/>
          <w:color w:val="333333"/>
          <w:sz w:val="32"/>
          <w:szCs w:val="32"/>
        </w:rPr>
        <w:t>万元，增长0.00%</w:t>
      </w:r>
      <w:r>
        <w:rPr>
          <w:rFonts w:hint="default" w:ascii="Times New Roman" w:hAnsi="Times New Roman" w:eastAsia="方正仿宋_GBK" w:cs="Times New Roman"/>
          <w:color w:val="333333"/>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99" w:firstLineChars="156"/>
        <w:textAlignment w:val="auto"/>
        <w:rPr>
          <w:rFonts w:hint="default" w:ascii="Times New Roman" w:hAnsi="Times New Roman" w:eastAsia="方正仿宋_GBK" w:cs="Times New Roman"/>
          <w:color w:val="333333"/>
          <w:sz w:val="32"/>
          <w:szCs w:val="32"/>
          <w:lang w:eastAsia="zh-CN"/>
        </w:rPr>
      </w:pPr>
      <w:r>
        <w:rPr>
          <w:rFonts w:hint="default" w:ascii="Times New Roman" w:hAnsi="Times New Roman" w:eastAsia="方正仿宋_GBK" w:cs="Times New Roman"/>
          <w:color w:val="333333"/>
          <w:sz w:val="32"/>
          <w:szCs w:val="32"/>
        </w:rPr>
        <w:t>（4）住房保障支出9.32万元，占0.</w:t>
      </w:r>
      <w:r>
        <w:rPr>
          <w:rFonts w:hint="default" w:ascii="Times New Roman" w:hAnsi="Times New Roman" w:eastAsia="方正仿宋_GBK" w:cs="Times New Roman"/>
          <w:color w:val="333333"/>
          <w:sz w:val="32"/>
          <w:szCs w:val="32"/>
          <w:lang w:val="en-US" w:eastAsia="zh-CN"/>
        </w:rPr>
        <w:t>58</w:t>
      </w:r>
      <w:r>
        <w:rPr>
          <w:rFonts w:hint="default" w:ascii="Times New Roman" w:hAnsi="Times New Roman" w:eastAsia="方正仿宋_GBK" w:cs="Times New Roman"/>
          <w:color w:val="333333"/>
          <w:sz w:val="32"/>
          <w:szCs w:val="32"/>
        </w:rPr>
        <w:t>%，较年初预算数增加0.00万元，增长0.00%</w:t>
      </w:r>
      <w:r>
        <w:rPr>
          <w:rFonts w:hint="default" w:ascii="Times New Roman" w:hAnsi="Times New Roman" w:eastAsia="方正仿宋_GBK" w:cs="Times New Roman"/>
          <w:color w:val="333333"/>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198" w:firstLineChars="62"/>
        <w:textAlignment w:val="auto"/>
        <w:rPr>
          <w:rStyle w:val="8"/>
          <w:rFonts w:hint="eastAsia" w:ascii="方正楷体_GBK" w:hAnsi="方正楷体_GBK" w:eastAsia="方正楷体_GBK" w:cs="方正楷体_GBK"/>
          <w:b w:val="0"/>
          <w:bCs w:val="0"/>
          <w:sz w:val="32"/>
          <w:szCs w:val="32"/>
        </w:rPr>
      </w:pPr>
      <w:r>
        <w:rPr>
          <w:rStyle w:val="8"/>
          <w:rFonts w:hint="eastAsia" w:ascii="方正楷体_GBK" w:hAnsi="方正楷体_GBK" w:eastAsia="方正楷体_GBK" w:cs="方正楷体_GBK"/>
          <w:b w:val="0"/>
          <w:bCs w:val="0"/>
          <w:sz w:val="32"/>
          <w:szCs w:val="32"/>
        </w:rPr>
        <w:t xml:space="preserve"> </w:t>
      </w:r>
      <w:r>
        <w:rPr>
          <w:rStyle w:val="8"/>
          <w:rFonts w:hint="eastAsia" w:ascii="方正楷体_GBK" w:hAnsi="方正楷体_GBK" w:eastAsia="方正楷体_GBK" w:cs="方正楷体_GBK"/>
          <w:b w:val="0"/>
          <w:bCs w:val="0"/>
          <w:sz w:val="32"/>
          <w:szCs w:val="32"/>
          <w:lang w:val="en-US" w:eastAsia="zh-CN"/>
        </w:rPr>
        <w:t xml:space="preserve"> </w:t>
      </w:r>
      <w:r>
        <w:rPr>
          <w:rStyle w:val="8"/>
          <w:rFonts w:hint="eastAsia" w:ascii="方正楷体_GBK" w:hAnsi="方正楷体_GBK" w:eastAsia="方正楷体_GBK" w:cs="方正楷体_GBK"/>
          <w:b w:val="0"/>
          <w:bCs w:val="0"/>
          <w:sz w:val="32"/>
          <w:szCs w:val="32"/>
        </w:rPr>
        <w:t>（四）一般公共预算财政拨款基本支出决算情况说明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年度一般公共财政拨款基本支出</w:t>
      </w:r>
      <w:r>
        <w:rPr>
          <w:rFonts w:hint="default" w:ascii="Times New Roman" w:hAnsi="Times New Roman" w:eastAsia="方正仿宋_GBK" w:cs="Times New Roman"/>
          <w:color w:val="333333"/>
          <w:sz w:val="32"/>
          <w:szCs w:val="32"/>
          <w:lang w:val="en-US" w:eastAsia="zh-CN"/>
        </w:rPr>
        <w:t>221.97</w:t>
      </w:r>
      <w:r>
        <w:rPr>
          <w:rFonts w:hint="default" w:ascii="Times New Roman" w:hAnsi="Times New Roman" w:eastAsia="方正仿宋_GBK" w:cs="Times New Roman"/>
          <w:color w:val="333333"/>
          <w:sz w:val="32"/>
          <w:szCs w:val="32"/>
        </w:rPr>
        <w:t>万元。其中：人员经费</w:t>
      </w:r>
      <w:r>
        <w:rPr>
          <w:rFonts w:hint="default" w:ascii="Times New Roman" w:hAnsi="Times New Roman" w:eastAsia="方正仿宋_GBK" w:cs="Times New Roman"/>
          <w:color w:val="333333"/>
          <w:sz w:val="32"/>
          <w:szCs w:val="32"/>
          <w:lang w:val="en-US" w:eastAsia="zh-CN"/>
        </w:rPr>
        <w:t>197.7</w:t>
      </w:r>
      <w:r>
        <w:rPr>
          <w:rFonts w:hint="default" w:ascii="Times New Roman" w:hAnsi="Times New Roman" w:eastAsia="方正仿宋_GBK" w:cs="Times New Roman"/>
          <w:color w:val="333333"/>
          <w:sz w:val="32"/>
          <w:szCs w:val="32"/>
        </w:rPr>
        <w:t>万元，较上年决算数减少</w:t>
      </w:r>
      <w:r>
        <w:rPr>
          <w:rFonts w:hint="default" w:ascii="Times New Roman" w:hAnsi="Times New Roman" w:eastAsia="方正仿宋_GBK" w:cs="Times New Roman"/>
          <w:color w:val="333333"/>
          <w:sz w:val="32"/>
          <w:szCs w:val="32"/>
          <w:lang w:val="en-US" w:eastAsia="zh-CN"/>
        </w:rPr>
        <w:t>13.72</w:t>
      </w:r>
      <w:r>
        <w:rPr>
          <w:rFonts w:hint="default" w:ascii="Times New Roman" w:hAnsi="Times New Roman" w:eastAsia="方正仿宋_GBK" w:cs="Times New Roman"/>
          <w:color w:val="333333"/>
          <w:sz w:val="32"/>
          <w:szCs w:val="32"/>
        </w:rPr>
        <w:t>万元，下降</w:t>
      </w:r>
      <w:r>
        <w:rPr>
          <w:rFonts w:hint="default" w:ascii="Times New Roman" w:hAnsi="Times New Roman" w:eastAsia="方正仿宋_GBK" w:cs="Times New Roman"/>
          <w:color w:val="333333"/>
          <w:sz w:val="32"/>
          <w:szCs w:val="32"/>
          <w:lang w:val="en-US" w:eastAsia="zh-CN"/>
        </w:rPr>
        <w:t>6.45</w:t>
      </w:r>
      <w:r>
        <w:rPr>
          <w:rFonts w:hint="default" w:ascii="Times New Roman" w:hAnsi="Times New Roman" w:eastAsia="方正仿宋_GBK" w:cs="Times New Roman"/>
          <w:color w:val="333333"/>
          <w:sz w:val="32"/>
          <w:szCs w:val="32"/>
        </w:rPr>
        <w:t>%。公用经费</w:t>
      </w:r>
      <w:r>
        <w:rPr>
          <w:rFonts w:hint="default" w:ascii="Times New Roman" w:hAnsi="Times New Roman" w:eastAsia="方正仿宋_GBK" w:cs="Times New Roman"/>
          <w:color w:val="333333"/>
          <w:sz w:val="32"/>
          <w:szCs w:val="32"/>
          <w:lang w:val="en-US" w:eastAsia="zh-CN"/>
        </w:rPr>
        <w:t>24.28</w:t>
      </w:r>
      <w:r>
        <w:rPr>
          <w:rFonts w:hint="default" w:ascii="Times New Roman" w:hAnsi="Times New Roman" w:eastAsia="方正仿宋_GBK" w:cs="Times New Roman"/>
          <w:color w:val="333333"/>
          <w:sz w:val="32"/>
          <w:szCs w:val="32"/>
        </w:rPr>
        <w:t>万元，较上年决算数减少</w:t>
      </w:r>
      <w:r>
        <w:rPr>
          <w:rFonts w:hint="default" w:ascii="Times New Roman" w:hAnsi="Times New Roman" w:eastAsia="方正仿宋_GBK" w:cs="Times New Roman"/>
          <w:color w:val="333333"/>
          <w:sz w:val="32"/>
          <w:szCs w:val="32"/>
          <w:lang w:val="en-US" w:eastAsia="zh-CN"/>
        </w:rPr>
        <w:t>55.87</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eastAsia="zh-CN"/>
        </w:rPr>
        <w:t>下降</w:t>
      </w:r>
      <w:r>
        <w:rPr>
          <w:rFonts w:hint="default" w:ascii="Times New Roman" w:hAnsi="Times New Roman" w:eastAsia="方正仿宋_GBK" w:cs="Times New Roman"/>
          <w:color w:val="333333"/>
          <w:sz w:val="32"/>
          <w:szCs w:val="32"/>
          <w:lang w:val="en-US" w:eastAsia="zh-CN"/>
        </w:rPr>
        <w:t>69.71</w:t>
      </w:r>
      <w:r>
        <w:rPr>
          <w:rFonts w:hint="default" w:ascii="Times New Roman" w:hAnsi="Times New Roman" w:eastAsia="方正仿宋_GBK" w:cs="Times New Roman"/>
          <w:color w:val="333333"/>
          <w:sz w:val="32"/>
          <w:szCs w:val="32"/>
        </w:rPr>
        <w:t>%，主要原因是预算</w:t>
      </w:r>
      <w:r>
        <w:rPr>
          <w:rFonts w:hint="default" w:ascii="Times New Roman" w:hAnsi="Times New Roman" w:eastAsia="方正仿宋_GBK" w:cs="Times New Roman"/>
          <w:color w:val="333333"/>
          <w:sz w:val="32"/>
          <w:szCs w:val="32"/>
          <w:lang w:eastAsia="zh-CN"/>
        </w:rPr>
        <w:t>开支减少</w:t>
      </w:r>
      <w:r>
        <w:rPr>
          <w:rFonts w:hint="default" w:ascii="Times New Roman" w:hAnsi="Times New Roman" w:eastAsia="方正仿宋_GBK" w:cs="Times New Roman"/>
          <w:color w:val="333333"/>
          <w:sz w:val="32"/>
          <w:szCs w:val="32"/>
        </w:rPr>
        <w:t>。公用经费用途主要包括办公费、差旅费、印刷费、公车运行等费用。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8"/>
          <w:rFonts w:hint="eastAsia" w:ascii="方正楷体_GBK" w:hAnsi="方正楷体_GBK" w:eastAsia="方正楷体_GBK" w:cs="方正楷体_GBK"/>
          <w:b w:val="0"/>
          <w:bCs/>
          <w:sz w:val="32"/>
          <w:szCs w:val="32"/>
        </w:rPr>
      </w:pPr>
      <w:r>
        <w:rPr>
          <w:rStyle w:val="8"/>
          <w:rFonts w:hint="default" w:ascii="Times New Roman" w:hAnsi="Times New Roman" w:eastAsia="方正仿宋_GBK" w:cs="Times New Roman"/>
          <w:bCs w:val="0"/>
          <w:sz w:val="32"/>
          <w:szCs w:val="32"/>
        </w:rPr>
        <w:t xml:space="preserve">  </w:t>
      </w:r>
      <w:r>
        <w:rPr>
          <w:rStyle w:val="8"/>
          <w:rFonts w:hint="eastAsia" w:ascii="方正楷体_GBK" w:hAnsi="方正楷体_GBK" w:eastAsia="方正楷体_GBK" w:cs="方正楷体_GBK"/>
          <w:b w:val="0"/>
          <w:bCs/>
          <w:sz w:val="32"/>
          <w:szCs w:val="32"/>
        </w:rPr>
        <w:t xml:space="preserve"> （五）政府性基金预算收支决算情况说明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年度政府性基金预算财政拨款</w:t>
      </w:r>
      <w:r>
        <w:rPr>
          <w:rFonts w:hint="default" w:ascii="Times New Roman" w:hAnsi="Times New Roman" w:eastAsia="方正仿宋_GBK" w:cs="Times New Roman"/>
          <w:color w:val="333333"/>
          <w:sz w:val="32"/>
          <w:szCs w:val="32"/>
          <w:lang w:val="en-US" w:eastAsia="zh-CN"/>
        </w:rPr>
        <w:t>86.02</w:t>
      </w:r>
      <w:r>
        <w:rPr>
          <w:rFonts w:hint="default" w:ascii="Times New Roman" w:hAnsi="Times New Roman" w:eastAsia="方正仿宋_GBK" w:cs="Times New Roman"/>
          <w:color w:val="333333"/>
          <w:sz w:val="32"/>
          <w:szCs w:val="32"/>
        </w:rPr>
        <w:t>万元，年末结转结余0.00万元。本年收入</w:t>
      </w:r>
      <w:r>
        <w:rPr>
          <w:rFonts w:hint="default" w:ascii="Times New Roman" w:hAnsi="Times New Roman" w:eastAsia="方正仿宋_GBK" w:cs="Times New Roman"/>
          <w:color w:val="333333"/>
          <w:sz w:val="32"/>
          <w:szCs w:val="32"/>
          <w:lang w:val="en-US" w:eastAsia="zh-CN"/>
        </w:rPr>
        <w:t>86.02</w:t>
      </w:r>
      <w:r>
        <w:rPr>
          <w:rFonts w:hint="default" w:ascii="Times New Roman" w:hAnsi="Times New Roman" w:eastAsia="方正仿宋_GBK" w:cs="Times New Roman"/>
          <w:color w:val="333333"/>
          <w:sz w:val="32"/>
          <w:szCs w:val="32"/>
        </w:rPr>
        <w:t>万元，较上年决算数减少</w:t>
      </w:r>
      <w:r>
        <w:rPr>
          <w:rFonts w:hint="default" w:ascii="Times New Roman" w:hAnsi="Times New Roman" w:eastAsia="方正仿宋_GBK" w:cs="Times New Roman"/>
          <w:color w:val="333333"/>
          <w:sz w:val="32"/>
          <w:szCs w:val="32"/>
          <w:lang w:val="en-US" w:eastAsia="zh-CN"/>
        </w:rPr>
        <w:t>56.98</w:t>
      </w:r>
      <w:r>
        <w:rPr>
          <w:rFonts w:hint="default" w:ascii="Times New Roman" w:hAnsi="Times New Roman" w:eastAsia="方正仿宋_GBK" w:cs="Times New Roman"/>
          <w:color w:val="333333"/>
          <w:sz w:val="32"/>
          <w:szCs w:val="32"/>
        </w:rPr>
        <w:t>万元，下降3</w:t>
      </w:r>
      <w:r>
        <w:rPr>
          <w:rFonts w:hint="default" w:ascii="Times New Roman" w:hAnsi="Times New Roman" w:eastAsia="方正仿宋_GBK" w:cs="Times New Roman"/>
          <w:color w:val="333333"/>
          <w:sz w:val="32"/>
          <w:szCs w:val="32"/>
          <w:lang w:val="en-US" w:eastAsia="zh-CN"/>
        </w:rPr>
        <w:t>9.85</w:t>
      </w:r>
      <w:r>
        <w:rPr>
          <w:rFonts w:hint="default" w:ascii="Times New Roman" w:hAnsi="Times New Roman" w:eastAsia="方正仿宋_GBK" w:cs="Times New Roman"/>
          <w:color w:val="333333"/>
          <w:sz w:val="32"/>
          <w:szCs w:val="32"/>
        </w:rPr>
        <w:t>%。本年支出</w:t>
      </w:r>
      <w:r>
        <w:rPr>
          <w:rFonts w:hint="default" w:ascii="Times New Roman" w:hAnsi="Times New Roman" w:eastAsia="方正仿宋_GBK" w:cs="Times New Roman"/>
          <w:color w:val="333333"/>
          <w:sz w:val="32"/>
          <w:szCs w:val="32"/>
          <w:lang w:val="en-US" w:eastAsia="zh-CN"/>
        </w:rPr>
        <w:t>86.02</w:t>
      </w:r>
      <w:r>
        <w:rPr>
          <w:rFonts w:hint="default" w:ascii="Times New Roman" w:hAnsi="Times New Roman" w:eastAsia="方正仿宋_GBK" w:cs="Times New Roman"/>
          <w:color w:val="333333"/>
          <w:sz w:val="32"/>
          <w:szCs w:val="32"/>
        </w:rPr>
        <w:t>万元，较上年决算数减少</w:t>
      </w:r>
      <w:r>
        <w:rPr>
          <w:rFonts w:hint="default" w:ascii="Times New Roman" w:hAnsi="Times New Roman" w:eastAsia="方正仿宋_GBK" w:cs="Times New Roman"/>
          <w:color w:val="333333"/>
          <w:sz w:val="32"/>
          <w:szCs w:val="32"/>
          <w:lang w:val="en-US" w:eastAsia="zh-CN"/>
        </w:rPr>
        <w:t>89.98</w:t>
      </w:r>
      <w:r>
        <w:rPr>
          <w:rFonts w:hint="default" w:ascii="Times New Roman" w:hAnsi="Times New Roman" w:eastAsia="方正仿宋_GBK" w:cs="Times New Roman"/>
          <w:color w:val="333333"/>
          <w:sz w:val="32"/>
          <w:szCs w:val="32"/>
        </w:rPr>
        <w:t>万元，下降</w:t>
      </w:r>
      <w:r>
        <w:rPr>
          <w:rFonts w:hint="default" w:ascii="Times New Roman" w:hAnsi="Times New Roman" w:eastAsia="方正仿宋_GBK" w:cs="Times New Roman"/>
          <w:color w:val="333333"/>
          <w:sz w:val="32"/>
          <w:szCs w:val="32"/>
          <w:lang w:val="en-US" w:eastAsia="zh-CN"/>
        </w:rPr>
        <w:t>51.13</w:t>
      </w:r>
      <w:r>
        <w:rPr>
          <w:rFonts w:hint="default" w:ascii="Times New Roman" w:hAnsi="Times New Roman" w:eastAsia="方正仿宋_GBK" w:cs="Times New Roman"/>
          <w:color w:val="333333"/>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方正黑体_GBK" w:hAnsi="方正黑体_GBK" w:eastAsia="方正黑体_GBK" w:cs="方正黑体_GBK"/>
          <w:b w:val="0"/>
          <w:bCs w:val="0"/>
          <w:color w:val="333333"/>
          <w:sz w:val="32"/>
          <w:szCs w:val="32"/>
        </w:rPr>
      </w:pPr>
      <w:r>
        <w:rPr>
          <w:rFonts w:hint="eastAsia" w:ascii="方正黑体_GBK" w:hAnsi="方正黑体_GBK" w:eastAsia="方正黑体_GBK" w:cs="方正黑体_GBK"/>
          <w:b w:val="0"/>
          <w:bCs w:val="0"/>
          <w:color w:val="333333"/>
          <w:sz w:val="32"/>
          <w:szCs w:val="32"/>
        </w:rPr>
        <w:t>三、“三公”经费情况说明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99" w:firstLineChars="156"/>
        <w:textAlignment w:val="auto"/>
        <w:rPr>
          <w:rFonts w:hint="eastAsia" w:ascii="方正楷体_GBK" w:hAnsi="方正楷体_GBK" w:eastAsia="方正楷体_GBK" w:cs="方正楷体_GBK"/>
          <w:b w:val="0"/>
          <w:bCs w:val="0"/>
          <w:color w:val="333333"/>
          <w:sz w:val="32"/>
          <w:szCs w:val="32"/>
        </w:rPr>
      </w:pPr>
      <w:r>
        <w:rPr>
          <w:rFonts w:hint="eastAsia" w:ascii="方正楷体_GBK" w:hAnsi="方正楷体_GBK" w:eastAsia="方正楷体_GBK" w:cs="方正楷体_GBK"/>
          <w:b w:val="0"/>
          <w:bCs w:val="0"/>
          <w:color w:val="333333"/>
          <w:sz w:val="32"/>
          <w:szCs w:val="32"/>
        </w:rPr>
        <w:t>（一）“三公”经费支出总体情况说明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年度“三公”经费支出共计</w:t>
      </w:r>
      <w:r>
        <w:rPr>
          <w:rFonts w:hint="default" w:ascii="Times New Roman" w:hAnsi="Times New Roman" w:eastAsia="方正仿宋_GBK" w:cs="Times New Roman"/>
          <w:color w:val="333333"/>
          <w:sz w:val="32"/>
          <w:szCs w:val="32"/>
          <w:lang w:val="en-US" w:eastAsia="zh-CN"/>
        </w:rPr>
        <w:t>3.46</w:t>
      </w:r>
      <w:r>
        <w:rPr>
          <w:rFonts w:hint="default" w:ascii="Times New Roman" w:hAnsi="Times New Roman" w:eastAsia="方正仿宋_GBK" w:cs="Times New Roman"/>
          <w:color w:val="333333"/>
          <w:sz w:val="32"/>
          <w:szCs w:val="32"/>
        </w:rPr>
        <w:t>万元，较年初预算数减少</w:t>
      </w:r>
      <w:r>
        <w:rPr>
          <w:rFonts w:hint="default" w:ascii="Times New Roman" w:hAnsi="Times New Roman" w:eastAsia="方正仿宋_GBK" w:cs="Times New Roman"/>
          <w:color w:val="333333"/>
          <w:sz w:val="32"/>
          <w:szCs w:val="32"/>
          <w:lang w:val="en-US" w:eastAsia="zh-CN"/>
        </w:rPr>
        <w:t>1.34</w:t>
      </w:r>
      <w:r>
        <w:rPr>
          <w:rFonts w:hint="default" w:ascii="Times New Roman" w:hAnsi="Times New Roman" w:eastAsia="方正仿宋_GBK" w:cs="Times New Roman"/>
          <w:color w:val="333333"/>
          <w:sz w:val="32"/>
          <w:szCs w:val="32"/>
        </w:rPr>
        <w:t>万元，下降</w:t>
      </w:r>
      <w:r>
        <w:rPr>
          <w:rFonts w:hint="default" w:ascii="Times New Roman" w:hAnsi="Times New Roman" w:eastAsia="方正仿宋_GBK" w:cs="Times New Roman"/>
          <w:color w:val="333333"/>
          <w:sz w:val="32"/>
          <w:szCs w:val="32"/>
          <w:lang w:val="en-US" w:eastAsia="zh-CN"/>
        </w:rPr>
        <w:t>27.92</w:t>
      </w:r>
      <w:r>
        <w:rPr>
          <w:rFonts w:hint="default" w:ascii="Times New Roman" w:hAnsi="Times New Roman" w:eastAsia="方正仿宋_GBK" w:cs="Times New Roman"/>
          <w:color w:val="333333"/>
          <w:sz w:val="32"/>
          <w:szCs w:val="32"/>
        </w:rPr>
        <w:t>%，主要原因是控制公车运行及公务接待费用。较上年支出数减少</w:t>
      </w:r>
      <w:r>
        <w:rPr>
          <w:rFonts w:hint="default" w:ascii="Times New Roman" w:hAnsi="Times New Roman" w:eastAsia="方正仿宋_GBK" w:cs="Times New Roman"/>
          <w:color w:val="333333"/>
          <w:sz w:val="32"/>
          <w:szCs w:val="32"/>
          <w:lang w:val="en-US" w:eastAsia="zh-CN"/>
        </w:rPr>
        <w:t>1.88</w:t>
      </w:r>
      <w:r>
        <w:rPr>
          <w:rFonts w:hint="default" w:ascii="Times New Roman" w:hAnsi="Times New Roman" w:eastAsia="方正仿宋_GBK" w:cs="Times New Roman"/>
          <w:color w:val="333333"/>
          <w:sz w:val="32"/>
          <w:szCs w:val="32"/>
        </w:rPr>
        <w:t>万元，下降</w:t>
      </w:r>
      <w:r>
        <w:rPr>
          <w:rFonts w:hint="default" w:ascii="Times New Roman" w:hAnsi="Times New Roman" w:eastAsia="方正仿宋_GBK" w:cs="Times New Roman"/>
          <w:color w:val="333333"/>
          <w:sz w:val="32"/>
          <w:szCs w:val="32"/>
          <w:lang w:val="en-US" w:eastAsia="zh-CN"/>
        </w:rPr>
        <w:t>35.21</w:t>
      </w:r>
      <w:r>
        <w:rPr>
          <w:rFonts w:hint="default" w:ascii="Times New Roman" w:hAnsi="Times New Roman" w:eastAsia="方正仿宋_GBK" w:cs="Times New Roman"/>
          <w:color w:val="333333"/>
          <w:sz w:val="32"/>
          <w:szCs w:val="32"/>
        </w:rPr>
        <w:t>%，主要原因是脱贫攻坚战、助残扶贫等公车运行费用</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rPr>
        <w:t>、残疾人培训接待和监督检查接待费用</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99" w:firstLineChars="156"/>
        <w:textAlignment w:val="auto"/>
        <w:rPr>
          <w:rFonts w:hint="eastAsia" w:ascii="方正楷体_GBK" w:hAnsi="方正楷体_GBK" w:eastAsia="方正楷体_GBK" w:cs="方正楷体_GBK"/>
          <w:b w:val="0"/>
          <w:bCs w:val="0"/>
          <w:color w:val="333333"/>
          <w:sz w:val="32"/>
          <w:szCs w:val="32"/>
        </w:rPr>
      </w:pPr>
      <w:r>
        <w:rPr>
          <w:rFonts w:hint="eastAsia" w:ascii="方正楷体_GBK" w:hAnsi="方正楷体_GBK" w:eastAsia="方正楷体_GBK" w:cs="方正楷体_GBK"/>
          <w:b w:val="0"/>
          <w:bCs w:val="0"/>
          <w:color w:val="333333"/>
          <w:sz w:val="32"/>
          <w:szCs w:val="32"/>
        </w:rPr>
        <w:t>（二）“三公”经费分项支出情况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2019年度本部门因公出国（境）费用0.00万元，费用支出较年初预算数增加0.00万元，增长0.00%。较上年支出数增加0.00万元，增长0.00%，主要是用于进一步规范因公出国（境）活动，今年未安排人员出国出访。</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公务车购置费0.00万元。费用支出较年初预算数增加0.00万元，增长0.00%，较上年支出数增加0.00万元，增长0.00%，主要原因是当年没有核批公务用车购置指标。</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公务车运行维护费</w:t>
      </w:r>
      <w:r>
        <w:rPr>
          <w:rFonts w:hint="default" w:ascii="Times New Roman" w:hAnsi="Times New Roman" w:eastAsia="方正仿宋_GBK" w:cs="Times New Roman"/>
          <w:color w:val="333333"/>
          <w:sz w:val="32"/>
          <w:szCs w:val="32"/>
          <w:lang w:val="en-US" w:eastAsia="zh-CN"/>
        </w:rPr>
        <w:t>2.68</w:t>
      </w:r>
      <w:r>
        <w:rPr>
          <w:rFonts w:hint="default" w:ascii="Times New Roman" w:hAnsi="Times New Roman" w:eastAsia="方正仿宋_GBK" w:cs="Times New Roman"/>
          <w:color w:val="333333"/>
          <w:sz w:val="32"/>
          <w:szCs w:val="32"/>
        </w:rPr>
        <w:t>万元，主要用于脱贫攻坚、助残康复、各种助残培训、业务检查等工作所需车辆的燃料费、维修费、过桥过路费、保险费等。费用支出较年初预算数减少0.</w:t>
      </w:r>
      <w:r>
        <w:rPr>
          <w:rFonts w:hint="default" w:ascii="Times New Roman" w:hAnsi="Times New Roman" w:eastAsia="方正仿宋_GBK" w:cs="Times New Roman"/>
          <w:color w:val="333333"/>
          <w:sz w:val="32"/>
          <w:szCs w:val="32"/>
          <w:lang w:val="en-US" w:eastAsia="zh-CN"/>
        </w:rPr>
        <w:t>32</w:t>
      </w:r>
      <w:r>
        <w:rPr>
          <w:rFonts w:hint="default" w:ascii="Times New Roman" w:hAnsi="Times New Roman" w:eastAsia="方正仿宋_GBK" w:cs="Times New Roman"/>
          <w:color w:val="333333"/>
          <w:sz w:val="32"/>
          <w:szCs w:val="32"/>
        </w:rPr>
        <w:t>万元，下降</w:t>
      </w:r>
      <w:r>
        <w:rPr>
          <w:rFonts w:hint="default" w:ascii="Times New Roman" w:hAnsi="Times New Roman" w:eastAsia="方正仿宋_GBK" w:cs="Times New Roman"/>
          <w:color w:val="333333"/>
          <w:sz w:val="32"/>
          <w:szCs w:val="32"/>
          <w:lang w:val="en-US" w:eastAsia="zh-CN"/>
        </w:rPr>
        <w:t>5</w:t>
      </w:r>
      <w:r>
        <w:rPr>
          <w:rFonts w:hint="default" w:ascii="Times New Roman" w:hAnsi="Times New Roman" w:eastAsia="方正仿宋_GBK" w:cs="Times New Roman"/>
          <w:color w:val="333333"/>
          <w:sz w:val="32"/>
          <w:szCs w:val="32"/>
        </w:rPr>
        <w:t>.</w:t>
      </w:r>
      <w:r>
        <w:rPr>
          <w:rFonts w:hint="default" w:ascii="Times New Roman" w:hAnsi="Times New Roman" w:eastAsia="方正仿宋_GBK" w:cs="Times New Roman"/>
          <w:color w:val="333333"/>
          <w:sz w:val="32"/>
          <w:szCs w:val="32"/>
          <w:lang w:val="en-US" w:eastAsia="zh-CN"/>
        </w:rPr>
        <w:t>33</w:t>
      </w:r>
      <w:r>
        <w:rPr>
          <w:rFonts w:hint="default" w:ascii="Times New Roman" w:hAnsi="Times New Roman" w:eastAsia="方正仿宋_GBK" w:cs="Times New Roman"/>
          <w:color w:val="333333"/>
          <w:sz w:val="32"/>
          <w:szCs w:val="32"/>
        </w:rPr>
        <w:t>%，主要原因是严格落实公车使用规定。较上年支出数</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lang w:val="en-US" w:eastAsia="zh-CN"/>
        </w:rPr>
        <w:t>2.18</w:t>
      </w:r>
      <w:r>
        <w:rPr>
          <w:rFonts w:hint="default" w:ascii="Times New Roman" w:hAnsi="Times New Roman" w:eastAsia="方正仿宋_GBK" w:cs="Times New Roman"/>
          <w:color w:val="333333"/>
          <w:sz w:val="32"/>
          <w:szCs w:val="32"/>
        </w:rPr>
        <w:t>万元，</w:t>
      </w:r>
      <w:r>
        <w:rPr>
          <w:rFonts w:hint="default" w:ascii="Times New Roman" w:hAnsi="Times New Roman" w:eastAsia="方正仿宋_GBK" w:cs="Times New Roman"/>
          <w:color w:val="333333"/>
          <w:sz w:val="32"/>
          <w:szCs w:val="32"/>
          <w:lang w:eastAsia="zh-CN"/>
        </w:rPr>
        <w:t>下降</w:t>
      </w:r>
      <w:r>
        <w:rPr>
          <w:rFonts w:hint="default" w:ascii="Times New Roman" w:hAnsi="Times New Roman" w:eastAsia="方正仿宋_GBK" w:cs="Times New Roman"/>
          <w:color w:val="333333"/>
          <w:sz w:val="32"/>
          <w:szCs w:val="32"/>
          <w:lang w:val="en-US" w:eastAsia="zh-CN"/>
        </w:rPr>
        <w:t>44.86</w:t>
      </w:r>
      <w:r>
        <w:rPr>
          <w:rFonts w:hint="default" w:ascii="Times New Roman" w:hAnsi="Times New Roman" w:eastAsia="方正仿宋_GBK" w:cs="Times New Roman"/>
          <w:color w:val="333333"/>
          <w:sz w:val="32"/>
          <w:szCs w:val="32"/>
        </w:rPr>
        <w:t>%，主要原因是脱贫攻坚、助残康复工作量</w:t>
      </w:r>
      <w:r>
        <w:rPr>
          <w:rFonts w:hint="default" w:ascii="Times New Roman" w:hAnsi="Times New Roman" w:eastAsia="方正仿宋_GBK" w:cs="Times New Roman"/>
          <w:color w:val="333333"/>
          <w:sz w:val="32"/>
          <w:szCs w:val="32"/>
          <w:lang w:eastAsia="zh-CN"/>
        </w:rPr>
        <w:t>减少</w:t>
      </w:r>
      <w:r>
        <w:rPr>
          <w:rFonts w:hint="default" w:ascii="Times New Roman" w:hAnsi="Times New Roman" w:eastAsia="方正仿宋_GBK" w:cs="Times New Roman"/>
          <w:color w:val="333333"/>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公务接待费0.</w:t>
      </w:r>
      <w:r>
        <w:rPr>
          <w:rFonts w:hint="default" w:ascii="Times New Roman" w:hAnsi="Times New Roman" w:eastAsia="方正仿宋_GBK" w:cs="Times New Roman"/>
          <w:color w:val="333333"/>
          <w:sz w:val="32"/>
          <w:szCs w:val="32"/>
          <w:lang w:val="en-US" w:eastAsia="zh-CN"/>
        </w:rPr>
        <w:t>77</w:t>
      </w:r>
      <w:r>
        <w:rPr>
          <w:rFonts w:hint="default" w:ascii="Times New Roman" w:hAnsi="Times New Roman" w:eastAsia="方正仿宋_GBK" w:cs="Times New Roman"/>
          <w:color w:val="333333"/>
          <w:sz w:val="32"/>
          <w:szCs w:val="32"/>
        </w:rPr>
        <w:t>万元，主要用于接待上级相关部门检查指导工作发生的接待支出。费用支出较年初预算数减少</w:t>
      </w:r>
      <w:r>
        <w:rPr>
          <w:rFonts w:hint="default" w:ascii="Times New Roman" w:hAnsi="Times New Roman" w:eastAsia="方正仿宋_GBK" w:cs="Times New Roman"/>
          <w:color w:val="333333"/>
          <w:sz w:val="32"/>
          <w:szCs w:val="32"/>
          <w:lang w:val="en-US" w:eastAsia="zh-CN"/>
        </w:rPr>
        <w:t>1.03</w:t>
      </w:r>
      <w:r>
        <w:rPr>
          <w:rFonts w:hint="default" w:ascii="Times New Roman" w:hAnsi="Times New Roman" w:eastAsia="方正仿宋_GBK" w:cs="Times New Roman"/>
          <w:color w:val="333333"/>
          <w:sz w:val="32"/>
          <w:szCs w:val="32"/>
        </w:rPr>
        <w:t>万元，下降</w:t>
      </w:r>
      <w:r>
        <w:rPr>
          <w:rFonts w:hint="default" w:ascii="Times New Roman" w:hAnsi="Times New Roman" w:eastAsia="方正仿宋_GBK" w:cs="Times New Roman"/>
          <w:color w:val="333333"/>
          <w:sz w:val="32"/>
          <w:szCs w:val="32"/>
          <w:lang w:val="en-US" w:eastAsia="zh-CN"/>
        </w:rPr>
        <w:t>57.22</w:t>
      </w:r>
      <w:r>
        <w:rPr>
          <w:rFonts w:hint="default" w:ascii="Times New Roman" w:hAnsi="Times New Roman" w:eastAsia="方正仿宋_GBK" w:cs="Times New Roman"/>
          <w:color w:val="333333"/>
          <w:sz w:val="32"/>
          <w:szCs w:val="32"/>
        </w:rPr>
        <w:t>%，主要原因强化公务接待支出管理，严格遵守公务接待开支范围和开支标准，严格控制陪餐人数，对应由接待对象承担的费用一律由接待对象自行支付，公务接待费下降。</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99" w:firstLineChars="156"/>
        <w:textAlignment w:val="auto"/>
        <w:rPr>
          <w:rFonts w:hint="default" w:ascii="方正楷体_GBK" w:hAnsi="方正楷体_GBK" w:eastAsia="方正楷体_GBK" w:cs="方正楷体_GBK"/>
          <w:b w:val="0"/>
          <w:bCs w:val="0"/>
          <w:color w:val="333333"/>
          <w:sz w:val="32"/>
          <w:szCs w:val="32"/>
        </w:rPr>
      </w:pPr>
      <w:r>
        <w:rPr>
          <w:rFonts w:hint="eastAsia" w:ascii="方正楷体_GBK" w:hAnsi="方正楷体_GBK" w:eastAsia="方正楷体_GBK" w:cs="方正楷体_GBK"/>
          <w:b w:val="0"/>
          <w:bCs w:val="0"/>
          <w:color w:val="333333"/>
          <w:sz w:val="32"/>
          <w:szCs w:val="32"/>
        </w:rPr>
        <w:t>（三）“三公”经费实物量情况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年度本部门因公出国（境）共计0个团组，0人；公务用车购置0辆，公务车保有量为1辆；国内公务接待</w:t>
      </w:r>
      <w:r>
        <w:rPr>
          <w:rFonts w:hint="eastAsia" w:ascii="Times New Roman" w:hAnsi="Times New Roman" w:eastAsia="方正仿宋_GBK" w:cs="Times New Roman"/>
          <w:color w:val="333333"/>
          <w:sz w:val="32"/>
          <w:szCs w:val="32"/>
          <w:lang w:val="en-US" w:eastAsia="zh-CN"/>
        </w:rPr>
        <w:t>11</w:t>
      </w:r>
      <w:r>
        <w:rPr>
          <w:rFonts w:hint="default" w:ascii="Times New Roman" w:hAnsi="Times New Roman" w:eastAsia="方正仿宋_GBK" w:cs="Times New Roman"/>
          <w:color w:val="333333"/>
          <w:sz w:val="32"/>
          <w:szCs w:val="32"/>
        </w:rPr>
        <w:t>批次</w:t>
      </w:r>
      <w:r>
        <w:rPr>
          <w:rFonts w:hint="eastAsia" w:ascii="Times New Roman" w:hAnsi="Times New Roman" w:eastAsia="方正仿宋_GBK" w:cs="Times New Roman"/>
          <w:color w:val="333333"/>
          <w:sz w:val="32"/>
          <w:szCs w:val="32"/>
          <w:lang w:val="en-US" w:eastAsia="zh-CN"/>
        </w:rPr>
        <w:t>86</w:t>
      </w:r>
      <w:r>
        <w:rPr>
          <w:rFonts w:hint="default" w:ascii="Times New Roman" w:hAnsi="Times New Roman" w:eastAsia="方正仿宋_GBK" w:cs="Times New Roman"/>
          <w:color w:val="333333"/>
          <w:sz w:val="32"/>
          <w:szCs w:val="32"/>
        </w:rPr>
        <w:t>人，其中：国内外事接待0批次，0人；国（境）外公务接待0批次，0人。20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年本部门人均接待费</w:t>
      </w:r>
      <w:r>
        <w:rPr>
          <w:rFonts w:hint="eastAsia" w:ascii="Times New Roman" w:hAnsi="Times New Roman" w:eastAsia="方正仿宋_GBK" w:cs="Times New Roman"/>
          <w:color w:val="333333"/>
          <w:sz w:val="32"/>
          <w:szCs w:val="32"/>
          <w:lang w:val="en-US" w:eastAsia="zh-CN"/>
        </w:rPr>
        <w:t>89.53</w:t>
      </w:r>
      <w:r>
        <w:rPr>
          <w:rFonts w:hint="default" w:ascii="Times New Roman" w:hAnsi="Times New Roman" w:eastAsia="方正仿宋_GBK" w:cs="Times New Roman"/>
          <w:color w:val="333333"/>
          <w:sz w:val="32"/>
          <w:szCs w:val="32"/>
        </w:rPr>
        <w:t>元，车均购置费0.00万元，车均维护费</w:t>
      </w:r>
      <w:r>
        <w:rPr>
          <w:rFonts w:hint="default" w:ascii="Times New Roman" w:hAnsi="Times New Roman" w:eastAsia="方正仿宋_GBK" w:cs="Times New Roman"/>
          <w:color w:val="333333"/>
          <w:sz w:val="32"/>
          <w:szCs w:val="32"/>
          <w:lang w:val="en-US" w:eastAsia="zh-CN"/>
        </w:rPr>
        <w:t>2.68</w:t>
      </w:r>
      <w:r>
        <w:rPr>
          <w:rFonts w:hint="default" w:ascii="Times New Roman" w:hAnsi="Times New Roman" w:eastAsia="方正仿宋_GBK" w:cs="Times New Roman"/>
          <w:color w:val="333333"/>
          <w:sz w:val="32"/>
          <w:szCs w:val="32"/>
        </w:rPr>
        <w:t>万元。</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方正黑体_GBK" w:hAnsi="方正黑体_GBK" w:eastAsia="方正黑体_GBK" w:cs="方正黑体_GBK"/>
          <w:b w:val="0"/>
          <w:bCs w:val="0"/>
          <w:color w:val="333333"/>
          <w:sz w:val="32"/>
          <w:szCs w:val="32"/>
        </w:rPr>
      </w:pPr>
      <w:r>
        <w:rPr>
          <w:rFonts w:hint="eastAsia" w:ascii="方正黑体_GBK" w:hAnsi="方正黑体_GBK" w:eastAsia="方正黑体_GBK" w:cs="方正黑体_GBK"/>
          <w:b w:val="0"/>
          <w:bCs w:val="0"/>
          <w:color w:val="333333"/>
          <w:sz w:val="32"/>
          <w:szCs w:val="32"/>
        </w:rPr>
        <w:t>四、其他需要说明的事项</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37" w:firstLineChars="168"/>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b w:val="0"/>
          <w:bCs w:val="0"/>
          <w:color w:val="333333"/>
          <w:sz w:val="32"/>
          <w:szCs w:val="32"/>
        </w:rPr>
        <w:t>（一）机关运行经费情况说明。</w:t>
      </w:r>
      <w:r>
        <w:rPr>
          <w:rFonts w:hint="default" w:ascii="Times New Roman" w:hAnsi="Times New Roman" w:eastAsia="方正仿宋_GBK" w:cs="Times New Roman"/>
          <w:color w:val="333333"/>
          <w:sz w:val="32"/>
          <w:szCs w:val="32"/>
        </w:rPr>
        <w:t>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年度本部门机关运行经费支出</w:t>
      </w:r>
      <w:r>
        <w:rPr>
          <w:rFonts w:hint="default" w:ascii="Times New Roman" w:hAnsi="Times New Roman" w:eastAsia="方正仿宋_GBK" w:cs="Times New Roman"/>
          <w:color w:val="333333"/>
          <w:sz w:val="32"/>
          <w:szCs w:val="32"/>
          <w:lang w:val="en-US" w:eastAsia="zh-CN"/>
        </w:rPr>
        <w:t>24.28</w:t>
      </w:r>
      <w:r>
        <w:rPr>
          <w:rFonts w:hint="default" w:ascii="Times New Roman" w:hAnsi="Times New Roman" w:eastAsia="方正仿宋_GBK" w:cs="Times New Roman"/>
          <w:color w:val="333333"/>
          <w:sz w:val="32"/>
          <w:szCs w:val="32"/>
        </w:rPr>
        <w:t>万元，机关运行经费主要用于主要用于办公费、公务车运行维护费、信息网络、办公社保购置更新费。机关运行经费较上年决算数</w:t>
      </w:r>
      <w:r>
        <w:rPr>
          <w:rFonts w:hint="eastAsia" w:ascii="Times New Roman" w:hAnsi="Times New Roman" w:eastAsia="方正仿宋_GBK" w:cs="Times New Roman"/>
          <w:color w:val="333333"/>
          <w:sz w:val="32"/>
          <w:szCs w:val="32"/>
          <w:lang w:eastAsia="zh-CN"/>
        </w:rPr>
        <w:t>减少</w:t>
      </w:r>
      <w:r>
        <w:rPr>
          <w:rFonts w:hint="eastAsia" w:ascii="Times New Roman" w:hAnsi="Times New Roman" w:eastAsia="方正仿宋_GBK" w:cs="Times New Roman"/>
          <w:color w:val="333333"/>
          <w:sz w:val="32"/>
          <w:szCs w:val="32"/>
          <w:lang w:val="en-US" w:eastAsia="zh-CN"/>
        </w:rPr>
        <w:t>55.87</w:t>
      </w:r>
      <w:r>
        <w:rPr>
          <w:rFonts w:hint="default" w:ascii="Times New Roman" w:hAnsi="Times New Roman" w:eastAsia="方正仿宋_GBK" w:cs="Times New Roman"/>
          <w:color w:val="333333"/>
          <w:sz w:val="32"/>
          <w:szCs w:val="32"/>
        </w:rPr>
        <w:t>万元，</w:t>
      </w:r>
      <w:r>
        <w:rPr>
          <w:rFonts w:hint="eastAsia" w:ascii="Times New Roman" w:hAnsi="Times New Roman" w:eastAsia="方正仿宋_GBK" w:cs="Times New Roman"/>
          <w:color w:val="333333"/>
          <w:sz w:val="32"/>
          <w:szCs w:val="32"/>
          <w:lang w:eastAsia="zh-CN"/>
        </w:rPr>
        <w:t>下降</w:t>
      </w:r>
      <w:r>
        <w:rPr>
          <w:rFonts w:hint="eastAsia" w:ascii="Times New Roman" w:hAnsi="Times New Roman" w:eastAsia="方正仿宋_GBK" w:cs="Times New Roman"/>
          <w:color w:val="333333"/>
          <w:sz w:val="32"/>
          <w:szCs w:val="32"/>
          <w:lang w:val="en-US" w:eastAsia="zh-CN"/>
        </w:rPr>
        <w:t>69.71</w:t>
      </w:r>
      <w:r>
        <w:rPr>
          <w:rFonts w:hint="default" w:ascii="Times New Roman" w:hAnsi="Times New Roman" w:eastAsia="方正仿宋_GBK" w:cs="Times New Roman"/>
          <w:color w:val="333333"/>
          <w:sz w:val="32"/>
          <w:szCs w:val="32"/>
        </w:rPr>
        <w:t>%，主要原因是</w:t>
      </w:r>
      <w:r>
        <w:rPr>
          <w:rFonts w:hint="eastAsia" w:ascii="Times New Roman" w:hAnsi="Times New Roman" w:eastAsia="方正仿宋_GBK" w:cs="Times New Roman"/>
          <w:color w:val="333333"/>
          <w:sz w:val="32"/>
          <w:szCs w:val="32"/>
          <w:lang w:eastAsia="zh-CN"/>
        </w:rPr>
        <w:t>机关厉行节约开支及与去年决算数相比</w:t>
      </w:r>
      <w:r>
        <w:rPr>
          <w:rFonts w:hint="eastAsia" w:ascii="Times New Roman" w:hAnsi="Times New Roman" w:eastAsia="方正仿宋_GBK" w:cs="Times New Roman"/>
          <w:color w:val="333333"/>
          <w:sz w:val="32"/>
          <w:szCs w:val="32"/>
          <w:lang w:val="en-US" w:eastAsia="zh-CN"/>
        </w:rPr>
        <w:t>2020年</w:t>
      </w:r>
      <w:r>
        <w:rPr>
          <w:rFonts w:ascii="仿宋" w:hAnsi="仿宋" w:eastAsia="仿宋"/>
          <w:color w:val="333333"/>
          <w:sz w:val="32"/>
          <w:szCs w:val="32"/>
        </w:rPr>
        <w:t>人员工资</w:t>
      </w:r>
      <w:r>
        <w:rPr>
          <w:rFonts w:hint="eastAsia" w:ascii="仿宋" w:hAnsi="仿宋" w:eastAsia="仿宋"/>
          <w:color w:val="333333"/>
          <w:sz w:val="32"/>
          <w:szCs w:val="32"/>
          <w:lang w:eastAsia="zh-CN"/>
        </w:rPr>
        <w:t>无</w:t>
      </w:r>
      <w:r>
        <w:rPr>
          <w:rFonts w:ascii="仿宋" w:hAnsi="仿宋" w:eastAsia="仿宋"/>
          <w:color w:val="333333"/>
          <w:sz w:val="32"/>
          <w:szCs w:val="32"/>
        </w:rPr>
        <w:t>晋级</w:t>
      </w:r>
      <w:r>
        <w:rPr>
          <w:rFonts w:hint="eastAsia" w:ascii="仿宋" w:hAnsi="仿宋" w:eastAsia="仿宋"/>
          <w:color w:val="333333"/>
          <w:sz w:val="32"/>
          <w:szCs w:val="32"/>
          <w:lang w:eastAsia="zh-CN"/>
        </w:rPr>
        <w:t>事项</w:t>
      </w:r>
      <w:r>
        <w:rPr>
          <w:rFonts w:hint="default" w:ascii="Times New Roman" w:hAnsi="Times New Roman" w:eastAsia="方正仿宋_GBK" w:cs="Times New Roman"/>
          <w:color w:val="333333"/>
          <w:sz w:val="32"/>
          <w:szCs w:val="32"/>
        </w:rPr>
        <w:t>等原因。</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此外，本年度一</w:t>
      </w:r>
      <w:bookmarkStart w:id="0" w:name="_GoBack"/>
      <w:bookmarkEnd w:id="0"/>
      <w:r>
        <w:rPr>
          <w:rFonts w:hint="default" w:ascii="Times New Roman" w:hAnsi="Times New Roman" w:eastAsia="方正仿宋_GBK" w:cs="Times New Roman"/>
          <w:color w:val="333333"/>
          <w:sz w:val="32"/>
          <w:szCs w:val="32"/>
        </w:rPr>
        <w:t>般公共预算财政拨款会议费支出</w:t>
      </w:r>
      <w:r>
        <w:rPr>
          <w:rFonts w:hint="eastAsia" w:ascii="Times New Roman" w:hAnsi="Times New Roman" w:eastAsia="方正仿宋_GBK" w:cs="Times New Roman"/>
          <w:color w:val="333333"/>
          <w:sz w:val="32"/>
          <w:szCs w:val="32"/>
          <w:lang w:val="en-US" w:eastAsia="zh-CN"/>
        </w:rPr>
        <w:t>0.4</w:t>
      </w:r>
      <w:r>
        <w:rPr>
          <w:rFonts w:hint="default" w:ascii="Times New Roman" w:hAnsi="Times New Roman" w:eastAsia="方正仿宋_GBK" w:cs="Times New Roman"/>
          <w:color w:val="333333"/>
          <w:sz w:val="32"/>
          <w:szCs w:val="32"/>
        </w:rPr>
        <w:t>万元，较上年决算数减少</w:t>
      </w:r>
      <w:r>
        <w:rPr>
          <w:rFonts w:hint="eastAsia" w:ascii="Times New Roman" w:hAnsi="Times New Roman" w:eastAsia="方正仿宋_GBK" w:cs="Times New Roman"/>
          <w:color w:val="333333"/>
          <w:sz w:val="32"/>
          <w:szCs w:val="32"/>
          <w:lang w:val="en-US" w:eastAsia="zh-CN"/>
        </w:rPr>
        <w:t>3.21</w:t>
      </w:r>
      <w:r>
        <w:rPr>
          <w:rFonts w:hint="default" w:ascii="Times New Roman" w:hAnsi="Times New Roman" w:eastAsia="方正仿宋_GBK" w:cs="Times New Roman"/>
          <w:color w:val="333333"/>
          <w:sz w:val="32"/>
          <w:szCs w:val="32"/>
        </w:rPr>
        <w:t>万元，下降</w:t>
      </w:r>
      <w:r>
        <w:rPr>
          <w:rFonts w:hint="eastAsia" w:ascii="Times New Roman" w:hAnsi="Times New Roman" w:eastAsia="方正仿宋_GBK" w:cs="Times New Roman"/>
          <w:color w:val="333333"/>
          <w:sz w:val="32"/>
          <w:szCs w:val="32"/>
          <w:lang w:val="en-US" w:eastAsia="zh-CN"/>
        </w:rPr>
        <w:t>88</w:t>
      </w:r>
      <w:r>
        <w:rPr>
          <w:rFonts w:hint="default" w:ascii="Times New Roman" w:hAnsi="Times New Roman" w:eastAsia="方正仿宋_GBK" w:cs="Times New Roman"/>
          <w:color w:val="333333"/>
          <w:sz w:val="32"/>
          <w:szCs w:val="32"/>
        </w:rPr>
        <w:t>%，主要原因是主要原因压缩会议次数、简化会议程序、采取视频会议模式。</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150"/>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b w:val="0"/>
          <w:bCs w:val="0"/>
          <w:color w:val="333333"/>
          <w:sz w:val="32"/>
          <w:szCs w:val="32"/>
        </w:rPr>
        <w:t>（二）国有资产占用情况说明。</w:t>
      </w:r>
      <w:r>
        <w:rPr>
          <w:rFonts w:hint="default" w:ascii="Times New Roman" w:hAnsi="Times New Roman" w:eastAsia="方正仿宋_GBK" w:cs="Times New Roman"/>
          <w:color w:val="333333"/>
          <w:sz w:val="32"/>
          <w:szCs w:val="32"/>
        </w:rPr>
        <w:t>截至20</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年12月31日，本部门共有车辆1辆，其中应急保障用车1辆。单价50万元（含）以上通用设备0台（套），单价100万元（含）以上专用设备0台（套）。</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59" w:firstLineChars="206"/>
        <w:textAlignment w:val="auto"/>
        <w:rPr>
          <w:rFonts w:hint="eastAsia" w:ascii="方正黑体_GBK" w:hAnsi="方正黑体_GBK" w:eastAsia="方正黑体_GBK" w:cs="方正黑体_GBK"/>
          <w:b w:val="0"/>
          <w:bCs/>
          <w:color w:val="333333"/>
          <w:sz w:val="32"/>
          <w:szCs w:val="32"/>
        </w:rPr>
      </w:pPr>
      <w:r>
        <w:rPr>
          <w:rFonts w:hint="eastAsia" w:ascii="方正黑体_GBK" w:hAnsi="方正黑体_GBK" w:eastAsia="方正黑体_GBK" w:cs="方正黑体_GBK"/>
          <w:b w:val="0"/>
          <w:bCs/>
          <w:color w:val="333333"/>
          <w:sz w:val="32"/>
          <w:szCs w:val="32"/>
        </w:rPr>
        <w:t>五、预算绩效管理情况说明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18" w:firstLineChars="162"/>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b w:val="0"/>
          <w:bCs w:val="0"/>
          <w:color w:val="333333"/>
          <w:sz w:val="32"/>
          <w:szCs w:val="32"/>
        </w:rPr>
        <w:t>（一）预算绩效管理工作开展情况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根据预算绩效管理要求，本部门对</w:t>
      </w:r>
      <w:r>
        <w:rPr>
          <w:rFonts w:hint="default" w:ascii="Times New Roman" w:hAnsi="Times New Roman" w:eastAsia="方正仿宋_GBK" w:cs="Times New Roman"/>
          <w:color w:val="333333"/>
          <w:sz w:val="32"/>
          <w:szCs w:val="32"/>
          <w:lang w:val="en-US" w:eastAsia="zh-CN"/>
        </w:rPr>
        <w:t>8</w:t>
      </w:r>
      <w:r>
        <w:rPr>
          <w:rFonts w:hint="default" w:ascii="Times New Roman" w:hAnsi="Times New Roman" w:eastAsia="方正仿宋_GBK" w:cs="Times New Roman"/>
          <w:color w:val="333333"/>
          <w:sz w:val="32"/>
          <w:szCs w:val="32"/>
        </w:rPr>
        <w:t>个项目开展了绩效自评，其中，以填报目标自评表形式开展自评</w:t>
      </w:r>
      <w:r>
        <w:rPr>
          <w:rFonts w:hint="default" w:ascii="Times New Roman" w:hAnsi="Times New Roman" w:eastAsia="方正仿宋_GBK" w:cs="Times New Roman"/>
          <w:color w:val="333333"/>
          <w:sz w:val="32"/>
          <w:szCs w:val="32"/>
          <w:lang w:val="en-US" w:eastAsia="zh-CN"/>
        </w:rPr>
        <w:t>8</w:t>
      </w:r>
      <w:r>
        <w:rPr>
          <w:rFonts w:hint="default" w:ascii="Times New Roman" w:hAnsi="Times New Roman" w:eastAsia="方正仿宋_GBK" w:cs="Times New Roman"/>
          <w:color w:val="333333"/>
          <w:sz w:val="32"/>
          <w:szCs w:val="32"/>
        </w:rPr>
        <w:t>项，涉及资金</w:t>
      </w:r>
      <w:r>
        <w:rPr>
          <w:rFonts w:hint="default" w:ascii="Times New Roman" w:hAnsi="Times New Roman" w:eastAsia="方正仿宋_GBK" w:cs="Times New Roman"/>
          <w:sz w:val="32"/>
          <w:szCs w:val="32"/>
          <w:lang w:val="en-US" w:eastAsia="zh-CN"/>
        </w:rPr>
        <w:t>1466.13</w:t>
      </w:r>
      <w:r>
        <w:rPr>
          <w:rFonts w:hint="default" w:ascii="Times New Roman" w:hAnsi="Times New Roman" w:eastAsia="方正仿宋_GBK" w:cs="Times New Roman"/>
          <w:color w:val="333333"/>
          <w:sz w:val="32"/>
          <w:szCs w:val="32"/>
        </w:rPr>
        <w:t>万元，从评价情况来看，项目资金使用合理，做到专款专用，各项评价指标完成效果很好，实际完成值与年度指标值一致，得分均在90分以上。</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341" w:firstLineChars="106"/>
        <w:textAlignment w:val="auto"/>
        <w:rPr>
          <w:rStyle w:val="8"/>
          <w:rFonts w:hint="eastAsia"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sz w:val="32"/>
          <w:szCs w:val="32"/>
        </w:rPr>
        <w:t> </w:t>
      </w:r>
      <w:r>
        <w:rPr>
          <w:rStyle w:val="8"/>
          <w:rFonts w:hint="eastAsia" w:ascii="方正楷体_GBK" w:hAnsi="方正楷体_GBK" w:eastAsia="方正楷体_GBK" w:cs="方正楷体_GBK"/>
          <w:b w:val="0"/>
          <w:bCs w:val="0"/>
          <w:sz w:val="32"/>
          <w:szCs w:val="32"/>
          <w:lang w:val="en-US" w:eastAsia="zh-CN"/>
        </w:rPr>
        <w:t xml:space="preserve"> </w:t>
      </w:r>
      <w:r>
        <w:rPr>
          <w:rStyle w:val="8"/>
          <w:rFonts w:hint="eastAsia" w:ascii="方正楷体_GBK" w:hAnsi="方正楷体_GBK" w:eastAsia="方正楷体_GBK" w:cs="方正楷体_GBK"/>
          <w:b w:val="0"/>
          <w:bCs w:val="0"/>
          <w:sz w:val="32"/>
          <w:szCs w:val="32"/>
        </w:rPr>
        <w:t>（二）绩效自评结果（</w:t>
      </w:r>
      <w:r>
        <w:rPr>
          <w:rFonts w:hint="eastAsia" w:ascii="方正楷体_GBK" w:hAnsi="方正楷体_GBK" w:eastAsia="方正楷体_GBK" w:cs="方正楷体_GBK"/>
          <w:i w:val="0"/>
          <w:iCs w:val="0"/>
          <w:color w:val="000000"/>
          <w:kern w:val="0"/>
          <w:sz w:val="32"/>
          <w:szCs w:val="32"/>
          <w:u w:val="none"/>
          <w:lang w:val="en-US" w:eastAsia="zh-CN" w:bidi="ar"/>
        </w:rPr>
        <w:t>奉节县吐祥失能供养中心改造项目</w:t>
      </w:r>
      <w:r>
        <w:rPr>
          <w:rStyle w:val="8"/>
          <w:rFonts w:hint="eastAsia" w:ascii="方正楷体_GBK" w:hAnsi="方正楷体_GBK" w:eastAsia="方正楷体_GBK" w:cs="方正楷体_GBK"/>
          <w:b w:val="0"/>
          <w:bCs w:val="0"/>
          <w:sz w:val="32"/>
          <w:szCs w:val="32"/>
        </w:rPr>
        <w:t>）</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297" w:firstLineChars="93"/>
        <w:textAlignment w:val="auto"/>
        <w:rPr>
          <w:rStyle w:val="8"/>
          <w:rFonts w:hint="default" w:ascii="Times New Roman" w:hAnsi="Times New Roman" w:eastAsia="方正仿宋_GBK" w:cs="Times New Roman"/>
          <w:b w:val="0"/>
          <w:bCs w:val="0"/>
          <w:sz w:val="32"/>
          <w:szCs w:val="32"/>
        </w:rPr>
      </w:pPr>
      <w:r>
        <w:rPr>
          <w:rStyle w:val="8"/>
          <w:rFonts w:hint="default" w:ascii="Times New Roman" w:hAnsi="Times New Roman" w:eastAsia="方正仿宋_GBK" w:cs="Times New Roman"/>
          <w:b w:val="0"/>
          <w:bCs w:val="0"/>
          <w:sz w:val="32"/>
          <w:szCs w:val="32"/>
          <w:lang w:val="en-US" w:eastAsia="zh-CN"/>
        </w:rPr>
        <w:t xml:space="preserve">   1.</w:t>
      </w:r>
      <w:r>
        <w:rPr>
          <w:rStyle w:val="8"/>
          <w:rFonts w:hint="default" w:ascii="Times New Roman" w:hAnsi="Times New Roman" w:eastAsia="方正仿宋_GBK" w:cs="Times New Roman"/>
          <w:b w:val="0"/>
          <w:bCs w:val="0"/>
          <w:sz w:val="32"/>
          <w:szCs w:val="32"/>
        </w:rPr>
        <w:t>绩效目标自评表</w:t>
      </w:r>
    </w:p>
    <w:tbl>
      <w:tblPr>
        <w:tblStyle w:val="6"/>
        <w:tblW w:w="8823" w:type="dxa"/>
        <w:tblInd w:w="95" w:type="dxa"/>
        <w:tblLayout w:type="fixed"/>
        <w:tblCellMar>
          <w:top w:w="0" w:type="dxa"/>
          <w:left w:w="108" w:type="dxa"/>
          <w:bottom w:w="0" w:type="dxa"/>
          <w:right w:w="108" w:type="dxa"/>
        </w:tblCellMar>
      </w:tblPr>
      <w:tblGrid>
        <w:gridCol w:w="427"/>
        <w:gridCol w:w="810"/>
        <w:gridCol w:w="734"/>
        <w:gridCol w:w="1675"/>
        <w:gridCol w:w="693"/>
        <w:gridCol w:w="1000"/>
        <w:gridCol w:w="1057"/>
        <w:gridCol w:w="140"/>
        <w:gridCol w:w="644"/>
        <w:gridCol w:w="442"/>
        <w:gridCol w:w="1201"/>
      </w:tblGrid>
      <w:tr>
        <w:tblPrEx>
          <w:tblLayout w:type="fixed"/>
          <w:tblCellMar>
            <w:top w:w="0" w:type="dxa"/>
            <w:left w:w="108" w:type="dxa"/>
            <w:bottom w:w="0" w:type="dxa"/>
            <w:right w:w="108" w:type="dxa"/>
          </w:tblCellMar>
        </w:tblPrEx>
        <w:trPr>
          <w:trHeight w:val="510" w:hRule="atLeast"/>
        </w:trPr>
        <w:tc>
          <w:tcPr>
            <w:tcW w:w="8823"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40"/>
                <w:szCs w:val="40"/>
              </w:rPr>
            </w:pPr>
            <w:r>
              <w:rPr>
                <w:rFonts w:hint="default" w:ascii="Times New Roman" w:hAnsi="Times New Roman" w:eastAsia="方正小标宋_GBK" w:cs="Times New Roman"/>
                <w:b w:val="0"/>
                <w:bCs w:val="0"/>
                <w:i w:val="0"/>
                <w:iCs w:val="0"/>
                <w:color w:val="000000"/>
                <w:kern w:val="0"/>
                <w:sz w:val="40"/>
                <w:szCs w:val="40"/>
                <w:u w:val="none"/>
                <w:lang w:val="en-US" w:eastAsia="zh-CN" w:bidi="ar"/>
              </w:rPr>
              <w:t>绩效目标自评表</w:t>
            </w:r>
          </w:p>
        </w:tc>
      </w:tr>
      <w:tr>
        <w:tblPrEx>
          <w:tblLayout w:type="fixed"/>
          <w:tblCellMar>
            <w:top w:w="0" w:type="dxa"/>
            <w:left w:w="108" w:type="dxa"/>
            <w:bottom w:w="0" w:type="dxa"/>
            <w:right w:w="108" w:type="dxa"/>
          </w:tblCellMar>
        </w:tblPrEx>
        <w:trPr>
          <w:trHeight w:val="270" w:hRule="atLeast"/>
        </w:trPr>
        <w:tc>
          <w:tcPr>
            <w:tcW w:w="8823"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rPr>
            </w:pPr>
            <w:r>
              <w:rPr>
                <w:rFonts w:hint="default" w:ascii="Times New Roman" w:hAnsi="Times New Roman" w:eastAsia="宋体" w:cs="Times New Roman"/>
                <w:b w:val="0"/>
                <w:bCs w:val="0"/>
                <w:i w:val="0"/>
                <w:iCs w:val="0"/>
                <w:color w:val="000000"/>
                <w:kern w:val="0"/>
                <w:sz w:val="22"/>
                <w:szCs w:val="22"/>
                <w:u w:val="none"/>
                <w:lang w:val="en-US" w:eastAsia="zh-CN" w:bidi="ar"/>
              </w:rPr>
              <w:t>（2020年度）</w:t>
            </w:r>
          </w:p>
        </w:tc>
      </w:tr>
      <w:tr>
        <w:tblPrEx>
          <w:tblLayout w:type="fixed"/>
          <w:tblCellMar>
            <w:top w:w="0" w:type="dxa"/>
            <w:left w:w="108" w:type="dxa"/>
            <w:bottom w:w="0" w:type="dxa"/>
            <w:right w:w="108" w:type="dxa"/>
          </w:tblCellMar>
        </w:tblPrEx>
        <w:trPr>
          <w:trHeight w:val="660"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rPr>
            </w:pPr>
            <w:r>
              <w:rPr>
                <w:rFonts w:hint="eastAsia" w:ascii="方正黑体_GBK" w:hAnsi="方正黑体_GBK" w:eastAsia="方正黑体_GBK" w:cs="方正黑体_GBK"/>
                <w:b w:val="0"/>
                <w:bCs w:val="0"/>
                <w:i w:val="0"/>
                <w:iCs w:val="0"/>
                <w:color w:val="000000"/>
                <w:kern w:val="0"/>
                <w:sz w:val="18"/>
                <w:szCs w:val="18"/>
                <w:u w:val="none"/>
                <w:lang w:val="en-US" w:eastAsia="zh-CN" w:bidi="ar"/>
              </w:rPr>
              <w:t>项目名称</w:t>
            </w:r>
          </w:p>
        </w:tc>
        <w:tc>
          <w:tcPr>
            <w:tcW w:w="3102"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6"/>
                <w:szCs w:val="16"/>
                <w:u w:val="none"/>
                <w:lang w:val="en-US" w:eastAsia="zh-CN" w:bidi="ar"/>
              </w:rPr>
              <w:t>奉节县吐祥失能供养中心改造项目</w:t>
            </w:r>
          </w:p>
        </w:tc>
        <w:tc>
          <w:tcPr>
            <w:tcW w:w="219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rPr>
            </w:pPr>
            <w:r>
              <w:rPr>
                <w:rFonts w:hint="eastAsia" w:ascii="方正黑体_GBK" w:hAnsi="方正黑体_GBK" w:eastAsia="方正黑体_GBK" w:cs="方正黑体_GBK"/>
                <w:b w:val="0"/>
                <w:bCs w:val="0"/>
                <w:i w:val="0"/>
                <w:iCs w:val="0"/>
                <w:color w:val="000000"/>
                <w:kern w:val="0"/>
                <w:sz w:val="18"/>
                <w:szCs w:val="18"/>
                <w:u w:val="none"/>
                <w:lang w:val="en-US" w:eastAsia="zh-CN" w:bidi="ar"/>
              </w:rPr>
              <w:t>项目负责人</w:t>
            </w:r>
          </w:p>
        </w:tc>
        <w:tc>
          <w:tcPr>
            <w:tcW w:w="228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6"/>
                <w:szCs w:val="16"/>
                <w:u w:val="none"/>
                <w:lang w:val="en-US" w:eastAsia="zh-CN" w:bidi="ar"/>
              </w:rPr>
              <w:t>董晓君</w:t>
            </w:r>
          </w:p>
        </w:tc>
      </w:tr>
      <w:tr>
        <w:tblPrEx>
          <w:tblLayout w:type="fixed"/>
          <w:tblCellMar>
            <w:top w:w="0" w:type="dxa"/>
            <w:left w:w="108" w:type="dxa"/>
            <w:bottom w:w="0" w:type="dxa"/>
            <w:right w:w="108" w:type="dxa"/>
          </w:tblCellMar>
        </w:tblPrEx>
        <w:trPr>
          <w:trHeight w:val="300"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rPr>
            </w:pPr>
            <w:r>
              <w:rPr>
                <w:rFonts w:hint="eastAsia" w:ascii="方正黑体_GBK" w:hAnsi="方正黑体_GBK" w:eastAsia="方正黑体_GBK" w:cs="方正黑体_GBK"/>
                <w:b w:val="0"/>
                <w:bCs w:val="0"/>
                <w:i w:val="0"/>
                <w:iCs w:val="0"/>
                <w:color w:val="000000"/>
                <w:kern w:val="0"/>
                <w:sz w:val="18"/>
                <w:szCs w:val="18"/>
                <w:u w:val="none"/>
                <w:lang w:val="en-US" w:eastAsia="zh-CN" w:bidi="ar"/>
              </w:rPr>
              <w:t>主管部门</w:t>
            </w:r>
          </w:p>
        </w:tc>
        <w:tc>
          <w:tcPr>
            <w:tcW w:w="310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6"/>
                <w:szCs w:val="16"/>
                <w:u w:val="none"/>
                <w:lang w:val="en-US" w:eastAsia="zh-CN" w:bidi="ar"/>
              </w:rPr>
              <w:t>奉节县残疾人联合会</w:t>
            </w:r>
          </w:p>
        </w:tc>
        <w:tc>
          <w:tcPr>
            <w:tcW w:w="219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rPr>
            </w:pPr>
            <w:r>
              <w:rPr>
                <w:rFonts w:hint="eastAsia" w:ascii="方正黑体_GBK" w:hAnsi="方正黑体_GBK" w:eastAsia="方正黑体_GBK" w:cs="方正黑体_GBK"/>
                <w:b w:val="0"/>
                <w:bCs w:val="0"/>
                <w:i w:val="0"/>
                <w:iCs w:val="0"/>
                <w:color w:val="000000"/>
                <w:kern w:val="0"/>
                <w:sz w:val="18"/>
                <w:szCs w:val="18"/>
                <w:u w:val="none"/>
                <w:lang w:val="en-US" w:eastAsia="zh-CN" w:bidi="ar"/>
              </w:rPr>
              <w:t>实施单位</w:t>
            </w:r>
          </w:p>
        </w:tc>
        <w:tc>
          <w:tcPr>
            <w:tcW w:w="228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6"/>
                <w:szCs w:val="16"/>
                <w:u w:val="none"/>
                <w:lang w:val="en-US" w:eastAsia="zh-CN" w:bidi="ar"/>
              </w:rPr>
              <w:t>重庆凯莱世泰建筑工程有限公司</w:t>
            </w:r>
          </w:p>
        </w:tc>
      </w:tr>
      <w:tr>
        <w:tblPrEx>
          <w:tblLayout w:type="fixed"/>
          <w:tblCellMar>
            <w:top w:w="0" w:type="dxa"/>
            <w:left w:w="108" w:type="dxa"/>
            <w:bottom w:w="0" w:type="dxa"/>
            <w:right w:w="108" w:type="dxa"/>
          </w:tblCellMar>
        </w:tblPrEx>
        <w:trPr>
          <w:trHeight w:val="540" w:hRule="atLeast"/>
        </w:trPr>
        <w:tc>
          <w:tcPr>
            <w:tcW w:w="1237"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资金情况（万元）</w:t>
            </w:r>
          </w:p>
        </w:tc>
        <w:tc>
          <w:tcPr>
            <w:tcW w:w="2409"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类       别</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全年预算数</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全年执行数</w:t>
            </w:r>
          </w:p>
        </w:tc>
        <w:tc>
          <w:tcPr>
            <w:tcW w:w="1197"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分值</w:t>
            </w:r>
          </w:p>
        </w:tc>
        <w:tc>
          <w:tcPr>
            <w:tcW w:w="1086"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执行率</w:t>
            </w: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得分</w:t>
            </w:r>
          </w:p>
        </w:tc>
      </w:tr>
      <w:tr>
        <w:tblPrEx>
          <w:tblLayout w:type="fixed"/>
          <w:tblCellMar>
            <w:top w:w="0" w:type="dxa"/>
            <w:left w:w="108" w:type="dxa"/>
            <w:bottom w:w="0" w:type="dxa"/>
            <w:right w:w="108" w:type="dxa"/>
          </w:tblCellMar>
        </w:tblPrEx>
        <w:trPr>
          <w:trHeight w:val="300" w:hRule="atLeast"/>
        </w:trPr>
        <w:tc>
          <w:tcPr>
            <w:tcW w:w="1237"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kern w:val="0"/>
                <w:sz w:val="22"/>
              </w:rPr>
            </w:pPr>
          </w:p>
        </w:tc>
        <w:tc>
          <w:tcPr>
            <w:tcW w:w="2409"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ind w:firstLine="360" w:firstLineChars="200"/>
              <w:jc w:val="left"/>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年度资金总额</w:t>
            </w:r>
          </w:p>
        </w:tc>
        <w:tc>
          <w:tcPr>
            <w:tcW w:w="6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160</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169.18</w:t>
            </w:r>
          </w:p>
        </w:tc>
        <w:tc>
          <w:tcPr>
            <w:tcW w:w="1197"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10分</w:t>
            </w:r>
          </w:p>
        </w:tc>
        <w:tc>
          <w:tcPr>
            <w:tcW w:w="1086" w:type="dxa"/>
            <w:gridSpan w:val="2"/>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eastAsia" w:ascii="Times New Roman" w:hAnsi="Times New Roman" w:eastAsia="宋体" w:cs="Times New Roman"/>
                <w:i w:val="0"/>
                <w:iCs w:val="0"/>
                <w:color w:val="000000"/>
                <w:kern w:val="0"/>
                <w:sz w:val="18"/>
                <w:szCs w:val="18"/>
                <w:u w:val="none"/>
                <w:lang w:val="en-US" w:eastAsia="zh-CN" w:bidi="ar"/>
              </w:rPr>
              <w:t>106</w:t>
            </w:r>
            <w:r>
              <w:rPr>
                <w:rFonts w:hint="default" w:ascii="Times New Roman" w:hAnsi="Times New Roman" w:eastAsia="宋体" w:cs="Times New Roman"/>
                <w:i w:val="0"/>
                <w:iCs w:val="0"/>
                <w:color w:val="000000"/>
                <w:kern w:val="0"/>
                <w:sz w:val="18"/>
                <w:szCs w:val="18"/>
                <w:u w:val="none"/>
                <w:lang w:val="en-US" w:eastAsia="zh-CN" w:bidi="ar"/>
              </w:rPr>
              <w:t>%</w:t>
            </w: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9.5</w:t>
            </w:r>
          </w:p>
        </w:tc>
      </w:tr>
      <w:tr>
        <w:tblPrEx>
          <w:tblLayout w:type="fixed"/>
          <w:tblCellMar>
            <w:top w:w="0" w:type="dxa"/>
            <w:left w:w="108" w:type="dxa"/>
            <w:bottom w:w="0" w:type="dxa"/>
            <w:right w:w="108" w:type="dxa"/>
          </w:tblCellMar>
        </w:tblPrEx>
        <w:trPr>
          <w:trHeight w:val="300" w:hRule="atLeast"/>
        </w:trPr>
        <w:tc>
          <w:tcPr>
            <w:tcW w:w="1237"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kern w:val="0"/>
                <w:sz w:val="22"/>
              </w:rPr>
            </w:pPr>
          </w:p>
        </w:tc>
        <w:tc>
          <w:tcPr>
            <w:tcW w:w="2409"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jc w:val="left"/>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 xml:space="preserve">   其中：财政拨款</w:t>
            </w:r>
          </w:p>
        </w:tc>
        <w:tc>
          <w:tcPr>
            <w:tcW w:w="69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97"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086" w:type="dxa"/>
            <w:gridSpan w:val="2"/>
            <w:tcBorders>
              <w:top w:val="nil"/>
              <w:left w:val="nil"/>
              <w:bottom w:val="single" w:color="auto" w:sz="4" w:space="0"/>
              <w:right w:val="nil"/>
            </w:tcBorders>
            <w:noWrap w:val="0"/>
            <w:vAlign w:val="center"/>
          </w:tcPr>
          <w:p>
            <w:pPr>
              <w:jc w:val="center"/>
              <w:rPr>
                <w:rFonts w:hint="default" w:ascii="Times New Roman" w:hAnsi="Times New Roman" w:cs="Times New Roman"/>
                <w:color w:val="000000"/>
                <w:kern w:val="0"/>
                <w:sz w:val="22"/>
              </w:rPr>
            </w:pPr>
          </w:p>
        </w:tc>
        <w:tc>
          <w:tcPr>
            <w:tcW w:w="1201"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0" w:hRule="atLeast"/>
        </w:trPr>
        <w:tc>
          <w:tcPr>
            <w:tcW w:w="1237"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kern w:val="0"/>
                <w:sz w:val="22"/>
              </w:rPr>
            </w:pPr>
          </w:p>
        </w:tc>
        <w:tc>
          <w:tcPr>
            <w:tcW w:w="2409"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jc w:val="left"/>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 xml:space="preserve">         其他资金</w:t>
            </w:r>
          </w:p>
        </w:tc>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69.18</w:t>
            </w: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0" w:hRule="atLeast"/>
        </w:trPr>
        <w:tc>
          <w:tcPr>
            <w:tcW w:w="1237"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年度总体目标</w:t>
            </w:r>
          </w:p>
        </w:tc>
        <w:tc>
          <w:tcPr>
            <w:tcW w:w="4102"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年初设定目标</w:t>
            </w:r>
          </w:p>
        </w:tc>
        <w:tc>
          <w:tcPr>
            <w:tcW w:w="3484" w:type="dxa"/>
            <w:gridSpan w:val="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年度总体完成情况综述</w:t>
            </w:r>
          </w:p>
        </w:tc>
      </w:tr>
      <w:tr>
        <w:tblPrEx>
          <w:tblLayout w:type="fixed"/>
          <w:tblCellMar>
            <w:top w:w="0" w:type="dxa"/>
            <w:left w:w="108" w:type="dxa"/>
            <w:bottom w:w="0" w:type="dxa"/>
            <w:right w:w="108" w:type="dxa"/>
          </w:tblCellMar>
        </w:tblPrEx>
        <w:trPr>
          <w:trHeight w:val="930" w:hRule="atLeast"/>
        </w:trPr>
        <w:tc>
          <w:tcPr>
            <w:tcW w:w="1237"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kern w:val="0"/>
                <w:sz w:val="22"/>
              </w:rPr>
            </w:pPr>
          </w:p>
        </w:tc>
        <w:tc>
          <w:tcPr>
            <w:tcW w:w="4102"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改造吐祥失能人员供养中心老旧基础设施，屋面卷材防水面积:271.137㎡,内墙粉刷</w:t>
            </w:r>
            <w:r>
              <w:rPr>
                <w:rFonts w:hint="eastAsia" w:ascii="Times New Roman" w:hAnsi="Times New Roman" w:eastAsia="宋体" w:cs="Times New Roman"/>
                <w:i w:val="0"/>
                <w:iCs w:val="0"/>
                <w:color w:val="000000"/>
                <w:kern w:val="0"/>
                <w:sz w:val="18"/>
                <w:szCs w:val="18"/>
                <w:u w:val="none"/>
                <w:lang w:val="en-US" w:eastAsia="zh-CN" w:bidi="ar"/>
              </w:rPr>
              <w:t>面</w:t>
            </w:r>
            <w:r>
              <w:rPr>
                <w:rFonts w:hint="default" w:ascii="Times New Roman" w:hAnsi="Times New Roman" w:eastAsia="宋体" w:cs="Times New Roman"/>
                <w:i w:val="0"/>
                <w:iCs w:val="0"/>
                <w:color w:val="000000"/>
                <w:kern w:val="0"/>
                <w:sz w:val="18"/>
                <w:szCs w:val="18"/>
                <w:u w:val="none"/>
                <w:lang w:val="en-US" w:eastAsia="zh-CN" w:bidi="ar"/>
              </w:rPr>
              <w:t>积:3316.8㎡,外墙粉刷面积:1905.23㎡,墙裙面积面积:527.42㎡,地砖面积:1624.54㎡,厨房改造面积:39.82㎡,安装1.5P空调台数:63个，天棚粉刷2105.69㎡</w:t>
            </w:r>
            <w:r>
              <w:rPr>
                <w:rFonts w:hint="eastAsia" w:ascii="Times New Roman" w:hAnsi="Times New Roman" w:eastAsia="宋体" w:cs="Times New Roman"/>
                <w:i w:val="0"/>
                <w:iCs w:val="0"/>
                <w:color w:val="000000"/>
                <w:kern w:val="0"/>
                <w:sz w:val="18"/>
                <w:szCs w:val="18"/>
                <w:u w:val="none"/>
                <w:lang w:val="en-US" w:eastAsia="zh-CN" w:bidi="ar"/>
              </w:rPr>
              <w:t>。</w:t>
            </w:r>
          </w:p>
        </w:tc>
        <w:tc>
          <w:tcPr>
            <w:tcW w:w="3484" w:type="dxa"/>
            <w:gridSpan w:val="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89230"/>
                  <wp:effectExtent l="0" t="0" r="8890" b="1270"/>
                  <wp:wrapNone/>
                  <wp:docPr id="2" name="图片_1"/>
                  <wp:cNvGraphicFramePr/>
                  <a:graphic xmlns:a="http://schemas.openxmlformats.org/drawingml/2006/main">
                    <a:graphicData uri="http://schemas.openxmlformats.org/drawingml/2006/picture">
                      <pic:pic xmlns:pic="http://schemas.openxmlformats.org/drawingml/2006/picture">
                        <pic:nvPicPr>
                          <pic:cNvPr id="2" name="图片_1"/>
                          <pic:cNvPicPr/>
                        </pic:nvPicPr>
                        <pic:blipFill>
                          <a:blip r:embed="rId4"/>
                          <a:stretch>
                            <a:fillRect/>
                          </a:stretch>
                        </pic:blipFill>
                        <pic:spPr>
                          <a:xfrm>
                            <a:off x="0" y="0"/>
                            <a:ext cx="10160" cy="189230"/>
                          </a:xfrm>
                          <a:prstGeom prst="rect">
                            <a:avLst/>
                          </a:prstGeom>
                          <a:noFill/>
                          <a:ln>
                            <a:noFill/>
                          </a:ln>
                        </pic:spPr>
                      </pic:pic>
                    </a:graphicData>
                  </a:graphic>
                </wp:anchor>
              </w:drawing>
            </w:r>
            <w:r>
              <w:rPr>
                <w:rFonts w:hint="default" w:ascii="Times New Roman" w:hAnsi="Times New Roman" w:eastAsia="宋体" w:cs="Times New Roman"/>
                <w:i w:val="0"/>
                <w:iCs w:val="0"/>
                <w:color w:val="000000"/>
                <w:kern w:val="0"/>
                <w:sz w:val="18"/>
                <w:szCs w:val="18"/>
                <w:u w:val="none"/>
                <w:lang w:val="en-US" w:eastAsia="zh-CN" w:bidi="ar"/>
              </w:rPr>
              <w:t>完成改造吐祥失能人员供养中心老旧基础设施，屋面卷材防水面积:271.137㎡,内墙粉刷面积:3316.8㎡,外墙粉刷面积:1905.23㎡,墙裙面积面积:527.42㎡,地砖面积:1624.54㎡,厨房改造面积:39.82㎡,安装1.5P空调台数:63个，天棚粉刷2105.69㎡</w:t>
            </w:r>
            <w:r>
              <w:rPr>
                <w:rFonts w:hint="eastAsia" w:ascii="Times New Roman" w:hAnsi="Times New Roman" w:eastAsia="宋体" w:cs="Times New Roman"/>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841" w:hRule="atLeast"/>
        </w:trPr>
        <w:tc>
          <w:tcPr>
            <w:tcW w:w="427" w:type="dxa"/>
            <w:vMerge w:val="restart"/>
            <w:tcBorders>
              <w:top w:val="nil"/>
              <w:left w:val="single" w:color="auto" w:sz="4" w:space="0"/>
              <w:bottom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绩效指标</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一级指标</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分值</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年度指标值</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实际完成值</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得分</w:t>
            </w:r>
          </w:p>
        </w:tc>
        <w:tc>
          <w:tcPr>
            <w:tcW w:w="1643"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未完成原因及拟采取的措施</w:t>
            </w:r>
          </w:p>
        </w:tc>
      </w:tr>
      <w:tr>
        <w:tblPrEx>
          <w:tblLayout w:type="fixed"/>
          <w:tblCellMar>
            <w:top w:w="0" w:type="dxa"/>
            <w:left w:w="108" w:type="dxa"/>
            <w:bottom w:w="0" w:type="dxa"/>
            <w:right w:w="108" w:type="dxa"/>
          </w:tblCellMar>
        </w:tblPrEx>
        <w:trPr>
          <w:trHeight w:val="480"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产出指标（50分）</w:t>
            </w:r>
          </w:p>
        </w:tc>
        <w:tc>
          <w:tcPr>
            <w:tcW w:w="73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屋面卷材防水面积</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271.137㎡</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271.137㎡</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480"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内墙粉刷面积</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3316.8㎡</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3316.8㎡</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540"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外墙粉刷面积</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1905.23㎡</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1905.23㎡</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墙裙面积面积</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527.42㎡</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527.42㎡</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地砖面积</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1624.54㎡</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1624.54㎡</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厨房改造面积</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39.82㎡</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39.82㎡</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天棚粉刷</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2105.69㎡</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2105.69㎡</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安装1.5P空调台数</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63个</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63个</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综合验收合格率</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完工及时率</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按照预算执行</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160万元</w:t>
            </w:r>
          </w:p>
        </w:tc>
        <w:tc>
          <w:tcPr>
            <w:tcW w:w="10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169.18万元</w:t>
            </w:r>
          </w:p>
        </w:tc>
        <w:tc>
          <w:tcPr>
            <w:tcW w:w="78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5.8</w:t>
            </w:r>
          </w:p>
        </w:tc>
        <w:tc>
          <w:tcPr>
            <w:tcW w:w="1643"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效益指标（30分）</w:t>
            </w:r>
          </w:p>
        </w:tc>
        <w:tc>
          <w:tcPr>
            <w:tcW w:w="7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经济效益指标</w:t>
            </w: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491"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社会效益指标</w:t>
            </w: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改善失能供养人员生活条件</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明显改善</w:t>
            </w:r>
          </w:p>
        </w:tc>
        <w:tc>
          <w:tcPr>
            <w:tcW w:w="10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明显改善</w:t>
            </w:r>
          </w:p>
        </w:tc>
        <w:tc>
          <w:tcPr>
            <w:tcW w:w="7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643"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生态效益指标</w:t>
            </w: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480"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可持续影响指标</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供养中心服务年限</w:t>
            </w:r>
          </w:p>
        </w:tc>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20年</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20年</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6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480"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满意度指标（10分）</w:t>
            </w:r>
          </w:p>
        </w:tc>
        <w:tc>
          <w:tcPr>
            <w:tcW w:w="7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服务对象满意度指标</w:t>
            </w:r>
          </w:p>
        </w:tc>
        <w:tc>
          <w:tcPr>
            <w:tcW w:w="16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供养人员满意度</w:t>
            </w:r>
          </w:p>
        </w:tc>
        <w:tc>
          <w:tcPr>
            <w:tcW w:w="6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98%</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18"/>
                <w:szCs w:val="18"/>
                <w:u w:val="none"/>
                <w:lang w:val="en-US" w:eastAsia="zh-CN" w:bidi="ar"/>
              </w:rPr>
              <w:t>98%</w:t>
            </w: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270" w:hRule="atLeast"/>
        </w:trPr>
        <w:tc>
          <w:tcPr>
            <w:tcW w:w="427"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c>
          <w:tcPr>
            <w:tcW w:w="7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2"/>
              </w:rPr>
            </w:pPr>
          </w:p>
        </w:tc>
      </w:tr>
      <w:tr>
        <w:tblPrEx>
          <w:tblLayout w:type="fixed"/>
          <w:tblCellMar>
            <w:top w:w="0" w:type="dxa"/>
            <w:left w:w="108" w:type="dxa"/>
            <w:bottom w:w="0" w:type="dxa"/>
            <w:right w:w="108" w:type="dxa"/>
          </w:tblCellMar>
        </w:tblPrEx>
        <w:trPr>
          <w:trHeight w:val="304" w:hRule="atLeast"/>
        </w:trPr>
        <w:tc>
          <w:tcPr>
            <w:tcW w:w="427"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cs="Times New Roman"/>
                <w:b/>
                <w:bCs/>
                <w:color w:val="000000"/>
                <w:kern w:val="0"/>
                <w:sz w:val="22"/>
              </w:rPr>
            </w:pPr>
          </w:p>
        </w:tc>
        <w:tc>
          <w:tcPr>
            <w:tcW w:w="810"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cs="Times New Roman"/>
              </w:rPr>
            </w:pPr>
          </w:p>
        </w:tc>
        <w:tc>
          <w:tcPr>
            <w:tcW w:w="73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cs="Times New Roman"/>
              </w:rPr>
            </w:pPr>
          </w:p>
        </w:tc>
        <w:tc>
          <w:tcPr>
            <w:tcW w:w="1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b/>
                <w:bCs/>
                <w:color w:val="000000"/>
                <w:kern w:val="0"/>
                <w:sz w:val="22"/>
              </w:rPr>
            </w:pPr>
          </w:p>
        </w:tc>
        <w:tc>
          <w:tcPr>
            <w:tcW w:w="693"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b/>
                <w:bCs/>
                <w:color w:val="000000"/>
                <w:kern w:val="0"/>
                <w:sz w:val="22"/>
              </w:rPr>
            </w:pPr>
          </w:p>
        </w:tc>
        <w:tc>
          <w:tcPr>
            <w:tcW w:w="1000"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b/>
                <w:bCs/>
                <w:color w:val="000000"/>
                <w:kern w:val="0"/>
                <w:sz w:val="22"/>
              </w:rPr>
            </w:pPr>
          </w:p>
        </w:tc>
        <w:tc>
          <w:tcPr>
            <w:tcW w:w="105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
                <w:bCs/>
                <w:color w:val="000000"/>
                <w:kern w:val="0"/>
                <w:sz w:val="22"/>
              </w:rPr>
            </w:pPr>
          </w:p>
        </w:tc>
        <w:tc>
          <w:tcPr>
            <w:tcW w:w="784"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43"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b/>
                <w:bCs/>
                <w:color w:val="000000"/>
                <w:kern w:val="0"/>
                <w:sz w:val="22"/>
              </w:rPr>
            </w:pPr>
          </w:p>
        </w:tc>
      </w:tr>
      <w:tr>
        <w:tblPrEx>
          <w:tblLayout w:type="fixed"/>
          <w:tblCellMar>
            <w:top w:w="0" w:type="dxa"/>
            <w:left w:w="108" w:type="dxa"/>
            <w:bottom w:w="0" w:type="dxa"/>
            <w:right w:w="108" w:type="dxa"/>
          </w:tblCellMar>
        </w:tblPrEx>
        <w:trPr>
          <w:trHeight w:val="270" w:hRule="atLeast"/>
        </w:trPr>
        <w:tc>
          <w:tcPr>
            <w:tcW w:w="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0"/>
                <w:szCs w:val="20"/>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合计</w:t>
            </w:r>
          </w:p>
        </w:tc>
        <w:tc>
          <w:tcPr>
            <w:tcW w:w="7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0"/>
                <w:szCs w:val="20"/>
              </w:rPr>
            </w:pPr>
          </w:p>
        </w:tc>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0"/>
                <w:sz w:val="22"/>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20"/>
                <w:szCs w:val="20"/>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18"/>
                <w:szCs w:val="18"/>
                <w:u w:val="none"/>
                <w:lang w:val="en-US" w:eastAsia="zh-CN" w:bidi="ar"/>
              </w:rPr>
              <w:t>99.3</w:t>
            </w:r>
          </w:p>
        </w:tc>
        <w:tc>
          <w:tcPr>
            <w:tcW w:w="16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kern w:val="0"/>
                <w:sz w:val="20"/>
                <w:szCs w:val="20"/>
              </w:rPr>
            </w:pPr>
          </w:p>
        </w:tc>
      </w:tr>
    </w:tbl>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textAlignment w:val="auto"/>
        <w:rPr>
          <w:rStyle w:val="8"/>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499" w:firstLineChars="156"/>
        <w:textAlignment w:val="auto"/>
        <w:rPr>
          <w:rStyle w:val="8"/>
          <w:rFonts w:hint="default" w:ascii="Times New Roman" w:hAnsi="Times New Roman" w:eastAsia="方正仿宋_GBK" w:cs="Times New Roman"/>
          <w:b w:val="0"/>
          <w:bCs w:val="0"/>
          <w:kern w:val="0"/>
          <w:sz w:val="32"/>
          <w:szCs w:val="32"/>
          <w:lang w:val="en-US" w:eastAsia="zh-CN" w:bidi="ar-SA"/>
        </w:rPr>
      </w:pPr>
      <w:r>
        <w:rPr>
          <w:rStyle w:val="8"/>
          <w:rFonts w:hint="default" w:ascii="Times New Roman" w:hAnsi="Times New Roman" w:eastAsia="方正仿宋_GBK" w:cs="Times New Roman"/>
          <w:b w:val="0"/>
          <w:bCs w:val="0"/>
          <w:kern w:val="0"/>
          <w:sz w:val="32"/>
          <w:szCs w:val="32"/>
          <w:lang w:val="en-US" w:eastAsia="zh-CN" w:bidi="ar-SA"/>
        </w:rPr>
        <w:t xml:space="preserve"> 2</w:t>
      </w:r>
      <w:r>
        <w:rPr>
          <w:rStyle w:val="8"/>
          <w:rFonts w:hint="eastAsia" w:ascii="Times New Roman" w:hAnsi="Times New Roman" w:eastAsia="方正仿宋_GBK" w:cs="Times New Roman"/>
          <w:b w:val="0"/>
          <w:bCs w:val="0"/>
          <w:kern w:val="0"/>
          <w:sz w:val="32"/>
          <w:szCs w:val="32"/>
          <w:lang w:val="en-US" w:eastAsia="zh-CN" w:bidi="ar-SA"/>
        </w:rPr>
        <w:t>.</w:t>
      </w:r>
      <w:r>
        <w:rPr>
          <w:rStyle w:val="8"/>
          <w:rFonts w:hint="default" w:ascii="Times New Roman" w:hAnsi="Times New Roman" w:eastAsia="方正仿宋_GBK" w:cs="Times New Roman"/>
          <w:b w:val="0"/>
          <w:bCs w:val="0"/>
          <w:kern w:val="0"/>
          <w:sz w:val="32"/>
          <w:szCs w:val="32"/>
          <w:lang w:val="en-US" w:eastAsia="zh-CN" w:bidi="ar-SA"/>
        </w:rPr>
        <w:t>绩效目标自评综述</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根据年初设定的绩效目标，该项目全年预算数为</w:t>
      </w:r>
      <w:r>
        <w:rPr>
          <w:rFonts w:hint="default" w:ascii="Times New Roman" w:hAnsi="Times New Roman" w:eastAsia="方正仿宋_GBK" w:cs="Times New Roman"/>
          <w:color w:val="333333"/>
          <w:kern w:val="0"/>
          <w:sz w:val="32"/>
          <w:szCs w:val="32"/>
          <w:lang w:val="en-US" w:eastAsia="zh-CN"/>
        </w:rPr>
        <w:t>160</w:t>
      </w:r>
      <w:r>
        <w:rPr>
          <w:rFonts w:hint="default" w:ascii="Times New Roman" w:hAnsi="Times New Roman" w:eastAsia="方正仿宋_GBK" w:cs="Times New Roman"/>
          <w:color w:val="333333"/>
          <w:kern w:val="0"/>
          <w:sz w:val="32"/>
          <w:szCs w:val="32"/>
        </w:rPr>
        <w:t>万元，执行数为</w:t>
      </w:r>
      <w:r>
        <w:rPr>
          <w:rFonts w:hint="default" w:ascii="Times New Roman" w:hAnsi="Times New Roman" w:eastAsia="方正仿宋_GBK" w:cs="Times New Roman"/>
          <w:color w:val="333333"/>
          <w:kern w:val="0"/>
          <w:sz w:val="32"/>
          <w:szCs w:val="32"/>
          <w:lang w:val="en-US" w:eastAsia="zh-CN"/>
        </w:rPr>
        <w:t>169.18</w:t>
      </w:r>
      <w:r>
        <w:rPr>
          <w:rFonts w:hint="default" w:ascii="Times New Roman" w:hAnsi="Times New Roman" w:eastAsia="方正仿宋_GBK" w:cs="Times New Roman"/>
          <w:color w:val="333333"/>
          <w:kern w:val="0"/>
          <w:sz w:val="32"/>
          <w:szCs w:val="32"/>
        </w:rPr>
        <w:t>万元。总体完成情况良好，资金下达率</w:t>
      </w:r>
      <w:r>
        <w:rPr>
          <w:rFonts w:hint="eastAsia" w:ascii="Times New Roman" w:hAnsi="Times New Roman" w:eastAsia="方正仿宋_GBK" w:cs="Times New Roman"/>
          <w:color w:val="333333"/>
          <w:kern w:val="0"/>
          <w:sz w:val="32"/>
          <w:szCs w:val="32"/>
          <w:lang w:val="en-US" w:eastAsia="zh-CN"/>
        </w:rPr>
        <w:t>100%，</w:t>
      </w:r>
      <w:r>
        <w:rPr>
          <w:rFonts w:hint="default" w:ascii="Times New Roman" w:hAnsi="Times New Roman" w:eastAsia="方正仿宋_GBK" w:cs="Times New Roman"/>
          <w:color w:val="333333"/>
          <w:kern w:val="0"/>
          <w:sz w:val="32"/>
          <w:szCs w:val="32"/>
        </w:rPr>
        <w:t>使用率10</w:t>
      </w:r>
      <w:r>
        <w:rPr>
          <w:rFonts w:hint="eastAsia" w:ascii="Times New Roman" w:hAnsi="Times New Roman" w:eastAsia="方正仿宋_GBK" w:cs="Times New Roman"/>
          <w:color w:val="333333"/>
          <w:kern w:val="0"/>
          <w:sz w:val="32"/>
          <w:szCs w:val="32"/>
          <w:lang w:val="en-US" w:eastAsia="zh-CN"/>
        </w:rPr>
        <w:t>6</w:t>
      </w:r>
      <w:r>
        <w:rPr>
          <w:rFonts w:hint="default" w:ascii="Times New Roman" w:hAnsi="Times New Roman" w:eastAsia="方正仿宋_GBK" w:cs="Times New Roman"/>
          <w:color w:val="333333"/>
          <w:kern w:val="0"/>
          <w:sz w:val="32"/>
          <w:szCs w:val="32"/>
        </w:rPr>
        <w:t>％。确保了项目按时实施和资金保障使用，绩效目标得到基本实现。自评得分</w:t>
      </w:r>
      <w:r>
        <w:rPr>
          <w:rFonts w:hint="default" w:ascii="Times New Roman" w:hAnsi="Times New Roman" w:eastAsia="方正仿宋_GBK" w:cs="Times New Roman"/>
          <w:color w:val="333333"/>
          <w:kern w:val="0"/>
          <w:sz w:val="32"/>
          <w:szCs w:val="32"/>
          <w:lang w:val="en-US" w:eastAsia="zh-CN"/>
        </w:rPr>
        <w:t>99.3</w:t>
      </w:r>
      <w:r>
        <w:rPr>
          <w:rFonts w:hint="default" w:ascii="Times New Roman" w:hAnsi="Times New Roman" w:eastAsia="方正仿宋_GBK" w:cs="Times New Roman"/>
          <w:color w:val="333333"/>
          <w:kern w:val="0"/>
          <w:sz w:val="32"/>
          <w:szCs w:val="32"/>
        </w:rPr>
        <w:t>分。</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Style w:val="8"/>
          <w:rFonts w:hint="default" w:ascii="Times New Roman" w:hAnsi="Times New Roman" w:eastAsia="方正仿宋_GBK" w:cs="Times New Roman"/>
          <w:b w:val="0"/>
          <w:bCs w:val="0"/>
          <w:kern w:val="0"/>
          <w:sz w:val="32"/>
          <w:szCs w:val="32"/>
          <w:lang w:val="en-US" w:eastAsia="zh-CN" w:bidi="ar-SA"/>
        </w:rPr>
      </w:pPr>
      <w:r>
        <w:rPr>
          <w:rStyle w:val="8"/>
          <w:rFonts w:hint="default" w:ascii="Times New Roman" w:hAnsi="Times New Roman" w:eastAsia="方正仿宋_GBK" w:cs="Times New Roman"/>
          <w:b w:val="0"/>
          <w:bCs w:val="0"/>
          <w:kern w:val="0"/>
          <w:sz w:val="32"/>
          <w:szCs w:val="32"/>
          <w:lang w:val="en-US" w:eastAsia="zh-CN" w:bidi="ar-SA"/>
        </w:rPr>
        <w:t>3</w:t>
      </w:r>
      <w:r>
        <w:rPr>
          <w:rStyle w:val="8"/>
          <w:rFonts w:hint="eastAsia" w:ascii="Times New Roman" w:hAnsi="Times New Roman" w:eastAsia="方正仿宋_GBK" w:cs="Times New Roman"/>
          <w:b w:val="0"/>
          <w:bCs w:val="0"/>
          <w:kern w:val="0"/>
          <w:sz w:val="32"/>
          <w:szCs w:val="32"/>
          <w:lang w:val="en-US" w:eastAsia="zh-CN" w:bidi="ar-SA"/>
        </w:rPr>
        <w:t>.</w:t>
      </w:r>
      <w:r>
        <w:rPr>
          <w:rStyle w:val="8"/>
          <w:rFonts w:hint="default" w:ascii="Times New Roman" w:hAnsi="Times New Roman" w:eastAsia="方正仿宋_GBK" w:cs="Times New Roman"/>
          <w:b w:val="0"/>
          <w:bCs w:val="0"/>
          <w:kern w:val="0"/>
          <w:sz w:val="32"/>
          <w:szCs w:val="32"/>
          <w:lang w:val="en-US" w:eastAsia="zh-CN" w:bidi="ar-SA"/>
        </w:rPr>
        <w:t>绩效目标完成情况分析。</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419" w:firstLineChars="13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（1）产出指标，结合文件要求，年度拟定</w:t>
      </w:r>
      <w:r>
        <w:rPr>
          <w:rFonts w:hint="default" w:ascii="Times New Roman" w:hAnsi="Times New Roman" w:eastAsia="方正仿宋_GBK" w:cs="Times New Roman"/>
          <w:i w:val="0"/>
          <w:iCs w:val="0"/>
          <w:color w:val="000000"/>
          <w:kern w:val="0"/>
          <w:sz w:val="32"/>
          <w:szCs w:val="32"/>
          <w:u w:val="none"/>
          <w:lang w:val="en-US" w:eastAsia="zh-CN" w:bidi="ar"/>
        </w:rPr>
        <w:t>改造吐祥失能人员供养中心老旧基础设施，屋面卷材防水面积:271.137㎡,内墙粉刷面积:3316.8㎡,外墙粉刷面积:1905.23㎡,墙裙面积面积:527.42㎡,地砖面积:1624.54㎡,厨房改造面积:39.82㎡,安装1.5P空调台数:63个，天棚粉刷2105.69㎡</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419" w:firstLineChars="13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（2）效益指标，通过对</w:t>
      </w:r>
      <w:r>
        <w:rPr>
          <w:rFonts w:hint="default" w:ascii="Times New Roman" w:hAnsi="Times New Roman" w:eastAsia="方正仿宋_GBK" w:cs="Times New Roman"/>
          <w:i w:val="0"/>
          <w:iCs w:val="0"/>
          <w:color w:val="000000"/>
          <w:kern w:val="0"/>
          <w:sz w:val="32"/>
          <w:szCs w:val="32"/>
          <w:u w:val="none"/>
          <w:lang w:val="en-US" w:eastAsia="zh-CN" w:bidi="ar"/>
        </w:rPr>
        <w:t>吐祥失能人员供养中心老旧基础设施的改造</w:t>
      </w:r>
      <w:r>
        <w:rPr>
          <w:rFonts w:hint="default" w:ascii="Times New Roman" w:hAnsi="Times New Roman" w:eastAsia="方正仿宋_GBK" w:cs="Times New Roman"/>
          <w:sz w:val="32"/>
          <w:szCs w:val="32"/>
        </w:rPr>
        <w:t>，减轻了残疾人个人生活困难的相关费用，提升了残疾人的社会获得感和</w:t>
      </w:r>
      <w:r>
        <w:rPr>
          <w:rFonts w:hint="default" w:ascii="Times New Roman" w:hAnsi="Times New Roman" w:eastAsia="方正仿宋_GBK" w:cs="Times New Roman"/>
          <w:sz w:val="32"/>
          <w:szCs w:val="32"/>
          <w:lang w:eastAsia="zh-CN"/>
        </w:rPr>
        <w:t>归属感</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（3）满意度指标，通过专项项目</w:t>
      </w:r>
      <w:r>
        <w:rPr>
          <w:rFonts w:hint="default" w:ascii="Times New Roman" w:hAnsi="Times New Roman" w:eastAsia="方正仿宋_GBK" w:cs="Times New Roman"/>
          <w:i w:val="0"/>
          <w:iCs w:val="0"/>
          <w:color w:val="000000"/>
          <w:kern w:val="0"/>
          <w:sz w:val="32"/>
          <w:szCs w:val="32"/>
          <w:u w:val="none"/>
          <w:lang w:val="en-US" w:eastAsia="zh-CN" w:bidi="ar"/>
        </w:rPr>
        <w:t>吐祥失能人员供养中心老旧基础设施的改造</w:t>
      </w:r>
      <w:r>
        <w:rPr>
          <w:rFonts w:hint="default" w:ascii="Times New Roman" w:hAnsi="Times New Roman" w:eastAsia="方正仿宋_GBK" w:cs="Times New Roman"/>
          <w:sz w:val="32"/>
          <w:szCs w:val="32"/>
        </w:rPr>
        <w:t>，使残疾人对社会的感恩度提升，对残疾人经办机构的满意度得到提高。</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六、专业名词解释</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57" w:firstLineChars="143"/>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b w:val="0"/>
          <w:bCs w:val="0"/>
          <w:color w:val="333333"/>
          <w:sz w:val="32"/>
          <w:szCs w:val="32"/>
        </w:rPr>
        <w:t>（一）财政拨款收入：</w:t>
      </w:r>
      <w:r>
        <w:rPr>
          <w:rFonts w:hint="default" w:ascii="Times New Roman" w:hAnsi="Times New Roman" w:eastAsia="方正仿宋_GBK" w:cs="Times New Roman"/>
          <w:color w:val="333333"/>
          <w:sz w:val="32"/>
          <w:szCs w:val="32"/>
        </w:rPr>
        <w:t>指本年度从本级财政部门取得的财政拨款，包括一般公共预算财政拨款和政府性基金预算财政拨款。</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321" w:firstLineChars="1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b/>
          <w:bCs/>
          <w:color w:val="333333"/>
          <w:sz w:val="32"/>
          <w:szCs w:val="32"/>
          <w:lang w:val="en-US" w:eastAsia="zh-CN"/>
        </w:rPr>
        <w:t xml:space="preserve"> </w:t>
      </w:r>
      <w:r>
        <w:rPr>
          <w:rFonts w:hint="eastAsia" w:ascii="方正楷体_GBK" w:hAnsi="方正楷体_GBK" w:eastAsia="方正楷体_GBK" w:cs="方正楷体_GBK"/>
          <w:b w:val="0"/>
          <w:bCs w:val="0"/>
          <w:color w:val="333333"/>
          <w:sz w:val="32"/>
          <w:szCs w:val="32"/>
        </w:rPr>
        <w:t>（二）年初结转和结余：</w:t>
      </w:r>
      <w:r>
        <w:rPr>
          <w:rFonts w:hint="default" w:ascii="Times New Roman" w:hAnsi="Times New Roman" w:eastAsia="方正仿宋_GBK" w:cs="Times New Roman"/>
          <w:color w:val="333333"/>
          <w:sz w:val="32"/>
          <w:szCs w:val="32"/>
        </w:rPr>
        <w:t>指单位上年结转本年使用的基本支出结转、项目支出结转和结余、经营结余。</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320" w:firstLineChars="100"/>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b w:val="0"/>
          <w:bCs w:val="0"/>
          <w:color w:val="333333"/>
          <w:sz w:val="32"/>
          <w:szCs w:val="32"/>
          <w:lang w:val="en-US" w:eastAsia="zh-CN"/>
        </w:rPr>
        <w:t xml:space="preserve"> </w:t>
      </w:r>
      <w:r>
        <w:rPr>
          <w:rFonts w:hint="eastAsia" w:ascii="方正楷体_GBK" w:hAnsi="方正楷体_GBK" w:eastAsia="方正楷体_GBK" w:cs="方正楷体_GBK"/>
          <w:b w:val="0"/>
          <w:bCs w:val="0"/>
          <w:color w:val="333333"/>
          <w:sz w:val="32"/>
          <w:szCs w:val="32"/>
        </w:rPr>
        <w:t>（三）年末结转和结余：</w:t>
      </w:r>
      <w:r>
        <w:rPr>
          <w:rFonts w:hint="default" w:ascii="Times New Roman" w:hAnsi="Times New Roman" w:eastAsia="方正仿宋_GBK" w:cs="Times New Roman"/>
          <w:color w:val="333333"/>
          <w:sz w:val="32"/>
          <w:szCs w:val="32"/>
        </w:rPr>
        <w:t>指单位结转下年的基本支出结转、项目支出结转和结余、经营结余。</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18" w:firstLineChars="162"/>
        <w:textAlignment w:val="auto"/>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b w:val="0"/>
          <w:bCs w:val="0"/>
          <w:color w:val="333333"/>
          <w:sz w:val="32"/>
          <w:szCs w:val="32"/>
        </w:rPr>
        <w:t>（四）基本支出：</w:t>
      </w:r>
      <w:r>
        <w:rPr>
          <w:rFonts w:hint="default" w:ascii="Times New Roman" w:hAnsi="Times New Roman" w:eastAsia="方正仿宋_GBK" w:cs="Times New Roman"/>
          <w:color w:val="333333"/>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57" w:firstLineChars="143"/>
        <w:textAlignment w:val="auto"/>
        <w:rPr>
          <w:rFonts w:hint="default" w:ascii="Times New Roman" w:hAnsi="Times New Roman" w:eastAsia="方正仿宋_GBK" w:cs="Times New Roman"/>
          <w:color w:val="333333"/>
          <w:sz w:val="32"/>
          <w:szCs w:val="32"/>
        </w:rPr>
      </w:pPr>
      <w:r>
        <w:rPr>
          <w:rFonts w:hint="default" w:ascii="方正楷体_GBK" w:hAnsi="方正楷体_GBK" w:eastAsia="方正楷体_GBK" w:cs="方正楷体_GBK"/>
          <w:b w:val="0"/>
          <w:bCs w:val="0"/>
          <w:color w:val="333333"/>
          <w:sz w:val="32"/>
          <w:szCs w:val="32"/>
          <w:lang w:val="en-US" w:eastAsia="zh-CN"/>
        </w:rPr>
        <w:t>（五）项目支出：</w:t>
      </w:r>
      <w:r>
        <w:rPr>
          <w:rFonts w:hint="default" w:ascii="Times New Roman" w:hAnsi="Times New Roman" w:eastAsia="方正仿宋_GBK" w:cs="Times New Roman"/>
          <w:color w:val="333333"/>
          <w:sz w:val="32"/>
          <w:szCs w:val="32"/>
        </w:rPr>
        <w:t>指在基本支出之外为完成特定行政任务和事业发展目标所发生的支出。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457" w:firstLineChars="143"/>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color w:val="333333"/>
          <w:sz w:val="32"/>
          <w:szCs w:val="32"/>
          <w:lang w:val="en-US" w:eastAsia="zh-CN"/>
        </w:rPr>
        <w:t>（六）“三公”经费：</w:t>
      </w:r>
      <w:r>
        <w:rPr>
          <w:rFonts w:hint="default" w:ascii="Times New Roman" w:hAnsi="Times New Roman" w:eastAsia="方正仿宋_GBK" w:cs="Times New Roman"/>
          <w:color w:val="333333"/>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600" w:lineRule="exact"/>
        <w:ind w:left="0" w:leftChars="0" w:firstLine="579" w:firstLineChars="181"/>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七</w:t>
      </w:r>
      <w:r>
        <w:rPr>
          <w:rFonts w:hint="eastAsia" w:ascii="方正黑体_GBK" w:hAnsi="方正黑体_GBK" w:eastAsia="方正黑体_GBK" w:cs="方正黑体_GBK"/>
          <w:b w:val="0"/>
          <w:bCs w:val="0"/>
          <w:sz w:val="32"/>
          <w:szCs w:val="32"/>
        </w:rPr>
        <w:t>、</w:t>
      </w:r>
      <w:r>
        <w:rPr>
          <w:rStyle w:val="8"/>
          <w:rFonts w:hint="eastAsia" w:ascii="方正黑体_GBK" w:hAnsi="方正黑体_GBK" w:eastAsia="方正黑体_GBK" w:cs="方正黑体_GBK"/>
          <w:b w:val="0"/>
          <w:bCs w:val="0"/>
          <w:i w:val="0"/>
          <w:caps w:val="0"/>
          <w:color w:val="000000"/>
          <w:spacing w:val="0"/>
          <w:sz w:val="32"/>
          <w:szCs w:val="32"/>
          <w:shd w:val="clear" w:color="auto" w:fill="FFFFFF"/>
        </w:rPr>
        <w:t>决算公开联系方式及信息反馈渠道</w:t>
      </w:r>
    </w:p>
    <w:p>
      <w:pPr>
        <w:keepNext w:val="0"/>
        <w:keepLines w:val="0"/>
        <w:pageBreakBefore w:val="0"/>
        <w:kinsoku/>
        <w:wordWrap/>
        <w:overflowPunct/>
        <w:topLinePunct w:val="0"/>
        <w:autoSpaceDE/>
        <w:autoSpaceDN/>
        <w:bidi w:val="0"/>
        <w:adjustRightInd/>
        <w:snapToGrid/>
        <w:spacing w:line="600" w:lineRule="exact"/>
        <w:ind w:left="0" w:leftChars="0" w:firstLine="560" w:firstLineChars="17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本单位决算公开信息反馈和联系方式：023-56557148。</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7C555E"/>
    <w:multiLevelType w:val="singleLevel"/>
    <w:tmpl w:val="D57C55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B9"/>
    <w:rsid w:val="0000699E"/>
    <w:rsid w:val="0013529A"/>
    <w:rsid w:val="001C387A"/>
    <w:rsid w:val="00220D4E"/>
    <w:rsid w:val="002336A0"/>
    <w:rsid w:val="00266128"/>
    <w:rsid w:val="003C3DE2"/>
    <w:rsid w:val="003D2774"/>
    <w:rsid w:val="00435187"/>
    <w:rsid w:val="004C3090"/>
    <w:rsid w:val="00562057"/>
    <w:rsid w:val="00630F71"/>
    <w:rsid w:val="006626B9"/>
    <w:rsid w:val="0067211D"/>
    <w:rsid w:val="00695307"/>
    <w:rsid w:val="0073342B"/>
    <w:rsid w:val="00775A3B"/>
    <w:rsid w:val="00790447"/>
    <w:rsid w:val="007B3BD9"/>
    <w:rsid w:val="00822E9B"/>
    <w:rsid w:val="008A62D3"/>
    <w:rsid w:val="008E640F"/>
    <w:rsid w:val="00A84FD7"/>
    <w:rsid w:val="00B15AA8"/>
    <w:rsid w:val="00C46B2D"/>
    <w:rsid w:val="00C812DC"/>
    <w:rsid w:val="00CD12AA"/>
    <w:rsid w:val="00D6073F"/>
    <w:rsid w:val="00D83F77"/>
    <w:rsid w:val="00E1336B"/>
    <w:rsid w:val="00E2194A"/>
    <w:rsid w:val="00EA7E1B"/>
    <w:rsid w:val="00EB78F9"/>
    <w:rsid w:val="00F954BF"/>
    <w:rsid w:val="00FA2459"/>
    <w:rsid w:val="00FA6BE6"/>
    <w:rsid w:val="00FC2F05"/>
    <w:rsid w:val="00FD008B"/>
    <w:rsid w:val="026F59D1"/>
    <w:rsid w:val="02965194"/>
    <w:rsid w:val="04CA39F7"/>
    <w:rsid w:val="05B30E02"/>
    <w:rsid w:val="06590772"/>
    <w:rsid w:val="09667274"/>
    <w:rsid w:val="09D565B8"/>
    <w:rsid w:val="0A0F2696"/>
    <w:rsid w:val="0AFE1DFC"/>
    <w:rsid w:val="0BCF5302"/>
    <w:rsid w:val="0CC2432B"/>
    <w:rsid w:val="0F411006"/>
    <w:rsid w:val="0FE36C70"/>
    <w:rsid w:val="172049F0"/>
    <w:rsid w:val="17A44837"/>
    <w:rsid w:val="19AD60C7"/>
    <w:rsid w:val="1A043FD4"/>
    <w:rsid w:val="1AA73C15"/>
    <w:rsid w:val="2130007F"/>
    <w:rsid w:val="25E85EBD"/>
    <w:rsid w:val="26E869B6"/>
    <w:rsid w:val="283A0A21"/>
    <w:rsid w:val="2CE6361D"/>
    <w:rsid w:val="2D2F6BC9"/>
    <w:rsid w:val="2DB94313"/>
    <w:rsid w:val="2E1765B1"/>
    <w:rsid w:val="2EF463EB"/>
    <w:rsid w:val="36110123"/>
    <w:rsid w:val="36B47D16"/>
    <w:rsid w:val="39C95D7C"/>
    <w:rsid w:val="3B0245B2"/>
    <w:rsid w:val="3CC24B3F"/>
    <w:rsid w:val="41C35E53"/>
    <w:rsid w:val="41E163D7"/>
    <w:rsid w:val="44C1420F"/>
    <w:rsid w:val="456F4911"/>
    <w:rsid w:val="49511B91"/>
    <w:rsid w:val="4A507749"/>
    <w:rsid w:val="4BCE5CE3"/>
    <w:rsid w:val="4C180FDD"/>
    <w:rsid w:val="4D057042"/>
    <w:rsid w:val="4D334BE7"/>
    <w:rsid w:val="4D410A43"/>
    <w:rsid w:val="4D5D3AE1"/>
    <w:rsid w:val="52DE74AA"/>
    <w:rsid w:val="570E04AD"/>
    <w:rsid w:val="571965F0"/>
    <w:rsid w:val="5CA7245E"/>
    <w:rsid w:val="5D76368B"/>
    <w:rsid w:val="5F3E00B8"/>
    <w:rsid w:val="602E0DFC"/>
    <w:rsid w:val="616560DF"/>
    <w:rsid w:val="616C7D83"/>
    <w:rsid w:val="61A648B5"/>
    <w:rsid w:val="637F2DA8"/>
    <w:rsid w:val="64696E65"/>
    <w:rsid w:val="64E87B3B"/>
    <w:rsid w:val="65A10D45"/>
    <w:rsid w:val="65C42F7B"/>
    <w:rsid w:val="68AC1839"/>
    <w:rsid w:val="6A831CEA"/>
    <w:rsid w:val="6B1B3D92"/>
    <w:rsid w:val="6B6A3DAB"/>
    <w:rsid w:val="6C754CEA"/>
    <w:rsid w:val="6D961608"/>
    <w:rsid w:val="6F8177CA"/>
    <w:rsid w:val="710270C6"/>
    <w:rsid w:val="72F414A5"/>
    <w:rsid w:val="73970532"/>
    <w:rsid w:val="73E90B82"/>
    <w:rsid w:val="7407671B"/>
    <w:rsid w:val="77E25BB7"/>
    <w:rsid w:val="78156F5E"/>
    <w:rsid w:val="782470E8"/>
    <w:rsid w:val="78554A5A"/>
    <w:rsid w:val="78A61CBF"/>
    <w:rsid w:val="791023CC"/>
    <w:rsid w:val="79753F69"/>
    <w:rsid w:val="7B0C1DFC"/>
    <w:rsid w:val="7BDD4CD3"/>
    <w:rsid w:val="7BE11D67"/>
    <w:rsid w:val="7D5F660C"/>
    <w:rsid w:val="7E88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00"/>
      <w:u w:val="none"/>
    </w:r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327</Words>
  <Characters>1866</Characters>
  <Lines>15</Lines>
  <Paragraphs>4</Paragraphs>
  <TotalTime>17</TotalTime>
  <ScaleCrop>false</ScaleCrop>
  <LinksUpToDate>false</LinksUpToDate>
  <CharactersWithSpaces>2189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2018-08-20T07:04:00Z</dcterms:created>
  <dc:creator>XZJD</dc:creator>
  <cp:lastModifiedBy>Administrator</cp:lastModifiedBy>
  <cp:lastPrinted>2021-10-12T08:26:00Z</cp:lastPrinted>
  <dcterms:modified xsi:type="dcterms:W3CDTF">2022-01-25T02:44:52Z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436CB16BB5FA4BD2A974BCC73F2664BE</vt:lpwstr>
  </property>
</Properties>
</file>