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val="0"/>
        <w:snapToGrid w:val="0"/>
        <w:spacing w:line="600" w:lineRule="exact"/>
        <w:textAlignment w:val="auto"/>
        <w:rPr>
          <w:rFonts w:hint="default" w:ascii="Times New Roman" w:hAnsi="Times New Roman" w:eastAsia="方正楷体_GBK" w:cs="Times New Roman"/>
          <w:spacing w:val="-20"/>
          <w:sz w:val="32"/>
          <w:szCs w:val="32"/>
        </w:rPr>
      </w:pPr>
      <w:r>
        <w:rPr>
          <w:rFonts w:hint="default" w:ascii="Times New Roman" w:hAnsi="Times New Roman" w:eastAsia="方正楷体_GBK" w:cs="Times New Roman"/>
          <w:spacing w:val="-20"/>
          <w:sz w:val="32"/>
          <w:szCs w:val="32"/>
        </w:rPr>
        <w:t>县十</w:t>
      </w:r>
      <w:r>
        <w:rPr>
          <w:rFonts w:hint="default" w:ascii="Times New Roman" w:hAnsi="Times New Roman" w:eastAsia="方正楷体_GBK" w:cs="Times New Roman"/>
          <w:spacing w:val="-20"/>
          <w:sz w:val="32"/>
          <w:szCs w:val="32"/>
          <w:lang w:val="en-US" w:eastAsia="zh-CN"/>
        </w:rPr>
        <w:t>八</w:t>
      </w:r>
      <w:r>
        <w:rPr>
          <w:rFonts w:hint="default" w:ascii="Times New Roman" w:hAnsi="Times New Roman" w:eastAsia="方正楷体_GBK" w:cs="Times New Roman"/>
          <w:spacing w:val="-20"/>
          <w:sz w:val="32"/>
          <w:szCs w:val="32"/>
        </w:rPr>
        <w:t>届人大</w:t>
      </w:r>
      <w:r>
        <w:rPr>
          <w:rFonts w:hint="default" w:ascii="Times New Roman" w:hAnsi="Times New Roman" w:eastAsia="方正楷体_GBK" w:cs="Times New Roman"/>
          <w:spacing w:val="-20"/>
          <w:sz w:val="32"/>
          <w:szCs w:val="32"/>
          <w:lang w:val="en-US" w:eastAsia="zh-CN"/>
        </w:rPr>
        <w:t>一</w:t>
      </w:r>
      <w:r>
        <w:rPr>
          <w:rFonts w:hint="default" w:ascii="Times New Roman" w:hAnsi="Times New Roman" w:eastAsia="方正楷体_GBK" w:cs="Times New Roman"/>
          <w:spacing w:val="-20"/>
          <w:sz w:val="32"/>
          <w:szCs w:val="32"/>
        </w:rPr>
        <w:t>次会议</w:t>
      </w:r>
    </w:p>
    <w:p>
      <w:pPr>
        <w:keepNext w:val="0"/>
        <w:keepLines w:val="0"/>
        <w:pageBreakBefore w:val="0"/>
        <w:widowControl w:val="0"/>
        <w:kinsoku/>
        <w:wordWrap/>
        <w:overflowPunct/>
        <w:topLinePunct w:val="0"/>
        <w:bidi w:val="0"/>
        <w:adjustRightInd w:val="0"/>
        <w:snapToGrid w:val="0"/>
        <w:spacing w:line="600" w:lineRule="exact"/>
        <w:textAlignment w:val="auto"/>
        <w:rPr>
          <w:rFonts w:hint="default" w:ascii="Times New Roman" w:hAnsi="Times New Roman" w:eastAsia="方正楷体_GBK" w:cs="Times New Roman"/>
          <w:spacing w:val="-20"/>
          <w:sz w:val="32"/>
          <w:szCs w:val="32"/>
        </w:rPr>
      </w:pPr>
      <w:r>
        <w:rPr>
          <w:rFonts w:hint="default" w:ascii="Times New Roman" w:hAnsi="Times New Roman" w:eastAsia="方正楷体_GBK" w:cs="Times New Roman"/>
          <w:spacing w:val="-20"/>
          <w:sz w:val="32"/>
          <w:szCs w:val="32"/>
        </w:rPr>
        <w:t>文　</w:t>
      </w:r>
      <w:r>
        <w:rPr>
          <w:rFonts w:hint="default" w:ascii="Times New Roman" w:hAnsi="Times New Roman" w:eastAsia="方正楷体_GBK" w:cs="Times New Roman"/>
          <w:spacing w:val="-20"/>
          <w:sz w:val="32"/>
          <w:szCs w:val="32"/>
          <w:lang w:val="en-US" w:eastAsia="zh-CN"/>
        </w:rPr>
        <w:t xml:space="preserve">    </w:t>
      </w:r>
      <w:r>
        <w:rPr>
          <w:rFonts w:hint="default" w:ascii="Times New Roman" w:hAnsi="Times New Roman" w:eastAsia="方正楷体_GBK" w:cs="Times New Roman"/>
          <w:spacing w:val="-20"/>
          <w:sz w:val="32"/>
          <w:szCs w:val="32"/>
        </w:rPr>
        <w:t>　　件 （</w:t>
      </w:r>
      <w:r>
        <w:rPr>
          <w:rFonts w:hint="default" w:ascii="Times New Roman" w:hAnsi="Times New Roman" w:eastAsia="方正楷体_GBK" w:cs="Times New Roman"/>
          <w:spacing w:val="-20"/>
          <w:sz w:val="32"/>
          <w:szCs w:val="32"/>
          <w:lang w:val="en-US" w:eastAsia="zh-CN"/>
        </w:rPr>
        <w:t>十</w:t>
      </w:r>
      <w:r>
        <w:rPr>
          <w:rFonts w:hint="default" w:ascii="Times New Roman" w:hAnsi="Times New Roman" w:eastAsia="方正楷体_GBK" w:cs="Times New Roman"/>
          <w:spacing w:val="-20"/>
          <w:sz w:val="32"/>
          <w:szCs w:val="32"/>
        </w:rPr>
        <w:t>）</w:t>
      </w:r>
    </w:p>
    <w:p>
      <w:pPr>
        <w:pStyle w:val="2"/>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奉节县2021年财政预算执行情况</w:t>
      </w:r>
    </w:p>
    <w:p>
      <w:pPr>
        <w:keepNext w:val="0"/>
        <w:keepLines w:val="0"/>
        <w:pageBreakBefore w:val="0"/>
        <w:widowControl w:val="0"/>
        <w:kinsoku/>
        <w:wordWrap/>
        <w:overflowPunct/>
        <w:topLinePunct w:val="0"/>
        <w:bidi w:val="0"/>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和2022年财政预算草案的报告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pacing w:val="-8"/>
          <w:sz w:val="32"/>
          <w:szCs w:val="32"/>
        </w:rPr>
      </w:pPr>
    </w:p>
    <w:p>
      <w:pPr>
        <w:spacing w:line="584" w:lineRule="exact"/>
        <w:jc w:val="center"/>
        <w:rPr>
          <w:rFonts w:hint="default" w:ascii="Times New Roman" w:hAnsi="Times New Roman" w:eastAsia="方正楷体_GBK" w:cs="Times New Roman"/>
          <w:sz w:val="30"/>
          <w:szCs w:val="30"/>
        </w:rPr>
      </w:pPr>
      <w:r>
        <w:rPr>
          <w:rFonts w:hint="default" w:ascii="Times New Roman" w:hAnsi="Times New Roman" w:eastAsia="方正楷体_GBK" w:cs="Times New Roman"/>
          <w:spacing w:val="-8"/>
          <w:sz w:val="30"/>
          <w:szCs w:val="30"/>
        </w:rPr>
        <w:t>——</w:t>
      </w:r>
      <w:r>
        <w:rPr>
          <w:rFonts w:hint="default" w:ascii="Times New Roman" w:hAnsi="Times New Roman" w:eastAsia="方正楷体_GBK" w:cs="Times New Roman"/>
          <w:spacing w:val="6"/>
          <w:kern w:val="0"/>
          <w:sz w:val="30"/>
          <w:szCs w:val="30"/>
        </w:rPr>
        <w:t>2022年1月</w:t>
      </w:r>
      <w:r>
        <w:rPr>
          <w:rFonts w:hint="default" w:ascii="Times New Roman" w:hAnsi="Times New Roman" w:eastAsia="方正楷体_GBK" w:cs="Times New Roman"/>
          <w:sz w:val="30"/>
          <w:szCs w:val="30"/>
        </w:rPr>
        <w:t xml:space="preserve">  在奉节县第十八届人民代表大会第一次会议上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楷体_GBK" w:cs="Times New Roman"/>
          <w:sz w:val="32"/>
          <w:szCs w:val="32"/>
        </w:rPr>
      </w:pPr>
    </w:p>
    <w:p>
      <w:pPr>
        <w:spacing w:line="584" w:lineRule="exact"/>
        <w:jc w:val="center"/>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奉节县财政局</w:t>
      </w:r>
    </w:p>
    <w:p>
      <w:pPr>
        <w:adjustRightInd w:val="0"/>
        <w:snapToGrid w:val="0"/>
        <w:spacing w:line="584" w:lineRule="exact"/>
        <w:rPr>
          <w:rFonts w:hint="default" w:ascii="Times New Roman" w:hAnsi="Times New Roman" w:eastAsia="方正仿宋_GBK" w:cs="Times New Roman"/>
          <w:sz w:val="32"/>
          <w:szCs w:val="32"/>
        </w:rPr>
      </w:pPr>
    </w:p>
    <w:p>
      <w:pPr>
        <w:adjustRightInd w:val="0"/>
        <w:snapToGrid w:val="0"/>
        <w:spacing w:line="58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各位代表：</w:t>
      </w:r>
    </w:p>
    <w:p>
      <w:pPr>
        <w:adjustRightInd w:val="0"/>
        <w:snapToGrid w:val="0"/>
        <w:spacing w:line="584" w:lineRule="exact"/>
        <w:ind w:firstLine="640" w:firstLineChars="200"/>
        <w:rPr>
          <w:rFonts w:hint="default" w:ascii="Times New Roman" w:hAnsi="Times New Roman" w:cs="Times New Roman"/>
          <w:sz w:val="32"/>
          <w:szCs w:val="32"/>
        </w:rPr>
      </w:pPr>
      <w:r>
        <w:rPr>
          <w:rFonts w:hint="default" w:ascii="Times New Roman" w:hAnsi="Times New Roman" w:eastAsia="方正仿宋_GBK" w:cs="Times New Roman"/>
          <w:sz w:val="32"/>
          <w:szCs w:val="32"/>
        </w:rPr>
        <w:t>受县人民政府</w:t>
      </w:r>
      <w:r>
        <w:rPr>
          <w:rFonts w:hint="default" w:ascii="Times New Roman" w:hAnsi="Times New Roman" w:eastAsia="方正仿宋_GBK" w:cs="Times New Roman"/>
          <w:spacing w:val="6"/>
          <w:kern w:val="0"/>
          <w:sz w:val="32"/>
          <w:szCs w:val="32"/>
        </w:rPr>
        <w:t>委托，现将奉节县2021年财政预算执行情况和2022年财政预算草案的报告提请大会审查</w:t>
      </w:r>
      <w:r>
        <w:rPr>
          <w:rFonts w:hint="default" w:ascii="Times New Roman" w:hAnsi="Times New Roman" w:eastAsia="方正仿宋_GBK" w:cs="Times New Roman"/>
          <w:sz w:val="32"/>
          <w:szCs w:val="32"/>
        </w:rPr>
        <w:t>，并请各位政协委员和列席人员提出意见。</w:t>
      </w:r>
    </w:p>
    <w:p>
      <w:pPr>
        <w:pStyle w:val="2"/>
        <w:spacing w:line="584" w:lineRule="exact"/>
        <w:ind w:firstLine="640" w:firstLineChars="200"/>
        <w:rPr>
          <w:rFonts w:hint="default" w:ascii="Times New Roman" w:hAnsi="Times New Roman" w:cs="Times New Roman"/>
          <w:color w:val="auto"/>
        </w:rPr>
      </w:pPr>
      <w:r>
        <w:rPr>
          <w:rFonts w:hint="default" w:ascii="Times New Roman" w:hAnsi="Times New Roman" w:eastAsia="方正黑体_GBK" w:cs="Times New Roman"/>
          <w:color w:val="auto"/>
          <w:sz w:val="32"/>
          <w:szCs w:val="32"/>
        </w:rPr>
        <w:t>一、2021年预算执行情况</w:t>
      </w:r>
    </w:p>
    <w:p>
      <w:pPr>
        <w:pStyle w:val="2"/>
        <w:spacing w:line="584" w:lineRule="exact"/>
        <w:ind w:firstLine="640" w:firstLineChars="200"/>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（一）全县预算执行情况。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distribute"/>
        <w:textAlignment w:val="auto"/>
        <w:rPr>
          <w:rFonts w:hint="default" w:ascii="Times New Roman" w:hAnsi="Times New Roman" w:eastAsia="方正仿宋_GBK" w:cs="Times New Roman"/>
          <w:sz w:val="32"/>
          <w:szCs w:val="32"/>
        </w:rPr>
        <w:sectPr>
          <w:headerReference r:id="rId3" w:type="default"/>
          <w:footerReference r:id="rId4" w:type="default"/>
          <w:pgSz w:w="11849" w:h="16781"/>
          <w:pgMar w:top="2098" w:right="1531" w:bottom="1757" w:left="1531" w:header="851" w:footer="1417" w:gutter="0"/>
          <w:pgNumType w:fmt="numberInDash" w:start="2"/>
          <w:cols w:space="0" w:num="1"/>
          <w:rtlGutter w:val="1"/>
          <w:docGrid w:type="lines" w:linePitch="319" w:charSpace="0"/>
        </w:sectPr>
      </w:pPr>
      <w:r>
        <w:rPr>
          <w:rFonts w:hint="default" w:ascii="Times New Roman" w:hAnsi="Times New Roman" w:eastAsia="方正仿宋_GBK" w:cs="Times New Roman"/>
          <w:sz w:val="32"/>
          <w:szCs w:val="32"/>
        </w:rPr>
        <w:t>2021年，全县财政收入年初预算为351200万元。一般公共预算收入165000万元，其中税收收入106000万元，非税收入59000万元。政府性基金预算收入176200万元。国有资本经营预算收入10000万元。因落实减税降费政策和促进房地产持续</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z w:val="32"/>
          <w:szCs w:val="32"/>
        </w:rPr>
        <w:t>健康发展等经济政策调整，对全县预算进行了调整，</w:t>
      </w:r>
      <w:r>
        <w:rPr>
          <w:rFonts w:hint="default" w:ascii="Times New Roman" w:hAnsi="Times New Roman" w:eastAsia="方正仿宋_GBK" w:cs="Times New Roman"/>
          <w:spacing w:val="6"/>
          <w:sz w:val="32"/>
          <w:szCs w:val="32"/>
        </w:rPr>
        <w:t>并经县十七届人大常委会第三十六次会议审议通过，</w:t>
      </w:r>
      <w:r>
        <w:rPr>
          <w:rFonts w:hint="default" w:ascii="Times New Roman" w:hAnsi="Times New Roman" w:eastAsia="方正仿宋_GBK" w:cs="Times New Roman"/>
          <w:sz w:val="32"/>
          <w:szCs w:val="32"/>
        </w:rPr>
        <w:t>全县财政收入调整为371000万元</w:t>
      </w:r>
      <w:r>
        <w:rPr>
          <w:rFonts w:hint="default" w:ascii="Times New Roman" w:hAnsi="Times New Roman" w:eastAsia="方正仿宋_GBK" w:cs="Times New Roman"/>
          <w:spacing w:val="6"/>
          <w:sz w:val="32"/>
          <w:szCs w:val="32"/>
        </w:rPr>
        <w:t>。2021年全县财政收入完成372677万元，同比增长14.6%，加上上级补助收入557032万元、债券转贷收入136184万元、调入资金128265万元、调入预算稳定调节基金158万元、上年结转收入54775万元后，全县财政总收入为1249091万元。全县财政支出882233万元，加上上解支出40271万元、地方政府债务还本支出59100万元、调出资金128265万元、安排预算稳定调节基金1677万元、结转下年支出137545万元后，全县财政总支出为1249091万元。</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cs="Times New Roman"/>
          <w:color w:val="auto"/>
          <w:kern w:val="2"/>
          <w:sz w:val="32"/>
          <w:szCs w:val="32"/>
        </w:rPr>
      </w:pPr>
      <w:r>
        <w:rPr>
          <w:rFonts w:hint="default" w:ascii="Times New Roman" w:hAnsi="Times New Roman" w:cs="Times New Roman"/>
          <w:color w:val="auto"/>
          <w:kern w:val="2"/>
          <w:sz w:val="32"/>
          <w:szCs w:val="32"/>
        </w:rPr>
        <w:t>1.全县一般公共预算。</w:t>
      </w:r>
    </w:p>
    <w:tbl>
      <w:tblPr>
        <w:tblStyle w:val="9"/>
        <w:tblW w:w="9140" w:type="dxa"/>
        <w:jc w:val="center"/>
        <w:tblLayout w:type="fixed"/>
        <w:tblCellMar>
          <w:top w:w="0" w:type="dxa"/>
          <w:left w:w="108" w:type="dxa"/>
          <w:bottom w:w="0" w:type="dxa"/>
          <w:right w:w="108" w:type="dxa"/>
        </w:tblCellMar>
      </w:tblPr>
      <w:tblGrid>
        <w:gridCol w:w="3347"/>
        <w:gridCol w:w="1396"/>
        <w:gridCol w:w="3152"/>
        <w:gridCol w:w="1245"/>
      </w:tblGrid>
      <w:tr>
        <w:tblPrEx>
          <w:tblCellMar>
            <w:top w:w="0" w:type="dxa"/>
            <w:left w:w="108" w:type="dxa"/>
            <w:bottom w:w="0" w:type="dxa"/>
            <w:right w:w="108" w:type="dxa"/>
          </w:tblCellMar>
        </w:tblPrEx>
        <w:trPr>
          <w:trHeight w:val="624" w:hRule="atLeast"/>
          <w:jc w:val="center"/>
        </w:trPr>
        <w:tc>
          <w:tcPr>
            <w:tcW w:w="9140" w:type="dxa"/>
            <w:gridSpan w:val="4"/>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auto"/>
              <w:rPr>
                <w:rFonts w:hint="default" w:ascii="Times New Roman" w:hAnsi="Times New Roman" w:eastAsia="方正书宋_GBK" w:cs="Times New Roman"/>
                <w:kern w:val="0"/>
                <w:sz w:val="28"/>
                <w:szCs w:val="28"/>
              </w:rPr>
            </w:pPr>
            <w:r>
              <w:rPr>
                <w:rFonts w:hint="default" w:ascii="Times New Roman" w:hAnsi="Times New Roman" w:eastAsia="方正小标宋_GBK" w:cs="Times New Roman"/>
                <w:b w:val="0"/>
                <w:bCs w:val="0"/>
                <w:spacing w:val="6"/>
                <w:kern w:val="0"/>
                <w:sz w:val="30"/>
                <w:szCs w:val="30"/>
              </w:rPr>
              <w:t>2021</w:t>
            </w:r>
            <w:r>
              <w:rPr>
                <w:rFonts w:hint="default" w:ascii="Times New Roman" w:hAnsi="Times New Roman" w:eastAsia="方正小标宋_GBK" w:cs="Times New Roman"/>
                <w:b w:val="0"/>
                <w:bCs w:val="0"/>
                <w:spacing w:val="-4"/>
                <w:sz w:val="30"/>
                <w:szCs w:val="30"/>
              </w:rPr>
              <w:t>年全县一般公共预算收支平衡情况表</w:t>
            </w:r>
          </w:p>
        </w:tc>
      </w:tr>
      <w:tr>
        <w:tblPrEx>
          <w:tblCellMar>
            <w:top w:w="0" w:type="dxa"/>
            <w:left w:w="108" w:type="dxa"/>
            <w:bottom w:w="0" w:type="dxa"/>
            <w:right w:w="108" w:type="dxa"/>
          </w:tblCellMar>
        </w:tblPrEx>
        <w:trPr>
          <w:trHeight w:val="227" w:hRule="atLeast"/>
          <w:jc w:val="center"/>
        </w:trPr>
        <w:tc>
          <w:tcPr>
            <w:tcW w:w="3347" w:type="dxa"/>
            <w:tcBorders>
              <w:top w:val="nil"/>
              <w:left w:val="nil"/>
              <w:bottom w:val="single" w:color="auto" w:sz="4" w:space="0"/>
              <w:right w:val="nil"/>
            </w:tcBorders>
            <w:vAlign w:val="center"/>
          </w:tcPr>
          <w:p>
            <w:pPr>
              <w:pStyle w:val="2"/>
              <w:keepNext w:val="0"/>
              <w:keepLines w:val="0"/>
              <w:pageBreakBefore w:val="0"/>
              <w:kinsoku/>
              <w:wordWrap/>
              <w:overflowPunct/>
              <w:topLinePunct w:val="0"/>
              <w:bidi w:val="0"/>
              <w:spacing w:line="360" w:lineRule="exact"/>
              <w:textAlignment w:val="auto"/>
              <w:rPr>
                <w:rFonts w:hint="default" w:ascii="Times New Roman" w:hAnsi="Times New Roman" w:eastAsia="方正书宋_GBK" w:cs="Times New Roman"/>
                <w:color w:val="auto"/>
                <w:sz w:val="28"/>
                <w:szCs w:val="28"/>
              </w:rPr>
            </w:pPr>
          </w:p>
        </w:tc>
        <w:tc>
          <w:tcPr>
            <w:tcW w:w="1396" w:type="dxa"/>
            <w:tcBorders>
              <w:top w:val="nil"/>
              <w:left w:val="nil"/>
              <w:bottom w:val="single" w:color="auto" w:sz="4" w:space="0"/>
              <w:right w:val="nil"/>
            </w:tcBorders>
            <w:vAlign w:val="center"/>
          </w:tcPr>
          <w:p>
            <w:pPr>
              <w:keepNext w:val="0"/>
              <w:keepLines w:val="0"/>
              <w:pageBreakBefore w:val="0"/>
              <w:widowControl/>
              <w:kinsoku/>
              <w:wordWrap/>
              <w:overflowPunct/>
              <w:topLinePunct w:val="0"/>
              <w:bidi w:val="0"/>
              <w:snapToGrid w:val="0"/>
              <w:spacing w:line="360" w:lineRule="exact"/>
              <w:textAlignment w:val="auto"/>
              <w:rPr>
                <w:rFonts w:hint="default" w:ascii="Times New Roman" w:hAnsi="Times New Roman" w:eastAsia="方正书宋_GBK" w:cs="Times New Roman"/>
                <w:kern w:val="0"/>
                <w:sz w:val="28"/>
                <w:szCs w:val="28"/>
              </w:rPr>
            </w:pPr>
          </w:p>
        </w:tc>
        <w:tc>
          <w:tcPr>
            <w:tcW w:w="4397" w:type="dxa"/>
            <w:gridSpan w:val="2"/>
            <w:tcBorders>
              <w:top w:val="nil"/>
              <w:left w:val="nil"/>
              <w:bottom w:val="single" w:color="auto" w:sz="4" w:space="0"/>
              <w:right w:val="nil"/>
            </w:tcBorders>
            <w:vAlign w:val="center"/>
          </w:tcPr>
          <w:p>
            <w:pPr>
              <w:keepNext w:val="0"/>
              <w:keepLines w:val="0"/>
              <w:pageBreakBefore w:val="0"/>
              <w:widowControl/>
              <w:kinsoku/>
              <w:wordWrap/>
              <w:overflowPunct/>
              <w:topLinePunct w:val="0"/>
              <w:bidi w:val="0"/>
              <w:snapToGrid w:val="0"/>
              <w:spacing w:line="360" w:lineRule="exact"/>
              <w:jc w:val="right"/>
              <w:textAlignment w:val="auto"/>
              <w:rPr>
                <w:rFonts w:hint="default" w:ascii="Times New Roman" w:hAnsi="Times New Roman" w:eastAsia="方正书宋_GBK" w:cs="Times New Roman"/>
                <w:kern w:val="0"/>
                <w:sz w:val="28"/>
                <w:szCs w:val="28"/>
              </w:rPr>
            </w:pPr>
            <w:r>
              <w:rPr>
                <w:rFonts w:hint="default" w:ascii="Times New Roman" w:hAnsi="Times New Roman" w:eastAsia="方正书宋_GBK" w:cs="Times New Roman"/>
                <w:spacing w:val="-4"/>
                <w:sz w:val="28"/>
                <w:szCs w:val="28"/>
              </w:rPr>
              <w:t>单位：万元</w:t>
            </w:r>
          </w:p>
        </w:tc>
      </w:tr>
      <w:tr>
        <w:tblPrEx>
          <w:tblCellMar>
            <w:top w:w="0" w:type="dxa"/>
            <w:left w:w="108" w:type="dxa"/>
            <w:bottom w:w="0" w:type="dxa"/>
            <w:right w:w="108" w:type="dxa"/>
          </w:tblCellMar>
        </w:tblPrEx>
        <w:trPr>
          <w:trHeight w:val="454" w:hRule="atLeast"/>
          <w:jc w:val="center"/>
        </w:trPr>
        <w:tc>
          <w:tcPr>
            <w:tcW w:w="33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360" w:lineRule="exact"/>
              <w:jc w:val="center"/>
              <w:textAlignment w:val="auto"/>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收     入</w:t>
            </w:r>
          </w:p>
        </w:tc>
        <w:tc>
          <w:tcPr>
            <w:tcW w:w="13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360" w:lineRule="exact"/>
              <w:jc w:val="center"/>
              <w:textAlignment w:val="auto"/>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执行数</w:t>
            </w:r>
          </w:p>
        </w:tc>
        <w:tc>
          <w:tcPr>
            <w:tcW w:w="3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360" w:lineRule="exact"/>
              <w:jc w:val="center"/>
              <w:textAlignment w:val="auto"/>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支    出</w:t>
            </w: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line="360" w:lineRule="exact"/>
              <w:jc w:val="center"/>
              <w:textAlignment w:val="auto"/>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执行数</w:t>
            </w:r>
          </w:p>
        </w:tc>
      </w:tr>
      <w:tr>
        <w:tblPrEx>
          <w:tblCellMar>
            <w:top w:w="0" w:type="dxa"/>
            <w:left w:w="108" w:type="dxa"/>
            <w:bottom w:w="0" w:type="dxa"/>
            <w:right w:w="108" w:type="dxa"/>
          </w:tblCellMar>
        </w:tblPrEx>
        <w:trPr>
          <w:trHeight w:val="454" w:hRule="atLeast"/>
          <w:jc w:val="center"/>
        </w:trPr>
        <w:tc>
          <w:tcPr>
            <w:tcW w:w="33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exact"/>
              <w:jc w:val="center"/>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总  计</w:t>
            </w:r>
          </w:p>
        </w:tc>
        <w:tc>
          <w:tcPr>
            <w:tcW w:w="139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845732</w:t>
            </w:r>
          </w:p>
        </w:tc>
        <w:tc>
          <w:tcPr>
            <w:tcW w:w="315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exact"/>
              <w:jc w:val="center"/>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总  计</w:t>
            </w: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845732</w:t>
            </w:r>
          </w:p>
        </w:tc>
      </w:tr>
      <w:tr>
        <w:tblPrEx>
          <w:tblCellMar>
            <w:top w:w="0" w:type="dxa"/>
            <w:left w:w="108" w:type="dxa"/>
            <w:bottom w:w="0" w:type="dxa"/>
            <w:right w:w="108" w:type="dxa"/>
          </w:tblCellMar>
        </w:tblPrEx>
        <w:trPr>
          <w:trHeight w:val="454" w:hRule="atLeast"/>
          <w:jc w:val="center"/>
        </w:trPr>
        <w:tc>
          <w:tcPr>
            <w:tcW w:w="3347"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一、本级收入</w:t>
            </w:r>
          </w:p>
        </w:tc>
        <w:tc>
          <w:tcPr>
            <w:tcW w:w="1396"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162659</w:t>
            </w:r>
          </w:p>
        </w:tc>
        <w:tc>
          <w:tcPr>
            <w:tcW w:w="3152"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一、本级支出</w:t>
            </w:r>
          </w:p>
        </w:tc>
        <w:tc>
          <w:tcPr>
            <w:tcW w:w="1245"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745762</w:t>
            </w:r>
          </w:p>
        </w:tc>
      </w:tr>
      <w:tr>
        <w:tblPrEx>
          <w:tblCellMar>
            <w:top w:w="0" w:type="dxa"/>
            <w:left w:w="108" w:type="dxa"/>
            <w:bottom w:w="0" w:type="dxa"/>
            <w:right w:w="108" w:type="dxa"/>
          </w:tblCellMar>
        </w:tblPrEx>
        <w:trPr>
          <w:trHeight w:val="454" w:hRule="atLeast"/>
          <w:jc w:val="center"/>
        </w:trPr>
        <w:tc>
          <w:tcPr>
            <w:tcW w:w="33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税收收入</w:t>
            </w:r>
          </w:p>
        </w:tc>
        <w:tc>
          <w:tcPr>
            <w:tcW w:w="139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98063</w:t>
            </w:r>
          </w:p>
        </w:tc>
        <w:tc>
          <w:tcPr>
            <w:tcW w:w="315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二、转移性支出</w:t>
            </w: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99970</w:t>
            </w:r>
          </w:p>
        </w:tc>
      </w:tr>
      <w:tr>
        <w:tblPrEx>
          <w:tblCellMar>
            <w:top w:w="0" w:type="dxa"/>
            <w:left w:w="108" w:type="dxa"/>
            <w:bottom w:w="0" w:type="dxa"/>
            <w:right w:w="108" w:type="dxa"/>
          </w:tblCellMar>
        </w:tblPrEx>
        <w:trPr>
          <w:trHeight w:val="454" w:hRule="atLeast"/>
          <w:jc w:val="center"/>
        </w:trPr>
        <w:tc>
          <w:tcPr>
            <w:tcW w:w="33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非税收入</w:t>
            </w:r>
          </w:p>
        </w:tc>
        <w:tc>
          <w:tcPr>
            <w:tcW w:w="1396" w:type="dxa"/>
            <w:tcBorders>
              <w:top w:val="single" w:color="auto" w:sz="4" w:space="0"/>
              <w:left w:val="nil"/>
              <w:bottom w:val="single" w:color="auto" w:sz="4" w:space="0"/>
              <w:right w:val="single" w:color="auto" w:sz="4" w:space="0"/>
            </w:tcBorders>
            <w:vAlign w:val="center"/>
          </w:tcPr>
          <w:p>
            <w:pPr>
              <w:pStyle w:val="2"/>
              <w:keepNext w:val="0"/>
              <w:keepLines w:val="0"/>
              <w:pageBreakBefore w:val="0"/>
              <w:kinsoku/>
              <w:wordWrap/>
              <w:overflowPunct/>
              <w:topLinePunct w:val="0"/>
              <w:bidi w:val="0"/>
              <w:adjustRightInd/>
              <w:snapToGrid w:val="0"/>
              <w:spacing w:line="360" w:lineRule="exact"/>
              <w:jc w:val="right"/>
              <w:textAlignment w:val="auto"/>
              <w:rPr>
                <w:rFonts w:hint="default" w:ascii="Times New Roman" w:hAnsi="Times New Roman" w:eastAsia="方正书宋_GBK" w:cs="Times New Roman"/>
                <w:color w:val="auto"/>
                <w:sz w:val="28"/>
                <w:szCs w:val="28"/>
              </w:rPr>
            </w:pPr>
            <w:r>
              <w:rPr>
                <w:rFonts w:hint="default" w:ascii="Times New Roman" w:hAnsi="Times New Roman" w:eastAsia="方正书宋_GBK" w:cs="Times New Roman"/>
                <w:color w:val="auto"/>
                <w:sz w:val="28"/>
                <w:szCs w:val="28"/>
              </w:rPr>
              <w:t>64596</w:t>
            </w:r>
          </w:p>
        </w:tc>
        <w:tc>
          <w:tcPr>
            <w:tcW w:w="315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上解支出</w:t>
            </w: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31817</w:t>
            </w:r>
          </w:p>
        </w:tc>
      </w:tr>
      <w:tr>
        <w:tblPrEx>
          <w:tblCellMar>
            <w:top w:w="0" w:type="dxa"/>
            <w:left w:w="108" w:type="dxa"/>
            <w:bottom w:w="0" w:type="dxa"/>
            <w:right w:w="108" w:type="dxa"/>
          </w:tblCellMar>
        </w:tblPrEx>
        <w:trPr>
          <w:trHeight w:val="454" w:hRule="atLeast"/>
          <w:jc w:val="center"/>
        </w:trPr>
        <w:tc>
          <w:tcPr>
            <w:tcW w:w="33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二、转移性收入</w:t>
            </w:r>
          </w:p>
        </w:tc>
        <w:tc>
          <w:tcPr>
            <w:tcW w:w="139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683073</w:t>
            </w:r>
          </w:p>
        </w:tc>
        <w:tc>
          <w:tcPr>
            <w:tcW w:w="315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地方政府债务还本支出</w:t>
            </w: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53100</w:t>
            </w:r>
          </w:p>
        </w:tc>
      </w:tr>
      <w:tr>
        <w:tblPrEx>
          <w:tblCellMar>
            <w:top w:w="0" w:type="dxa"/>
            <w:left w:w="108" w:type="dxa"/>
            <w:bottom w:w="0" w:type="dxa"/>
            <w:right w:w="108" w:type="dxa"/>
          </w:tblCellMar>
        </w:tblPrEx>
        <w:trPr>
          <w:trHeight w:val="454" w:hRule="atLeast"/>
          <w:jc w:val="center"/>
        </w:trPr>
        <w:tc>
          <w:tcPr>
            <w:tcW w:w="33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上级补助收入</w:t>
            </w:r>
          </w:p>
        </w:tc>
        <w:tc>
          <w:tcPr>
            <w:tcW w:w="139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474392</w:t>
            </w:r>
          </w:p>
        </w:tc>
        <w:tc>
          <w:tcPr>
            <w:tcW w:w="315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安排预算稳定调节基金</w:t>
            </w: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1677</w:t>
            </w:r>
          </w:p>
        </w:tc>
      </w:tr>
      <w:tr>
        <w:tblPrEx>
          <w:tblCellMar>
            <w:top w:w="0" w:type="dxa"/>
            <w:left w:w="108" w:type="dxa"/>
            <w:bottom w:w="0" w:type="dxa"/>
            <w:right w:w="108" w:type="dxa"/>
          </w:tblCellMar>
        </w:tblPrEx>
        <w:trPr>
          <w:trHeight w:val="454" w:hRule="atLeast"/>
          <w:jc w:val="center"/>
        </w:trPr>
        <w:tc>
          <w:tcPr>
            <w:tcW w:w="33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债券转贷收入</w:t>
            </w:r>
          </w:p>
        </w:tc>
        <w:tc>
          <w:tcPr>
            <w:tcW w:w="139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75184</w:t>
            </w:r>
          </w:p>
        </w:tc>
        <w:tc>
          <w:tcPr>
            <w:tcW w:w="315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结转下年</w:t>
            </w: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13376</w:t>
            </w:r>
          </w:p>
        </w:tc>
      </w:tr>
      <w:tr>
        <w:tblPrEx>
          <w:tblCellMar>
            <w:top w:w="0" w:type="dxa"/>
            <w:left w:w="108" w:type="dxa"/>
            <w:bottom w:w="0" w:type="dxa"/>
            <w:right w:w="108" w:type="dxa"/>
          </w:tblCellMar>
        </w:tblPrEx>
        <w:trPr>
          <w:trHeight w:val="454" w:hRule="atLeast"/>
          <w:jc w:val="center"/>
        </w:trPr>
        <w:tc>
          <w:tcPr>
            <w:tcW w:w="33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调入资金</w:t>
            </w:r>
          </w:p>
        </w:tc>
        <w:tc>
          <w:tcPr>
            <w:tcW w:w="139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128265</w:t>
            </w:r>
          </w:p>
        </w:tc>
        <w:tc>
          <w:tcPr>
            <w:tcW w:w="315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exact"/>
              <w:textAlignment w:val="auto"/>
              <w:rPr>
                <w:rFonts w:hint="default" w:ascii="Times New Roman" w:hAnsi="Times New Roman" w:eastAsia="方正书宋_GBK" w:cs="Times New Roman"/>
                <w:sz w:val="28"/>
                <w:szCs w:val="28"/>
              </w:rPr>
            </w:pP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exact"/>
              <w:jc w:val="right"/>
              <w:textAlignment w:val="auto"/>
              <w:rPr>
                <w:rFonts w:hint="default" w:ascii="Times New Roman" w:hAnsi="Times New Roman" w:eastAsia="方正书宋_GBK" w:cs="Times New Roman"/>
                <w:sz w:val="28"/>
                <w:szCs w:val="28"/>
              </w:rPr>
            </w:pPr>
          </w:p>
        </w:tc>
      </w:tr>
      <w:tr>
        <w:tblPrEx>
          <w:tblCellMar>
            <w:top w:w="0" w:type="dxa"/>
            <w:left w:w="108" w:type="dxa"/>
            <w:bottom w:w="0" w:type="dxa"/>
            <w:right w:w="108" w:type="dxa"/>
          </w:tblCellMar>
        </w:tblPrEx>
        <w:trPr>
          <w:trHeight w:val="454" w:hRule="atLeast"/>
          <w:jc w:val="center"/>
        </w:trPr>
        <w:tc>
          <w:tcPr>
            <w:tcW w:w="33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调入预算稳定调节基金</w:t>
            </w:r>
          </w:p>
        </w:tc>
        <w:tc>
          <w:tcPr>
            <w:tcW w:w="139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158</w:t>
            </w:r>
          </w:p>
        </w:tc>
        <w:tc>
          <w:tcPr>
            <w:tcW w:w="315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exact"/>
              <w:textAlignment w:val="auto"/>
              <w:rPr>
                <w:rFonts w:hint="default" w:ascii="Times New Roman" w:hAnsi="Times New Roman" w:eastAsia="方正书宋_GBK" w:cs="Times New Roman"/>
                <w:sz w:val="28"/>
                <w:szCs w:val="28"/>
              </w:rPr>
            </w:pP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exact"/>
              <w:jc w:val="right"/>
              <w:textAlignment w:val="auto"/>
              <w:rPr>
                <w:rFonts w:hint="default" w:ascii="Times New Roman" w:hAnsi="Times New Roman" w:eastAsia="方正书宋_GBK" w:cs="Times New Roman"/>
                <w:sz w:val="28"/>
                <w:szCs w:val="28"/>
              </w:rPr>
            </w:pPr>
          </w:p>
        </w:tc>
      </w:tr>
      <w:tr>
        <w:tblPrEx>
          <w:tblCellMar>
            <w:top w:w="0" w:type="dxa"/>
            <w:left w:w="108" w:type="dxa"/>
            <w:bottom w:w="0" w:type="dxa"/>
            <w:right w:w="108" w:type="dxa"/>
          </w:tblCellMar>
        </w:tblPrEx>
        <w:trPr>
          <w:trHeight w:val="454" w:hRule="atLeast"/>
          <w:jc w:val="center"/>
        </w:trPr>
        <w:tc>
          <w:tcPr>
            <w:tcW w:w="33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上年结转</w:t>
            </w:r>
          </w:p>
        </w:tc>
        <w:tc>
          <w:tcPr>
            <w:tcW w:w="1396"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5074</w:t>
            </w:r>
          </w:p>
        </w:tc>
        <w:tc>
          <w:tcPr>
            <w:tcW w:w="315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exact"/>
              <w:ind w:firstLine="280" w:firstLineChars="100"/>
              <w:textAlignment w:val="auto"/>
              <w:rPr>
                <w:rFonts w:hint="default" w:ascii="Times New Roman" w:hAnsi="Times New Roman" w:eastAsia="方正书宋_GBK" w:cs="Times New Roman"/>
                <w:sz w:val="28"/>
                <w:szCs w:val="28"/>
              </w:rPr>
            </w:pPr>
          </w:p>
        </w:tc>
        <w:tc>
          <w:tcPr>
            <w:tcW w:w="12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360" w:lineRule="exact"/>
              <w:jc w:val="right"/>
              <w:textAlignment w:val="auto"/>
              <w:rPr>
                <w:rFonts w:hint="default" w:ascii="Times New Roman" w:hAnsi="Times New Roman" w:eastAsia="方正书宋_GBK" w:cs="Times New Roman"/>
                <w:sz w:val="28"/>
                <w:szCs w:val="28"/>
              </w:rPr>
            </w:pPr>
          </w:p>
        </w:tc>
      </w:tr>
    </w:tbl>
    <w:p>
      <w:pPr>
        <w:keepNext w:val="0"/>
        <w:keepLines w:val="0"/>
        <w:pageBreakBefore w:val="0"/>
        <w:widowControl/>
        <w:kinsoku/>
        <w:wordWrap/>
        <w:overflowPunct/>
        <w:topLinePunct w:val="0"/>
        <w:bidi w:val="0"/>
        <w:snapToGrid/>
        <w:spacing w:line="600" w:lineRule="exact"/>
        <w:ind w:firstLine="664" w:firstLineChars="200"/>
        <w:textAlignment w:val="auto"/>
        <w:rPr>
          <w:rFonts w:hint="default" w:ascii="Times New Roman" w:hAnsi="Times New Roman" w:eastAsia="方正仿宋_GBK" w:cs="Times New Roman"/>
          <w:spacing w:val="6"/>
          <w:kern w:val="0"/>
          <w:sz w:val="32"/>
          <w:szCs w:val="32"/>
        </w:rPr>
      </w:pPr>
      <w:r>
        <w:rPr>
          <w:rFonts w:hint="default" w:ascii="Times New Roman" w:hAnsi="Times New Roman" w:eastAsia="方正仿宋_GBK" w:cs="Times New Roman"/>
          <w:spacing w:val="6"/>
          <w:kern w:val="0"/>
          <w:sz w:val="32"/>
          <w:szCs w:val="32"/>
        </w:rPr>
        <w:t>——全县一般公共预算收入162659万元，增长5%。其中税收收入98063万元，下降1.4%；非税收入64596万元，增长16.4%。加上上级补助收入、债券转贷收入、调入资金和上年结转收入等683073万元后，收入总计845732万元。</w:t>
      </w:r>
    </w:p>
    <w:p>
      <w:pPr>
        <w:pStyle w:val="2"/>
        <w:keepNext w:val="0"/>
        <w:keepLines w:val="0"/>
        <w:pageBreakBefore w:val="0"/>
        <w:kinsoku/>
        <w:wordWrap/>
        <w:overflowPunct/>
        <w:topLinePunct w:val="0"/>
        <w:bidi w:val="0"/>
        <w:snapToGrid/>
        <w:spacing w:line="600" w:lineRule="exact"/>
        <w:ind w:firstLine="664" w:firstLineChars="200"/>
        <w:jc w:val="both"/>
        <w:textAlignment w:val="auto"/>
        <w:rPr>
          <w:rFonts w:hint="default" w:ascii="Times New Roman" w:hAnsi="Times New Roman" w:cs="Times New Roman"/>
          <w:color w:val="auto"/>
          <w:spacing w:val="6"/>
          <w:sz w:val="32"/>
          <w:szCs w:val="32"/>
        </w:rPr>
      </w:pPr>
      <w:r>
        <w:rPr>
          <w:rFonts w:hint="default" w:ascii="Times New Roman" w:hAnsi="Times New Roman" w:cs="Times New Roman"/>
          <w:color w:val="auto"/>
          <w:spacing w:val="6"/>
          <w:sz w:val="32"/>
          <w:szCs w:val="32"/>
        </w:rPr>
        <w:t>——全县一般公共预算支出745762万元，下降7.7%。加上上解支出31817万元、债务还本支出53100万元、安排预算稳定调节基金1677万元、结转下年13376万元后，支出总计845732万元。</w:t>
      </w:r>
    </w:p>
    <w:p>
      <w:pPr>
        <w:pStyle w:val="2"/>
        <w:keepNext w:val="0"/>
        <w:keepLines w:val="0"/>
        <w:pageBreakBefore w:val="0"/>
        <w:widowControl w:val="0"/>
        <w:tabs>
          <w:tab w:val="left" w:pos="7447"/>
        </w:tabs>
        <w:kinsoku/>
        <w:wordWrap/>
        <w:overflowPunct/>
        <w:topLinePunct w:val="0"/>
        <w:autoSpaceDE w:val="0"/>
        <w:autoSpaceDN w:val="0"/>
        <w:bidi w:val="0"/>
        <w:adjustRightInd w:val="0"/>
        <w:snapToGrid/>
        <w:spacing w:after="161" w:afterLines="50" w:line="600" w:lineRule="exact"/>
        <w:ind w:firstLine="640" w:firstLineChars="200"/>
        <w:textAlignment w:val="auto"/>
        <w:rPr>
          <w:rFonts w:hint="default" w:ascii="Times New Roman" w:hAnsi="Times New Roman" w:cs="Times New Roman"/>
          <w:color w:val="auto"/>
          <w:kern w:val="2"/>
          <w:sz w:val="32"/>
          <w:szCs w:val="32"/>
        </w:rPr>
      </w:pPr>
      <w:r>
        <w:rPr>
          <w:rFonts w:hint="default" w:ascii="Times New Roman" w:hAnsi="Times New Roman" w:cs="Times New Roman"/>
          <w:color w:val="auto"/>
          <w:kern w:val="2"/>
          <w:sz w:val="32"/>
          <w:szCs w:val="32"/>
        </w:rPr>
        <w:t>2.全县政府性基金预算。</w:t>
      </w:r>
      <w:r>
        <w:rPr>
          <w:rFonts w:hint="default" w:ascii="Times New Roman" w:hAnsi="Times New Roman" w:cs="Times New Roman"/>
          <w:color w:val="auto"/>
          <w:kern w:val="2"/>
          <w:sz w:val="32"/>
          <w:szCs w:val="32"/>
        </w:rPr>
        <w:tab/>
      </w:r>
    </w:p>
    <w:tbl>
      <w:tblPr>
        <w:tblStyle w:val="9"/>
        <w:tblW w:w="9000" w:type="dxa"/>
        <w:jc w:val="center"/>
        <w:tblLayout w:type="fixed"/>
        <w:tblCellMar>
          <w:top w:w="0" w:type="dxa"/>
          <w:left w:w="108" w:type="dxa"/>
          <w:bottom w:w="0" w:type="dxa"/>
          <w:right w:w="108" w:type="dxa"/>
        </w:tblCellMar>
      </w:tblPr>
      <w:tblGrid>
        <w:gridCol w:w="3101"/>
        <w:gridCol w:w="1272"/>
        <w:gridCol w:w="3349"/>
        <w:gridCol w:w="1278"/>
      </w:tblGrid>
      <w:tr>
        <w:tblPrEx>
          <w:tblCellMar>
            <w:top w:w="0" w:type="dxa"/>
            <w:left w:w="108" w:type="dxa"/>
            <w:bottom w:w="0" w:type="dxa"/>
            <w:right w:w="108" w:type="dxa"/>
          </w:tblCellMar>
        </w:tblPrEx>
        <w:trPr>
          <w:trHeight w:val="624" w:hRule="exact"/>
          <w:jc w:val="center"/>
        </w:trPr>
        <w:tc>
          <w:tcPr>
            <w:tcW w:w="9000" w:type="dxa"/>
            <w:gridSpan w:val="4"/>
            <w:vAlign w:val="center"/>
          </w:tcPr>
          <w:p>
            <w:pPr>
              <w:pStyle w:val="2"/>
              <w:autoSpaceDE/>
              <w:autoSpaceDN/>
              <w:snapToGrid w:val="0"/>
              <w:spacing w:line="584" w:lineRule="exact"/>
              <w:jc w:val="center"/>
              <w:rPr>
                <w:rFonts w:hint="default" w:ascii="Times New Roman" w:hAnsi="Times New Roman" w:eastAsia="方正小标宋_GBK" w:cs="Times New Roman"/>
                <w:b w:val="0"/>
                <w:bCs w:val="0"/>
                <w:color w:val="auto"/>
                <w:kern w:val="2"/>
                <w:sz w:val="30"/>
                <w:szCs w:val="30"/>
              </w:rPr>
            </w:pPr>
            <w:r>
              <w:rPr>
                <w:rFonts w:hint="default" w:ascii="Times New Roman" w:hAnsi="Times New Roman" w:eastAsia="方正小标宋_GBK" w:cs="Times New Roman"/>
                <w:b w:val="0"/>
                <w:bCs w:val="0"/>
                <w:color w:val="auto"/>
                <w:spacing w:val="6"/>
                <w:sz w:val="30"/>
                <w:szCs w:val="30"/>
              </w:rPr>
              <w:t>2021</w:t>
            </w:r>
            <w:r>
              <w:rPr>
                <w:rFonts w:hint="default" w:ascii="Times New Roman" w:hAnsi="Times New Roman" w:eastAsia="方正小标宋_GBK" w:cs="Times New Roman"/>
                <w:b w:val="0"/>
                <w:bCs w:val="0"/>
                <w:color w:val="auto"/>
                <w:kern w:val="2"/>
                <w:sz w:val="30"/>
                <w:szCs w:val="30"/>
              </w:rPr>
              <w:t>年全县政府性基金预算收支平衡情况表</w:t>
            </w:r>
          </w:p>
          <w:p>
            <w:pPr>
              <w:widowControl/>
              <w:adjustRightInd w:val="0"/>
              <w:snapToGrid w:val="0"/>
              <w:spacing w:line="584" w:lineRule="exact"/>
              <w:jc w:val="right"/>
              <w:rPr>
                <w:rFonts w:hint="default" w:ascii="Times New Roman" w:hAnsi="Times New Roman" w:eastAsia="方正书宋_GBK" w:cs="Times New Roman"/>
                <w:spacing w:val="-4"/>
                <w:sz w:val="28"/>
                <w:szCs w:val="28"/>
              </w:rPr>
            </w:pPr>
          </w:p>
        </w:tc>
      </w:tr>
      <w:tr>
        <w:tblPrEx>
          <w:tblCellMar>
            <w:top w:w="0" w:type="dxa"/>
            <w:left w:w="108" w:type="dxa"/>
            <w:bottom w:w="0" w:type="dxa"/>
            <w:right w:w="108" w:type="dxa"/>
          </w:tblCellMar>
        </w:tblPrEx>
        <w:trPr>
          <w:trHeight w:val="624" w:hRule="exact"/>
          <w:jc w:val="center"/>
        </w:trPr>
        <w:tc>
          <w:tcPr>
            <w:tcW w:w="9000" w:type="dxa"/>
            <w:gridSpan w:val="4"/>
            <w:tcBorders>
              <w:bottom w:val="single" w:color="auto" w:sz="4" w:space="0"/>
            </w:tcBorders>
            <w:vAlign w:val="center"/>
          </w:tcPr>
          <w:p>
            <w:pPr>
              <w:widowControl/>
              <w:adjustRightInd w:val="0"/>
              <w:snapToGrid w:val="0"/>
              <w:spacing w:line="584" w:lineRule="exact"/>
              <w:jc w:val="right"/>
              <w:rPr>
                <w:rFonts w:hint="default" w:ascii="Times New Roman" w:hAnsi="Times New Roman" w:eastAsia="方正书宋_GBK" w:cs="Times New Roman"/>
                <w:kern w:val="0"/>
                <w:sz w:val="28"/>
                <w:szCs w:val="28"/>
              </w:rPr>
            </w:pPr>
            <w:r>
              <w:rPr>
                <w:rFonts w:hint="default" w:ascii="Times New Roman" w:hAnsi="Times New Roman" w:eastAsia="方正书宋_GBK" w:cs="Times New Roman"/>
                <w:spacing w:val="-4"/>
                <w:sz w:val="28"/>
                <w:szCs w:val="28"/>
              </w:rPr>
              <w:t>单位：万元</w:t>
            </w:r>
          </w:p>
        </w:tc>
      </w:tr>
      <w:tr>
        <w:tblPrEx>
          <w:tblCellMar>
            <w:top w:w="0" w:type="dxa"/>
            <w:left w:w="108" w:type="dxa"/>
            <w:bottom w:w="0" w:type="dxa"/>
            <w:right w:w="108" w:type="dxa"/>
          </w:tblCellMar>
        </w:tblPrEx>
        <w:trPr>
          <w:trHeight w:val="510" w:hRule="atLeast"/>
          <w:jc w:val="center"/>
        </w:trPr>
        <w:tc>
          <w:tcPr>
            <w:tcW w:w="3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黑体_GBK" w:cs="Times New Roman"/>
                <w:b w:val="0"/>
                <w:bCs w:val="0"/>
                <w:kern w:val="0"/>
                <w:sz w:val="28"/>
                <w:szCs w:val="28"/>
              </w:rPr>
            </w:pPr>
            <w:r>
              <w:rPr>
                <w:rFonts w:hint="default" w:ascii="Times New Roman" w:hAnsi="Times New Roman" w:eastAsia="方正黑体_GBK" w:cs="Times New Roman"/>
                <w:b w:val="0"/>
                <w:bCs w:val="0"/>
                <w:kern w:val="0"/>
                <w:sz w:val="28"/>
                <w:szCs w:val="28"/>
              </w:rPr>
              <w:t>收     入</w:t>
            </w:r>
          </w:p>
        </w:tc>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黑体_GBK" w:cs="Times New Roman"/>
                <w:b w:val="0"/>
                <w:bCs w:val="0"/>
                <w:kern w:val="0"/>
                <w:sz w:val="28"/>
                <w:szCs w:val="28"/>
              </w:rPr>
            </w:pPr>
            <w:r>
              <w:rPr>
                <w:rFonts w:hint="default" w:ascii="Times New Roman" w:hAnsi="Times New Roman" w:eastAsia="方正黑体_GBK" w:cs="Times New Roman"/>
                <w:b w:val="0"/>
                <w:bCs w:val="0"/>
                <w:kern w:val="0"/>
                <w:sz w:val="28"/>
                <w:szCs w:val="28"/>
              </w:rPr>
              <w:t>执行数</w:t>
            </w:r>
          </w:p>
        </w:tc>
        <w:tc>
          <w:tcPr>
            <w:tcW w:w="33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黑体_GBK" w:cs="Times New Roman"/>
                <w:b w:val="0"/>
                <w:bCs w:val="0"/>
                <w:kern w:val="0"/>
                <w:sz w:val="28"/>
                <w:szCs w:val="28"/>
              </w:rPr>
            </w:pPr>
            <w:r>
              <w:rPr>
                <w:rFonts w:hint="default" w:ascii="Times New Roman" w:hAnsi="Times New Roman" w:eastAsia="方正黑体_GBK" w:cs="Times New Roman"/>
                <w:b w:val="0"/>
                <w:bCs w:val="0"/>
                <w:kern w:val="0"/>
                <w:sz w:val="28"/>
                <w:szCs w:val="28"/>
              </w:rPr>
              <w:t>支    出</w:t>
            </w:r>
          </w:p>
        </w:tc>
        <w:tc>
          <w:tcPr>
            <w:tcW w:w="1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黑体_GBK" w:cs="Times New Roman"/>
                <w:b w:val="0"/>
                <w:bCs w:val="0"/>
                <w:kern w:val="0"/>
                <w:sz w:val="28"/>
                <w:szCs w:val="28"/>
              </w:rPr>
            </w:pPr>
            <w:r>
              <w:rPr>
                <w:rFonts w:hint="default" w:ascii="Times New Roman" w:hAnsi="Times New Roman" w:eastAsia="方正黑体_GBK" w:cs="Times New Roman"/>
                <w:b w:val="0"/>
                <w:bCs w:val="0"/>
                <w:kern w:val="0"/>
                <w:sz w:val="28"/>
                <w:szCs w:val="28"/>
              </w:rPr>
              <w:t>执行数</w:t>
            </w:r>
          </w:p>
        </w:tc>
      </w:tr>
      <w:tr>
        <w:tblPrEx>
          <w:tblCellMar>
            <w:top w:w="0" w:type="dxa"/>
            <w:left w:w="108" w:type="dxa"/>
            <w:bottom w:w="0" w:type="dxa"/>
            <w:right w:w="108" w:type="dxa"/>
          </w:tblCellMar>
        </w:tblPrEx>
        <w:trPr>
          <w:trHeight w:val="510" w:hRule="atLeast"/>
          <w:jc w:val="center"/>
        </w:trPr>
        <w:tc>
          <w:tcPr>
            <w:tcW w:w="3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总  计</w:t>
            </w:r>
          </w:p>
        </w:tc>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393355</w:t>
            </w:r>
          </w:p>
        </w:tc>
        <w:tc>
          <w:tcPr>
            <w:tcW w:w="33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总  计</w:t>
            </w:r>
          </w:p>
        </w:tc>
        <w:tc>
          <w:tcPr>
            <w:tcW w:w="1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393355</w:t>
            </w:r>
          </w:p>
        </w:tc>
      </w:tr>
      <w:tr>
        <w:tblPrEx>
          <w:tblCellMar>
            <w:top w:w="0" w:type="dxa"/>
            <w:left w:w="108" w:type="dxa"/>
            <w:bottom w:w="0" w:type="dxa"/>
            <w:right w:w="108" w:type="dxa"/>
          </w:tblCellMar>
        </w:tblPrEx>
        <w:trPr>
          <w:trHeight w:val="510" w:hRule="atLeast"/>
          <w:jc w:val="center"/>
        </w:trPr>
        <w:tc>
          <w:tcPr>
            <w:tcW w:w="3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一、本级收入</w:t>
            </w:r>
          </w:p>
        </w:tc>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200014</w:t>
            </w:r>
          </w:p>
        </w:tc>
        <w:tc>
          <w:tcPr>
            <w:tcW w:w="33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一、本级支出</w:t>
            </w:r>
          </w:p>
        </w:tc>
        <w:tc>
          <w:tcPr>
            <w:tcW w:w="1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133722</w:t>
            </w:r>
          </w:p>
        </w:tc>
      </w:tr>
      <w:tr>
        <w:tblPrEx>
          <w:tblCellMar>
            <w:top w:w="0" w:type="dxa"/>
            <w:left w:w="108" w:type="dxa"/>
            <w:bottom w:w="0" w:type="dxa"/>
            <w:right w:w="108" w:type="dxa"/>
          </w:tblCellMar>
        </w:tblPrEx>
        <w:trPr>
          <w:trHeight w:val="510" w:hRule="atLeast"/>
          <w:jc w:val="center"/>
        </w:trPr>
        <w:tc>
          <w:tcPr>
            <w:tcW w:w="3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二、转移性收入</w:t>
            </w:r>
          </w:p>
        </w:tc>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193341</w:t>
            </w:r>
          </w:p>
        </w:tc>
        <w:tc>
          <w:tcPr>
            <w:tcW w:w="33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二、转移性支出</w:t>
            </w:r>
          </w:p>
        </w:tc>
        <w:tc>
          <w:tcPr>
            <w:tcW w:w="1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259633</w:t>
            </w:r>
          </w:p>
        </w:tc>
      </w:tr>
      <w:tr>
        <w:tblPrEx>
          <w:tblCellMar>
            <w:top w:w="0" w:type="dxa"/>
            <w:left w:w="108" w:type="dxa"/>
            <w:bottom w:w="0" w:type="dxa"/>
            <w:right w:w="108" w:type="dxa"/>
          </w:tblCellMar>
        </w:tblPrEx>
        <w:trPr>
          <w:trHeight w:val="510" w:hRule="atLeast"/>
          <w:jc w:val="center"/>
        </w:trPr>
        <w:tc>
          <w:tcPr>
            <w:tcW w:w="3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上级补助收入</w:t>
            </w:r>
          </w:p>
        </w:tc>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82640</w:t>
            </w:r>
          </w:p>
        </w:tc>
        <w:tc>
          <w:tcPr>
            <w:tcW w:w="33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上解支出</w:t>
            </w:r>
          </w:p>
        </w:tc>
        <w:tc>
          <w:tcPr>
            <w:tcW w:w="1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8454</w:t>
            </w:r>
          </w:p>
        </w:tc>
      </w:tr>
      <w:tr>
        <w:tblPrEx>
          <w:tblCellMar>
            <w:top w:w="0" w:type="dxa"/>
            <w:left w:w="108" w:type="dxa"/>
            <w:bottom w:w="0" w:type="dxa"/>
            <w:right w:w="108" w:type="dxa"/>
          </w:tblCellMar>
        </w:tblPrEx>
        <w:trPr>
          <w:trHeight w:val="510" w:hRule="atLeast"/>
          <w:jc w:val="center"/>
        </w:trPr>
        <w:tc>
          <w:tcPr>
            <w:tcW w:w="3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债券转贷收入</w:t>
            </w:r>
          </w:p>
        </w:tc>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61000</w:t>
            </w:r>
          </w:p>
        </w:tc>
        <w:tc>
          <w:tcPr>
            <w:tcW w:w="33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调出资金</w:t>
            </w:r>
          </w:p>
        </w:tc>
        <w:tc>
          <w:tcPr>
            <w:tcW w:w="1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121010</w:t>
            </w:r>
          </w:p>
        </w:tc>
      </w:tr>
      <w:tr>
        <w:tblPrEx>
          <w:tblCellMar>
            <w:top w:w="0" w:type="dxa"/>
            <w:left w:w="108" w:type="dxa"/>
            <w:bottom w:w="0" w:type="dxa"/>
            <w:right w:w="108" w:type="dxa"/>
          </w:tblCellMar>
        </w:tblPrEx>
        <w:trPr>
          <w:trHeight w:val="510" w:hRule="atLeast"/>
          <w:jc w:val="center"/>
        </w:trPr>
        <w:tc>
          <w:tcPr>
            <w:tcW w:w="3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上年结转</w:t>
            </w:r>
          </w:p>
        </w:tc>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49701</w:t>
            </w:r>
          </w:p>
        </w:tc>
        <w:tc>
          <w:tcPr>
            <w:tcW w:w="33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地方政府债务还本支出</w:t>
            </w:r>
          </w:p>
        </w:tc>
        <w:tc>
          <w:tcPr>
            <w:tcW w:w="1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6000</w:t>
            </w:r>
          </w:p>
        </w:tc>
      </w:tr>
      <w:tr>
        <w:tblPrEx>
          <w:tblCellMar>
            <w:top w:w="0" w:type="dxa"/>
            <w:left w:w="108" w:type="dxa"/>
            <w:bottom w:w="0" w:type="dxa"/>
            <w:right w:w="108" w:type="dxa"/>
          </w:tblCellMar>
        </w:tblPrEx>
        <w:trPr>
          <w:trHeight w:val="510" w:hRule="atLeast"/>
          <w:jc w:val="center"/>
        </w:trPr>
        <w:tc>
          <w:tcPr>
            <w:tcW w:w="31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方正书宋_GBK" w:cs="Times New Roman"/>
                <w:sz w:val="28"/>
                <w:szCs w:val="28"/>
              </w:rPr>
            </w:pPr>
          </w:p>
        </w:tc>
        <w:tc>
          <w:tcPr>
            <w:tcW w:w="12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right"/>
              <w:textAlignment w:val="auto"/>
              <w:rPr>
                <w:rFonts w:hint="default" w:ascii="Times New Roman" w:hAnsi="Times New Roman" w:eastAsia="方正书宋_GBK" w:cs="Times New Roman"/>
                <w:sz w:val="28"/>
                <w:szCs w:val="28"/>
              </w:rPr>
            </w:pPr>
          </w:p>
        </w:tc>
        <w:tc>
          <w:tcPr>
            <w:tcW w:w="33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结转下年</w:t>
            </w:r>
          </w:p>
        </w:tc>
        <w:tc>
          <w:tcPr>
            <w:tcW w:w="1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124169</w:t>
            </w:r>
          </w:p>
        </w:tc>
      </w:tr>
    </w:tbl>
    <w:p>
      <w:pPr>
        <w:pStyle w:val="8"/>
        <w:keepNext w:val="0"/>
        <w:keepLines w:val="0"/>
        <w:pageBreakBefore w:val="0"/>
        <w:widowControl/>
        <w:kinsoku/>
        <w:wordWrap/>
        <w:overflowPunct/>
        <w:topLinePunct w:val="0"/>
        <w:bidi w:val="0"/>
        <w:snapToGrid/>
        <w:spacing w:line="600" w:lineRule="exact"/>
        <w:ind w:firstLine="664" w:firstLineChars="200"/>
        <w:jc w:val="both"/>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——全县政府性基金预算收入200014万元，增长24.8%。加上上级补助收入82640万元、债券转贷收入61000万元、上年结转收入49701万元后，收入总计393355万元。</w:t>
      </w:r>
    </w:p>
    <w:p>
      <w:pPr>
        <w:pStyle w:val="8"/>
        <w:keepNext w:val="0"/>
        <w:keepLines w:val="0"/>
        <w:pageBreakBefore w:val="0"/>
        <w:widowControl/>
        <w:kinsoku/>
        <w:wordWrap/>
        <w:overflowPunct/>
        <w:topLinePunct w:val="0"/>
        <w:bidi w:val="0"/>
        <w:snapToGrid/>
        <w:spacing w:line="600" w:lineRule="exact"/>
        <w:ind w:firstLine="664" w:firstLineChars="200"/>
        <w:jc w:val="both"/>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——全县政府性基金预算支出133722万元，下降64.7%。加上上解支出8454万元、调出资金121010万元、债务还本支出6000万元、结转下年支出124169万元后，支出总计393355万元。</w:t>
      </w:r>
    </w:p>
    <w:p>
      <w:pPr>
        <w:pStyle w:val="2"/>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cs="Times New Roman"/>
          <w:color w:val="auto"/>
          <w:kern w:val="2"/>
          <w:sz w:val="32"/>
          <w:szCs w:val="32"/>
        </w:rPr>
      </w:pPr>
      <w:r>
        <w:rPr>
          <w:rFonts w:hint="default" w:ascii="Times New Roman" w:hAnsi="Times New Roman" w:cs="Times New Roman"/>
          <w:color w:val="auto"/>
          <w:kern w:val="2"/>
          <w:sz w:val="32"/>
          <w:szCs w:val="32"/>
        </w:rPr>
        <w:t>3.全县国有资本经营预算。</w:t>
      </w:r>
    </w:p>
    <w:tbl>
      <w:tblPr>
        <w:tblStyle w:val="9"/>
        <w:tblpPr w:leftFromText="180" w:rightFromText="180" w:vertAnchor="text" w:horzAnchor="page" w:tblpX="1787" w:tblpY="256"/>
        <w:tblOverlap w:val="never"/>
        <w:tblW w:w="8483" w:type="dxa"/>
        <w:tblInd w:w="0" w:type="dxa"/>
        <w:tblLayout w:type="fixed"/>
        <w:tblCellMar>
          <w:top w:w="0" w:type="dxa"/>
          <w:left w:w="108" w:type="dxa"/>
          <w:bottom w:w="0" w:type="dxa"/>
          <w:right w:w="108" w:type="dxa"/>
        </w:tblCellMar>
      </w:tblPr>
      <w:tblGrid>
        <w:gridCol w:w="3066"/>
        <w:gridCol w:w="1218"/>
        <w:gridCol w:w="2851"/>
        <w:gridCol w:w="1348"/>
      </w:tblGrid>
      <w:tr>
        <w:tblPrEx>
          <w:tblCellMar>
            <w:top w:w="0" w:type="dxa"/>
            <w:left w:w="108" w:type="dxa"/>
            <w:bottom w:w="0" w:type="dxa"/>
            <w:right w:w="108" w:type="dxa"/>
          </w:tblCellMar>
        </w:tblPrEx>
        <w:trPr>
          <w:trHeight w:val="521" w:hRule="exact"/>
        </w:trPr>
        <w:tc>
          <w:tcPr>
            <w:tcW w:w="8483" w:type="dxa"/>
            <w:gridSpan w:val="4"/>
            <w:tcBorders>
              <w:top w:val="nil"/>
              <w:left w:val="nil"/>
              <w:bottom w:val="nil"/>
              <w:right w:val="nil"/>
            </w:tcBorders>
            <w:vAlign w:val="center"/>
          </w:tcPr>
          <w:p>
            <w:pPr>
              <w:pStyle w:val="2"/>
              <w:keepNext w:val="0"/>
              <w:keepLines w:val="0"/>
              <w:pageBreakBefore w:val="0"/>
              <w:kinsoku/>
              <w:wordWrap/>
              <w:overflowPunct/>
              <w:topLinePunct w:val="0"/>
              <w:bidi w:val="0"/>
              <w:adjustRightInd/>
              <w:snapToGrid w:val="0"/>
              <w:spacing w:line="400" w:lineRule="exact"/>
              <w:jc w:val="center"/>
              <w:textAlignment w:val="auto"/>
              <w:rPr>
                <w:rFonts w:hint="default" w:ascii="Times New Roman" w:hAnsi="Times New Roman" w:eastAsia="方正小标宋_GBK" w:cs="Times New Roman"/>
                <w:b w:val="0"/>
                <w:bCs w:val="0"/>
                <w:color w:val="auto"/>
                <w:kern w:val="2"/>
                <w:sz w:val="30"/>
                <w:szCs w:val="30"/>
              </w:rPr>
            </w:pPr>
            <w:r>
              <w:rPr>
                <w:rFonts w:hint="default" w:ascii="Times New Roman" w:hAnsi="Times New Roman" w:eastAsia="方正小标宋_GBK" w:cs="Times New Roman"/>
                <w:b w:val="0"/>
                <w:bCs w:val="0"/>
                <w:color w:val="auto"/>
                <w:spacing w:val="6"/>
                <w:sz w:val="30"/>
                <w:szCs w:val="30"/>
              </w:rPr>
              <w:t>2021</w:t>
            </w:r>
            <w:r>
              <w:rPr>
                <w:rFonts w:hint="default" w:ascii="Times New Roman" w:hAnsi="Times New Roman" w:eastAsia="方正小标宋_GBK" w:cs="Times New Roman"/>
                <w:b w:val="0"/>
                <w:bCs w:val="0"/>
                <w:color w:val="auto"/>
                <w:kern w:val="2"/>
                <w:sz w:val="30"/>
                <w:szCs w:val="30"/>
              </w:rPr>
              <w:t>年全县国有资本经营预算收支平衡情况表</w:t>
            </w:r>
          </w:p>
          <w:p>
            <w:pPr>
              <w:keepNext w:val="0"/>
              <w:keepLines w:val="0"/>
              <w:pageBreakBefore w:val="0"/>
              <w:widowControl/>
              <w:kinsoku/>
              <w:wordWrap/>
              <w:overflowPunct/>
              <w:topLinePunct w:val="0"/>
              <w:bidi w:val="0"/>
              <w:adjustRightInd/>
              <w:snapToGrid w:val="0"/>
              <w:spacing w:line="400" w:lineRule="exact"/>
              <w:jc w:val="right"/>
              <w:textAlignment w:val="auto"/>
              <w:rPr>
                <w:rFonts w:hint="default" w:ascii="Times New Roman" w:hAnsi="Times New Roman" w:eastAsia="方正书宋_GBK" w:cs="Times New Roman"/>
                <w:spacing w:val="-4"/>
                <w:sz w:val="28"/>
                <w:szCs w:val="28"/>
              </w:rPr>
            </w:pPr>
          </w:p>
        </w:tc>
      </w:tr>
      <w:tr>
        <w:tblPrEx>
          <w:tblCellMar>
            <w:top w:w="0" w:type="dxa"/>
            <w:left w:w="108" w:type="dxa"/>
            <w:bottom w:w="0" w:type="dxa"/>
            <w:right w:w="108" w:type="dxa"/>
          </w:tblCellMar>
        </w:tblPrEx>
        <w:trPr>
          <w:trHeight w:val="508" w:hRule="exact"/>
        </w:trPr>
        <w:tc>
          <w:tcPr>
            <w:tcW w:w="8483" w:type="dxa"/>
            <w:gridSpan w:val="4"/>
            <w:tcBorders>
              <w:top w:val="nil"/>
              <w:left w:val="nil"/>
              <w:bottom w:val="single" w:color="auto" w:sz="4" w:space="0"/>
              <w:right w:val="nil"/>
            </w:tcBorders>
          </w:tcPr>
          <w:p>
            <w:pPr>
              <w:keepNext w:val="0"/>
              <w:keepLines w:val="0"/>
              <w:pageBreakBefore w:val="0"/>
              <w:widowControl/>
              <w:kinsoku/>
              <w:wordWrap/>
              <w:overflowPunct/>
              <w:topLinePunct w:val="0"/>
              <w:bidi w:val="0"/>
              <w:adjustRightInd/>
              <w:snapToGrid w:val="0"/>
              <w:spacing w:line="400" w:lineRule="exact"/>
              <w:jc w:val="right"/>
              <w:textAlignment w:val="auto"/>
              <w:rPr>
                <w:rFonts w:hint="default" w:ascii="Times New Roman" w:hAnsi="Times New Roman" w:eastAsia="方正书宋_GBK" w:cs="Times New Roman"/>
                <w:kern w:val="0"/>
                <w:sz w:val="28"/>
                <w:szCs w:val="28"/>
              </w:rPr>
            </w:pPr>
            <w:r>
              <w:rPr>
                <w:rFonts w:hint="default" w:ascii="Times New Roman" w:hAnsi="Times New Roman" w:eastAsia="方正书宋_GBK" w:cs="Times New Roman"/>
                <w:spacing w:val="-4"/>
                <w:sz w:val="28"/>
                <w:szCs w:val="28"/>
              </w:rPr>
              <w:t>单位：万元</w:t>
            </w:r>
          </w:p>
        </w:tc>
      </w:tr>
      <w:tr>
        <w:tblPrEx>
          <w:tblCellMar>
            <w:top w:w="0" w:type="dxa"/>
            <w:left w:w="108" w:type="dxa"/>
            <w:bottom w:w="0" w:type="dxa"/>
            <w:right w:w="108" w:type="dxa"/>
          </w:tblCellMar>
        </w:tblPrEx>
        <w:trPr>
          <w:trHeight w:val="510" w:hRule="atLeast"/>
        </w:trPr>
        <w:tc>
          <w:tcPr>
            <w:tcW w:w="3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val="0"/>
              <w:spacing w:line="400" w:lineRule="exact"/>
              <w:jc w:val="center"/>
              <w:textAlignment w:val="auto"/>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收     入</w:t>
            </w:r>
          </w:p>
        </w:tc>
        <w:tc>
          <w:tcPr>
            <w:tcW w:w="12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val="0"/>
              <w:spacing w:line="400" w:lineRule="exact"/>
              <w:jc w:val="center"/>
              <w:textAlignment w:val="auto"/>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执行数</w:t>
            </w:r>
          </w:p>
        </w:tc>
        <w:tc>
          <w:tcPr>
            <w:tcW w:w="2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val="0"/>
              <w:spacing w:line="400" w:lineRule="exact"/>
              <w:jc w:val="center"/>
              <w:textAlignment w:val="auto"/>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支    出</w:t>
            </w:r>
          </w:p>
        </w:tc>
        <w:tc>
          <w:tcPr>
            <w:tcW w:w="13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snapToGrid w:val="0"/>
              <w:spacing w:line="400" w:lineRule="exact"/>
              <w:jc w:val="center"/>
              <w:textAlignment w:val="auto"/>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执行数</w:t>
            </w:r>
          </w:p>
        </w:tc>
      </w:tr>
      <w:tr>
        <w:tblPrEx>
          <w:tblCellMar>
            <w:top w:w="0" w:type="dxa"/>
            <w:left w:w="108" w:type="dxa"/>
            <w:bottom w:w="0" w:type="dxa"/>
            <w:right w:w="108" w:type="dxa"/>
          </w:tblCellMar>
        </w:tblPrEx>
        <w:trPr>
          <w:trHeight w:val="510" w:hRule="atLeast"/>
        </w:trPr>
        <w:tc>
          <w:tcPr>
            <w:tcW w:w="3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400" w:lineRule="exact"/>
              <w:jc w:val="center"/>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总  计</w:t>
            </w:r>
          </w:p>
        </w:tc>
        <w:tc>
          <w:tcPr>
            <w:tcW w:w="12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10004</w:t>
            </w:r>
          </w:p>
        </w:tc>
        <w:tc>
          <w:tcPr>
            <w:tcW w:w="2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400" w:lineRule="exact"/>
              <w:jc w:val="center"/>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总  计</w:t>
            </w:r>
          </w:p>
        </w:tc>
        <w:tc>
          <w:tcPr>
            <w:tcW w:w="13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10004</w:t>
            </w:r>
          </w:p>
        </w:tc>
      </w:tr>
      <w:tr>
        <w:tblPrEx>
          <w:tblCellMar>
            <w:top w:w="0" w:type="dxa"/>
            <w:left w:w="108" w:type="dxa"/>
            <w:bottom w:w="0" w:type="dxa"/>
            <w:right w:w="108" w:type="dxa"/>
          </w:tblCellMar>
        </w:tblPrEx>
        <w:trPr>
          <w:trHeight w:val="510" w:hRule="atLeast"/>
        </w:trPr>
        <w:tc>
          <w:tcPr>
            <w:tcW w:w="3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一、本级收入</w:t>
            </w:r>
          </w:p>
        </w:tc>
        <w:tc>
          <w:tcPr>
            <w:tcW w:w="12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10004</w:t>
            </w:r>
          </w:p>
        </w:tc>
        <w:tc>
          <w:tcPr>
            <w:tcW w:w="2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一、本级支出</w:t>
            </w:r>
          </w:p>
        </w:tc>
        <w:tc>
          <w:tcPr>
            <w:tcW w:w="13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2749</w:t>
            </w:r>
          </w:p>
        </w:tc>
      </w:tr>
      <w:tr>
        <w:tblPrEx>
          <w:tblCellMar>
            <w:top w:w="0" w:type="dxa"/>
            <w:left w:w="108" w:type="dxa"/>
            <w:bottom w:w="0" w:type="dxa"/>
            <w:right w:w="108" w:type="dxa"/>
          </w:tblCellMar>
        </w:tblPrEx>
        <w:trPr>
          <w:trHeight w:val="510" w:hRule="atLeast"/>
        </w:trPr>
        <w:tc>
          <w:tcPr>
            <w:tcW w:w="3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二、转移性收入</w:t>
            </w:r>
          </w:p>
        </w:tc>
        <w:tc>
          <w:tcPr>
            <w:tcW w:w="12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400" w:lineRule="exact"/>
              <w:jc w:val="right"/>
              <w:textAlignment w:val="auto"/>
              <w:rPr>
                <w:rFonts w:hint="default" w:ascii="Times New Roman" w:hAnsi="Times New Roman" w:eastAsia="方正书宋_GBK" w:cs="Times New Roman"/>
                <w:sz w:val="28"/>
                <w:szCs w:val="28"/>
              </w:rPr>
            </w:pPr>
          </w:p>
        </w:tc>
        <w:tc>
          <w:tcPr>
            <w:tcW w:w="2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二、转移性支出</w:t>
            </w:r>
          </w:p>
        </w:tc>
        <w:tc>
          <w:tcPr>
            <w:tcW w:w="13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7255</w:t>
            </w:r>
          </w:p>
        </w:tc>
      </w:tr>
      <w:tr>
        <w:tblPrEx>
          <w:tblCellMar>
            <w:top w:w="0" w:type="dxa"/>
            <w:left w:w="108" w:type="dxa"/>
            <w:bottom w:w="0" w:type="dxa"/>
            <w:right w:w="108" w:type="dxa"/>
          </w:tblCellMar>
        </w:tblPrEx>
        <w:trPr>
          <w:trHeight w:val="510" w:hRule="atLeast"/>
        </w:trPr>
        <w:tc>
          <w:tcPr>
            <w:tcW w:w="3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上级补助收入</w:t>
            </w:r>
          </w:p>
        </w:tc>
        <w:tc>
          <w:tcPr>
            <w:tcW w:w="12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400" w:lineRule="exact"/>
              <w:jc w:val="right"/>
              <w:textAlignment w:val="auto"/>
              <w:rPr>
                <w:rFonts w:hint="default" w:ascii="Times New Roman" w:hAnsi="Times New Roman" w:eastAsia="方正书宋_GBK" w:cs="Times New Roman"/>
                <w:sz w:val="28"/>
                <w:szCs w:val="28"/>
              </w:rPr>
            </w:pPr>
          </w:p>
        </w:tc>
        <w:tc>
          <w:tcPr>
            <w:tcW w:w="2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调出资金</w:t>
            </w:r>
          </w:p>
        </w:tc>
        <w:tc>
          <w:tcPr>
            <w:tcW w:w="13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7255</w:t>
            </w:r>
          </w:p>
        </w:tc>
      </w:tr>
      <w:tr>
        <w:tblPrEx>
          <w:tblCellMar>
            <w:top w:w="0" w:type="dxa"/>
            <w:left w:w="108" w:type="dxa"/>
            <w:bottom w:w="0" w:type="dxa"/>
            <w:right w:w="108" w:type="dxa"/>
          </w:tblCellMar>
        </w:tblPrEx>
        <w:trPr>
          <w:trHeight w:val="510" w:hRule="atLeast"/>
        </w:trPr>
        <w:tc>
          <w:tcPr>
            <w:tcW w:w="3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上年结转</w:t>
            </w:r>
          </w:p>
        </w:tc>
        <w:tc>
          <w:tcPr>
            <w:tcW w:w="12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400" w:lineRule="exact"/>
              <w:jc w:val="right"/>
              <w:textAlignment w:val="auto"/>
              <w:rPr>
                <w:rFonts w:hint="default" w:ascii="Times New Roman" w:hAnsi="Times New Roman" w:eastAsia="方正书宋_GBK" w:cs="Times New Roman"/>
                <w:sz w:val="28"/>
                <w:szCs w:val="28"/>
              </w:rPr>
            </w:pPr>
          </w:p>
        </w:tc>
        <w:tc>
          <w:tcPr>
            <w:tcW w:w="2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结转下年</w:t>
            </w:r>
          </w:p>
        </w:tc>
        <w:tc>
          <w:tcPr>
            <w:tcW w:w="13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snapToGrid w:val="0"/>
              <w:spacing w:line="400" w:lineRule="exact"/>
              <w:jc w:val="right"/>
              <w:textAlignment w:val="auto"/>
              <w:rPr>
                <w:rFonts w:hint="default" w:ascii="Times New Roman" w:hAnsi="Times New Roman" w:eastAsia="方正书宋_GBK" w:cs="Times New Roman"/>
                <w:sz w:val="28"/>
                <w:szCs w:val="28"/>
              </w:rPr>
            </w:pPr>
          </w:p>
        </w:tc>
      </w:tr>
      <w:tr>
        <w:tblPrEx>
          <w:tblCellMar>
            <w:top w:w="0" w:type="dxa"/>
            <w:left w:w="108" w:type="dxa"/>
            <w:bottom w:w="0" w:type="dxa"/>
            <w:right w:w="108" w:type="dxa"/>
          </w:tblCellMar>
        </w:tblPrEx>
        <w:trPr>
          <w:trHeight w:val="510" w:hRule="exact"/>
        </w:trPr>
        <w:tc>
          <w:tcPr>
            <w:tcW w:w="8483" w:type="dxa"/>
            <w:gridSpan w:val="4"/>
            <w:tcBorders>
              <w:top w:val="nil"/>
              <w:left w:val="nil"/>
              <w:bottom w:val="nil"/>
              <w:right w:val="nil"/>
            </w:tcBorders>
            <w:vAlign w:val="center"/>
          </w:tcPr>
          <w:p>
            <w:pPr>
              <w:keepNext w:val="0"/>
              <w:keepLines w:val="0"/>
              <w:pageBreakBefore w:val="0"/>
              <w:widowControl/>
              <w:kinsoku/>
              <w:wordWrap/>
              <w:overflowPunct/>
              <w:topLinePunct w:val="0"/>
              <w:bidi w:val="0"/>
              <w:adjustRightInd/>
              <w:snapToGrid w:val="0"/>
              <w:spacing w:line="400" w:lineRule="exact"/>
              <w:jc w:val="right"/>
              <w:textAlignment w:val="auto"/>
              <w:rPr>
                <w:rFonts w:hint="default" w:ascii="Times New Roman" w:hAnsi="Times New Roman" w:eastAsia="方正书宋_GBK" w:cs="Times New Roman"/>
                <w:spacing w:val="-4"/>
                <w:sz w:val="28"/>
                <w:szCs w:val="28"/>
              </w:rPr>
            </w:pPr>
          </w:p>
        </w:tc>
      </w:tr>
    </w:tbl>
    <w:p>
      <w:pPr>
        <w:pStyle w:val="8"/>
        <w:keepNext w:val="0"/>
        <w:keepLines w:val="0"/>
        <w:pageBreakBefore w:val="0"/>
        <w:widowControl/>
        <w:kinsoku/>
        <w:wordWrap/>
        <w:overflowPunct/>
        <w:topLinePunct w:val="0"/>
        <w:bidi w:val="0"/>
        <w:snapToGrid/>
        <w:spacing w:line="600" w:lineRule="exact"/>
        <w:ind w:firstLine="664" w:firstLineChars="200"/>
        <w:jc w:val="both"/>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——全县国有资本经营预算收入10004万元。收入总计10004万元。</w:t>
      </w:r>
    </w:p>
    <w:p>
      <w:pPr>
        <w:pStyle w:val="8"/>
        <w:keepNext w:val="0"/>
        <w:keepLines w:val="0"/>
        <w:pageBreakBefore w:val="0"/>
        <w:widowControl/>
        <w:kinsoku/>
        <w:wordWrap/>
        <w:overflowPunct/>
        <w:topLinePunct w:val="0"/>
        <w:bidi w:val="0"/>
        <w:snapToGrid/>
        <w:spacing w:line="600" w:lineRule="exact"/>
        <w:ind w:firstLine="664"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spacing w:val="6"/>
          <w:sz w:val="32"/>
          <w:szCs w:val="32"/>
        </w:rPr>
        <w:t>——全县国有资本经营预算支出2749万元。加上调出资金7255万元后，支出总计10004万元。</w:t>
      </w:r>
    </w:p>
    <w:p>
      <w:pPr>
        <w:pStyle w:val="2"/>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（二）县本级预算执行情况。</w:t>
      </w:r>
    </w:p>
    <w:p>
      <w:pPr>
        <w:pStyle w:val="8"/>
        <w:keepNext w:val="0"/>
        <w:keepLines w:val="0"/>
        <w:pageBreakBefore w:val="0"/>
        <w:widowControl/>
        <w:kinsoku/>
        <w:wordWrap/>
        <w:overflowPunct/>
        <w:topLinePunct w:val="0"/>
        <w:bidi w:val="0"/>
        <w:snapToGrid/>
        <w:spacing w:line="600" w:lineRule="exact"/>
        <w:ind w:firstLine="664" w:firstLineChars="200"/>
        <w:jc w:val="both"/>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2021年县本级财政收入年初预算为351200万元，调整预算为371000万元，实际完成372677万元，加上上级补助收入557032万元、债券转贷收入136184万元、调入资金128265万元、调入预算稳定调节基金158万元、上年结转收入54775万元后，县本级财政总收入为1249091万元。县本级财政支出771679万元，加上补助下级支出110554万元、上解支出40271万元、地方政府债务还本支出59100万元、调出资金128265万元、安排预算稳定调节基金1677万元、结转下年支出137545万元后，县本级财政总支出为1249091万元。</w:t>
      </w:r>
    </w:p>
    <w:p>
      <w:pPr>
        <w:pStyle w:val="2"/>
        <w:keepNext w:val="0"/>
        <w:keepLines w:val="0"/>
        <w:pageBreakBefore w:val="0"/>
        <w:widowControl w:val="0"/>
        <w:kinsoku/>
        <w:wordWrap/>
        <w:overflowPunct/>
        <w:topLinePunct w:val="0"/>
        <w:autoSpaceDE w:val="0"/>
        <w:autoSpaceDN w:val="0"/>
        <w:bidi w:val="0"/>
        <w:adjustRightInd w:val="0"/>
        <w:snapToGrid/>
        <w:spacing w:after="161" w:afterLines="50" w:line="600" w:lineRule="exact"/>
        <w:ind w:firstLine="640" w:firstLineChars="200"/>
        <w:textAlignment w:val="auto"/>
        <w:rPr>
          <w:rFonts w:hint="default" w:ascii="Times New Roman" w:hAnsi="Times New Roman" w:cs="Times New Roman"/>
          <w:color w:val="auto"/>
          <w:spacing w:val="6"/>
          <w:sz w:val="32"/>
          <w:szCs w:val="32"/>
        </w:rPr>
      </w:pPr>
      <w:r>
        <w:rPr>
          <w:rFonts w:hint="default" w:ascii="Times New Roman" w:hAnsi="Times New Roman" w:cs="Times New Roman"/>
          <w:color w:val="auto"/>
          <w:kern w:val="2"/>
          <w:sz w:val="32"/>
          <w:szCs w:val="32"/>
        </w:rPr>
        <w:t>1.县本级一般公共预算执行情况。</w:t>
      </w:r>
      <w:r>
        <w:rPr>
          <w:rFonts w:hint="default" w:ascii="Times New Roman" w:hAnsi="Times New Roman" w:cs="Times New Roman"/>
          <w:color w:val="auto"/>
          <w:spacing w:val="6"/>
          <w:sz w:val="32"/>
          <w:szCs w:val="32"/>
        </w:rPr>
        <w:t xml:space="preserve">                                       </w:t>
      </w:r>
    </w:p>
    <w:tbl>
      <w:tblPr>
        <w:tblStyle w:val="9"/>
        <w:tblW w:w="8907" w:type="dxa"/>
        <w:jc w:val="center"/>
        <w:tblLayout w:type="fixed"/>
        <w:tblCellMar>
          <w:top w:w="0" w:type="dxa"/>
          <w:left w:w="108" w:type="dxa"/>
          <w:bottom w:w="0" w:type="dxa"/>
          <w:right w:w="108" w:type="dxa"/>
        </w:tblCellMar>
      </w:tblPr>
      <w:tblGrid>
        <w:gridCol w:w="3111"/>
        <w:gridCol w:w="1521"/>
        <w:gridCol w:w="3086"/>
        <w:gridCol w:w="1189"/>
      </w:tblGrid>
      <w:tr>
        <w:tblPrEx>
          <w:tblCellMar>
            <w:top w:w="0" w:type="dxa"/>
            <w:left w:w="108" w:type="dxa"/>
            <w:bottom w:w="0" w:type="dxa"/>
            <w:right w:w="108" w:type="dxa"/>
          </w:tblCellMar>
        </w:tblPrEx>
        <w:trPr>
          <w:cantSplit/>
          <w:trHeight w:val="23" w:hRule="atLeast"/>
          <w:jc w:val="center"/>
        </w:trPr>
        <w:tc>
          <w:tcPr>
            <w:tcW w:w="8907" w:type="dxa"/>
            <w:gridSpan w:val="4"/>
            <w:vAlign w:val="center"/>
          </w:tcPr>
          <w:p>
            <w:pPr>
              <w:pStyle w:val="2"/>
              <w:keepNext w:val="0"/>
              <w:keepLines w:val="0"/>
              <w:pageBreakBefore w:val="0"/>
              <w:kinsoku/>
              <w:wordWrap/>
              <w:overflowPunct/>
              <w:topLinePunct w:val="0"/>
              <w:bidi w:val="0"/>
              <w:snapToGrid w:val="0"/>
              <w:spacing w:line="400" w:lineRule="exact"/>
              <w:jc w:val="center"/>
              <w:textAlignment w:val="auto"/>
              <w:rPr>
                <w:rFonts w:hint="default" w:ascii="Times New Roman" w:hAnsi="Times New Roman" w:eastAsia="方正书宋_GBK" w:cs="Times New Roman"/>
                <w:color w:val="auto"/>
                <w:sz w:val="28"/>
                <w:szCs w:val="28"/>
              </w:rPr>
            </w:pPr>
            <w:r>
              <w:rPr>
                <w:rFonts w:hint="default" w:ascii="Times New Roman" w:hAnsi="Times New Roman" w:eastAsia="方正书宋_GBK" w:cs="Times New Roman"/>
                <w:b/>
                <w:bCs/>
                <w:color w:val="auto"/>
                <w:spacing w:val="6"/>
                <w:sz w:val="30"/>
                <w:szCs w:val="30"/>
              </w:rPr>
              <w:t>2021年县本级一般公共预算收支平衡情况表</w:t>
            </w:r>
          </w:p>
        </w:tc>
      </w:tr>
      <w:tr>
        <w:tblPrEx>
          <w:tblCellMar>
            <w:top w:w="0" w:type="dxa"/>
            <w:left w:w="108" w:type="dxa"/>
            <w:bottom w:w="0" w:type="dxa"/>
            <w:right w:w="108" w:type="dxa"/>
          </w:tblCellMar>
        </w:tblPrEx>
        <w:trPr>
          <w:cantSplit/>
          <w:trHeight w:val="23" w:hRule="atLeast"/>
          <w:jc w:val="center"/>
        </w:trPr>
        <w:tc>
          <w:tcPr>
            <w:tcW w:w="8907" w:type="dxa"/>
            <w:gridSpan w:val="4"/>
            <w:tcBorders>
              <w:bottom w:val="single" w:color="auto" w:sz="4" w:space="0"/>
            </w:tcBorders>
            <w:vAlign w:val="center"/>
          </w:tcPr>
          <w:p>
            <w:pPr>
              <w:pStyle w:val="2"/>
              <w:keepNext w:val="0"/>
              <w:keepLines w:val="0"/>
              <w:pageBreakBefore w:val="0"/>
              <w:kinsoku/>
              <w:wordWrap/>
              <w:overflowPunct/>
              <w:topLinePunct w:val="0"/>
              <w:bidi w:val="0"/>
              <w:snapToGrid w:val="0"/>
              <w:spacing w:line="400" w:lineRule="exact"/>
              <w:jc w:val="right"/>
              <w:textAlignment w:val="auto"/>
              <w:rPr>
                <w:rFonts w:hint="default" w:ascii="Times New Roman" w:hAnsi="Times New Roman" w:eastAsia="方正书宋_GBK" w:cs="Times New Roman"/>
                <w:color w:val="auto"/>
                <w:sz w:val="28"/>
                <w:szCs w:val="28"/>
              </w:rPr>
            </w:pPr>
            <w:r>
              <w:rPr>
                <w:rFonts w:hint="default" w:ascii="Times New Roman" w:hAnsi="Times New Roman" w:eastAsia="方正书宋_GBK" w:cs="Times New Roman"/>
                <w:color w:val="auto"/>
                <w:spacing w:val="6"/>
                <w:sz w:val="28"/>
                <w:szCs w:val="28"/>
              </w:rPr>
              <w:t xml:space="preserve"> </w:t>
            </w:r>
            <w:r>
              <w:rPr>
                <w:rFonts w:hint="default" w:ascii="Times New Roman" w:hAnsi="Times New Roman" w:eastAsia="方正书宋_GBK" w:cs="Times New Roman"/>
                <w:color w:val="auto"/>
                <w:spacing w:val="-4"/>
                <w:sz w:val="28"/>
                <w:szCs w:val="28"/>
              </w:rPr>
              <w:t>单位：万元</w:t>
            </w:r>
          </w:p>
        </w:tc>
      </w:tr>
      <w:tr>
        <w:tblPrEx>
          <w:tblCellMar>
            <w:top w:w="0" w:type="dxa"/>
            <w:left w:w="108" w:type="dxa"/>
            <w:bottom w:w="0" w:type="dxa"/>
            <w:right w:w="108" w:type="dxa"/>
          </w:tblCellMar>
        </w:tblPrEx>
        <w:trPr>
          <w:cantSplit/>
          <w:trHeight w:val="454" w:hRule="atLeast"/>
          <w:jc w:val="center"/>
        </w:trPr>
        <w:tc>
          <w:tcPr>
            <w:tcW w:w="31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400" w:lineRule="exact"/>
              <w:jc w:val="center"/>
              <w:textAlignment w:val="auto"/>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收     入</w:t>
            </w:r>
          </w:p>
        </w:tc>
        <w:tc>
          <w:tcPr>
            <w:tcW w:w="15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400" w:lineRule="exact"/>
              <w:jc w:val="center"/>
              <w:textAlignment w:val="auto"/>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执行数</w:t>
            </w:r>
          </w:p>
        </w:tc>
        <w:tc>
          <w:tcPr>
            <w:tcW w:w="3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400" w:lineRule="exact"/>
              <w:jc w:val="center"/>
              <w:textAlignment w:val="auto"/>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支    出</w:t>
            </w:r>
          </w:p>
        </w:tc>
        <w:tc>
          <w:tcPr>
            <w:tcW w:w="11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400" w:lineRule="exact"/>
              <w:jc w:val="center"/>
              <w:textAlignment w:val="auto"/>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执行数</w:t>
            </w:r>
          </w:p>
        </w:tc>
      </w:tr>
      <w:tr>
        <w:tblPrEx>
          <w:tblCellMar>
            <w:top w:w="0" w:type="dxa"/>
            <w:left w:w="108" w:type="dxa"/>
            <w:bottom w:w="0" w:type="dxa"/>
            <w:right w:w="108" w:type="dxa"/>
          </w:tblCellMar>
        </w:tblPrEx>
        <w:trPr>
          <w:cantSplit/>
          <w:trHeight w:val="454" w:hRule="atLeast"/>
          <w:jc w:val="center"/>
        </w:trPr>
        <w:tc>
          <w:tcPr>
            <w:tcW w:w="31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总  计</w:t>
            </w:r>
          </w:p>
        </w:tc>
        <w:tc>
          <w:tcPr>
            <w:tcW w:w="15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845732</w:t>
            </w:r>
          </w:p>
        </w:tc>
        <w:tc>
          <w:tcPr>
            <w:tcW w:w="3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总  计</w:t>
            </w:r>
          </w:p>
        </w:tc>
        <w:tc>
          <w:tcPr>
            <w:tcW w:w="11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845732</w:t>
            </w:r>
          </w:p>
        </w:tc>
      </w:tr>
      <w:tr>
        <w:tblPrEx>
          <w:tblCellMar>
            <w:top w:w="0" w:type="dxa"/>
            <w:left w:w="108" w:type="dxa"/>
            <w:bottom w:w="0" w:type="dxa"/>
            <w:right w:w="108" w:type="dxa"/>
          </w:tblCellMar>
        </w:tblPrEx>
        <w:trPr>
          <w:cantSplit/>
          <w:trHeight w:val="454" w:hRule="atLeast"/>
          <w:jc w:val="center"/>
        </w:trPr>
        <w:tc>
          <w:tcPr>
            <w:tcW w:w="31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一、本级收入</w:t>
            </w:r>
          </w:p>
        </w:tc>
        <w:tc>
          <w:tcPr>
            <w:tcW w:w="15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162659</w:t>
            </w:r>
          </w:p>
        </w:tc>
        <w:tc>
          <w:tcPr>
            <w:tcW w:w="3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一、本级支出</w:t>
            </w:r>
          </w:p>
        </w:tc>
        <w:tc>
          <w:tcPr>
            <w:tcW w:w="11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646173</w:t>
            </w:r>
          </w:p>
        </w:tc>
      </w:tr>
      <w:tr>
        <w:tblPrEx>
          <w:tblCellMar>
            <w:top w:w="0" w:type="dxa"/>
            <w:left w:w="108" w:type="dxa"/>
            <w:bottom w:w="0" w:type="dxa"/>
            <w:right w:w="108" w:type="dxa"/>
          </w:tblCellMar>
        </w:tblPrEx>
        <w:trPr>
          <w:cantSplit/>
          <w:trHeight w:val="454" w:hRule="atLeast"/>
          <w:jc w:val="center"/>
        </w:trPr>
        <w:tc>
          <w:tcPr>
            <w:tcW w:w="31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税收收入</w:t>
            </w:r>
          </w:p>
        </w:tc>
        <w:tc>
          <w:tcPr>
            <w:tcW w:w="15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98063</w:t>
            </w:r>
          </w:p>
        </w:tc>
        <w:tc>
          <w:tcPr>
            <w:tcW w:w="3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二、转移性支出</w:t>
            </w:r>
          </w:p>
        </w:tc>
        <w:tc>
          <w:tcPr>
            <w:tcW w:w="118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snapToGrid w:val="0"/>
              <w:spacing w:line="400" w:lineRule="exact"/>
              <w:jc w:val="right"/>
              <w:textAlignment w:val="auto"/>
              <w:rPr>
                <w:rFonts w:hint="default" w:ascii="Times New Roman" w:hAnsi="Times New Roman" w:eastAsia="方正书宋_GBK" w:cs="Times New Roman"/>
                <w:color w:val="auto"/>
                <w:kern w:val="2"/>
                <w:sz w:val="28"/>
                <w:szCs w:val="28"/>
              </w:rPr>
            </w:pPr>
            <w:r>
              <w:rPr>
                <w:rFonts w:hint="default" w:ascii="Times New Roman" w:hAnsi="Times New Roman" w:eastAsia="方正书宋_GBK" w:cs="Times New Roman"/>
                <w:color w:val="auto"/>
                <w:kern w:val="2"/>
                <w:sz w:val="28"/>
                <w:szCs w:val="28"/>
              </w:rPr>
              <w:t>199559</w:t>
            </w:r>
          </w:p>
        </w:tc>
      </w:tr>
      <w:tr>
        <w:tblPrEx>
          <w:tblCellMar>
            <w:top w:w="0" w:type="dxa"/>
            <w:left w:w="108" w:type="dxa"/>
            <w:bottom w:w="0" w:type="dxa"/>
            <w:right w:w="108" w:type="dxa"/>
          </w:tblCellMar>
        </w:tblPrEx>
        <w:trPr>
          <w:cantSplit/>
          <w:trHeight w:val="454" w:hRule="atLeast"/>
          <w:jc w:val="center"/>
        </w:trPr>
        <w:tc>
          <w:tcPr>
            <w:tcW w:w="31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非税收入</w:t>
            </w:r>
          </w:p>
        </w:tc>
        <w:tc>
          <w:tcPr>
            <w:tcW w:w="1521"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adjustRightInd/>
              <w:snapToGrid w:val="0"/>
              <w:spacing w:line="400" w:lineRule="exact"/>
              <w:jc w:val="right"/>
              <w:textAlignment w:val="auto"/>
              <w:rPr>
                <w:rFonts w:hint="default" w:ascii="Times New Roman" w:hAnsi="Times New Roman" w:eastAsia="方正书宋_GBK" w:cs="Times New Roman"/>
                <w:color w:val="auto"/>
                <w:sz w:val="28"/>
                <w:szCs w:val="28"/>
              </w:rPr>
            </w:pPr>
            <w:r>
              <w:rPr>
                <w:rFonts w:hint="default" w:ascii="Times New Roman" w:hAnsi="Times New Roman" w:eastAsia="方正书宋_GBK" w:cs="Times New Roman"/>
                <w:color w:val="auto"/>
                <w:sz w:val="28"/>
                <w:szCs w:val="28"/>
              </w:rPr>
              <w:t>64596</w:t>
            </w:r>
          </w:p>
        </w:tc>
        <w:tc>
          <w:tcPr>
            <w:tcW w:w="3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上解支出</w:t>
            </w:r>
          </w:p>
        </w:tc>
        <w:tc>
          <w:tcPr>
            <w:tcW w:w="118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snapToGrid w:val="0"/>
              <w:spacing w:line="400" w:lineRule="exact"/>
              <w:jc w:val="right"/>
              <w:textAlignment w:val="auto"/>
              <w:rPr>
                <w:rFonts w:hint="default" w:ascii="Times New Roman" w:hAnsi="Times New Roman" w:eastAsia="方正书宋_GBK" w:cs="Times New Roman"/>
                <w:color w:val="auto"/>
                <w:kern w:val="2"/>
                <w:sz w:val="28"/>
                <w:szCs w:val="28"/>
              </w:rPr>
            </w:pPr>
            <w:r>
              <w:rPr>
                <w:rFonts w:hint="default" w:ascii="Times New Roman" w:hAnsi="Times New Roman" w:eastAsia="方正书宋_GBK" w:cs="Times New Roman"/>
                <w:color w:val="auto"/>
                <w:kern w:val="2"/>
                <w:sz w:val="28"/>
                <w:szCs w:val="28"/>
              </w:rPr>
              <w:t>31817</w:t>
            </w:r>
          </w:p>
        </w:tc>
      </w:tr>
      <w:tr>
        <w:tblPrEx>
          <w:tblCellMar>
            <w:top w:w="0" w:type="dxa"/>
            <w:left w:w="108" w:type="dxa"/>
            <w:bottom w:w="0" w:type="dxa"/>
            <w:right w:w="108" w:type="dxa"/>
          </w:tblCellMar>
        </w:tblPrEx>
        <w:trPr>
          <w:cantSplit/>
          <w:trHeight w:val="454" w:hRule="atLeast"/>
          <w:jc w:val="center"/>
        </w:trPr>
        <w:tc>
          <w:tcPr>
            <w:tcW w:w="31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二、转移性收入</w:t>
            </w:r>
          </w:p>
        </w:tc>
        <w:tc>
          <w:tcPr>
            <w:tcW w:w="15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683073</w:t>
            </w:r>
          </w:p>
        </w:tc>
        <w:tc>
          <w:tcPr>
            <w:tcW w:w="3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补助下级</w:t>
            </w:r>
          </w:p>
        </w:tc>
        <w:tc>
          <w:tcPr>
            <w:tcW w:w="118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snapToGrid w:val="0"/>
              <w:spacing w:line="400" w:lineRule="exact"/>
              <w:jc w:val="right"/>
              <w:textAlignment w:val="auto"/>
              <w:rPr>
                <w:rFonts w:hint="default" w:ascii="Times New Roman" w:hAnsi="Times New Roman" w:eastAsia="方正书宋_GBK" w:cs="Times New Roman"/>
                <w:color w:val="auto"/>
                <w:kern w:val="2"/>
                <w:sz w:val="28"/>
                <w:szCs w:val="28"/>
              </w:rPr>
            </w:pPr>
            <w:r>
              <w:rPr>
                <w:rFonts w:hint="default" w:ascii="Times New Roman" w:hAnsi="Times New Roman" w:eastAsia="方正书宋_GBK" w:cs="Times New Roman"/>
                <w:color w:val="auto"/>
                <w:kern w:val="2"/>
                <w:sz w:val="28"/>
                <w:szCs w:val="28"/>
              </w:rPr>
              <w:t>99589</w:t>
            </w:r>
          </w:p>
        </w:tc>
      </w:tr>
      <w:tr>
        <w:tblPrEx>
          <w:tblCellMar>
            <w:top w:w="0" w:type="dxa"/>
            <w:left w:w="108" w:type="dxa"/>
            <w:bottom w:w="0" w:type="dxa"/>
            <w:right w:w="108" w:type="dxa"/>
          </w:tblCellMar>
        </w:tblPrEx>
        <w:trPr>
          <w:cantSplit/>
          <w:trHeight w:val="454" w:hRule="atLeast"/>
          <w:jc w:val="center"/>
        </w:trPr>
        <w:tc>
          <w:tcPr>
            <w:tcW w:w="31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上级补助收入</w:t>
            </w:r>
          </w:p>
        </w:tc>
        <w:tc>
          <w:tcPr>
            <w:tcW w:w="15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474392</w:t>
            </w:r>
          </w:p>
        </w:tc>
        <w:tc>
          <w:tcPr>
            <w:tcW w:w="3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地方政府债务还本支出</w:t>
            </w:r>
          </w:p>
        </w:tc>
        <w:tc>
          <w:tcPr>
            <w:tcW w:w="118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snapToGrid w:val="0"/>
              <w:spacing w:line="400" w:lineRule="exact"/>
              <w:jc w:val="right"/>
              <w:textAlignment w:val="auto"/>
              <w:rPr>
                <w:rFonts w:hint="default" w:ascii="Times New Roman" w:hAnsi="Times New Roman" w:eastAsia="方正书宋_GBK" w:cs="Times New Roman"/>
                <w:color w:val="auto"/>
                <w:kern w:val="2"/>
                <w:sz w:val="28"/>
                <w:szCs w:val="28"/>
              </w:rPr>
            </w:pPr>
            <w:r>
              <w:rPr>
                <w:rFonts w:hint="default" w:ascii="Times New Roman" w:hAnsi="Times New Roman" w:eastAsia="方正书宋_GBK" w:cs="Times New Roman"/>
                <w:color w:val="auto"/>
                <w:kern w:val="2"/>
                <w:sz w:val="28"/>
                <w:szCs w:val="28"/>
              </w:rPr>
              <w:t>53100</w:t>
            </w:r>
          </w:p>
        </w:tc>
      </w:tr>
      <w:tr>
        <w:tblPrEx>
          <w:tblCellMar>
            <w:top w:w="0" w:type="dxa"/>
            <w:left w:w="108" w:type="dxa"/>
            <w:bottom w:w="0" w:type="dxa"/>
            <w:right w:w="108" w:type="dxa"/>
          </w:tblCellMar>
        </w:tblPrEx>
        <w:trPr>
          <w:cantSplit/>
          <w:trHeight w:val="454" w:hRule="atLeast"/>
          <w:jc w:val="center"/>
        </w:trPr>
        <w:tc>
          <w:tcPr>
            <w:tcW w:w="31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债券转贷收入</w:t>
            </w:r>
          </w:p>
        </w:tc>
        <w:tc>
          <w:tcPr>
            <w:tcW w:w="15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75184</w:t>
            </w:r>
          </w:p>
        </w:tc>
        <w:tc>
          <w:tcPr>
            <w:tcW w:w="3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安排预算稳定调节基金</w:t>
            </w:r>
          </w:p>
        </w:tc>
        <w:tc>
          <w:tcPr>
            <w:tcW w:w="1189"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kinsoku/>
              <w:wordWrap/>
              <w:overflowPunct/>
              <w:topLinePunct w:val="0"/>
              <w:autoSpaceDE/>
              <w:autoSpaceDN/>
              <w:bidi w:val="0"/>
              <w:snapToGrid w:val="0"/>
              <w:spacing w:line="400" w:lineRule="exact"/>
              <w:jc w:val="right"/>
              <w:textAlignment w:val="auto"/>
              <w:rPr>
                <w:rFonts w:hint="default" w:ascii="Times New Roman" w:hAnsi="Times New Roman" w:eastAsia="方正书宋_GBK" w:cs="Times New Roman"/>
                <w:color w:val="auto"/>
                <w:kern w:val="2"/>
                <w:sz w:val="28"/>
                <w:szCs w:val="28"/>
              </w:rPr>
            </w:pPr>
            <w:r>
              <w:rPr>
                <w:rFonts w:hint="default" w:ascii="Times New Roman" w:hAnsi="Times New Roman" w:eastAsia="方正书宋_GBK" w:cs="Times New Roman"/>
                <w:color w:val="auto"/>
                <w:kern w:val="2"/>
                <w:sz w:val="28"/>
                <w:szCs w:val="28"/>
              </w:rPr>
              <w:t>1677</w:t>
            </w:r>
          </w:p>
        </w:tc>
      </w:tr>
      <w:tr>
        <w:tblPrEx>
          <w:tblCellMar>
            <w:top w:w="0" w:type="dxa"/>
            <w:left w:w="108" w:type="dxa"/>
            <w:bottom w:w="0" w:type="dxa"/>
            <w:right w:w="108" w:type="dxa"/>
          </w:tblCellMar>
        </w:tblPrEx>
        <w:trPr>
          <w:cantSplit/>
          <w:trHeight w:val="454" w:hRule="atLeast"/>
          <w:jc w:val="center"/>
        </w:trPr>
        <w:tc>
          <w:tcPr>
            <w:tcW w:w="31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调入资金</w:t>
            </w:r>
          </w:p>
        </w:tc>
        <w:tc>
          <w:tcPr>
            <w:tcW w:w="15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128265</w:t>
            </w:r>
          </w:p>
        </w:tc>
        <w:tc>
          <w:tcPr>
            <w:tcW w:w="3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结转下年</w:t>
            </w:r>
          </w:p>
        </w:tc>
        <w:tc>
          <w:tcPr>
            <w:tcW w:w="11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13376</w:t>
            </w:r>
          </w:p>
        </w:tc>
      </w:tr>
      <w:tr>
        <w:tblPrEx>
          <w:tblCellMar>
            <w:top w:w="0" w:type="dxa"/>
            <w:left w:w="108" w:type="dxa"/>
            <w:bottom w:w="0" w:type="dxa"/>
            <w:right w:w="108" w:type="dxa"/>
          </w:tblCellMar>
        </w:tblPrEx>
        <w:trPr>
          <w:cantSplit/>
          <w:trHeight w:val="454" w:hRule="atLeast"/>
          <w:jc w:val="center"/>
        </w:trPr>
        <w:tc>
          <w:tcPr>
            <w:tcW w:w="31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调入预算稳定调节基金</w:t>
            </w:r>
          </w:p>
        </w:tc>
        <w:tc>
          <w:tcPr>
            <w:tcW w:w="15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158</w:t>
            </w:r>
          </w:p>
        </w:tc>
        <w:tc>
          <w:tcPr>
            <w:tcW w:w="3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textAlignment w:val="auto"/>
              <w:rPr>
                <w:rFonts w:hint="default" w:ascii="Times New Roman" w:hAnsi="Times New Roman" w:eastAsia="方正书宋_GBK" w:cs="Times New Roman"/>
                <w:sz w:val="28"/>
                <w:szCs w:val="28"/>
              </w:rPr>
            </w:pPr>
          </w:p>
        </w:tc>
        <w:tc>
          <w:tcPr>
            <w:tcW w:w="11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jc w:val="right"/>
              <w:textAlignment w:val="auto"/>
              <w:rPr>
                <w:rFonts w:hint="default" w:ascii="Times New Roman" w:hAnsi="Times New Roman" w:eastAsia="方正书宋_GBK" w:cs="Times New Roman"/>
                <w:sz w:val="28"/>
                <w:szCs w:val="28"/>
              </w:rPr>
            </w:pPr>
          </w:p>
        </w:tc>
      </w:tr>
      <w:tr>
        <w:tblPrEx>
          <w:tblCellMar>
            <w:top w:w="0" w:type="dxa"/>
            <w:left w:w="108" w:type="dxa"/>
            <w:bottom w:w="0" w:type="dxa"/>
            <w:right w:w="108" w:type="dxa"/>
          </w:tblCellMar>
        </w:tblPrEx>
        <w:trPr>
          <w:cantSplit/>
          <w:trHeight w:val="454" w:hRule="atLeast"/>
          <w:jc w:val="center"/>
        </w:trPr>
        <w:tc>
          <w:tcPr>
            <w:tcW w:w="31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上年结转</w:t>
            </w:r>
          </w:p>
        </w:tc>
        <w:tc>
          <w:tcPr>
            <w:tcW w:w="15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5074</w:t>
            </w:r>
          </w:p>
        </w:tc>
        <w:tc>
          <w:tcPr>
            <w:tcW w:w="3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ind w:firstLine="280" w:firstLineChars="100"/>
              <w:textAlignment w:val="auto"/>
              <w:rPr>
                <w:rFonts w:hint="default" w:ascii="Times New Roman" w:hAnsi="Times New Roman" w:eastAsia="方正书宋_GBK" w:cs="Times New Roman"/>
                <w:sz w:val="28"/>
                <w:szCs w:val="28"/>
              </w:rPr>
            </w:pPr>
          </w:p>
        </w:tc>
        <w:tc>
          <w:tcPr>
            <w:tcW w:w="11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jc w:val="right"/>
              <w:textAlignment w:val="auto"/>
              <w:rPr>
                <w:rFonts w:hint="default" w:ascii="Times New Roman" w:hAnsi="Times New Roman" w:eastAsia="方正书宋_GBK" w:cs="Times New Roman"/>
                <w:sz w:val="28"/>
                <w:szCs w:val="28"/>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——县本级一般公共预算收入162659万元，其中税收收入98063万元，非税收入64596万元。加上上级补助收入、债券转贷收入、调入资金和上年结转收入等683073万元后，收入总计845732万元。</w:t>
      </w:r>
    </w:p>
    <w:p>
      <w:pPr>
        <w:pStyle w:val="2"/>
        <w:keepNext w:val="0"/>
        <w:keepLines w:val="0"/>
        <w:pageBreakBefore w:val="0"/>
        <w:kinsoku/>
        <w:wordWrap/>
        <w:overflowPunct/>
        <w:topLinePunct w:val="0"/>
        <w:bidi w:val="0"/>
        <w:snapToGrid/>
        <w:spacing w:line="580" w:lineRule="exact"/>
        <w:ind w:firstLine="664" w:firstLineChars="200"/>
        <w:textAlignment w:val="auto"/>
        <w:rPr>
          <w:rFonts w:hint="default" w:ascii="Times New Roman" w:hAnsi="Times New Roman" w:cs="Times New Roman"/>
          <w:color w:val="auto"/>
          <w:spacing w:val="6"/>
          <w:sz w:val="32"/>
          <w:szCs w:val="32"/>
        </w:rPr>
      </w:pPr>
      <w:r>
        <w:rPr>
          <w:rFonts w:hint="default" w:ascii="Times New Roman" w:hAnsi="Times New Roman" w:cs="Times New Roman"/>
          <w:color w:val="auto"/>
          <w:spacing w:val="6"/>
          <w:sz w:val="32"/>
          <w:szCs w:val="32"/>
        </w:rPr>
        <w:t>——县本级一般公共预算支出646173万元，加上上解支出31817万元、补助下级支出99589万元、债务还本支出53100万元、安排预算稳定调节基金1677万元、结转下年13376万元后，支出总计845732万元。</w:t>
      </w:r>
    </w:p>
    <w:p>
      <w:pPr>
        <w:pStyle w:val="8"/>
        <w:keepNext w:val="0"/>
        <w:keepLines w:val="0"/>
        <w:pageBreakBefore w:val="0"/>
        <w:widowControl/>
        <w:kinsoku/>
        <w:wordWrap/>
        <w:overflowPunct/>
        <w:topLinePunct w:val="0"/>
        <w:bidi w:val="0"/>
        <w:snapToGrid/>
        <w:spacing w:line="580" w:lineRule="exact"/>
        <w:ind w:firstLine="640" w:firstLineChars="200"/>
        <w:jc w:val="both"/>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kern w:val="2"/>
          <w:sz w:val="32"/>
          <w:szCs w:val="32"/>
        </w:rPr>
        <w:t>一般公共预算支出主要安排用于保障和改善民生、推动经济社会发展、维护国家安全、维持国家机构正常运转等方面。其中</w:t>
      </w:r>
      <w:r>
        <w:rPr>
          <w:rFonts w:hint="default" w:ascii="Times New Roman" w:hAnsi="Times New Roman" w:eastAsia="方正仿宋_GBK" w:cs="Times New Roman"/>
          <w:spacing w:val="6"/>
          <w:sz w:val="32"/>
          <w:szCs w:val="32"/>
        </w:rPr>
        <w:t>一般公共服务方面支</w:t>
      </w:r>
      <w:r>
        <w:rPr>
          <w:rFonts w:hint="default" w:ascii="Times New Roman" w:hAnsi="Times New Roman" w:eastAsia="方正仿宋_GBK" w:cs="Times New Roman"/>
          <w:kern w:val="2"/>
          <w:sz w:val="32"/>
          <w:szCs w:val="32"/>
        </w:rPr>
        <w:t>出69362</w:t>
      </w:r>
      <w:r>
        <w:rPr>
          <w:rFonts w:hint="default" w:ascii="Times New Roman" w:hAnsi="Times New Roman" w:eastAsia="方正仿宋_GBK" w:cs="Times New Roman"/>
          <w:spacing w:val="6"/>
          <w:sz w:val="32"/>
          <w:szCs w:val="32"/>
        </w:rPr>
        <w:t>万元，增长8.9%；教育方面支</w:t>
      </w:r>
      <w:r>
        <w:rPr>
          <w:rFonts w:hint="default" w:ascii="Times New Roman" w:hAnsi="Times New Roman" w:eastAsia="方正仿宋_GBK" w:cs="Times New Roman"/>
          <w:kern w:val="2"/>
          <w:sz w:val="32"/>
          <w:szCs w:val="32"/>
        </w:rPr>
        <w:t>出</w:t>
      </w:r>
      <w:r>
        <w:rPr>
          <w:rFonts w:hint="default" w:ascii="Times New Roman" w:hAnsi="Times New Roman" w:eastAsia="方正仿宋_GBK" w:cs="Times New Roman"/>
          <w:spacing w:val="6"/>
          <w:sz w:val="32"/>
          <w:szCs w:val="32"/>
        </w:rPr>
        <w:t>167899万元，增长3%；社会保障和就业方面支出117895万元，增长5.6%；卫生健康方面支出54160万元，下降47.2%；农林水方面支出122201万元，增长0.4%；交通运输方面支出63504万元，下降4.7%；住房保障方面支出23060万元，增长6.1%；债务付息支出18811万元，增长4.8%。</w:t>
      </w:r>
    </w:p>
    <w:p>
      <w:pPr>
        <w:pStyle w:val="2"/>
        <w:keepNext w:val="0"/>
        <w:keepLines w:val="0"/>
        <w:pageBreakBefore w:val="0"/>
        <w:widowControl w:val="0"/>
        <w:kinsoku/>
        <w:wordWrap/>
        <w:overflowPunct/>
        <w:topLinePunct w:val="0"/>
        <w:autoSpaceDE w:val="0"/>
        <w:autoSpaceDN w:val="0"/>
        <w:bidi w:val="0"/>
        <w:adjustRightInd w:val="0"/>
        <w:snapToGrid/>
        <w:spacing w:after="161" w:afterLines="50" w:line="580" w:lineRule="exact"/>
        <w:ind w:firstLine="640" w:firstLineChars="200"/>
        <w:textAlignment w:val="auto"/>
        <w:rPr>
          <w:rFonts w:hint="default" w:ascii="Times New Roman" w:hAnsi="Times New Roman" w:cs="Times New Roman"/>
          <w:color w:val="auto"/>
          <w:kern w:val="2"/>
          <w:sz w:val="32"/>
          <w:szCs w:val="32"/>
        </w:rPr>
      </w:pPr>
      <w:r>
        <w:rPr>
          <w:rFonts w:hint="default" w:ascii="Times New Roman" w:hAnsi="Times New Roman" w:cs="Times New Roman"/>
          <w:color w:val="auto"/>
          <w:kern w:val="2"/>
          <w:sz w:val="32"/>
          <w:szCs w:val="32"/>
        </w:rPr>
        <w:t>2.县本级政府性基金预算执行情况。</w:t>
      </w:r>
    </w:p>
    <w:tbl>
      <w:tblPr>
        <w:tblStyle w:val="9"/>
        <w:tblW w:w="8620" w:type="dxa"/>
        <w:jc w:val="center"/>
        <w:tblLayout w:type="fixed"/>
        <w:tblCellMar>
          <w:top w:w="0" w:type="dxa"/>
          <w:left w:w="108" w:type="dxa"/>
          <w:bottom w:w="0" w:type="dxa"/>
          <w:right w:w="108" w:type="dxa"/>
        </w:tblCellMar>
      </w:tblPr>
      <w:tblGrid>
        <w:gridCol w:w="2971"/>
        <w:gridCol w:w="1217"/>
        <w:gridCol w:w="3208"/>
        <w:gridCol w:w="1224"/>
      </w:tblGrid>
      <w:tr>
        <w:tblPrEx>
          <w:tblCellMar>
            <w:top w:w="0" w:type="dxa"/>
            <w:left w:w="108" w:type="dxa"/>
            <w:bottom w:w="0" w:type="dxa"/>
            <w:right w:w="108" w:type="dxa"/>
          </w:tblCellMar>
        </w:tblPrEx>
        <w:trPr>
          <w:trHeight w:val="23" w:hRule="atLeast"/>
          <w:jc w:val="center"/>
        </w:trPr>
        <w:tc>
          <w:tcPr>
            <w:tcW w:w="8620" w:type="dxa"/>
            <w:gridSpan w:val="4"/>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default" w:ascii="Times New Roman" w:hAnsi="Times New Roman" w:eastAsia="方正书宋_GBK" w:cs="Times New Roman"/>
                <w:spacing w:val="-4"/>
                <w:sz w:val="28"/>
                <w:szCs w:val="28"/>
              </w:rPr>
            </w:pPr>
            <w:r>
              <w:rPr>
                <w:rFonts w:hint="default" w:ascii="Times New Roman" w:hAnsi="Times New Roman" w:eastAsia="方正书宋_GBK" w:cs="Times New Roman"/>
                <w:b/>
                <w:bCs/>
                <w:spacing w:val="6"/>
                <w:kern w:val="0"/>
                <w:sz w:val="30"/>
                <w:szCs w:val="30"/>
              </w:rPr>
              <w:t>2021年县本级</w:t>
            </w:r>
            <w:r>
              <w:rPr>
                <w:rFonts w:hint="default" w:ascii="Times New Roman" w:hAnsi="Times New Roman" w:eastAsia="方正书宋_GBK" w:cs="Times New Roman"/>
                <w:b/>
                <w:bCs/>
                <w:sz w:val="30"/>
                <w:szCs w:val="30"/>
              </w:rPr>
              <w:t>政府性基金预算</w:t>
            </w:r>
            <w:r>
              <w:rPr>
                <w:rFonts w:hint="default" w:ascii="Times New Roman" w:hAnsi="Times New Roman" w:eastAsia="方正书宋_GBK" w:cs="Times New Roman"/>
                <w:b/>
                <w:bCs/>
                <w:spacing w:val="6"/>
                <w:kern w:val="0"/>
                <w:sz w:val="30"/>
                <w:szCs w:val="30"/>
              </w:rPr>
              <w:t>收支平衡情况表</w:t>
            </w:r>
          </w:p>
        </w:tc>
      </w:tr>
      <w:tr>
        <w:tblPrEx>
          <w:tblCellMar>
            <w:top w:w="0" w:type="dxa"/>
            <w:left w:w="108" w:type="dxa"/>
            <w:bottom w:w="0" w:type="dxa"/>
            <w:right w:w="108" w:type="dxa"/>
          </w:tblCellMar>
        </w:tblPrEx>
        <w:trPr>
          <w:trHeight w:val="23" w:hRule="atLeast"/>
          <w:jc w:val="center"/>
        </w:trPr>
        <w:tc>
          <w:tcPr>
            <w:tcW w:w="8620" w:type="dxa"/>
            <w:gridSpan w:val="4"/>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right"/>
              <w:rPr>
                <w:rFonts w:hint="default" w:ascii="Times New Roman" w:hAnsi="Times New Roman" w:eastAsia="方正书宋_GBK" w:cs="Times New Roman"/>
                <w:kern w:val="0"/>
                <w:sz w:val="28"/>
                <w:szCs w:val="28"/>
              </w:rPr>
            </w:pPr>
            <w:r>
              <w:rPr>
                <w:rFonts w:hint="default" w:ascii="Times New Roman" w:hAnsi="Times New Roman" w:eastAsia="方正书宋_GBK" w:cs="Times New Roman"/>
                <w:spacing w:val="-4"/>
                <w:sz w:val="28"/>
                <w:szCs w:val="28"/>
              </w:rPr>
              <w:t>单位：万元</w:t>
            </w:r>
          </w:p>
        </w:tc>
      </w:tr>
      <w:tr>
        <w:tblPrEx>
          <w:tblCellMar>
            <w:top w:w="0" w:type="dxa"/>
            <w:left w:w="108" w:type="dxa"/>
            <w:bottom w:w="0" w:type="dxa"/>
            <w:right w:w="108" w:type="dxa"/>
          </w:tblCellMar>
        </w:tblPrEx>
        <w:trPr>
          <w:trHeight w:val="454" w:hRule="atLeast"/>
          <w:jc w:val="center"/>
        </w:trPr>
        <w:tc>
          <w:tcPr>
            <w:tcW w:w="2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收     入</w:t>
            </w:r>
          </w:p>
        </w:tc>
        <w:tc>
          <w:tcPr>
            <w:tcW w:w="12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执行数</w:t>
            </w:r>
          </w:p>
        </w:tc>
        <w:tc>
          <w:tcPr>
            <w:tcW w:w="32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支    出</w:t>
            </w:r>
          </w:p>
        </w:tc>
        <w:tc>
          <w:tcPr>
            <w:tcW w:w="12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执行数</w:t>
            </w:r>
          </w:p>
        </w:tc>
      </w:tr>
      <w:tr>
        <w:tblPrEx>
          <w:tblCellMar>
            <w:top w:w="0" w:type="dxa"/>
            <w:left w:w="108" w:type="dxa"/>
            <w:bottom w:w="0" w:type="dxa"/>
            <w:right w:w="108" w:type="dxa"/>
          </w:tblCellMar>
        </w:tblPrEx>
        <w:trPr>
          <w:trHeight w:val="454" w:hRule="atLeast"/>
          <w:jc w:val="center"/>
        </w:trPr>
        <w:tc>
          <w:tcPr>
            <w:tcW w:w="2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总  计</w:t>
            </w:r>
          </w:p>
        </w:tc>
        <w:tc>
          <w:tcPr>
            <w:tcW w:w="12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393355</w:t>
            </w:r>
          </w:p>
        </w:tc>
        <w:tc>
          <w:tcPr>
            <w:tcW w:w="32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总  计</w:t>
            </w:r>
          </w:p>
        </w:tc>
        <w:tc>
          <w:tcPr>
            <w:tcW w:w="12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393355</w:t>
            </w:r>
          </w:p>
        </w:tc>
      </w:tr>
      <w:tr>
        <w:tblPrEx>
          <w:tblCellMar>
            <w:top w:w="0" w:type="dxa"/>
            <w:left w:w="108" w:type="dxa"/>
            <w:bottom w:w="0" w:type="dxa"/>
            <w:right w:w="108" w:type="dxa"/>
          </w:tblCellMar>
        </w:tblPrEx>
        <w:trPr>
          <w:trHeight w:val="454" w:hRule="atLeast"/>
          <w:jc w:val="center"/>
        </w:trPr>
        <w:tc>
          <w:tcPr>
            <w:tcW w:w="2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一、本级收入</w:t>
            </w:r>
          </w:p>
        </w:tc>
        <w:tc>
          <w:tcPr>
            <w:tcW w:w="12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200014</w:t>
            </w:r>
          </w:p>
        </w:tc>
        <w:tc>
          <w:tcPr>
            <w:tcW w:w="32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一、本级支出</w:t>
            </w:r>
          </w:p>
        </w:tc>
        <w:tc>
          <w:tcPr>
            <w:tcW w:w="12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122757</w:t>
            </w:r>
          </w:p>
        </w:tc>
      </w:tr>
      <w:tr>
        <w:tblPrEx>
          <w:tblCellMar>
            <w:top w:w="0" w:type="dxa"/>
            <w:left w:w="108" w:type="dxa"/>
            <w:bottom w:w="0" w:type="dxa"/>
            <w:right w:w="108" w:type="dxa"/>
          </w:tblCellMar>
        </w:tblPrEx>
        <w:trPr>
          <w:trHeight w:val="454" w:hRule="atLeast"/>
          <w:jc w:val="center"/>
        </w:trPr>
        <w:tc>
          <w:tcPr>
            <w:tcW w:w="2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二、转移性收入</w:t>
            </w:r>
          </w:p>
        </w:tc>
        <w:tc>
          <w:tcPr>
            <w:tcW w:w="12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193341</w:t>
            </w:r>
          </w:p>
        </w:tc>
        <w:tc>
          <w:tcPr>
            <w:tcW w:w="32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二、转移性支出</w:t>
            </w:r>
          </w:p>
        </w:tc>
        <w:tc>
          <w:tcPr>
            <w:tcW w:w="12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270598</w:t>
            </w:r>
          </w:p>
        </w:tc>
      </w:tr>
      <w:tr>
        <w:tblPrEx>
          <w:tblCellMar>
            <w:top w:w="0" w:type="dxa"/>
            <w:left w:w="108" w:type="dxa"/>
            <w:bottom w:w="0" w:type="dxa"/>
            <w:right w:w="108" w:type="dxa"/>
          </w:tblCellMar>
        </w:tblPrEx>
        <w:trPr>
          <w:trHeight w:val="454" w:hRule="atLeast"/>
          <w:jc w:val="center"/>
        </w:trPr>
        <w:tc>
          <w:tcPr>
            <w:tcW w:w="2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上级补助收入</w:t>
            </w:r>
          </w:p>
        </w:tc>
        <w:tc>
          <w:tcPr>
            <w:tcW w:w="12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82640</w:t>
            </w:r>
          </w:p>
        </w:tc>
        <w:tc>
          <w:tcPr>
            <w:tcW w:w="32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上解支出</w:t>
            </w:r>
          </w:p>
        </w:tc>
        <w:tc>
          <w:tcPr>
            <w:tcW w:w="12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8454</w:t>
            </w:r>
          </w:p>
        </w:tc>
      </w:tr>
      <w:tr>
        <w:tblPrEx>
          <w:tblCellMar>
            <w:top w:w="0" w:type="dxa"/>
            <w:left w:w="108" w:type="dxa"/>
            <w:bottom w:w="0" w:type="dxa"/>
            <w:right w:w="108" w:type="dxa"/>
          </w:tblCellMar>
        </w:tblPrEx>
        <w:trPr>
          <w:trHeight w:val="454" w:hRule="atLeast"/>
          <w:jc w:val="center"/>
        </w:trPr>
        <w:tc>
          <w:tcPr>
            <w:tcW w:w="2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债券转贷收入</w:t>
            </w:r>
          </w:p>
        </w:tc>
        <w:tc>
          <w:tcPr>
            <w:tcW w:w="12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61000</w:t>
            </w:r>
          </w:p>
        </w:tc>
        <w:tc>
          <w:tcPr>
            <w:tcW w:w="320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补助下级</w:t>
            </w:r>
          </w:p>
        </w:tc>
        <w:tc>
          <w:tcPr>
            <w:tcW w:w="12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jc w:val="right"/>
              <w:textAlignment w:val="center"/>
              <w:rPr>
                <w:rFonts w:hint="default" w:ascii="Times New Roman" w:hAnsi="Times New Roman" w:eastAsia="方正书宋_GBK" w:cs="Times New Roman"/>
                <w:kern w:val="0"/>
                <w:sz w:val="28"/>
                <w:szCs w:val="28"/>
              </w:rPr>
            </w:pPr>
            <w:r>
              <w:rPr>
                <w:rFonts w:hint="default" w:ascii="Times New Roman" w:hAnsi="Times New Roman" w:eastAsia="方正书宋_GBK" w:cs="Times New Roman"/>
                <w:sz w:val="28"/>
                <w:szCs w:val="28"/>
              </w:rPr>
              <w:t>10965</w:t>
            </w:r>
          </w:p>
        </w:tc>
      </w:tr>
      <w:tr>
        <w:tblPrEx>
          <w:tblCellMar>
            <w:top w:w="0" w:type="dxa"/>
            <w:left w:w="108" w:type="dxa"/>
            <w:bottom w:w="0" w:type="dxa"/>
            <w:right w:w="108" w:type="dxa"/>
          </w:tblCellMar>
        </w:tblPrEx>
        <w:trPr>
          <w:trHeight w:val="454" w:hRule="atLeast"/>
          <w:jc w:val="center"/>
        </w:trPr>
        <w:tc>
          <w:tcPr>
            <w:tcW w:w="2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上年结转</w:t>
            </w:r>
          </w:p>
        </w:tc>
        <w:tc>
          <w:tcPr>
            <w:tcW w:w="12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49701</w:t>
            </w:r>
          </w:p>
        </w:tc>
        <w:tc>
          <w:tcPr>
            <w:tcW w:w="3208"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调出资金</w:t>
            </w:r>
          </w:p>
        </w:tc>
        <w:tc>
          <w:tcPr>
            <w:tcW w:w="122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121010</w:t>
            </w:r>
          </w:p>
        </w:tc>
      </w:tr>
      <w:tr>
        <w:tblPrEx>
          <w:tblCellMar>
            <w:top w:w="0" w:type="dxa"/>
            <w:left w:w="108" w:type="dxa"/>
            <w:bottom w:w="0" w:type="dxa"/>
            <w:right w:w="108" w:type="dxa"/>
          </w:tblCellMar>
        </w:tblPrEx>
        <w:trPr>
          <w:trHeight w:val="454" w:hRule="atLeast"/>
          <w:jc w:val="center"/>
        </w:trPr>
        <w:tc>
          <w:tcPr>
            <w:tcW w:w="2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00" w:lineRule="exact"/>
              <w:rPr>
                <w:rFonts w:hint="default" w:ascii="Times New Roman" w:hAnsi="Times New Roman" w:eastAsia="方正书宋_GBK" w:cs="Times New Roman"/>
                <w:sz w:val="28"/>
                <w:szCs w:val="28"/>
              </w:rPr>
            </w:pPr>
          </w:p>
        </w:tc>
        <w:tc>
          <w:tcPr>
            <w:tcW w:w="12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jc w:val="right"/>
              <w:textAlignment w:val="center"/>
              <w:rPr>
                <w:rFonts w:hint="default" w:ascii="Times New Roman" w:hAnsi="Times New Roman" w:eastAsia="方正书宋_GBK" w:cs="Times New Roman"/>
                <w:sz w:val="28"/>
                <w:szCs w:val="28"/>
              </w:rPr>
            </w:pPr>
          </w:p>
        </w:tc>
        <w:tc>
          <w:tcPr>
            <w:tcW w:w="32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地方政府债务还本支出</w:t>
            </w:r>
          </w:p>
        </w:tc>
        <w:tc>
          <w:tcPr>
            <w:tcW w:w="12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6000</w:t>
            </w:r>
          </w:p>
        </w:tc>
      </w:tr>
      <w:tr>
        <w:tblPrEx>
          <w:tblCellMar>
            <w:top w:w="0" w:type="dxa"/>
            <w:left w:w="108" w:type="dxa"/>
            <w:bottom w:w="0" w:type="dxa"/>
            <w:right w:w="108" w:type="dxa"/>
          </w:tblCellMar>
        </w:tblPrEx>
        <w:trPr>
          <w:trHeight w:val="454" w:hRule="atLeast"/>
          <w:jc w:val="center"/>
        </w:trPr>
        <w:tc>
          <w:tcPr>
            <w:tcW w:w="2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00" w:lineRule="exact"/>
              <w:rPr>
                <w:rFonts w:hint="default" w:ascii="Times New Roman" w:hAnsi="Times New Roman" w:eastAsia="方正书宋_GBK" w:cs="Times New Roman"/>
                <w:sz w:val="28"/>
                <w:szCs w:val="28"/>
              </w:rPr>
            </w:pPr>
          </w:p>
        </w:tc>
        <w:tc>
          <w:tcPr>
            <w:tcW w:w="121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jc w:val="right"/>
              <w:textAlignment w:val="center"/>
              <w:rPr>
                <w:rFonts w:hint="default" w:ascii="Times New Roman" w:hAnsi="Times New Roman" w:eastAsia="方正书宋_GBK" w:cs="Times New Roman"/>
                <w:sz w:val="28"/>
                <w:szCs w:val="28"/>
              </w:rPr>
            </w:pPr>
          </w:p>
        </w:tc>
        <w:tc>
          <w:tcPr>
            <w:tcW w:w="320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结转下年</w:t>
            </w:r>
          </w:p>
        </w:tc>
        <w:tc>
          <w:tcPr>
            <w:tcW w:w="12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124169</w:t>
            </w:r>
          </w:p>
        </w:tc>
      </w:tr>
    </w:tbl>
    <w:p>
      <w:pPr>
        <w:pStyle w:val="8"/>
        <w:keepNext w:val="0"/>
        <w:keepLines w:val="0"/>
        <w:pageBreakBefore w:val="0"/>
        <w:widowControl/>
        <w:kinsoku/>
        <w:wordWrap/>
        <w:overflowPunct/>
        <w:topLinePunct w:val="0"/>
        <w:bidi w:val="0"/>
        <w:snapToGrid/>
        <w:spacing w:line="600" w:lineRule="exact"/>
        <w:ind w:firstLine="640" w:firstLineChars="200"/>
        <w:jc w:val="both"/>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z w:val="32"/>
          <w:szCs w:val="32"/>
        </w:rPr>
        <w:t>——县本级</w:t>
      </w:r>
      <w:r>
        <w:rPr>
          <w:rFonts w:hint="default" w:ascii="Times New Roman" w:hAnsi="Times New Roman" w:eastAsia="方正仿宋_GBK" w:cs="Times New Roman"/>
          <w:spacing w:val="6"/>
          <w:sz w:val="32"/>
          <w:szCs w:val="32"/>
        </w:rPr>
        <w:t>政府性基金预算收入200014万元，增长24.8%。加上上级补助收入82640万元、债券转贷收入61000万元、上年结转收入49701万元后，收入总计393355万元。</w:t>
      </w:r>
    </w:p>
    <w:p>
      <w:pPr>
        <w:pStyle w:val="2"/>
        <w:keepNext w:val="0"/>
        <w:keepLines w:val="0"/>
        <w:pageBreakBefore w:val="0"/>
        <w:kinsoku/>
        <w:wordWrap/>
        <w:overflowPunct/>
        <w:topLinePunct w:val="0"/>
        <w:bidi w:val="0"/>
        <w:snapToGrid/>
        <w:spacing w:line="600" w:lineRule="exact"/>
        <w:ind w:firstLine="664" w:firstLineChars="200"/>
        <w:jc w:val="both"/>
        <w:textAlignment w:val="auto"/>
        <w:rPr>
          <w:rFonts w:hint="default" w:ascii="Times New Roman" w:hAnsi="Times New Roman" w:eastAsia="方正仿宋_GBK" w:cs="Times New Roman"/>
          <w:spacing w:val="6"/>
          <w:kern w:val="0"/>
          <w:sz w:val="32"/>
          <w:szCs w:val="32"/>
        </w:rPr>
      </w:pPr>
      <w:r>
        <w:rPr>
          <w:rFonts w:hint="default" w:ascii="Times New Roman" w:hAnsi="Times New Roman" w:cs="Times New Roman"/>
          <w:color w:val="auto"/>
          <w:spacing w:val="6"/>
          <w:sz w:val="32"/>
          <w:szCs w:val="32"/>
        </w:rPr>
        <w:t>——县本级政府性基金预算支出122757万元。加上上解</w:t>
      </w:r>
      <w:r>
        <w:rPr>
          <w:rFonts w:hint="default" w:ascii="Times New Roman" w:hAnsi="Times New Roman" w:eastAsia="方正仿宋_GBK" w:cs="Times New Roman"/>
          <w:spacing w:val="6"/>
          <w:kern w:val="0"/>
          <w:sz w:val="32"/>
          <w:szCs w:val="32"/>
        </w:rPr>
        <w:t>支出8454万元、补助下级支出10965万元、调出资金121010万元、地方政府债务还本支出6000万元、结转下年支出124169万元后，支出总计393355万元。</w:t>
      </w:r>
    </w:p>
    <w:p>
      <w:pPr>
        <w:pStyle w:val="2"/>
        <w:keepNext w:val="0"/>
        <w:keepLines w:val="0"/>
        <w:pageBreakBefore w:val="0"/>
        <w:kinsoku/>
        <w:wordWrap/>
        <w:overflowPunct/>
        <w:topLinePunct w:val="0"/>
        <w:bidi w:val="0"/>
        <w:snapToGrid/>
        <w:spacing w:line="600" w:lineRule="exact"/>
        <w:ind w:firstLine="664" w:firstLineChars="200"/>
        <w:textAlignment w:val="auto"/>
        <w:rPr>
          <w:rFonts w:hint="default" w:ascii="Times New Roman" w:hAnsi="Times New Roman" w:cs="Times New Roman"/>
          <w:color w:val="auto"/>
          <w:spacing w:val="6"/>
          <w:sz w:val="32"/>
          <w:szCs w:val="32"/>
        </w:rPr>
      </w:pPr>
      <w:r>
        <w:rPr>
          <w:rFonts w:hint="default" w:ascii="Times New Roman" w:hAnsi="Times New Roman" w:cs="Times New Roman"/>
          <w:color w:val="auto"/>
          <w:spacing w:val="6"/>
          <w:sz w:val="32"/>
          <w:szCs w:val="32"/>
        </w:rPr>
        <w:t>政府性基金主要用于以下方面：一是保障土地整治和征地拆迁补偿等支出；二是用于综合小区帮扶、库区支流系统治理、蓄退水影响处理及移民安置区安全防护、三峡水库农村移民后期扶持直补、污水处理设施项目、工业园区厂房建设；三是用于林政水库、蓼叶溪水库、三峡第一村等重大项目和园区基础设施建设；四是支持交通、棚改、旧改等建设；五是支持三峡库区生态环境保护和产业发展等方面。</w:t>
      </w:r>
    </w:p>
    <w:p>
      <w:pPr>
        <w:pStyle w:val="2"/>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cs="Times New Roman"/>
          <w:color w:val="auto"/>
          <w:kern w:val="2"/>
          <w:sz w:val="32"/>
          <w:szCs w:val="32"/>
        </w:rPr>
      </w:pPr>
      <w:r>
        <w:rPr>
          <w:rFonts w:hint="default" w:ascii="Times New Roman" w:hAnsi="Times New Roman" w:cs="Times New Roman"/>
          <w:color w:val="auto"/>
          <w:kern w:val="2"/>
          <w:sz w:val="32"/>
          <w:szCs w:val="32"/>
        </w:rPr>
        <w:t>3.县本级国有资本经营预算执行情况。</w:t>
      </w:r>
    </w:p>
    <w:tbl>
      <w:tblPr>
        <w:tblStyle w:val="9"/>
        <w:tblW w:w="8580" w:type="dxa"/>
        <w:jc w:val="center"/>
        <w:tblLayout w:type="fixed"/>
        <w:tblCellMar>
          <w:top w:w="0" w:type="dxa"/>
          <w:left w:w="108" w:type="dxa"/>
          <w:bottom w:w="0" w:type="dxa"/>
          <w:right w:w="108" w:type="dxa"/>
        </w:tblCellMar>
      </w:tblPr>
      <w:tblGrid>
        <w:gridCol w:w="3195"/>
        <w:gridCol w:w="1270"/>
        <w:gridCol w:w="2971"/>
        <w:gridCol w:w="1144"/>
      </w:tblGrid>
      <w:tr>
        <w:tblPrEx>
          <w:tblCellMar>
            <w:top w:w="0" w:type="dxa"/>
            <w:left w:w="108" w:type="dxa"/>
            <w:bottom w:w="0" w:type="dxa"/>
            <w:right w:w="108" w:type="dxa"/>
          </w:tblCellMar>
        </w:tblPrEx>
        <w:trPr>
          <w:trHeight w:val="567" w:hRule="atLeast"/>
          <w:jc w:val="center"/>
        </w:trPr>
        <w:tc>
          <w:tcPr>
            <w:tcW w:w="8580" w:type="dxa"/>
            <w:gridSpan w:val="4"/>
            <w:tcBorders>
              <w:top w:val="nil"/>
              <w:left w:val="nil"/>
              <w:bottom w:val="nil"/>
              <w:right w:val="nil"/>
            </w:tcBorders>
            <w:vAlign w:val="center"/>
          </w:tcPr>
          <w:p>
            <w:pPr>
              <w:pStyle w:val="2"/>
              <w:keepNext w:val="0"/>
              <w:keepLines w:val="0"/>
              <w:pageBreakBefore w:val="0"/>
              <w:kinsoku/>
              <w:wordWrap/>
              <w:overflowPunct/>
              <w:topLinePunct w:val="0"/>
              <w:bidi w:val="0"/>
              <w:snapToGrid w:val="0"/>
              <w:spacing w:line="400" w:lineRule="exact"/>
              <w:jc w:val="center"/>
              <w:textAlignment w:val="auto"/>
              <w:rPr>
                <w:rFonts w:hint="default" w:ascii="Times New Roman" w:hAnsi="Times New Roman" w:eastAsia="方正书宋_GBK" w:cs="Times New Roman"/>
                <w:color w:val="auto"/>
                <w:spacing w:val="-4"/>
                <w:sz w:val="28"/>
                <w:szCs w:val="28"/>
              </w:rPr>
            </w:pPr>
            <w:r>
              <w:rPr>
                <w:rFonts w:hint="default" w:ascii="Times New Roman" w:hAnsi="Times New Roman" w:eastAsia="方正小标宋_GBK" w:cs="Times New Roman"/>
                <w:b w:val="0"/>
                <w:bCs w:val="0"/>
                <w:color w:val="auto"/>
                <w:spacing w:val="6"/>
                <w:sz w:val="30"/>
                <w:szCs w:val="30"/>
              </w:rPr>
              <w:t>2021年县本级国有</w:t>
            </w:r>
            <w:r>
              <w:rPr>
                <w:rFonts w:hint="default" w:ascii="Times New Roman" w:hAnsi="Times New Roman" w:eastAsia="方正小标宋_GBK" w:cs="Times New Roman"/>
                <w:b w:val="0"/>
                <w:bCs w:val="0"/>
                <w:color w:val="auto"/>
                <w:kern w:val="2"/>
                <w:sz w:val="30"/>
                <w:szCs w:val="30"/>
              </w:rPr>
              <w:t>资本经营预算</w:t>
            </w:r>
            <w:r>
              <w:rPr>
                <w:rFonts w:hint="default" w:ascii="Times New Roman" w:hAnsi="Times New Roman" w:eastAsia="方正小标宋_GBK" w:cs="Times New Roman"/>
                <w:b w:val="0"/>
                <w:bCs w:val="0"/>
                <w:color w:val="auto"/>
                <w:spacing w:val="6"/>
                <w:sz w:val="30"/>
                <w:szCs w:val="30"/>
              </w:rPr>
              <w:t>收支平衡情况表</w:t>
            </w:r>
          </w:p>
        </w:tc>
      </w:tr>
      <w:tr>
        <w:tblPrEx>
          <w:tblCellMar>
            <w:top w:w="0" w:type="dxa"/>
            <w:left w:w="108" w:type="dxa"/>
            <w:bottom w:w="0" w:type="dxa"/>
            <w:right w:w="108" w:type="dxa"/>
          </w:tblCellMar>
        </w:tblPrEx>
        <w:trPr>
          <w:trHeight w:val="454" w:hRule="atLeast"/>
          <w:jc w:val="center"/>
        </w:trPr>
        <w:tc>
          <w:tcPr>
            <w:tcW w:w="8580" w:type="dxa"/>
            <w:gridSpan w:val="4"/>
            <w:tcBorders>
              <w:top w:val="nil"/>
              <w:left w:val="nil"/>
              <w:bottom w:val="single" w:color="auto" w:sz="4" w:space="0"/>
              <w:right w:val="nil"/>
            </w:tcBorders>
            <w:vAlign w:val="center"/>
          </w:tcPr>
          <w:p>
            <w:pPr>
              <w:keepNext w:val="0"/>
              <w:keepLines w:val="0"/>
              <w:pageBreakBefore w:val="0"/>
              <w:widowControl/>
              <w:kinsoku/>
              <w:wordWrap/>
              <w:overflowPunct/>
              <w:topLinePunct w:val="0"/>
              <w:bidi w:val="0"/>
              <w:adjustRightInd w:val="0"/>
              <w:snapToGrid w:val="0"/>
              <w:spacing w:line="400" w:lineRule="exact"/>
              <w:jc w:val="right"/>
              <w:textAlignment w:val="auto"/>
              <w:rPr>
                <w:rFonts w:hint="default" w:ascii="Times New Roman" w:hAnsi="Times New Roman" w:eastAsia="方正书宋_GBK" w:cs="Times New Roman"/>
                <w:kern w:val="0"/>
                <w:sz w:val="28"/>
                <w:szCs w:val="28"/>
              </w:rPr>
            </w:pPr>
            <w:r>
              <w:rPr>
                <w:rFonts w:hint="default" w:ascii="Times New Roman" w:hAnsi="Times New Roman" w:eastAsia="方正书宋_GBK" w:cs="Times New Roman"/>
                <w:spacing w:val="-4"/>
                <w:sz w:val="28"/>
                <w:szCs w:val="28"/>
              </w:rPr>
              <w:t>单位：万元</w:t>
            </w:r>
          </w:p>
        </w:tc>
      </w:tr>
      <w:tr>
        <w:tblPrEx>
          <w:tblCellMar>
            <w:top w:w="0" w:type="dxa"/>
            <w:left w:w="108" w:type="dxa"/>
            <w:bottom w:w="0" w:type="dxa"/>
            <w:right w:w="108" w:type="dxa"/>
          </w:tblCellMar>
        </w:tblPrEx>
        <w:trPr>
          <w:trHeight w:val="454" w:hRule="atLeast"/>
          <w:jc w:val="center"/>
        </w:trPr>
        <w:tc>
          <w:tcPr>
            <w:tcW w:w="3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400" w:lineRule="exact"/>
              <w:jc w:val="center"/>
              <w:textAlignment w:val="auto"/>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收     入</w:t>
            </w:r>
          </w:p>
        </w:tc>
        <w:tc>
          <w:tcPr>
            <w:tcW w:w="12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400" w:lineRule="exact"/>
              <w:jc w:val="center"/>
              <w:textAlignment w:val="auto"/>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执行数</w:t>
            </w:r>
          </w:p>
        </w:tc>
        <w:tc>
          <w:tcPr>
            <w:tcW w:w="2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400" w:lineRule="exact"/>
              <w:jc w:val="center"/>
              <w:textAlignment w:val="auto"/>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支    出</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400" w:lineRule="exact"/>
              <w:jc w:val="center"/>
              <w:textAlignment w:val="auto"/>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执行数</w:t>
            </w:r>
          </w:p>
        </w:tc>
      </w:tr>
      <w:tr>
        <w:tblPrEx>
          <w:tblCellMar>
            <w:top w:w="0" w:type="dxa"/>
            <w:left w:w="108" w:type="dxa"/>
            <w:bottom w:w="0" w:type="dxa"/>
            <w:right w:w="108" w:type="dxa"/>
          </w:tblCellMar>
        </w:tblPrEx>
        <w:trPr>
          <w:trHeight w:val="454" w:hRule="atLeast"/>
          <w:jc w:val="center"/>
        </w:trPr>
        <w:tc>
          <w:tcPr>
            <w:tcW w:w="3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总  计</w:t>
            </w:r>
          </w:p>
        </w:tc>
        <w:tc>
          <w:tcPr>
            <w:tcW w:w="12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10004</w:t>
            </w:r>
          </w:p>
        </w:tc>
        <w:tc>
          <w:tcPr>
            <w:tcW w:w="29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总  计</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10004</w:t>
            </w:r>
          </w:p>
        </w:tc>
      </w:tr>
      <w:tr>
        <w:tblPrEx>
          <w:tblCellMar>
            <w:top w:w="0" w:type="dxa"/>
            <w:left w:w="108" w:type="dxa"/>
            <w:bottom w:w="0" w:type="dxa"/>
            <w:right w:w="108" w:type="dxa"/>
          </w:tblCellMar>
        </w:tblPrEx>
        <w:trPr>
          <w:trHeight w:val="454" w:hRule="atLeast"/>
          <w:jc w:val="center"/>
        </w:trPr>
        <w:tc>
          <w:tcPr>
            <w:tcW w:w="3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一、本级收入</w:t>
            </w:r>
          </w:p>
        </w:tc>
        <w:tc>
          <w:tcPr>
            <w:tcW w:w="127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10004</w:t>
            </w:r>
          </w:p>
        </w:tc>
        <w:tc>
          <w:tcPr>
            <w:tcW w:w="297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一、本级支出</w:t>
            </w:r>
          </w:p>
        </w:tc>
        <w:tc>
          <w:tcPr>
            <w:tcW w:w="114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2749</w:t>
            </w:r>
          </w:p>
        </w:tc>
      </w:tr>
      <w:tr>
        <w:tblPrEx>
          <w:tblCellMar>
            <w:top w:w="0" w:type="dxa"/>
            <w:left w:w="108" w:type="dxa"/>
            <w:bottom w:w="0" w:type="dxa"/>
            <w:right w:w="108" w:type="dxa"/>
          </w:tblCellMar>
        </w:tblPrEx>
        <w:trPr>
          <w:trHeight w:val="454" w:hRule="atLeast"/>
          <w:jc w:val="center"/>
        </w:trPr>
        <w:tc>
          <w:tcPr>
            <w:tcW w:w="3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二、转移性收入</w:t>
            </w:r>
          </w:p>
        </w:tc>
        <w:tc>
          <w:tcPr>
            <w:tcW w:w="127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jc w:val="right"/>
              <w:textAlignment w:val="auto"/>
              <w:rPr>
                <w:rFonts w:hint="default" w:ascii="Times New Roman" w:hAnsi="Times New Roman" w:eastAsia="方正书宋_GBK" w:cs="Times New Roman"/>
                <w:sz w:val="28"/>
                <w:szCs w:val="28"/>
              </w:rPr>
            </w:pPr>
          </w:p>
        </w:tc>
        <w:tc>
          <w:tcPr>
            <w:tcW w:w="297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二、转移性支出</w:t>
            </w:r>
          </w:p>
        </w:tc>
        <w:tc>
          <w:tcPr>
            <w:tcW w:w="114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7255</w:t>
            </w:r>
          </w:p>
        </w:tc>
      </w:tr>
      <w:tr>
        <w:tblPrEx>
          <w:tblCellMar>
            <w:top w:w="0" w:type="dxa"/>
            <w:left w:w="108" w:type="dxa"/>
            <w:bottom w:w="0" w:type="dxa"/>
            <w:right w:w="108" w:type="dxa"/>
          </w:tblCellMar>
        </w:tblPrEx>
        <w:trPr>
          <w:trHeight w:val="454" w:hRule="atLeast"/>
          <w:jc w:val="center"/>
        </w:trPr>
        <w:tc>
          <w:tcPr>
            <w:tcW w:w="3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上级补助收入</w:t>
            </w:r>
          </w:p>
        </w:tc>
        <w:tc>
          <w:tcPr>
            <w:tcW w:w="127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jc w:val="right"/>
              <w:textAlignment w:val="auto"/>
              <w:rPr>
                <w:rFonts w:hint="default" w:ascii="Times New Roman" w:hAnsi="Times New Roman" w:eastAsia="方正书宋_GBK" w:cs="Times New Roman"/>
                <w:sz w:val="28"/>
                <w:szCs w:val="28"/>
              </w:rPr>
            </w:pPr>
          </w:p>
        </w:tc>
        <w:tc>
          <w:tcPr>
            <w:tcW w:w="297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调出资金</w:t>
            </w:r>
          </w:p>
        </w:tc>
        <w:tc>
          <w:tcPr>
            <w:tcW w:w="114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7255</w:t>
            </w:r>
          </w:p>
        </w:tc>
      </w:tr>
      <w:tr>
        <w:tblPrEx>
          <w:tblCellMar>
            <w:top w:w="0" w:type="dxa"/>
            <w:left w:w="108" w:type="dxa"/>
            <w:bottom w:w="0" w:type="dxa"/>
            <w:right w:w="108" w:type="dxa"/>
          </w:tblCellMar>
        </w:tblPrEx>
        <w:trPr>
          <w:trHeight w:val="454" w:hRule="atLeast"/>
          <w:jc w:val="center"/>
        </w:trPr>
        <w:tc>
          <w:tcPr>
            <w:tcW w:w="31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上年结转</w:t>
            </w:r>
          </w:p>
        </w:tc>
        <w:tc>
          <w:tcPr>
            <w:tcW w:w="127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jc w:val="right"/>
              <w:textAlignment w:val="auto"/>
              <w:rPr>
                <w:rFonts w:hint="default" w:ascii="Times New Roman" w:hAnsi="Times New Roman" w:eastAsia="方正书宋_GBK" w:cs="Times New Roman"/>
                <w:sz w:val="28"/>
                <w:szCs w:val="28"/>
              </w:rPr>
            </w:pPr>
          </w:p>
        </w:tc>
        <w:tc>
          <w:tcPr>
            <w:tcW w:w="297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结转下年</w:t>
            </w:r>
          </w:p>
        </w:tc>
        <w:tc>
          <w:tcPr>
            <w:tcW w:w="114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jc w:val="right"/>
              <w:textAlignment w:val="auto"/>
              <w:rPr>
                <w:rFonts w:hint="default" w:ascii="Times New Roman" w:hAnsi="Times New Roman" w:eastAsia="方正书宋_GBK" w:cs="Times New Roman"/>
                <w:sz w:val="28"/>
                <w:szCs w:val="28"/>
              </w:rPr>
            </w:pPr>
          </w:p>
        </w:tc>
      </w:tr>
    </w:tbl>
    <w:p>
      <w:pPr>
        <w:pStyle w:val="8"/>
        <w:keepNext w:val="0"/>
        <w:keepLines w:val="0"/>
        <w:pageBreakBefore w:val="0"/>
        <w:widowControl/>
        <w:kinsoku/>
        <w:wordWrap/>
        <w:overflowPunct/>
        <w:topLinePunct w:val="0"/>
        <w:bidi w:val="0"/>
        <w:spacing w:line="600" w:lineRule="exact"/>
        <w:ind w:firstLine="640" w:firstLineChars="200"/>
        <w:jc w:val="both"/>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kern w:val="2"/>
          <w:sz w:val="32"/>
          <w:szCs w:val="32"/>
        </w:rPr>
        <w:t>——</w:t>
      </w:r>
      <w:r>
        <w:rPr>
          <w:rFonts w:hint="default" w:ascii="Times New Roman" w:hAnsi="Times New Roman" w:eastAsia="方正仿宋_GBK" w:cs="Times New Roman"/>
          <w:spacing w:val="6"/>
          <w:sz w:val="32"/>
          <w:szCs w:val="32"/>
        </w:rPr>
        <w:t>县本级国有资本经营预算收入10004万元。收入总计10004万元。</w:t>
      </w:r>
    </w:p>
    <w:p>
      <w:pPr>
        <w:keepNext w:val="0"/>
        <w:keepLines w:val="0"/>
        <w:pageBreakBefore w:val="0"/>
        <w:widowControl/>
        <w:kinsoku/>
        <w:wordWrap/>
        <w:overflowPunct/>
        <w:topLinePunct w:val="0"/>
        <w:bidi w:val="0"/>
        <w:spacing w:line="600" w:lineRule="exact"/>
        <w:ind w:firstLine="664" w:firstLineChars="200"/>
        <w:jc w:val="both"/>
        <w:textAlignment w:val="auto"/>
        <w:rPr>
          <w:rFonts w:hint="default" w:ascii="Times New Roman" w:hAnsi="Times New Roman" w:eastAsia="方正仿宋_GBK" w:cs="Times New Roman"/>
          <w:spacing w:val="6"/>
          <w:kern w:val="0"/>
          <w:sz w:val="32"/>
          <w:szCs w:val="32"/>
        </w:rPr>
      </w:pPr>
      <w:r>
        <w:rPr>
          <w:rFonts w:hint="default" w:ascii="Times New Roman" w:hAnsi="Times New Roman" w:eastAsia="方正仿宋_GBK" w:cs="Times New Roman"/>
          <w:spacing w:val="6"/>
          <w:kern w:val="0"/>
          <w:sz w:val="32"/>
          <w:szCs w:val="32"/>
        </w:rPr>
        <w:t>——县本级国有资本经营预算支出2749万元。加上调出资金7255万元后，支出总计10004万元。</w:t>
      </w:r>
    </w:p>
    <w:p>
      <w:pPr>
        <w:keepNext w:val="0"/>
        <w:keepLines w:val="0"/>
        <w:pageBreakBefore w:val="0"/>
        <w:widowControl/>
        <w:kinsoku/>
        <w:wordWrap/>
        <w:overflowPunct/>
        <w:topLinePunct w:val="0"/>
        <w:bidi w:val="0"/>
        <w:spacing w:line="600" w:lineRule="exact"/>
        <w:ind w:firstLine="664" w:firstLineChars="200"/>
        <w:jc w:val="both"/>
        <w:textAlignment w:val="auto"/>
        <w:rPr>
          <w:rFonts w:hint="default" w:ascii="Times New Roman" w:hAnsi="Times New Roman" w:eastAsia="方正仿宋_GBK" w:cs="Times New Roman"/>
          <w:spacing w:val="6"/>
          <w:kern w:val="0"/>
          <w:sz w:val="32"/>
          <w:szCs w:val="32"/>
        </w:rPr>
      </w:pPr>
      <w:r>
        <w:rPr>
          <w:rFonts w:hint="default" w:ascii="Times New Roman" w:hAnsi="Times New Roman" w:eastAsia="方正仿宋_GBK" w:cs="Times New Roman"/>
          <w:spacing w:val="6"/>
          <w:kern w:val="0"/>
          <w:sz w:val="32"/>
          <w:szCs w:val="32"/>
        </w:rPr>
        <w:t>国有资本经营预算支出主要用于加快国有企业改革，支持国有企业发展等方面。</w:t>
      </w:r>
    </w:p>
    <w:p>
      <w:pPr>
        <w:keepNext w:val="0"/>
        <w:keepLines w:val="0"/>
        <w:pageBreakBefore w:val="0"/>
        <w:widowControl/>
        <w:kinsoku/>
        <w:wordWrap/>
        <w:overflowPunct/>
        <w:topLinePunct w:val="0"/>
        <w:bidi w:val="0"/>
        <w:adjustRightInd w:val="0"/>
        <w:snapToGrid w:val="0"/>
        <w:spacing w:line="600" w:lineRule="exact"/>
        <w:ind w:firstLine="640" w:firstLineChars="200"/>
        <w:jc w:val="both"/>
        <w:textAlignment w:val="auto"/>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（三）预备费、预算稳定调节基金、预算周转金等使用情况。</w:t>
      </w:r>
    </w:p>
    <w:p>
      <w:pPr>
        <w:pStyle w:val="7"/>
        <w:keepNext w:val="0"/>
        <w:keepLines w:val="0"/>
        <w:pageBreakBefore w:val="0"/>
        <w:kinsoku/>
        <w:wordWrap/>
        <w:overflowPunct/>
        <w:topLinePunct w:val="0"/>
        <w:bidi w:val="0"/>
        <w:spacing w:line="600" w:lineRule="exact"/>
        <w:ind w:firstLine="664" w:firstLineChars="200"/>
        <w:jc w:val="both"/>
        <w:textAlignment w:val="auto"/>
        <w:rPr>
          <w:rFonts w:hint="default" w:ascii="Times New Roman" w:hAnsi="Times New Roman" w:eastAsia="方正仿宋_GBK" w:cs="Times New Roman"/>
          <w:spacing w:val="6"/>
          <w:kern w:val="0"/>
          <w:szCs w:val="32"/>
        </w:rPr>
      </w:pPr>
      <w:r>
        <w:rPr>
          <w:rFonts w:hint="default" w:ascii="Times New Roman" w:hAnsi="Times New Roman" w:eastAsia="方正仿宋_GBK" w:cs="Times New Roman"/>
          <w:spacing w:val="6"/>
          <w:kern w:val="0"/>
          <w:szCs w:val="32"/>
        </w:rPr>
        <w:t>2021年县级安排预备费7000万元，支出3680万元。主要用于疫情防控、应急维稳处置、农村精神文明建设等方面。剩余资金用于统筹平衡总预算。</w:t>
      </w:r>
    </w:p>
    <w:p>
      <w:pPr>
        <w:pStyle w:val="7"/>
        <w:keepNext w:val="0"/>
        <w:keepLines w:val="0"/>
        <w:pageBreakBefore w:val="0"/>
        <w:kinsoku/>
        <w:wordWrap/>
        <w:overflowPunct/>
        <w:topLinePunct w:val="0"/>
        <w:bidi w:val="0"/>
        <w:spacing w:line="600" w:lineRule="exact"/>
        <w:ind w:firstLine="664" w:firstLineChars="200"/>
        <w:jc w:val="both"/>
        <w:textAlignment w:val="auto"/>
        <w:rPr>
          <w:rFonts w:hint="default" w:ascii="Times New Roman" w:hAnsi="Times New Roman" w:eastAsia="方正仿宋_GBK" w:cs="Times New Roman"/>
          <w:spacing w:val="6"/>
          <w:kern w:val="0"/>
          <w:szCs w:val="32"/>
        </w:rPr>
      </w:pPr>
      <w:r>
        <w:rPr>
          <w:rFonts w:hint="default" w:ascii="Times New Roman" w:hAnsi="Times New Roman" w:eastAsia="方正仿宋_GBK" w:cs="Times New Roman"/>
          <w:spacing w:val="6"/>
          <w:kern w:val="0"/>
          <w:szCs w:val="32"/>
        </w:rPr>
        <w:t>2021年县级动用预算稳定调节基金158万元，全部用于“三保”支出和落实县委的决策部署。年末按照规定将超收收入1677万元补充预算稳定调节基金，2021年末预算稳定调节基金余额为1677万元。2021年末县级预算周转金余额为21万元。</w:t>
      </w:r>
    </w:p>
    <w:p>
      <w:pPr>
        <w:pStyle w:val="7"/>
        <w:keepNext w:val="0"/>
        <w:keepLines w:val="0"/>
        <w:pageBreakBefore w:val="0"/>
        <w:kinsoku/>
        <w:wordWrap/>
        <w:overflowPunct/>
        <w:topLinePunct w:val="0"/>
        <w:bidi w:val="0"/>
        <w:spacing w:line="600" w:lineRule="exact"/>
        <w:ind w:firstLine="640" w:firstLineChars="200"/>
        <w:jc w:val="both"/>
        <w:textAlignment w:val="auto"/>
        <w:rPr>
          <w:rFonts w:hint="default" w:ascii="Times New Roman" w:hAnsi="Times New Roman" w:eastAsia="方正楷体_GBK" w:cs="Times New Roman"/>
          <w:kern w:val="0"/>
          <w:szCs w:val="32"/>
        </w:rPr>
      </w:pPr>
      <w:r>
        <w:rPr>
          <w:rFonts w:hint="default" w:ascii="Times New Roman" w:hAnsi="Times New Roman" w:eastAsia="方正楷体_GBK" w:cs="Times New Roman"/>
          <w:kern w:val="0"/>
          <w:szCs w:val="32"/>
        </w:rPr>
        <w:t>（四）县对乡镇补助情况。</w:t>
      </w:r>
    </w:p>
    <w:p>
      <w:pPr>
        <w:pStyle w:val="7"/>
        <w:keepNext w:val="0"/>
        <w:keepLines w:val="0"/>
        <w:pageBreakBefore w:val="0"/>
        <w:kinsoku/>
        <w:wordWrap/>
        <w:overflowPunct/>
        <w:topLinePunct w:val="0"/>
        <w:bidi w:val="0"/>
        <w:spacing w:line="600" w:lineRule="exact"/>
        <w:ind w:firstLine="664" w:firstLineChars="200"/>
        <w:jc w:val="both"/>
        <w:textAlignment w:val="auto"/>
        <w:rPr>
          <w:rFonts w:hint="default" w:ascii="Times New Roman" w:hAnsi="Times New Roman" w:eastAsia="方正仿宋_GBK" w:cs="Times New Roman"/>
          <w:spacing w:val="6"/>
          <w:kern w:val="0"/>
          <w:szCs w:val="32"/>
        </w:rPr>
      </w:pPr>
      <w:r>
        <w:rPr>
          <w:rFonts w:hint="default" w:ascii="Times New Roman" w:hAnsi="Times New Roman" w:eastAsia="方正仿宋_GBK" w:cs="Times New Roman"/>
          <w:spacing w:val="6"/>
          <w:kern w:val="0"/>
          <w:szCs w:val="32"/>
        </w:rPr>
        <w:t>2021年，县对乡镇补助110554万元。其中一般公共预算补助99589万元，政府性基金预算补助10965万元。</w:t>
      </w:r>
    </w:p>
    <w:p>
      <w:pPr>
        <w:pStyle w:val="7"/>
        <w:keepNext w:val="0"/>
        <w:keepLines w:val="0"/>
        <w:pageBreakBefore w:val="0"/>
        <w:kinsoku/>
        <w:wordWrap/>
        <w:overflowPunct/>
        <w:topLinePunct w:val="0"/>
        <w:bidi w:val="0"/>
        <w:spacing w:line="600" w:lineRule="exact"/>
        <w:ind w:firstLine="640" w:firstLineChars="200"/>
        <w:jc w:val="both"/>
        <w:textAlignment w:val="auto"/>
        <w:rPr>
          <w:rFonts w:hint="default" w:ascii="Times New Roman" w:hAnsi="Times New Roman" w:eastAsia="方正楷体_GBK" w:cs="Times New Roman"/>
          <w:kern w:val="0"/>
          <w:szCs w:val="32"/>
        </w:rPr>
      </w:pPr>
      <w:r>
        <w:rPr>
          <w:rFonts w:hint="default" w:ascii="Times New Roman" w:hAnsi="Times New Roman" w:eastAsia="方正楷体_GBK" w:cs="Times New Roman"/>
          <w:kern w:val="0"/>
          <w:szCs w:val="32"/>
        </w:rPr>
        <w:t>（五）2021年政府债务限额及余额情况</w:t>
      </w:r>
    </w:p>
    <w:p>
      <w:pPr>
        <w:keepNext w:val="0"/>
        <w:keepLines w:val="0"/>
        <w:pageBreakBefore w:val="0"/>
        <w:kinsoku/>
        <w:wordWrap/>
        <w:overflowPunct/>
        <w:topLinePunct w:val="0"/>
        <w:bidi w:val="0"/>
        <w:spacing w:line="600" w:lineRule="exact"/>
        <w:ind w:firstLine="664" w:firstLineChars="200"/>
        <w:jc w:val="both"/>
        <w:textAlignment w:val="auto"/>
        <w:rPr>
          <w:rFonts w:hint="default" w:ascii="Times New Roman" w:hAnsi="Times New Roman" w:eastAsia="方正仿宋_GBK" w:cs="Times New Roman"/>
          <w:spacing w:val="6"/>
          <w:kern w:val="0"/>
          <w:sz w:val="32"/>
          <w:szCs w:val="32"/>
        </w:rPr>
      </w:pPr>
      <w:r>
        <w:rPr>
          <w:rFonts w:hint="default" w:ascii="Times New Roman" w:hAnsi="Times New Roman" w:eastAsia="方正仿宋_GBK" w:cs="Times New Roman"/>
          <w:spacing w:val="6"/>
          <w:kern w:val="0"/>
          <w:sz w:val="32"/>
          <w:szCs w:val="32"/>
        </w:rPr>
        <w:t>——2020年底政府债务余额情况。2020年底，全县政府债务余额为91.5亿元，其中：一般债务余额51.7亿元，专项债务余额39.8亿元。</w:t>
      </w:r>
    </w:p>
    <w:p>
      <w:pPr>
        <w:keepNext w:val="0"/>
        <w:keepLines w:val="0"/>
        <w:pageBreakBefore w:val="0"/>
        <w:kinsoku/>
        <w:wordWrap/>
        <w:overflowPunct/>
        <w:topLinePunct w:val="0"/>
        <w:bidi w:val="0"/>
        <w:spacing w:line="600" w:lineRule="exact"/>
        <w:ind w:firstLine="664" w:firstLineChars="200"/>
        <w:jc w:val="both"/>
        <w:textAlignment w:val="auto"/>
        <w:rPr>
          <w:rFonts w:hint="default" w:ascii="Times New Roman" w:hAnsi="Times New Roman" w:eastAsia="方正仿宋_GBK" w:cs="Times New Roman"/>
          <w:spacing w:val="6"/>
          <w:kern w:val="0"/>
          <w:sz w:val="32"/>
          <w:szCs w:val="32"/>
        </w:rPr>
      </w:pPr>
      <w:r>
        <w:rPr>
          <w:rFonts w:hint="default" w:ascii="Times New Roman" w:hAnsi="Times New Roman" w:eastAsia="方正仿宋_GBK" w:cs="Times New Roman"/>
          <w:spacing w:val="6"/>
          <w:kern w:val="0"/>
          <w:sz w:val="32"/>
          <w:szCs w:val="32"/>
        </w:rPr>
        <w:t>——2021年地方政府债务新增情况。2021年全县地方政府债务增加8.1亿元，其中：市级转贷我县新增政府债券资金8亿元、外债转贷0.1亿元。一般债券增加2.5亿元，主要用于交通道路、生态环保、义务教育等11个重点项目；专项债券增加5.5亿元，主要用于棚户区改造、医疗卫生、工业园区、城市停车场、学前教育等11个重点项目；外债增加0.1亿元，用于云雾至太和农村公路建设。</w:t>
      </w:r>
    </w:p>
    <w:p>
      <w:pPr>
        <w:keepNext w:val="0"/>
        <w:keepLines w:val="0"/>
        <w:pageBreakBefore w:val="0"/>
        <w:kinsoku/>
        <w:wordWrap/>
        <w:overflowPunct/>
        <w:topLinePunct w:val="0"/>
        <w:bidi w:val="0"/>
        <w:spacing w:line="600" w:lineRule="exact"/>
        <w:ind w:firstLine="664" w:firstLineChars="200"/>
        <w:jc w:val="both"/>
        <w:textAlignment w:val="auto"/>
        <w:rPr>
          <w:rFonts w:hint="default" w:ascii="Times New Roman" w:hAnsi="Times New Roman" w:eastAsia="方正仿宋_GBK" w:cs="Times New Roman"/>
          <w:spacing w:val="6"/>
          <w:kern w:val="0"/>
          <w:sz w:val="32"/>
          <w:szCs w:val="32"/>
        </w:rPr>
      </w:pPr>
      <w:r>
        <w:rPr>
          <w:rFonts w:hint="default" w:ascii="Times New Roman" w:hAnsi="Times New Roman" w:eastAsia="方正仿宋_GBK" w:cs="Times New Roman"/>
          <w:spacing w:val="6"/>
          <w:kern w:val="0"/>
          <w:sz w:val="32"/>
          <w:szCs w:val="32"/>
        </w:rPr>
        <w:t>——2021年地方政府债务偿还情况。2021年，我县政府债务还本付息9.25亿元，其中：通过申请再融资债券置换5.41亿元，本级预算还本付息3.84亿元。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年底政府债务限额及余额情况。市财政局下达我县2021年政府债务限额99.5亿元，其中：一般债务限额54.1亿元、专项债务限额45.4亿元。2021年底，全县政府债务余额为99.1亿元，其中：一般债务余额53.8亿元、专项债务余额45.3亿元。2021年政府债务余额在市级核定的债务限额内，政府债务风险可控。</w:t>
      </w:r>
    </w:p>
    <w:p>
      <w:pPr>
        <w:pStyle w:val="2"/>
        <w:keepNext w:val="0"/>
        <w:keepLines w:val="0"/>
        <w:pageBreakBefore w:val="0"/>
        <w:kinsoku/>
        <w:wordWrap/>
        <w:overflowPunct/>
        <w:topLinePunct w:val="0"/>
        <w:bidi w:val="0"/>
        <w:spacing w:line="600"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二、2021年财政工作情况</w:t>
      </w:r>
    </w:p>
    <w:p>
      <w:pPr>
        <w:keepNext w:val="0"/>
        <w:keepLines w:val="0"/>
        <w:pageBreakBefore w:val="0"/>
        <w:kinsoku/>
        <w:wordWrap/>
        <w:overflowPunct/>
        <w:topLinePunct w:val="0"/>
        <w:bidi w:val="0"/>
        <w:adjustRightInd w:val="0"/>
        <w:snapToGrid w:val="0"/>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2021年，全县财政工作坚持以习近平新时代中国特色社会主义思想为指导，紧紧围绕县委重大决策部署，坚持“</w:t>
      </w:r>
      <w:r>
        <w:rPr>
          <w:rFonts w:hint="default" w:ascii="Times New Roman" w:hAnsi="Times New Roman" w:eastAsia="方正仿宋_GBK" w:cs="Times New Roman"/>
          <w:sz w:val="32"/>
          <w:szCs w:val="32"/>
          <w:shd w:val="clear" w:color="auto" w:fill="FFFFFF"/>
        </w:rPr>
        <w:t>积极的财政政策要提质增效、更可持续</w:t>
      </w:r>
      <w:r>
        <w:rPr>
          <w:rFonts w:hint="default" w:ascii="Times New Roman" w:hAnsi="Times New Roman" w:eastAsia="方正仿宋_GBK" w:cs="Times New Roman"/>
          <w:sz w:val="32"/>
          <w:szCs w:val="32"/>
        </w:rPr>
        <w:t>”要求，坚持</w:t>
      </w:r>
      <w:r>
        <w:rPr>
          <w:rFonts w:hint="default" w:ascii="Times New Roman" w:hAnsi="Times New Roman" w:eastAsia="方正仿宋_GBK" w:cs="Times New Roman"/>
          <w:sz w:val="32"/>
          <w:szCs w:val="32"/>
          <w:shd w:val="clear" w:color="auto" w:fill="FFFFFF"/>
        </w:rPr>
        <w:t>依法理财、科学理财、为民理财，充分发挥财政职能作用，</w:t>
      </w:r>
      <w:r>
        <w:rPr>
          <w:rFonts w:hint="default" w:ascii="Times New Roman" w:hAnsi="Times New Roman" w:eastAsia="方正仿宋_GBK" w:cs="Times New Roman"/>
          <w:sz w:val="32"/>
          <w:szCs w:val="32"/>
        </w:rPr>
        <w:t>为推动全县经济稳定恢复和民生持续改善提供了重要支撑。</w:t>
      </w:r>
    </w:p>
    <w:p>
      <w:pPr>
        <w:keepNext w:val="0"/>
        <w:keepLines w:val="0"/>
        <w:pageBreakBefore w:val="0"/>
        <w:kinsoku/>
        <w:wordWrap/>
        <w:overflowPunct/>
        <w:topLinePunct w:val="0"/>
        <w:bidi w:val="0"/>
        <w:adjustRightInd w:val="0"/>
        <w:snapToGrid w:val="0"/>
        <w:spacing w:line="600" w:lineRule="exact"/>
        <w:ind w:firstLine="640" w:firstLineChars="200"/>
        <w:jc w:val="both"/>
        <w:textAlignment w:val="auto"/>
        <w:rPr>
          <w:rFonts w:hint="default" w:ascii="Times New Roman" w:hAnsi="Times New Roman" w:eastAsia="方正楷体_GBK" w:cs="Times New Roman"/>
          <w:sz w:val="32"/>
          <w:szCs w:val="32"/>
          <w:shd w:val="clear" w:color="auto" w:fill="FFFFFF"/>
        </w:rPr>
      </w:pPr>
      <w:r>
        <w:rPr>
          <w:rFonts w:hint="default" w:ascii="Times New Roman" w:hAnsi="Times New Roman" w:eastAsia="方正楷体_GBK" w:cs="Times New Roman"/>
          <w:sz w:val="32"/>
          <w:szCs w:val="32"/>
          <w:shd w:val="clear" w:color="auto" w:fill="FFFFFF"/>
        </w:rPr>
        <w:t>（一）落实县人大预算决议情况</w:t>
      </w:r>
    </w:p>
    <w:p>
      <w:pPr>
        <w:pStyle w:val="2"/>
        <w:keepNext w:val="0"/>
        <w:keepLines w:val="0"/>
        <w:pageBreakBefore w:val="0"/>
        <w:kinsoku/>
        <w:wordWrap/>
        <w:overflowPunct/>
        <w:topLinePunct w:val="0"/>
        <w:bidi w:val="0"/>
        <w:spacing w:line="600" w:lineRule="exact"/>
        <w:ind w:firstLine="640" w:firstLineChars="200"/>
        <w:jc w:val="both"/>
        <w:textAlignment w:val="auto"/>
        <w:rPr>
          <w:rFonts w:hint="default" w:ascii="Times New Roman" w:hAnsi="Times New Roman" w:cs="Times New Roman"/>
          <w:color w:val="auto"/>
          <w:kern w:val="2"/>
          <w:sz w:val="32"/>
          <w:szCs w:val="32"/>
          <w:shd w:val="clear" w:color="auto" w:fill="FFFFFF"/>
        </w:rPr>
      </w:pPr>
      <w:r>
        <w:rPr>
          <w:rFonts w:hint="default" w:ascii="Times New Roman" w:hAnsi="Times New Roman" w:cs="Times New Roman"/>
          <w:color w:val="auto"/>
          <w:kern w:val="2"/>
          <w:sz w:val="32"/>
          <w:szCs w:val="32"/>
          <w:shd w:val="clear" w:color="auto" w:fill="FFFFFF"/>
        </w:rPr>
        <w:t xml:space="preserve">1.精准投入助发展。落实积极的财政政策，管好用好直达资金，发挥实效惠企利民，做大做强实体经济。不折不扣减税降费，通过提高小规模纳税人增值税起征点、减半征收小微企业和个体工商户所得税等措施，激发市场主体生产经营活力，全年预计减税降费6亿元。建立财政资金差异化补助机制，落实市场主体培育补助资金873万元，补助入库“四上企业”931万元，兑现招商引资扶持资金11494万元。持续改善生态环境，拨付煤矿关闭及转产扶持资金15462万元，落实污水处理资金3286万元。全力支持城市形象提升，安排资金15627万元用于城市管网维护改造、污泥运输处置等。投入48906万元支持全县交通重点项目建设。累计安排科学技术支出5268万元支持科技创新。投入资金8512万元推动文化体育和文旅融合发展。 </w:t>
      </w:r>
      <w:bookmarkStart w:id="0" w:name="_GoBack"/>
      <w:bookmarkEnd w:id="0"/>
    </w:p>
    <w:p>
      <w:pPr>
        <w:keepNext w:val="0"/>
        <w:keepLines w:val="0"/>
        <w:pageBreakBefore w:val="0"/>
        <w:kinsoku/>
        <w:wordWrap/>
        <w:overflowPunct/>
        <w:topLinePunct w:val="0"/>
        <w:bidi w:val="0"/>
        <w:spacing w:line="600" w:lineRule="exact"/>
        <w:ind w:firstLine="640" w:firstLineChars="200"/>
        <w:jc w:val="both"/>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2.聚焦民生强保障。注重普惠性、基础性、兜底性，全年民生支出62.1亿元，占一般公共预算支出的83%。足额编制“三保”支出预算，兜牢“三保”底线，全年预计支出57.93亿元。促进教育高质量发展，落实“两个只增不减”要求，安排资金16.79亿元，兑现各阶段学生公用经费和资助政策，推动义务教育“双减”政策落地，支持重庆市巴蜀渝东中学“民转公”。持续完善社会保障体系。投入资金11.8亿元，落实社会保障和就业政策，确保劳有所得、老有所养、弱有所扶。兑付困难群众救助和其他补助资金共4.34亿元，惠及群众941202人次。城乡低保人员保障金和退休人员基本养老金标准分别由620元/496元、115元提高到636元/515元、125元。着力提升医疗保障水平。城乡居民基本医疗保险政策全覆盖，人均财政补助标准提高30元；安排资金2584万元支持常态化疫情防控，落实居民新冠病毒疫苗免费政策，确保应接尽接。鼎力支持乡村振兴。统筹整合资金79696万元，重点投向全县农村基础设施、饮水安全、产业发展、到人到户扶持等领域，有序推进乡村振兴，巩固拓展脱贫攻坚成果。</w:t>
      </w:r>
    </w:p>
    <w:p>
      <w:pPr>
        <w:keepNext w:val="0"/>
        <w:keepLines w:val="0"/>
        <w:pageBreakBefore w:val="0"/>
        <w:kinsoku/>
        <w:wordWrap/>
        <w:overflowPunct/>
        <w:topLinePunct w:val="0"/>
        <w:bidi w:val="0"/>
        <w:spacing w:line="600" w:lineRule="exact"/>
        <w:ind w:firstLine="640" w:firstLineChars="200"/>
        <w:jc w:val="both"/>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3.多措并举重管理。严格预算管理，坚持零基预算、预算公开评审、预决算公开等制度，坚持政府过“紧日子”，按程序统筹上级转移支付资金3.28亿元，用于“三保”及重点领域和重点项目支出。严格财政监督，完成全县281个行政事业单位内控填报，优良率93%；督促全县25个部门单位退还重复报销、重复享受的资金71.12万元；组织4次基层财政财务监督检查，督促整改问题150余项，收回超标准、超范围开支、违规借款等58.3万元。注重绩效管理，坚持绩效目标和资金计划同步下达，全覆盖开展2021年度部门整体支出绩效管理和预算单位绩效自评，对2020年度36个项目开展重点绩效评价，基本建成全方位、全过程、全覆盖的预算绩效管理体系。注重能力提升，开展6轮财会培训，轮训行政事业单位财会人员150人次，培训村级报账员395人次，实现基层财务人员、财政业务培训全覆盖。</w:t>
      </w:r>
    </w:p>
    <w:p>
      <w:pPr>
        <w:keepNext w:val="0"/>
        <w:keepLines w:val="0"/>
        <w:pageBreakBefore w:val="0"/>
        <w:kinsoku/>
        <w:wordWrap/>
        <w:overflowPunct/>
        <w:topLinePunct w:val="0"/>
        <w:bidi w:val="0"/>
        <w:snapToGrid w:val="0"/>
        <w:spacing w:line="600" w:lineRule="exact"/>
        <w:ind w:firstLine="640" w:firstLineChars="200"/>
        <w:jc w:val="both"/>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4.坚定不移推改革。深化国库集中支付电子化改革，优化预算单位电子印章办理程序，完善电子印章管理。实施财政票据电子化改革。以“先医疗、后全面”的方式推进财政票据电子化，平稳推进国标系统及公共缴费平台建设，实现非税收入收缴全程电子化。落实非税收入征管职责划分改革。有序推动预算管理一体化系统建设，完成预算、执行、核算等模块联调测试工作，确保实现预算一体化系统全面上线运行。规范政府采购项目管理。实施“互联网+政府采购”行动，严格执行公平竞争审查制度，完善政府采购质疑投诉和行政裁决机制。</w:t>
      </w:r>
    </w:p>
    <w:p>
      <w:pPr>
        <w:keepNext w:val="0"/>
        <w:keepLines w:val="0"/>
        <w:pageBreakBefore w:val="0"/>
        <w:kinsoku/>
        <w:wordWrap/>
        <w:overflowPunct/>
        <w:topLinePunct w:val="0"/>
        <w:bidi w:val="0"/>
        <w:spacing w:line="600" w:lineRule="exact"/>
        <w:ind w:firstLine="640" w:firstLineChars="200"/>
        <w:jc w:val="both"/>
        <w:textAlignment w:val="auto"/>
        <w:rPr>
          <w:rFonts w:hint="default" w:ascii="Times New Roman" w:hAnsi="Times New Roman" w:eastAsia="方正楷体_GBK" w:cs="Times New Roman"/>
          <w:sz w:val="32"/>
          <w:szCs w:val="32"/>
          <w:shd w:val="clear" w:color="auto" w:fill="FFFFFF"/>
        </w:rPr>
      </w:pPr>
      <w:r>
        <w:rPr>
          <w:rFonts w:hint="default" w:ascii="Times New Roman" w:hAnsi="Times New Roman" w:eastAsia="方正楷体_GBK" w:cs="Times New Roman"/>
          <w:sz w:val="32"/>
          <w:szCs w:val="32"/>
        </w:rPr>
        <w:t>（二）</w:t>
      </w:r>
      <w:r>
        <w:rPr>
          <w:rFonts w:hint="default" w:ascii="Times New Roman" w:hAnsi="Times New Roman" w:eastAsia="方正楷体_GBK" w:cs="Times New Roman"/>
          <w:sz w:val="32"/>
          <w:szCs w:val="32"/>
          <w:shd w:val="clear" w:color="auto" w:fill="FFFFFF"/>
        </w:rPr>
        <w:t>服务代表委员情况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坚持依法理财。严格执行《预算法》《预算法实施条例》各项规定，按照县十七届人大五次会议批准的《奉节县2020年财政预算执行情况和2021年财政预算草案的报告》和县第十七届人大常委会第三十六次会议批准的调整预算方案，认真执行各项财政收支预算。债券资金分配、转移支付统筹，依法按程序提请县人大常委会审议。坚持预算公开评审，以绩效为导向开展重点专项公开评审，预算编制进一步规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抓好人大代表建议、政协委员提案办理。2021年，县财政局办理人大代表建议、政协委员提案共7件。通过组建专班，落实专人，采取专题调研、定期走访、电话沟通、网络互动等方式，实现高质量办理，人大代表、政协委员满意度100%。</w:t>
      </w:r>
    </w:p>
    <w:p>
      <w:pPr>
        <w:pStyle w:val="7"/>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spacing w:val="2"/>
          <w:sz w:val="32"/>
          <w:szCs w:val="32"/>
        </w:rPr>
      </w:pPr>
      <w:r>
        <w:rPr>
          <w:rFonts w:hint="default" w:ascii="Times New Roman" w:hAnsi="Times New Roman" w:eastAsia="方正仿宋_GBK" w:cs="Times New Roman"/>
          <w:sz w:val="32"/>
          <w:szCs w:val="32"/>
        </w:rPr>
        <w:t>各位代表，2021年是中国共产党建党100周年，是本届政府收官之年。回望过去五年，</w:t>
      </w:r>
      <w:r>
        <w:rPr>
          <w:rFonts w:hint="default" w:ascii="Times New Roman" w:hAnsi="Times New Roman" w:eastAsia="方正仿宋_GBK" w:cs="Times New Roman"/>
          <w:spacing w:val="2"/>
          <w:sz w:val="32"/>
          <w:szCs w:val="32"/>
        </w:rPr>
        <w:t>是全县财政收入稳定增长的五年，是财政保障能力逐步增强的五年，是理财水平不断提升的五年，是财政改革深入推进的五年。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是财政收入稳定增长。过去五年，全县财政收入分别实现34.07亿元、36.48亿元、36.58亿元、32.52亿元、37.27亿元。争取上级转移支付收入分别实现55.43亿元、57.46亿元、62.82亿元、67.05亿元、55.70亿元。债券转贷收入分别实现14.57亿元、12.61亿元、23.13亿元、26.42亿元、13.61亿元。财力总量分别实现119.39亿元、123.99亿元、140.18亿元、143.47亿元、124.91亿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二是财政保障坚强有力。五年来，</w:t>
      </w:r>
      <w:r>
        <w:rPr>
          <w:rFonts w:hint="default" w:ascii="Times New Roman" w:hAnsi="Times New Roman" w:eastAsia="方正仿宋_GBK" w:cs="Times New Roman"/>
          <w:sz w:val="32"/>
          <w:szCs w:val="32"/>
          <w:lang w:val="zh-CN"/>
        </w:rPr>
        <w:t>全县“三保”支出分别实现</w:t>
      </w:r>
      <w:r>
        <w:rPr>
          <w:rFonts w:hint="default" w:ascii="Times New Roman" w:hAnsi="Times New Roman" w:eastAsia="方正仿宋_GBK" w:cs="Times New Roman"/>
          <w:sz w:val="32"/>
          <w:szCs w:val="32"/>
        </w:rPr>
        <w:t>53.10亿元、54.93亿元、55.73亿元、56.16亿元</w:t>
      </w:r>
      <w:r>
        <w:rPr>
          <w:rFonts w:hint="default" w:ascii="Times New Roman" w:hAnsi="Times New Roman" w:eastAsia="方正仿宋_GBK" w:cs="Times New Roman"/>
          <w:sz w:val="32"/>
          <w:szCs w:val="32"/>
          <w:lang w:val="zh-CN"/>
        </w:rPr>
        <w:t>、</w:t>
      </w:r>
      <w:r>
        <w:rPr>
          <w:rFonts w:hint="default" w:ascii="Times New Roman" w:hAnsi="Times New Roman" w:eastAsia="方正仿宋_GBK" w:cs="Times New Roman"/>
          <w:sz w:val="32"/>
          <w:szCs w:val="32"/>
        </w:rPr>
        <w:t>57.93</w:t>
      </w:r>
      <w:r>
        <w:rPr>
          <w:rFonts w:hint="default" w:ascii="Times New Roman" w:hAnsi="Times New Roman" w:eastAsia="方正仿宋_GBK" w:cs="Times New Roman"/>
          <w:sz w:val="32"/>
          <w:szCs w:val="32"/>
          <w:lang w:val="zh-CN"/>
        </w:rPr>
        <w:t>亿元。全县支持脱贫攻坚和乡村振兴的资金超过69.24</w:t>
      </w:r>
      <w:r>
        <w:rPr>
          <w:rFonts w:hint="default" w:ascii="Times New Roman" w:hAnsi="Times New Roman" w:eastAsia="方正仿宋_GBK" w:cs="Times New Roman"/>
          <w:sz w:val="32"/>
          <w:szCs w:val="32"/>
        </w:rPr>
        <w:t>亿元。教育、科技、卫生健康、交通建设、关闭煤矿转产扶持、农林水、住房保障等领域的投入累计达到225亿元。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是财政管理不断加强。实行“零基预算”，严格预算约束，推行预算公开评审、落实“零结转”制度和预决算公开制度。常年开展民生资金、扶贫资金、涉农资金大检查和财政业务指导及培训，提高资金使用绩效。出台政府过“紧日子”20条措施，严审严控新增支出，全面完成审计、检查等各类问题整改。依法公开财政预决算和“三公经费”等财政信息。严格政府债务管理，确保风险可控。</w:t>
      </w:r>
    </w:p>
    <w:p>
      <w:pPr>
        <w:pStyle w:val="8"/>
        <w:keepNext w:val="0"/>
        <w:keepLines w:val="0"/>
        <w:pageBreakBefore w:val="0"/>
        <w:widowControl/>
        <w:kinsoku/>
        <w:wordWrap/>
        <w:overflowPunct/>
        <w:topLinePunct w:val="0"/>
        <w:autoSpaceDE/>
        <w:autoSpaceDN/>
        <w:bidi w:val="0"/>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napToGrid w:val="0"/>
          <w:sz w:val="32"/>
          <w:szCs w:val="32"/>
        </w:rPr>
        <w:t>四是财政改革纵深推进。</w:t>
      </w:r>
      <w:r>
        <w:rPr>
          <w:rFonts w:hint="default" w:ascii="Times New Roman" w:hAnsi="Times New Roman" w:eastAsia="方正仿宋_GBK" w:cs="Times New Roman"/>
          <w:sz w:val="32"/>
          <w:szCs w:val="32"/>
        </w:rPr>
        <w:t>全面清理规范财政专户，</w:t>
      </w:r>
      <w:r>
        <w:rPr>
          <w:rFonts w:hint="default" w:ascii="Times New Roman" w:hAnsi="Times New Roman" w:eastAsia="方正仿宋_GBK" w:cs="Times New Roman"/>
          <w:sz w:val="32"/>
          <w:szCs w:val="32"/>
          <w:shd w:val="clear" w:color="auto" w:fill="FFFFFF"/>
        </w:rPr>
        <w:t>深化国库集中支付改革，实现</w:t>
      </w:r>
      <w:r>
        <w:rPr>
          <w:rFonts w:hint="default" w:ascii="Times New Roman" w:hAnsi="Times New Roman" w:eastAsia="方正仿宋_GBK" w:cs="Times New Roman"/>
          <w:sz w:val="32"/>
          <w:szCs w:val="32"/>
        </w:rPr>
        <w:t>国库集中支付电子化全覆盖。</w:t>
      </w:r>
      <w:r>
        <w:rPr>
          <w:rFonts w:hint="default" w:ascii="Times New Roman" w:hAnsi="Times New Roman" w:eastAsia="方正仿宋_GBK" w:cs="Times New Roman"/>
          <w:sz w:val="32"/>
          <w:szCs w:val="32"/>
          <w:shd w:val="clear" w:color="auto" w:fill="FFFFFF"/>
        </w:rPr>
        <w:t>优化预算单位电子印章办理程序，完善电子印章管理，平稳推进非税收入收缴国标系统及公共缴费平台建设，创新拓宽缴费渠道。落实非税收入征管职责划分改革。健全完善预算管理一体化系统，探索</w:t>
      </w:r>
      <w:r>
        <w:rPr>
          <w:rFonts w:hint="default" w:ascii="Times New Roman" w:hAnsi="Times New Roman" w:eastAsia="方正仿宋_GBK" w:cs="Times New Roman"/>
          <w:kern w:val="2"/>
          <w:sz w:val="32"/>
          <w:szCs w:val="32"/>
        </w:rPr>
        <w:t>实施“拨改投”“拨改贴”，着力发挥财政资金的引导撬动作用。</w:t>
      </w:r>
      <w:r>
        <w:rPr>
          <w:rFonts w:hint="default" w:ascii="Times New Roman" w:hAnsi="Times New Roman" w:eastAsia="方正仿宋_GBK" w:cs="Times New Roman"/>
          <w:sz w:val="32"/>
          <w:szCs w:val="32"/>
        </w:rPr>
        <w:t>有序推进财政投资评审，累计完成工程项目预算编审2752个，审定投资166.17亿元。实施“互联网+政府采购”行动，严格执行公平竞争审查制度，完善政府采购质疑投诉和行政裁决机制，五年下达采购项目计划1594个，计划资金21.79亿元，公开招标项目574个，最高限价19.77亿元，中标金额18.59亿元。</w:t>
      </w:r>
    </w:p>
    <w:p>
      <w:pPr>
        <w:pStyle w:val="7"/>
        <w:keepNext w:val="0"/>
        <w:keepLines w:val="0"/>
        <w:pageBreakBefore w:val="0"/>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在总结成绩的同时，我们也清醒的看到财政运行管理中还存在一些矛盾和问题，主要表现在：经济下行压力持续加大，收支矛盾突出，财政处于“紧平衡”状态，收支平衡面临考验；部分专项支出监控乏力、绩效不高，需牢固树立绩效管理理念，提升绩效管理水平；债务风险总体可控，但局部风险不容忽视。下一步，我们将高度重视，继续采取问题导向、目标导向，努力加以解决。</w:t>
      </w:r>
    </w:p>
    <w:p>
      <w:pPr>
        <w:pStyle w:val="2"/>
        <w:keepNext w:val="0"/>
        <w:keepLines w:val="0"/>
        <w:pageBreakBefore w:val="0"/>
        <w:kinsoku/>
        <w:wordWrap/>
        <w:overflowPunct/>
        <w:topLinePunct w:val="0"/>
        <w:bidi w:val="0"/>
        <w:spacing w:line="60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方正黑体_GBK" w:cs="Times New Roman"/>
          <w:color w:val="auto"/>
          <w:sz w:val="32"/>
          <w:szCs w:val="32"/>
        </w:rPr>
        <w:t>三、2022年财政工作安排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是下一届政府开局之年，我们对标对表县十五次党代会和县政府工作报告总体要求，对未来五年的总体目标进行展望：未来五年，全县财政工作将按照“十四五”规划纲要要求，围绕“兴业兴城、强县富民”目标，坚持“以政领财、以财辅政”，积极发挥财政职能作用，财政收入保持一般公共预算收入年均增长10%以上，到2026年末，一般公共预算收入突破25亿元，县级财政收入达到50亿元以上。财政支出确保兜牢基层“三保”底线，切实保障县第十五次党代会提出的重大战略和重点任务落到实处、取得实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（一）2022年预算编制指导思想和总体要求</w:t>
      </w:r>
    </w:p>
    <w:p>
      <w:pPr>
        <w:pStyle w:val="2"/>
        <w:keepNext w:val="0"/>
        <w:keepLines w:val="0"/>
        <w:pageBreakBefore w:val="0"/>
        <w:kinsoku/>
        <w:wordWrap/>
        <w:overflowPunct/>
        <w:topLinePunct w:val="0"/>
        <w:bidi w:val="0"/>
        <w:spacing w:line="600" w:lineRule="exact"/>
        <w:ind w:firstLine="640" w:firstLineChars="200"/>
        <w:jc w:val="both"/>
        <w:textAlignment w:val="auto"/>
        <w:rPr>
          <w:rFonts w:hint="default" w:ascii="Times New Roman" w:hAnsi="Times New Roman" w:cs="Times New Roman"/>
          <w:color w:val="FF0000"/>
          <w:sz w:val="32"/>
          <w:szCs w:val="32"/>
          <w:shd w:val="clear" w:color="auto" w:fill="FFFFFF"/>
        </w:rPr>
      </w:pPr>
      <w:r>
        <w:rPr>
          <w:rFonts w:hint="default" w:ascii="Times New Roman" w:hAnsi="Times New Roman" w:cs="Times New Roman"/>
          <w:color w:val="auto"/>
          <w:kern w:val="2"/>
          <w:sz w:val="32"/>
          <w:szCs w:val="32"/>
        </w:rPr>
        <w:t>2022年预算编制和财政工作坚持以习近平新时代中国特色社会主义思想为指导，全面贯彻落实党的十九大和十九届历次全会及县第十五次党代会精神；坚持稳字当头，稳中求进工作总基调，完整、准确、全面贯彻新发展理念，加快构建新发展格局，全面深化改革开放，坚持创新驱动发展，巩固拓展疫情防控和经济社会发展成果，落实好“积极的财政政策要提升效能，更加注重精准、可持续”要求；加强财政资源统筹，保持适度支出强度，加大优化支出结构力度，保障重大战略任务和重大政策落实；坚持艰苦奋斗、勤俭节约、精打细算，全面落实过紧日子要求；强化预算约束和绩效管理；加强地方政府债务管控，防范化解地方政府债务风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（二）2022年财政重点工作安排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聚力“开源节流”，确保财政运行平稳。优化营商环境，实施更大力度减税降费，增强市场主体活力，着力培育新兴税源。积极盘活政府资产存量，合理把握土地出让进度，促进财政收入持续稳定增长。强化收入执行动态监测分析，分解压实各执收部门责任，严格依法征收、应收尽收，确保圆满完成预期目标。硬化预算约束。严格执行县人大审议通过的预算；坚持量入为出、以收定支，严控新增支出政策的出台，规范压缩县级出台的超出财政承受能力范围的奖励、补助政策，坚决防止扩大新增支出硬缺口。优化支出结构，保持适当支出强度，提高支出精准度；坚持党政机关过紧日子，节俭办一切事业；调整低效、无效支出，做到有保有压，有促有控，确保财政运行平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聚力“兴业兴城”，推动发展提质增效。加大科技创新保障力度，坚持把科技作为财政支出的重点领域，确保科技投入只增不减。持续做好巩固拓展脱贫攻坚成果同乡村振兴有效衔接，保持政策和资金规模总体稳定。支持产业发展和农村人居环境改善，加强生态环境综合治理，推动绿色低碳发展。用好上级专项资金，加大对城市基础设施建设、城市功能完善、污染防治等方面的保障力度。提高政府投资效益。严格落实《重庆市政府投资管理办法》，引导扩大社会资本投资，推动全县高质量发展。</w:t>
      </w:r>
    </w:p>
    <w:p>
      <w:pPr>
        <w:keepNext w:val="0"/>
        <w:keepLines w:val="0"/>
        <w:pageBreakBefore w:val="0"/>
        <w:kinsoku/>
        <w:wordWrap/>
        <w:overflowPunct/>
        <w:topLinePunct w:val="0"/>
        <w:bidi w:val="0"/>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聚力“强县富民”，持续增进民生福祉。将“三保”放在财政支出的优先位置，兜牢“三保”底线。支持教育高质量发展，确保财政教育经费投入“两个只增不减”。推进卫生健康体系建设，支持做好常态化疫情防控，提高卫生健康服务质量。提高社会保障和就业水平，逐步健全养老服务体系，提升退役军人服务保障水平。支持交通事业发展，推进农村四好公路建设，加强乡村公共服务一体化。大力推动文化体育事业发展，继续做好“六稳”“六保”工作。</w:t>
      </w:r>
    </w:p>
    <w:p>
      <w:pPr>
        <w:keepNext w:val="0"/>
        <w:keepLines w:val="0"/>
        <w:pageBreakBefore w:val="0"/>
        <w:kinsoku/>
        <w:wordWrap/>
        <w:overflowPunct/>
        <w:topLinePunct w:val="0"/>
        <w:bidi w:val="0"/>
        <w:spacing w:line="60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方正仿宋_GBK" w:cs="Times New Roman"/>
          <w:sz w:val="32"/>
          <w:szCs w:val="32"/>
        </w:rPr>
        <w:t>4.聚力“守正创新”，全面推进财政改革。深化财税体制改革，强化国有资产管理，加快预算管理一体化建设，将制度规范与信息系统建设紧密结合，提高预算管理信息化水平。健全预算绩效管理体系，推进预算绩效管理提质增效，逗硬绩效评价结果运用与考核和预算安排挂钩。推进乡镇财政管理体制改革，落实“一级政府，一级财政”要求，压实乡镇“协税护税”责任，调动乡镇发展经济、组织收入的积极性。推进政府采购电子化招标，完善政府投资项目支出控制体系，做实工程项目决算评审。巩固财政票据电子化管理改革实践成果，</w:t>
      </w:r>
      <w:r>
        <w:rPr>
          <w:rFonts w:hint="default" w:ascii="Times New Roman" w:hAnsi="Times New Roman" w:eastAsia="方正仿宋_GBK" w:cs="Times New Roman"/>
          <w:sz w:val="32"/>
          <w:szCs w:val="32"/>
          <w:shd w:val="clear" w:color="auto" w:fill="FFFFFF"/>
        </w:rPr>
        <w:t>继续做好非税收入征管职责划分改革。</w:t>
      </w:r>
    </w:p>
    <w:p>
      <w:pPr>
        <w:keepNext w:val="0"/>
        <w:keepLines w:val="0"/>
        <w:pageBreakBefore w:val="0"/>
        <w:kinsoku/>
        <w:wordWrap/>
        <w:overflowPunct/>
        <w:topLinePunct w:val="0"/>
        <w:bidi w:val="0"/>
        <w:adjustRightInd w:val="0"/>
        <w:snapToGrid w:val="0"/>
        <w:spacing w:line="600" w:lineRule="exact"/>
        <w:ind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5.聚力“保重风控”，防范化解财政风险。更加注重精准、可持续，</w:t>
      </w:r>
      <w:r>
        <w:rPr>
          <w:rFonts w:hint="default" w:ascii="Times New Roman" w:hAnsi="Times New Roman" w:eastAsia="方正仿宋_GBK" w:cs="Times New Roman"/>
          <w:kern w:val="0"/>
          <w:sz w:val="32"/>
          <w:szCs w:val="32"/>
        </w:rPr>
        <w:t>加大对民生实事、重点领域、重点项目的保障力度。坚守风险防范底线，严格政府债务限额管理，在规定限额内依法举借政府债务，坚决遏制新增隐性债务，积极化解存量债务。加强运行风险管理，做好增收节支与统筹整合，缓解收支矛盾；保障国库库款余额在合理区间，把握资金正常合理调度节奏，控制调整优化资金结转存量，防范国库调度风险。支持粮食应急供应保障体系、应急救援体系和消防安全体系建设，支持推进警务大数据建设，切实防范化解社会风险。严肃财经纪律，整饬财经秩序；强化会计质量监督，切实履行好财会监督主责；积极整改各级监督检查指出的问题，提高财政支出的精准性和有效性。</w:t>
      </w:r>
    </w:p>
    <w:p>
      <w:pPr>
        <w:keepNext w:val="0"/>
        <w:keepLines w:val="0"/>
        <w:pageBreakBefore w:val="0"/>
        <w:kinsoku/>
        <w:wordWrap/>
        <w:overflowPunct/>
        <w:topLinePunct w:val="0"/>
        <w:bidi w:val="0"/>
        <w:adjustRightInd w:val="0"/>
        <w:snapToGrid w:val="0"/>
        <w:spacing w:line="600" w:lineRule="exact"/>
        <w:ind w:firstLine="640" w:firstLineChars="200"/>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四、2022年收支预算草案</w:t>
      </w:r>
    </w:p>
    <w:p>
      <w:pPr>
        <w:pStyle w:val="2"/>
        <w:keepNext w:val="0"/>
        <w:keepLines w:val="0"/>
        <w:pageBreakBefore w:val="0"/>
        <w:kinsoku/>
        <w:wordWrap/>
        <w:overflowPunct/>
        <w:topLinePunct w:val="0"/>
        <w:bidi w:val="0"/>
        <w:spacing w:line="600" w:lineRule="exact"/>
        <w:ind w:firstLine="640" w:firstLineChars="200"/>
        <w:jc w:val="both"/>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（一）全县收支预算草案。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县财政收入预算435000万元，加上上级补助收入405201万元、债券转贷收入113400万元、调入资金150000万元、上年结转收入137545万元后，全县财政预算总收入为1241146万元。按照收支平衡的原则，全县财政预算总支出拟相应安排1241146万元。</w:t>
      </w:r>
    </w:p>
    <w:p>
      <w:pPr>
        <w:pStyle w:val="2"/>
        <w:keepNext w:val="0"/>
        <w:keepLines w:val="0"/>
        <w:pageBreakBefore w:val="0"/>
        <w:widowControl w:val="0"/>
        <w:kinsoku/>
        <w:wordWrap/>
        <w:overflowPunct/>
        <w:topLinePunct w:val="0"/>
        <w:autoSpaceDE w:val="0"/>
        <w:autoSpaceDN w:val="0"/>
        <w:bidi w:val="0"/>
        <w:adjustRightInd w:val="0"/>
        <w:snapToGrid/>
        <w:spacing w:after="161" w:afterLines="50" w:line="600" w:lineRule="exact"/>
        <w:ind w:firstLine="640" w:firstLineChars="200"/>
        <w:jc w:val="both"/>
        <w:textAlignment w:val="auto"/>
        <w:rPr>
          <w:rFonts w:hint="default" w:ascii="Times New Roman" w:hAnsi="Times New Roman" w:cs="Times New Roman"/>
          <w:color w:val="auto"/>
          <w:kern w:val="2"/>
          <w:sz w:val="32"/>
          <w:szCs w:val="32"/>
        </w:rPr>
      </w:pPr>
      <w:r>
        <w:rPr>
          <w:rFonts w:hint="default" w:ascii="Times New Roman" w:hAnsi="Times New Roman" w:cs="Times New Roman"/>
          <w:color w:val="auto"/>
          <w:kern w:val="2"/>
          <w:sz w:val="32"/>
          <w:szCs w:val="32"/>
        </w:rPr>
        <w:t>1.全县一般公共预算。</w:t>
      </w:r>
    </w:p>
    <w:tbl>
      <w:tblPr>
        <w:tblStyle w:val="9"/>
        <w:tblW w:w="8580" w:type="dxa"/>
        <w:jc w:val="center"/>
        <w:tblLayout w:type="fixed"/>
        <w:tblCellMar>
          <w:top w:w="0" w:type="dxa"/>
          <w:left w:w="108" w:type="dxa"/>
          <w:bottom w:w="0" w:type="dxa"/>
          <w:right w:w="108" w:type="dxa"/>
        </w:tblCellMar>
      </w:tblPr>
      <w:tblGrid>
        <w:gridCol w:w="2807"/>
        <w:gridCol w:w="1300"/>
        <w:gridCol w:w="3366"/>
        <w:gridCol w:w="1107"/>
      </w:tblGrid>
      <w:tr>
        <w:tblPrEx>
          <w:tblCellMar>
            <w:top w:w="0" w:type="dxa"/>
            <w:left w:w="108" w:type="dxa"/>
            <w:bottom w:w="0" w:type="dxa"/>
            <w:right w:w="108" w:type="dxa"/>
          </w:tblCellMar>
        </w:tblPrEx>
        <w:trPr>
          <w:trHeight w:val="680" w:hRule="exact"/>
          <w:jc w:val="center"/>
        </w:trPr>
        <w:tc>
          <w:tcPr>
            <w:tcW w:w="8580" w:type="dxa"/>
            <w:gridSpan w:val="4"/>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书宋_GBK" w:cs="Times New Roman"/>
                <w:spacing w:val="-4"/>
                <w:sz w:val="28"/>
                <w:szCs w:val="28"/>
              </w:rPr>
            </w:pPr>
            <w:r>
              <w:rPr>
                <w:rFonts w:hint="default" w:ascii="Times New Roman" w:hAnsi="Times New Roman" w:eastAsia="方正小标宋_GBK" w:cs="Times New Roman"/>
                <w:spacing w:val="6"/>
                <w:kern w:val="0"/>
                <w:sz w:val="30"/>
                <w:szCs w:val="30"/>
              </w:rPr>
              <w:t>2022年全县一般公共预算收支平衡情况表</w:t>
            </w:r>
          </w:p>
        </w:tc>
      </w:tr>
      <w:tr>
        <w:tblPrEx>
          <w:tblCellMar>
            <w:top w:w="0" w:type="dxa"/>
            <w:left w:w="108" w:type="dxa"/>
            <w:bottom w:w="0" w:type="dxa"/>
            <w:right w:w="108" w:type="dxa"/>
          </w:tblCellMar>
        </w:tblPrEx>
        <w:trPr>
          <w:trHeight w:val="454" w:hRule="exact"/>
          <w:jc w:val="center"/>
        </w:trPr>
        <w:tc>
          <w:tcPr>
            <w:tcW w:w="2807" w:type="dxa"/>
            <w:tcBorders>
              <w:top w:val="nil"/>
              <w:left w:val="nil"/>
              <w:bottom w:val="single" w:color="auto" w:sz="4" w:space="0"/>
              <w:right w:val="nil"/>
            </w:tcBorders>
          </w:tcPr>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hint="default" w:ascii="Times New Roman" w:hAnsi="Times New Roman" w:eastAsia="方正书宋_GBK" w:cs="Times New Roman"/>
                <w:kern w:val="0"/>
                <w:sz w:val="28"/>
                <w:szCs w:val="28"/>
              </w:rPr>
            </w:pPr>
          </w:p>
        </w:tc>
        <w:tc>
          <w:tcPr>
            <w:tcW w:w="1300" w:type="dxa"/>
            <w:tcBorders>
              <w:top w:val="nil"/>
              <w:left w:val="nil"/>
              <w:bottom w:val="single" w:color="auto" w:sz="4" w:space="0"/>
              <w:right w:val="nil"/>
            </w:tcBorders>
          </w:tcPr>
          <w:p>
            <w:pPr>
              <w:keepNext w:val="0"/>
              <w:keepLines w:val="0"/>
              <w:pageBreakBefore w:val="0"/>
              <w:widowControl/>
              <w:kinsoku/>
              <w:wordWrap/>
              <w:overflowPunct/>
              <w:topLinePunct w:val="0"/>
              <w:autoSpaceDE/>
              <w:autoSpaceDN/>
              <w:bidi w:val="0"/>
              <w:adjustRightInd w:val="0"/>
              <w:snapToGrid w:val="0"/>
              <w:spacing w:line="400" w:lineRule="exact"/>
              <w:textAlignment w:val="auto"/>
              <w:rPr>
                <w:rFonts w:hint="default" w:ascii="Times New Roman" w:hAnsi="Times New Roman" w:eastAsia="方正书宋_GBK" w:cs="Times New Roman"/>
                <w:kern w:val="0"/>
                <w:sz w:val="28"/>
                <w:szCs w:val="28"/>
              </w:rPr>
            </w:pPr>
          </w:p>
        </w:tc>
        <w:tc>
          <w:tcPr>
            <w:tcW w:w="4473" w:type="dxa"/>
            <w:gridSpan w:val="2"/>
            <w:tcBorders>
              <w:top w:val="nil"/>
              <w:left w:val="nil"/>
              <w:bottom w:val="single" w:color="auto" w:sz="4" w:space="0"/>
              <w:right w:val="nil"/>
            </w:tcBorders>
          </w:tcPr>
          <w:p>
            <w:pPr>
              <w:keepNext w:val="0"/>
              <w:keepLines w:val="0"/>
              <w:pageBreakBefore w:val="0"/>
              <w:widowControl/>
              <w:kinsoku/>
              <w:wordWrap/>
              <w:overflowPunct/>
              <w:topLinePunct w:val="0"/>
              <w:autoSpaceDE/>
              <w:autoSpaceDN/>
              <w:bidi w:val="0"/>
              <w:adjustRightInd w:val="0"/>
              <w:snapToGrid w:val="0"/>
              <w:spacing w:line="400" w:lineRule="exact"/>
              <w:jc w:val="right"/>
              <w:textAlignment w:val="auto"/>
              <w:rPr>
                <w:rFonts w:hint="default" w:ascii="Times New Roman" w:hAnsi="Times New Roman" w:eastAsia="方正书宋_GBK" w:cs="Times New Roman"/>
                <w:kern w:val="0"/>
                <w:sz w:val="28"/>
                <w:szCs w:val="28"/>
              </w:rPr>
            </w:pPr>
            <w:r>
              <w:rPr>
                <w:rFonts w:hint="default" w:ascii="Times New Roman" w:hAnsi="Times New Roman" w:eastAsia="方正书宋_GBK" w:cs="Times New Roman"/>
                <w:spacing w:val="-4"/>
                <w:sz w:val="28"/>
                <w:szCs w:val="28"/>
              </w:rPr>
              <w:t>单位：万元</w:t>
            </w:r>
          </w:p>
        </w:tc>
      </w:tr>
      <w:tr>
        <w:tblPrEx>
          <w:tblCellMar>
            <w:top w:w="0" w:type="dxa"/>
            <w:left w:w="108" w:type="dxa"/>
            <w:bottom w:w="0" w:type="dxa"/>
            <w:right w:w="108" w:type="dxa"/>
          </w:tblCellMar>
        </w:tblPrEx>
        <w:trPr>
          <w:trHeight w:val="510" w:hRule="exact"/>
          <w:jc w:val="center"/>
        </w:trPr>
        <w:tc>
          <w:tcPr>
            <w:tcW w:w="28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收  入</w:t>
            </w:r>
          </w:p>
        </w:tc>
        <w:tc>
          <w:tcPr>
            <w:tcW w:w="13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预算数</w:t>
            </w:r>
          </w:p>
        </w:tc>
        <w:tc>
          <w:tcPr>
            <w:tcW w:w="3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支    出</w:t>
            </w:r>
          </w:p>
        </w:tc>
        <w:tc>
          <w:tcPr>
            <w:tcW w:w="11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预算数</w:t>
            </w:r>
          </w:p>
        </w:tc>
      </w:tr>
      <w:tr>
        <w:tblPrEx>
          <w:tblCellMar>
            <w:top w:w="0" w:type="dxa"/>
            <w:left w:w="108" w:type="dxa"/>
            <w:bottom w:w="0" w:type="dxa"/>
            <w:right w:w="108" w:type="dxa"/>
          </w:tblCellMar>
        </w:tblPrEx>
        <w:trPr>
          <w:trHeight w:val="510" w:hRule="exact"/>
          <w:jc w:val="center"/>
        </w:trPr>
        <w:tc>
          <w:tcPr>
            <w:tcW w:w="28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总  计</w:t>
            </w:r>
          </w:p>
        </w:tc>
        <w:tc>
          <w:tcPr>
            <w:tcW w:w="130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792848</w:t>
            </w:r>
          </w:p>
        </w:tc>
        <w:tc>
          <w:tcPr>
            <w:tcW w:w="336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总   计</w:t>
            </w:r>
          </w:p>
        </w:tc>
        <w:tc>
          <w:tcPr>
            <w:tcW w:w="11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792848</w:t>
            </w:r>
          </w:p>
        </w:tc>
      </w:tr>
      <w:tr>
        <w:tblPrEx>
          <w:tblCellMar>
            <w:top w:w="0" w:type="dxa"/>
            <w:left w:w="108" w:type="dxa"/>
            <w:bottom w:w="0" w:type="dxa"/>
            <w:right w:w="108" w:type="dxa"/>
          </w:tblCellMar>
        </w:tblPrEx>
        <w:trPr>
          <w:trHeight w:val="510" w:hRule="exact"/>
          <w:jc w:val="center"/>
        </w:trPr>
        <w:tc>
          <w:tcPr>
            <w:tcW w:w="28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一、本级收入</w:t>
            </w:r>
          </w:p>
        </w:tc>
        <w:tc>
          <w:tcPr>
            <w:tcW w:w="13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175000</w:t>
            </w:r>
          </w:p>
        </w:tc>
        <w:tc>
          <w:tcPr>
            <w:tcW w:w="33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一、本级支出</w:t>
            </w:r>
          </w:p>
        </w:tc>
        <w:tc>
          <w:tcPr>
            <w:tcW w:w="11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647376</w:t>
            </w:r>
          </w:p>
        </w:tc>
      </w:tr>
      <w:tr>
        <w:tblPrEx>
          <w:tblCellMar>
            <w:top w:w="0" w:type="dxa"/>
            <w:left w:w="108" w:type="dxa"/>
            <w:bottom w:w="0" w:type="dxa"/>
            <w:right w:w="108" w:type="dxa"/>
          </w:tblCellMar>
        </w:tblPrEx>
        <w:trPr>
          <w:trHeight w:val="510" w:hRule="exact"/>
          <w:jc w:val="center"/>
        </w:trPr>
        <w:tc>
          <w:tcPr>
            <w:tcW w:w="28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税收收入</w:t>
            </w:r>
          </w:p>
        </w:tc>
        <w:tc>
          <w:tcPr>
            <w:tcW w:w="130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110000</w:t>
            </w:r>
          </w:p>
        </w:tc>
        <w:tc>
          <w:tcPr>
            <w:tcW w:w="336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二、转移性支出</w:t>
            </w:r>
          </w:p>
        </w:tc>
        <w:tc>
          <w:tcPr>
            <w:tcW w:w="11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 xml:space="preserve">145472 </w:t>
            </w:r>
          </w:p>
        </w:tc>
      </w:tr>
      <w:tr>
        <w:tblPrEx>
          <w:tblCellMar>
            <w:top w:w="0" w:type="dxa"/>
            <w:left w:w="108" w:type="dxa"/>
            <w:bottom w:w="0" w:type="dxa"/>
            <w:right w:w="108" w:type="dxa"/>
          </w:tblCellMar>
        </w:tblPrEx>
        <w:trPr>
          <w:trHeight w:val="510" w:hRule="exact"/>
          <w:jc w:val="center"/>
        </w:trPr>
        <w:tc>
          <w:tcPr>
            <w:tcW w:w="28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非税收入</w:t>
            </w:r>
          </w:p>
        </w:tc>
        <w:tc>
          <w:tcPr>
            <w:tcW w:w="130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65000</w:t>
            </w:r>
          </w:p>
        </w:tc>
        <w:tc>
          <w:tcPr>
            <w:tcW w:w="336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上解支出</w:t>
            </w:r>
          </w:p>
        </w:tc>
        <w:tc>
          <w:tcPr>
            <w:tcW w:w="11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 xml:space="preserve">35172 </w:t>
            </w:r>
          </w:p>
        </w:tc>
      </w:tr>
      <w:tr>
        <w:tblPrEx>
          <w:tblCellMar>
            <w:top w:w="0" w:type="dxa"/>
            <w:left w:w="108" w:type="dxa"/>
            <w:bottom w:w="0" w:type="dxa"/>
            <w:right w:w="108" w:type="dxa"/>
          </w:tblCellMar>
        </w:tblPrEx>
        <w:trPr>
          <w:trHeight w:val="510" w:hRule="exact"/>
          <w:jc w:val="center"/>
        </w:trPr>
        <w:tc>
          <w:tcPr>
            <w:tcW w:w="28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二、转移性收入</w:t>
            </w:r>
          </w:p>
        </w:tc>
        <w:tc>
          <w:tcPr>
            <w:tcW w:w="130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617848</w:t>
            </w:r>
          </w:p>
        </w:tc>
        <w:tc>
          <w:tcPr>
            <w:tcW w:w="336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地方政府债务还本支出</w:t>
            </w:r>
          </w:p>
        </w:tc>
        <w:tc>
          <w:tcPr>
            <w:tcW w:w="11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110300</w:t>
            </w:r>
          </w:p>
        </w:tc>
      </w:tr>
      <w:tr>
        <w:tblPrEx>
          <w:tblCellMar>
            <w:top w:w="0" w:type="dxa"/>
            <w:left w:w="108" w:type="dxa"/>
            <w:bottom w:w="0" w:type="dxa"/>
            <w:right w:w="108" w:type="dxa"/>
          </w:tblCellMar>
        </w:tblPrEx>
        <w:trPr>
          <w:trHeight w:val="510" w:hRule="exact"/>
          <w:jc w:val="center"/>
        </w:trPr>
        <w:tc>
          <w:tcPr>
            <w:tcW w:w="28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上级补助收入</w:t>
            </w:r>
          </w:p>
        </w:tc>
        <w:tc>
          <w:tcPr>
            <w:tcW w:w="130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344172</w:t>
            </w:r>
          </w:p>
        </w:tc>
        <w:tc>
          <w:tcPr>
            <w:tcW w:w="336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280" w:firstLineChars="100"/>
              <w:jc w:val="both"/>
              <w:textAlignment w:val="auto"/>
              <w:rPr>
                <w:rFonts w:hint="default" w:ascii="Times New Roman" w:hAnsi="Times New Roman" w:eastAsia="方正书宋_GBK" w:cs="Times New Roman"/>
                <w:sz w:val="28"/>
                <w:szCs w:val="28"/>
              </w:rPr>
            </w:pPr>
          </w:p>
        </w:tc>
        <w:tc>
          <w:tcPr>
            <w:tcW w:w="11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right"/>
              <w:textAlignment w:val="auto"/>
              <w:rPr>
                <w:rFonts w:hint="default" w:ascii="Times New Roman" w:hAnsi="Times New Roman" w:eastAsia="方正书宋_GBK" w:cs="Times New Roman"/>
                <w:sz w:val="28"/>
                <w:szCs w:val="28"/>
              </w:rPr>
            </w:pPr>
          </w:p>
        </w:tc>
      </w:tr>
      <w:tr>
        <w:tblPrEx>
          <w:tblCellMar>
            <w:top w:w="0" w:type="dxa"/>
            <w:left w:w="108" w:type="dxa"/>
            <w:bottom w:w="0" w:type="dxa"/>
            <w:right w:w="108" w:type="dxa"/>
          </w:tblCellMar>
        </w:tblPrEx>
        <w:trPr>
          <w:trHeight w:val="510" w:hRule="exact"/>
          <w:jc w:val="center"/>
        </w:trPr>
        <w:tc>
          <w:tcPr>
            <w:tcW w:w="28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债券转贷收入</w:t>
            </w:r>
          </w:p>
        </w:tc>
        <w:tc>
          <w:tcPr>
            <w:tcW w:w="130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110300</w:t>
            </w:r>
          </w:p>
        </w:tc>
        <w:tc>
          <w:tcPr>
            <w:tcW w:w="336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280" w:firstLineChars="100"/>
              <w:jc w:val="both"/>
              <w:textAlignment w:val="auto"/>
              <w:rPr>
                <w:rFonts w:hint="default" w:ascii="Times New Roman" w:hAnsi="Times New Roman" w:eastAsia="方正书宋_GBK" w:cs="Times New Roman"/>
                <w:sz w:val="28"/>
                <w:szCs w:val="28"/>
              </w:rPr>
            </w:pPr>
          </w:p>
        </w:tc>
        <w:tc>
          <w:tcPr>
            <w:tcW w:w="11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right"/>
              <w:textAlignment w:val="auto"/>
              <w:rPr>
                <w:rFonts w:hint="default" w:ascii="Times New Roman" w:hAnsi="Times New Roman" w:eastAsia="方正书宋_GBK" w:cs="Times New Roman"/>
                <w:sz w:val="28"/>
                <w:szCs w:val="28"/>
              </w:rPr>
            </w:pPr>
          </w:p>
        </w:tc>
      </w:tr>
      <w:tr>
        <w:tblPrEx>
          <w:tblCellMar>
            <w:top w:w="0" w:type="dxa"/>
            <w:left w:w="108" w:type="dxa"/>
            <w:bottom w:w="0" w:type="dxa"/>
            <w:right w:w="108" w:type="dxa"/>
          </w:tblCellMar>
        </w:tblPrEx>
        <w:trPr>
          <w:trHeight w:val="510" w:hRule="exact"/>
          <w:jc w:val="center"/>
        </w:trPr>
        <w:tc>
          <w:tcPr>
            <w:tcW w:w="28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调入资金</w:t>
            </w:r>
          </w:p>
        </w:tc>
        <w:tc>
          <w:tcPr>
            <w:tcW w:w="130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150000</w:t>
            </w:r>
          </w:p>
        </w:tc>
        <w:tc>
          <w:tcPr>
            <w:tcW w:w="336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280" w:firstLineChars="100"/>
              <w:jc w:val="both"/>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　</w:t>
            </w:r>
          </w:p>
        </w:tc>
        <w:tc>
          <w:tcPr>
            <w:tcW w:w="11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right"/>
              <w:textAlignment w:val="auto"/>
              <w:rPr>
                <w:rFonts w:hint="default" w:ascii="Times New Roman" w:hAnsi="Times New Roman" w:eastAsia="方正书宋_GBK" w:cs="Times New Roman"/>
                <w:sz w:val="28"/>
                <w:szCs w:val="28"/>
              </w:rPr>
            </w:pPr>
          </w:p>
        </w:tc>
      </w:tr>
      <w:tr>
        <w:tblPrEx>
          <w:tblCellMar>
            <w:top w:w="0" w:type="dxa"/>
            <w:left w:w="108" w:type="dxa"/>
            <w:bottom w:w="0" w:type="dxa"/>
            <w:right w:w="108" w:type="dxa"/>
          </w:tblCellMar>
        </w:tblPrEx>
        <w:trPr>
          <w:trHeight w:val="510" w:hRule="exact"/>
          <w:jc w:val="center"/>
        </w:trPr>
        <w:tc>
          <w:tcPr>
            <w:tcW w:w="28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both"/>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上年结转</w:t>
            </w:r>
          </w:p>
        </w:tc>
        <w:tc>
          <w:tcPr>
            <w:tcW w:w="130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13376</w:t>
            </w:r>
          </w:p>
        </w:tc>
        <w:tc>
          <w:tcPr>
            <w:tcW w:w="336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280" w:firstLineChars="100"/>
              <w:jc w:val="both"/>
              <w:textAlignment w:val="auto"/>
              <w:rPr>
                <w:rFonts w:hint="default" w:ascii="Times New Roman" w:hAnsi="Times New Roman" w:eastAsia="方正书宋_GBK" w:cs="Times New Roman"/>
                <w:sz w:val="28"/>
                <w:szCs w:val="28"/>
              </w:rPr>
            </w:pPr>
          </w:p>
        </w:tc>
        <w:tc>
          <w:tcPr>
            <w:tcW w:w="110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right"/>
              <w:textAlignment w:val="auto"/>
              <w:rPr>
                <w:rFonts w:hint="default" w:ascii="Times New Roman" w:hAnsi="Times New Roman" w:eastAsia="方正书宋_GBK" w:cs="Times New Roman"/>
                <w:sz w:val="28"/>
                <w:szCs w:val="28"/>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——全县一般公共预算收入175000万元，增长</w:t>
      </w:r>
      <w:r>
        <w:rPr>
          <w:rFonts w:hint="eastAsia" w:eastAsia="方正仿宋_GBK" w:cs="Times New Roman"/>
          <w:sz w:val="32"/>
          <w:szCs w:val="32"/>
          <w:lang w:val="en-US" w:eastAsia="zh-CN"/>
        </w:rPr>
        <w:t>8</w:t>
      </w:r>
      <w:r>
        <w:rPr>
          <w:rFonts w:hint="default" w:ascii="Times New Roman" w:hAnsi="Times New Roman" w:eastAsia="方正仿宋_GBK" w:cs="Times New Roman"/>
          <w:sz w:val="32"/>
          <w:szCs w:val="32"/>
        </w:rPr>
        <w:t>%左右。其中税收收入预计110000万元，增长12.2%；非税收入预计65000万元，增长0.6%。加上上级补助收入、债券转贷收入、调入资金和上年结转收入等617848万元后，收入总计792848万元。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——全县一般公共预算支出安排647376万元，加上上解支出35172万元、债务还本支出110300万元后，支出总计792848万元。</w:t>
      </w:r>
    </w:p>
    <w:p>
      <w:pPr>
        <w:pStyle w:val="2"/>
        <w:keepNext w:val="0"/>
        <w:keepLines w:val="0"/>
        <w:pageBreakBefore w:val="0"/>
        <w:widowControl w:val="0"/>
        <w:kinsoku/>
        <w:wordWrap/>
        <w:overflowPunct/>
        <w:topLinePunct w:val="0"/>
        <w:autoSpaceDE w:val="0"/>
        <w:autoSpaceDN w:val="0"/>
        <w:bidi w:val="0"/>
        <w:adjustRightInd w:val="0"/>
        <w:snapToGrid/>
        <w:spacing w:after="161" w:afterLines="50" w:line="600" w:lineRule="exact"/>
        <w:ind w:firstLine="640" w:firstLineChars="200"/>
        <w:textAlignment w:val="auto"/>
        <w:rPr>
          <w:rFonts w:hint="default" w:ascii="Times New Roman" w:hAnsi="Times New Roman" w:cs="Times New Roman"/>
          <w:color w:val="auto"/>
          <w:kern w:val="2"/>
          <w:sz w:val="32"/>
          <w:szCs w:val="32"/>
        </w:rPr>
      </w:pPr>
      <w:r>
        <w:rPr>
          <w:rFonts w:hint="default" w:ascii="Times New Roman" w:hAnsi="Times New Roman" w:cs="Times New Roman"/>
          <w:color w:val="auto"/>
          <w:kern w:val="2"/>
          <w:sz w:val="32"/>
          <w:szCs w:val="32"/>
        </w:rPr>
        <w:t>2.全县政府性基金预算。</w:t>
      </w:r>
    </w:p>
    <w:tbl>
      <w:tblPr>
        <w:tblStyle w:val="9"/>
        <w:tblW w:w="8740" w:type="dxa"/>
        <w:jc w:val="center"/>
        <w:tblLayout w:type="fixed"/>
        <w:tblCellMar>
          <w:top w:w="0" w:type="dxa"/>
          <w:left w:w="108" w:type="dxa"/>
          <w:bottom w:w="0" w:type="dxa"/>
          <w:right w:w="108" w:type="dxa"/>
        </w:tblCellMar>
      </w:tblPr>
      <w:tblGrid>
        <w:gridCol w:w="3172"/>
        <w:gridCol w:w="1125"/>
        <w:gridCol w:w="3220"/>
        <w:gridCol w:w="1223"/>
      </w:tblGrid>
      <w:tr>
        <w:tblPrEx>
          <w:tblCellMar>
            <w:top w:w="0" w:type="dxa"/>
            <w:left w:w="108" w:type="dxa"/>
            <w:bottom w:w="0" w:type="dxa"/>
            <w:right w:w="108" w:type="dxa"/>
          </w:tblCellMar>
        </w:tblPrEx>
        <w:trPr>
          <w:trHeight w:val="540" w:hRule="atLeast"/>
          <w:jc w:val="center"/>
        </w:trPr>
        <w:tc>
          <w:tcPr>
            <w:tcW w:w="8740" w:type="dxa"/>
            <w:gridSpan w:val="4"/>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default" w:ascii="Times New Roman" w:hAnsi="Times New Roman" w:eastAsia="方正书宋_GBK" w:cs="Times New Roman"/>
                <w:kern w:val="0"/>
                <w:sz w:val="28"/>
                <w:szCs w:val="28"/>
              </w:rPr>
            </w:pPr>
            <w:r>
              <w:rPr>
                <w:rFonts w:hint="default" w:ascii="Times New Roman" w:hAnsi="Times New Roman" w:eastAsia="方正小标宋_GBK" w:cs="Times New Roman"/>
                <w:spacing w:val="6"/>
                <w:kern w:val="0"/>
                <w:sz w:val="30"/>
                <w:szCs w:val="30"/>
              </w:rPr>
              <w:t>2022年全县政府性基金预算收支平衡情况表</w:t>
            </w:r>
          </w:p>
        </w:tc>
      </w:tr>
      <w:tr>
        <w:tblPrEx>
          <w:tblCellMar>
            <w:top w:w="0" w:type="dxa"/>
            <w:left w:w="108" w:type="dxa"/>
            <w:bottom w:w="0" w:type="dxa"/>
            <w:right w:w="108" w:type="dxa"/>
          </w:tblCellMar>
        </w:tblPrEx>
        <w:trPr>
          <w:trHeight w:val="567" w:hRule="atLeast"/>
          <w:jc w:val="center"/>
        </w:trPr>
        <w:tc>
          <w:tcPr>
            <w:tcW w:w="8740" w:type="dxa"/>
            <w:gridSpan w:val="4"/>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right"/>
              <w:rPr>
                <w:rFonts w:hint="default" w:ascii="Times New Roman" w:hAnsi="Times New Roman" w:eastAsia="方正书宋_GBK" w:cs="Times New Roman"/>
                <w:kern w:val="0"/>
                <w:sz w:val="28"/>
                <w:szCs w:val="28"/>
              </w:rPr>
            </w:pPr>
            <w:r>
              <w:rPr>
                <w:rFonts w:hint="default" w:ascii="Times New Roman" w:hAnsi="Times New Roman" w:eastAsia="方正书宋_GBK" w:cs="Times New Roman"/>
                <w:spacing w:val="-4"/>
                <w:sz w:val="28"/>
                <w:szCs w:val="28"/>
              </w:rPr>
              <w:t>单位：万元</w:t>
            </w:r>
          </w:p>
        </w:tc>
      </w:tr>
      <w:tr>
        <w:tblPrEx>
          <w:tblCellMar>
            <w:top w:w="0" w:type="dxa"/>
            <w:left w:w="108" w:type="dxa"/>
            <w:bottom w:w="0" w:type="dxa"/>
            <w:right w:w="108" w:type="dxa"/>
          </w:tblCellMar>
        </w:tblPrEx>
        <w:trPr>
          <w:trHeight w:val="454" w:hRule="atLeast"/>
          <w:jc w:val="center"/>
        </w:trPr>
        <w:tc>
          <w:tcPr>
            <w:tcW w:w="31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收     入</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预算数</w:t>
            </w:r>
          </w:p>
        </w:tc>
        <w:tc>
          <w:tcPr>
            <w:tcW w:w="3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支    出</w:t>
            </w:r>
          </w:p>
        </w:tc>
        <w:tc>
          <w:tcPr>
            <w:tcW w:w="12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预算数</w:t>
            </w:r>
          </w:p>
        </w:tc>
      </w:tr>
      <w:tr>
        <w:tblPrEx>
          <w:tblCellMar>
            <w:top w:w="0" w:type="dxa"/>
            <w:left w:w="108" w:type="dxa"/>
            <w:bottom w:w="0" w:type="dxa"/>
            <w:right w:w="108" w:type="dxa"/>
          </w:tblCellMar>
        </w:tblPrEx>
        <w:trPr>
          <w:trHeight w:val="454" w:hRule="atLeast"/>
          <w:jc w:val="center"/>
        </w:trPr>
        <w:tc>
          <w:tcPr>
            <w:tcW w:w="31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总  计</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438298</w:t>
            </w:r>
          </w:p>
        </w:tc>
        <w:tc>
          <w:tcPr>
            <w:tcW w:w="3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总  计</w:t>
            </w:r>
          </w:p>
        </w:tc>
        <w:tc>
          <w:tcPr>
            <w:tcW w:w="12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438298</w:t>
            </w:r>
          </w:p>
        </w:tc>
      </w:tr>
      <w:tr>
        <w:tblPrEx>
          <w:tblCellMar>
            <w:top w:w="0" w:type="dxa"/>
            <w:left w:w="108" w:type="dxa"/>
            <w:bottom w:w="0" w:type="dxa"/>
            <w:right w:w="108" w:type="dxa"/>
          </w:tblCellMar>
        </w:tblPrEx>
        <w:trPr>
          <w:trHeight w:val="454" w:hRule="atLeast"/>
          <w:jc w:val="center"/>
        </w:trPr>
        <w:tc>
          <w:tcPr>
            <w:tcW w:w="31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一、本级收入</w:t>
            </w:r>
          </w:p>
        </w:tc>
        <w:tc>
          <w:tcPr>
            <w:tcW w:w="11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250000</w:t>
            </w:r>
          </w:p>
        </w:tc>
        <w:tc>
          <w:tcPr>
            <w:tcW w:w="322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一、本级支出</w:t>
            </w:r>
          </w:p>
        </w:tc>
        <w:tc>
          <w:tcPr>
            <w:tcW w:w="12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kern w:val="0"/>
                <w:sz w:val="28"/>
                <w:szCs w:val="28"/>
              </w:rPr>
              <w:t xml:space="preserve">283870 </w:t>
            </w:r>
          </w:p>
        </w:tc>
      </w:tr>
      <w:tr>
        <w:tblPrEx>
          <w:tblCellMar>
            <w:top w:w="0" w:type="dxa"/>
            <w:left w:w="108" w:type="dxa"/>
            <w:bottom w:w="0" w:type="dxa"/>
            <w:right w:w="108" w:type="dxa"/>
          </w:tblCellMar>
        </w:tblPrEx>
        <w:trPr>
          <w:trHeight w:val="454" w:hRule="atLeast"/>
          <w:jc w:val="center"/>
        </w:trPr>
        <w:tc>
          <w:tcPr>
            <w:tcW w:w="31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二、转移性收入</w:t>
            </w:r>
          </w:p>
        </w:tc>
        <w:tc>
          <w:tcPr>
            <w:tcW w:w="11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188298</w:t>
            </w:r>
          </w:p>
        </w:tc>
        <w:tc>
          <w:tcPr>
            <w:tcW w:w="322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二、转移性支出</w:t>
            </w:r>
          </w:p>
        </w:tc>
        <w:tc>
          <w:tcPr>
            <w:tcW w:w="12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kern w:val="0"/>
                <w:sz w:val="28"/>
                <w:szCs w:val="28"/>
              </w:rPr>
              <w:t xml:space="preserve">154428 </w:t>
            </w:r>
          </w:p>
        </w:tc>
      </w:tr>
      <w:tr>
        <w:tblPrEx>
          <w:tblCellMar>
            <w:top w:w="0" w:type="dxa"/>
            <w:left w:w="108" w:type="dxa"/>
            <w:bottom w:w="0" w:type="dxa"/>
            <w:right w:w="108" w:type="dxa"/>
          </w:tblCellMar>
        </w:tblPrEx>
        <w:trPr>
          <w:trHeight w:val="454" w:hRule="atLeast"/>
          <w:jc w:val="center"/>
        </w:trPr>
        <w:tc>
          <w:tcPr>
            <w:tcW w:w="31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上级补助收入</w:t>
            </w:r>
          </w:p>
        </w:tc>
        <w:tc>
          <w:tcPr>
            <w:tcW w:w="11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kern w:val="0"/>
                <w:sz w:val="28"/>
                <w:szCs w:val="28"/>
              </w:rPr>
              <w:t xml:space="preserve">61029 </w:t>
            </w:r>
          </w:p>
        </w:tc>
        <w:tc>
          <w:tcPr>
            <w:tcW w:w="322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上解支出</w:t>
            </w:r>
          </w:p>
        </w:tc>
        <w:tc>
          <w:tcPr>
            <w:tcW w:w="12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kern w:val="0"/>
                <w:sz w:val="28"/>
                <w:szCs w:val="28"/>
              </w:rPr>
              <w:t xml:space="preserve">   6328 </w:t>
            </w:r>
          </w:p>
        </w:tc>
      </w:tr>
      <w:tr>
        <w:tblPrEx>
          <w:tblCellMar>
            <w:top w:w="0" w:type="dxa"/>
            <w:left w:w="108" w:type="dxa"/>
            <w:bottom w:w="0" w:type="dxa"/>
            <w:right w:w="108" w:type="dxa"/>
          </w:tblCellMar>
        </w:tblPrEx>
        <w:trPr>
          <w:trHeight w:val="454" w:hRule="atLeast"/>
          <w:jc w:val="center"/>
        </w:trPr>
        <w:tc>
          <w:tcPr>
            <w:tcW w:w="31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债券转贷收入</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3100</w:t>
            </w:r>
          </w:p>
        </w:tc>
        <w:tc>
          <w:tcPr>
            <w:tcW w:w="3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地方政府债务还本支出</w:t>
            </w:r>
          </w:p>
        </w:tc>
        <w:tc>
          <w:tcPr>
            <w:tcW w:w="12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kern w:val="0"/>
                <w:sz w:val="28"/>
                <w:szCs w:val="28"/>
              </w:rPr>
              <w:t xml:space="preserve">3100 </w:t>
            </w:r>
          </w:p>
        </w:tc>
      </w:tr>
      <w:tr>
        <w:tblPrEx>
          <w:tblCellMar>
            <w:top w:w="0" w:type="dxa"/>
            <w:left w:w="108" w:type="dxa"/>
            <w:bottom w:w="0" w:type="dxa"/>
            <w:right w:w="108" w:type="dxa"/>
          </w:tblCellMar>
        </w:tblPrEx>
        <w:trPr>
          <w:trHeight w:val="454" w:hRule="atLeast"/>
          <w:jc w:val="center"/>
        </w:trPr>
        <w:tc>
          <w:tcPr>
            <w:tcW w:w="31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上年结转</w:t>
            </w:r>
          </w:p>
        </w:tc>
        <w:tc>
          <w:tcPr>
            <w:tcW w:w="11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kern w:val="0"/>
                <w:sz w:val="28"/>
                <w:szCs w:val="28"/>
              </w:rPr>
              <w:t xml:space="preserve">124169 </w:t>
            </w:r>
          </w:p>
        </w:tc>
        <w:tc>
          <w:tcPr>
            <w:tcW w:w="322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调出资金</w:t>
            </w:r>
          </w:p>
        </w:tc>
        <w:tc>
          <w:tcPr>
            <w:tcW w:w="12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145000</w:t>
            </w:r>
          </w:p>
        </w:tc>
      </w:tr>
    </w:tbl>
    <w:p>
      <w:pPr>
        <w:keepNext w:val="0"/>
        <w:keepLines w:val="0"/>
        <w:pageBreakBefore w:val="0"/>
        <w:widowControl/>
        <w:kinsoku/>
        <w:wordWrap/>
        <w:overflowPunct/>
        <w:topLinePunct w:val="0"/>
        <w:bidi w:val="0"/>
        <w:snapToGrid/>
        <w:spacing w:line="600" w:lineRule="exact"/>
        <w:ind w:firstLine="664" w:firstLineChars="200"/>
        <w:jc w:val="left"/>
        <w:textAlignment w:val="auto"/>
        <w:rPr>
          <w:rFonts w:hint="default" w:ascii="Times New Roman" w:hAnsi="Times New Roman" w:eastAsia="方正仿宋_GBK" w:cs="Times New Roman"/>
          <w:spacing w:val="6"/>
          <w:kern w:val="0"/>
          <w:sz w:val="32"/>
          <w:szCs w:val="32"/>
        </w:rPr>
      </w:pPr>
      <w:r>
        <w:rPr>
          <w:rFonts w:hint="default" w:ascii="Times New Roman" w:hAnsi="Times New Roman" w:eastAsia="方正仿宋_GBK" w:cs="Times New Roman"/>
          <w:spacing w:val="6"/>
          <w:kern w:val="0"/>
          <w:sz w:val="32"/>
          <w:szCs w:val="32"/>
        </w:rPr>
        <w:t>——全县政府性基金预算收入250000万元，加上上级补助收入、债券转贷收入、上年结转收入等188298万元后，收入总计438298万元。</w:t>
      </w:r>
    </w:p>
    <w:p>
      <w:pPr>
        <w:keepNext w:val="0"/>
        <w:keepLines w:val="0"/>
        <w:pageBreakBefore w:val="0"/>
        <w:widowControl/>
        <w:kinsoku/>
        <w:wordWrap/>
        <w:overflowPunct/>
        <w:topLinePunct w:val="0"/>
        <w:bidi w:val="0"/>
        <w:snapToGrid/>
        <w:spacing w:line="600" w:lineRule="exact"/>
        <w:ind w:firstLine="664" w:firstLineChars="200"/>
        <w:jc w:val="left"/>
        <w:textAlignment w:val="auto"/>
        <w:rPr>
          <w:rFonts w:hint="default" w:ascii="Times New Roman" w:hAnsi="Times New Roman" w:eastAsia="方正仿宋_GBK" w:cs="Times New Roman"/>
          <w:spacing w:val="6"/>
          <w:kern w:val="0"/>
          <w:sz w:val="32"/>
          <w:szCs w:val="32"/>
        </w:rPr>
      </w:pPr>
      <w:r>
        <w:rPr>
          <w:rFonts w:hint="default" w:ascii="Times New Roman" w:hAnsi="Times New Roman" w:eastAsia="方正仿宋_GBK" w:cs="Times New Roman"/>
          <w:spacing w:val="6"/>
          <w:kern w:val="0"/>
          <w:sz w:val="32"/>
          <w:szCs w:val="32"/>
        </w:rPr>
        <w:t>——全县政府性基金预算支出安排283870万元，加上上解支出、债务还本支出、调出资金等154428万元后，支出总计438298万元。</w:t>
      </w:r>
    </w:p>
    <w:p>
      <w:pPr>
        <w:pStyle w:val="2"/>
        <w:keepNext w:val="0"/>
        <w:keepLines w:val="0"/>
        <w:pageBreakBefore w:val="0"/>
        <w:widowControl w:val="0"/>
        <w:numPr>
          <w:ilvl w:val="0"/>
          <w:numId w:val="1"/>
        </w:numPr>
        <w:kinsoku/>
        <w:wordWrap/>
        <w:overflowPunct/>
        <w:topLinePunct w:val="0"/>
        <w:autoSpaceDE w:val="0"/>
        <w:autoSpaceDN w:val="0"/>
        <w:bidi w:val="0"/>
        <w:adjustRightInd w:val="0"/>
        <w:snapToGrid/>
        <w:spacing w:after="161" w:afterLines="50" w:line="600" w:lineRule="exact"/>
        <w:ind w:firstLine="640" w:firstLineChars="200"/>
        <w:textAlignment w:val="auto"/>
        <w:rPr>
          <w:rFonts w:hint="default" w:ascii="Times New Roman" w:hAnsi="Times New Roman" w:cs="Times New Roman"/>
          <w:color w:val="auto"/>
          <w:kern w:val="2"/>
          <w:sz w:val="32"/>
          <w:szCs w:val="32"/>
        </w:rPr>
      </w:pPr>
      <w:r>
        <w:rPr>
          <w:rFonts w:hint="default" w:ascii="Times New Roman" w:hAnsi="Times New Roman" w:cs="Times New Roman"/>
          <w:color w:val="auto"/>
          <w:kern w:val="2"/>
          <w:sz w:val="32"/>
          <w:szCs w:val="32"/>
        </w:rPr>
        <w:t>全县国有资本经营预算。</w:t>
      </w:r>
    </w:p>
    <w:tbl>
      <w:tblPr>
        <w:tblStyle w:val="9"/>
        <w:tblW w:w="8280" w:type="dxa"/>
        <w:jc w:val="center"/>
        <w:tblLayout w:type="fixed"/>
        <w:tblCellMar>
          <w:top w:w="0" w:type="dxa"/>
          <w:left w:w="108" w:type="dxa"/>
          <w:bottom w:w="0" w:type="dxa"/>
          <w:right w:w="108" w:type="dxa"/>
        </w:tblCellMar>
      </w:tblPr>
      <w:tblGrid>
        <w:gridCol w:w="3083"/>
        <w:gridCol w:w="1226"/>
        <w:gridCol w:w="2867"/>
        <w:gridCol w:w="1104"/>
      </w:tblGrid>
      <w:tr>
        <w:tblPrEx>
          <w:tblCellMar>
            <w:top w:w="0" w:type="dxa"/>
            <w:left w:w="108" w:type="dxa"/>
            <w:bottom w:w="0" w:type="dxa"/>
            <w:right w:w="108" w:type="dxa"/>
          </w:tblCellMar>
        </w:tblPrEx>
        <w:trPr>
          <w:trHeight w:val="510" w:hRule="exact"/>
          <w:jc w:val="center"/>
        </w:trPr>
        <w:tc>
          <w:tcPr>
            <w:tcW w:w="8280" w:type="dxa"/>
            <w:gridSpan w:val="4"/>
            <w:tcBorders>
              <w:top w:val="nil"/>
              <w:left w:val="nil"/>
              <w:bottom w:val="nil"/>
              <w:right w:val="nil"/>
            </w:tcBorders>
            <w:vAlign w:val="center"/>
          </w:tcPr>
          <w:p>
            <w:pPr>
              <w:pStyle w:val="2"/>
              <w:keepNext w:val="0"/>
              <w:keepLines w:val="0"/>
              <w:pageBreakBefore w:val="0"/>
              <w:kinsoku/>
              <w:wordWrap/>
              <w:overflowPunct/>
              <w:topLinePunct w:val="0"/>
              <w:bidi w:val="0"/>
              <w:snapToGrid/>
              <w:spacing w:line="400" w:lineRule="exact"/>
              <w:jc w:val="center"/>
              <w:rPr>
                <w:rFonts w:hint="default" w:ascii="Times New Roman" w:hAnsi="Times New Roman" w:eastAsia="方正书宋_GBK" w:cs="Times New Roman"/>
                <w:spacing w:val="-4"/>
                <w:sz w:val="28"/>
                <w:szCs w:val="28"/>
              </w:rPr>
            </w:pPr>
            <w:r>
              <w:rPr>
                <w:rFonts w:hint="default" w:ascii="Times New Roman" w:hAnsi="Times New Roman" w:eastAsia="方正小标宋_GBK" w:cs="Times New Roman"/>
                <w:color w:val="auto"/>
                <w:spacing w:val="6"/>
                <w:sz w:val="30"/>
                <w:szCs w:val="30"/>
              </w:rPr>
              <w:t>2022年全县国有资本经营预算收支平衡情况表</w:t>
            </w:r>
          </w:p>
        </w:tc>
      </w:tr>
      <w:tr>
        <w:tblPrEx>
          <w:tblCellMar>
            <w:top w:w="0" w:type="dxa"/>
            <w:left w:w="108" w:type="dxa"/>
            <w:bottom w:w="0" w:type="dxa"/>
            <w:right w:w="108" w:type="dxa"/>
          </w:tblCellMar>
        </w:tblPrEx>
        <w:trPr>
          <w:trHeight w:val="454" w:hRule="exact"/>
          <w:jc w:val="center"/>
        </w:trPr>
        <w:tc>
          <w:tcPr>
            <w:tcW w:w="8280" w:type="dxa"/>
            <w:gridSpan w:val="4"/>
            <w:tcBorders>
              <w:top w:val="nil"/>
              <w:left w:val="nil"/>
              <w:bottom w:val="single" w:color="auto" w:sz="4" w:space="0"/>
              <w:right w:val="nil"/>
            </w:tcBorders>
            <w:vAlign w:val="center"/>
          </w:tcPr>
          <w:p>
            <w:pPr>
              <w:keepNext w:val="0"/>
              <w:keepLines w:val="0"/>
              <w:pageBreakBefore w:val="0"/>
              <w:widowControl/>
              <w:kinsoku/>
              <w:wordWrap/>
              <w:overflowPunct/>
              <w:topLinePunct w:val="0"/>
              <w:bidi w:val="0"/>
              <w:snapToGrid/>
              <w:spacing w:line="400" w:lineRule="exact"/>
              <w:jc w:val="right"/>
              <w:rPr>
                <w:rFonts w:hint="default" w:ascii="Times New Roman" w:hAnsi="Times New Roman" w:eastAsia="方正书宋_GBK" w:cs="Times New Roman"/>
                <w:kern w:val="0"/>
                <w:sz w:val="28"/>
                <w:szCs w:val="28"/>
              </w:rPr>
            </w:pPr>
            <w:r>
              <w:rPr>
                <w:rFonts w:hint="default" w:ascii="Times New Roman" w:hAnsi="Times New Roman" w:eastAsia="方正书宋_GBK" w:cs="Times New Roman"/>
                <w:spacing w:val="-4"/>
                <w:sz w:val="28"/>
                <w:szCs w:val="28"/>
              </w:rPr>
              <w:t>单位：万元</w:t>
            </w:r>
          </w:p>
        </w:tc>
      </w:tr>
      <w:tr>
        <w:tblPrEx>
          <w:tblCellMar>
            <w:top w:w="0" w:type="dxa"/>
            <w:left w:w="108" w:type="dxa"/>
            <w:bottom w:w="0" w:type="dxa"/>
            <w:right w:w="108" w:type="dxa"/>
          </w:tblCellMar>
        </w:tblPrEx>
        <w:trPr>
          <w:trHeight w:val="454" w:hRule="exact"/>
          <w:jc w:val="center"/>
        </w:trPr>
        <w:tc>
          <w:tcPr>
            <w:tcW w:w="30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收     入</w:t>
            </w:r>
          </w:p>
        </w:tc>
        <w:tc>
          <w:tcPr>
            <w:tcW w:w="12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预算数</w:t>
            </w:r>
          </w:p>
        </w:tc>
        <w:tc>
          <w:tcPr>
            <w:tcW w:w="2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支    出</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预算数</w:t>
            </w:r>
          </w:p>
        </w:tc>
      </w:tr>
      <w:tr>
        <w:tblPrEx>
          <w:tblCellMar>
            <w:top w:w="0" w:type="dxa"/>
            <w:left w:w="108" w:type="dxa"/>
            <w:bottom w:w="0" w:type="dxa"/>
            <w:right w:w="108" w:type="dxa"/>
          </w:tblCellMar>
        </w:tblPrEx>
        <w:trPr>
          <w:trHeight w:val="454" w:hRule="exact"/>
          <w:jc w:val="center"/>
        </w:trPr>
        <w:tc>
          <w:tcPr>
            <w:tcW w:w="30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总  计</w:t>
            </w:r>
          </w:p>
        </w:tc>
        <w:tc>
          <w:tcPr>
            <w:tcW w:w="12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kern w:val="0"/>
                <w:sz w:val="28"/>
                <w:szCs w:val="28"/>
              </w:rPr>
              <w:t xml:space="preserve">10000 </w:t>
            </w:r>
          </w:p>
        </w:tc>
        <w:tc>
          <w:tcPr>
            <w:tcW w:w="28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总  计</w:t>
            </w:r>
          </w:p>
        </w:tc>
        <w:tc>
          <w:tcPr>
            <w:tcW w:w="11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right"/>
              <w:textAlignment w:val="center"/>
              <w:rPr>
                <w:rFonts w:hint="default" w:ascii="Times New Roman" w:hAnsi="Times New Roman" w:eastAsia="方正书宋_GBK" w:cs="Times New Roman"/>
                <w:kern w:val="0"/>
                <w:sz w:val="28"/>
                <w:szCs w:val="28"/>
              </w:rPr>
            </w:pPr>
            <w:r>
              <w:rPr>
                <w:rFonts w:hint="default" w:ascii="Times New Roman" w:hAnsi="Times New Roman" w:eastAsia="方正书宋_GBK" w:cs="Times New Roman"/>
                <w:kern w:val="0"/>
                <w:sz w:val="28"/>
                <w:szCs w:val="28"/>
              </w:rPr>
              <w:t xml:space="preserve">10000 </w:t>
            </w:r>
          </w:p>
        </w:tc>
      </w:tr>
      <w:tr>
        <w:tblPrEx>
          <w:tblCellMar>
            <w:top w:w="0" w:type="dxa"/>
            <w:left w:w="108" w:type="dxa"/>
            <w:bottom w:w="0" w:type="dxa"/>
            <w:right w:w="108" w:type="dxa"/>
          </w:tblCellMar>
        </w:tblPrEx>
        <w:trPr>
          <w:trHeight w:val="454" w:hRule="exact"/>
          <w:jc w:val="center"/>
        </w:trPr>
        <w:tc>
          <w:tcPr>
            <w:tcW w:w="30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一、本级收入</w:t>
            </w:r>
          </w:p>
        </w:tc>
        <w:tc>
          <w:tcPr>
            <w:tcW w:w="122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kern w:val="0"/>
                <w:sz w:val="28"/>
                <w:szCs w:val="28"/>
              </w:rPr>
              <w:t xml:space="preserve">10000 </w:t>
            </w:r>
          </w:p>
        </w:tc>
        <w:tc>
          <w:tcPr>
            <w:tcW w:w="28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一、本级支出</w:t>
            </w:r>
          </w:p>
        </w:tc>
        <w:tc>
          <w:tcPr>
            <w:tcW w:w="11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right"/>
              <w:textAlignment w:val="center"/>
              <w:rPr>
                <w:rFonts w:hint="default" w:ascii="Times New Roman" w:hAnsi="Times New Roman" w:eastAsia="方正书宋_GBK" w:cs="Times New Roman"/>
                <w:kern w:val="0"/>
                <w:sz w:val="28"/>
                <w:szCs w:val="28"/>
              </w:rPr>
            </w:pPr>
            <w:r>
              <w:rPr>
                <w:rFonts w:hint="default" w:ascii="Times New Roman" w:hAnsi="Times New Roman" w:eastAsia="方正书宋_GBK" w:cs="Times New Roman"/>
                <w:kern w:val="0"/>
                <w:sz w:val="28"/>
                <w:szCs w:val="28"/>
              </w:rPr>
              <w:t xml:space="preserve">5000 </w:t>
            </w:r>
          </w:p>
        </w:tc>
      </w:tr>
      <w:tr>
        <w:tblPrEx>
          <w:tblCellMar>
            <w:top w:w="0" w:type="dxa"/>
            <w:left w:w="108" w:type="dxa"/>
            <w:bottom w:w="0" w:type="dxa"/>
            <w:right w:w="108" w:type="dxa"/>
          </w:tblCellMar>
        </w:tblPrEx>
        <w:trPr>
          <w:trHeight w:val="454" w:hRule="exact"/>
          <w:jc w:val="center"/>
        </w:trPr>
        <w:tc>
          <w:tcPr>
            <w:tcW w:w="30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二、转移性收入</w:t>
            </w:r>
          </w:p>
        </w:tc>
        <w:tc>
          <w:tcPr>
            <w:tcW w:w="122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kern w:val="0"/>
                <w:sz w:val="28"/>
                <w:szCs w:val="28"/>
              </w:rPr>
              <w:t xml:space="preserve">   </w:t>
            </w:r>
          </w:p>
        </w:tc>
        <w:tc>
          <w:tcPr>
            <w:tcW w:w="28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二、转移性支出</w:t>
            </w:r>
          </w:p>
        </w:tc>
        <w:tc>
          <w:tcPr>
            <w:tcW w:w="110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right"/>
              <w:textAlignment w:val="center"/>
              <w:rPr>
                <w:rFonts w:hint="default" w:ascii="Times New Roman" w:hAnsi="Times New Roman" w:eastAsia="方正书宋_GBK" w:cs="Times New Roman"/>
                <w:kern w:val="0"/>
                <w:sz w:val="28"/>
                <w:szCs w:val="28"/>
              </w:rPr>
            </w:pPr>
            <w:r>
              <w:rPr>
                <w:rFonts w:hint="default" w:ascii="Times New Roman" w:hAnsi="Times New Roman" w:eastAsia="方正书宋_GBK" w:cs="Times New Roman"/>
                <w:kern w:val="0"/>
                <w:sz w:val="28"/>
                <w:szCs w:val="28"/>
              </w:rPr>
              <w:t xml:space="preserve">5000 </w:t>
            </w:r>
          </w:p>
        </w:tc>
      </w:tr>
      <w:tr>
        <w:tblPrEx>
          <w:tblCellMar>
            <w:top w:w="0" w:type="dxa"/>
            <w:left w:w="108" w:type="dxa"/>
            <w:bottom w:w="0" w:type="dxa"/>
            <w:right w:w="108" w:type="dxa"/>
          </w:tblCellMar>
        </w:tblPrEx>
        <w:trPr>
          <w:trHeight w:val="454" w:hRule="exact"/>
          <w:jc w:val="center"/>
        </w:trPr>
        <w:tc>
          <w:tcPr>
            <w:tcW w:w="30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上级补助收入</w:t>
            </w:r>
          </w:p>
        </w:tc>
        <w:tc>
          <w:tcPr>
            <w:tcW w:w="122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kern w:val="0"/>
                <w:sz w:val="28"/>
                <w:szCs w:val="28"/>
              </w:rPr>
              <w:t xml:space="preserve">   </w:t>
            </w:r>
          </w:p>
        </w:tc>
        <w:tc>
          <w:tcPr>
            <w:tcW w:w="286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调出资金</w:t>
            </w:r>
          </w:p>
        </w:tc>
        <w:tc>
          <w:tcPr>
            <w:tcW w:w="110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righ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5000</w:t>
            </w:r>
          </w:p>
        </w:tc>
      </w:tr>
    </w:tbl>
    <w:p>
      <w:pPr>
        <w:keepNext w:val="0"/>
        <w:keepLines w:val="0"/>
        <w:pageBreakBefore w:val="0"/>
        <w:widowControl/>
        <w:kinsoku/>
        <w:wordWrap/>
        <w:overflowPunct/>
        <w:topLinePunct w:val="0"/>
        <w:bidi w:val="0"/>
        <w:snapToGrid/>
        <w:spacing w:line="600" w:lineRule="exact"/>
        <w:ind w:firstLine="664" w:firstLineChars="200"/>
        <w:jc w:val="left"/>
        <w:textAlignment w:val="auto"/>
        <w:rPr>
          <w:rFonts w:hint="default" w:ascii="Times New Roman" w:hAnsi="Times New Roman" w:eastAsia="方正仿宋_GBK" w:cs="Times New Roman"/>
          <w:spacing w:val="6"/>
          <w:kern w:val="0"/>
          <w:sz w:val="32"/>
          <w:szCs w:val="32"/>
        </w:rPr>
      </w:pPr>
      <w:r>
        <w:rPr>
          <w:rFonts w:hint="default" w:ascii="Times New Roman" w:hAnsi="Times New Roman" w:eastAsia="方正仿宋_GBK" w:cs="Times New Roman"/>
          <w:spacing w:val="6"/>
          <w:kern w:val="0"/>
          <w:sz w:val="32"/>
          <w:szCs w:val="32"/>
        </w:rPr>
        <w:t>——全县国有资本经营预算收入预计10000万元。收入总计10000万元。</w:t>
      </w:r>
    </w:p>
    <w:p>
      <w:pPr>
        <w:keepNext w:val="0"/>
        <w:keepLines w:val="0"/>
        <w:pageBreakBefore w:val="0"/>
        <w:widowControl/>
        <w:kinsoku/>
        <w:wordWrap/>
        <w:overflowPunct/>
        <w:topLinePunct w:val="0"/>
        <w:bidi w:val="0"/>
        <w:snapToGrid/>
        <w:spacing w:line="600" w:lineRule="exact"/>
        <w:ind w:firstLine="664" w:firstLineChars="200"/>
        <w:jc w:val="left"/>
        <w:textAlignment w:val="auto"/>
        <w:rPr>
          <w:rFonts w:hint="default" w:ascii="Times New Roman" w:hAnsi="Times New Roman" w:cs="Times New Roman"/>
          <w:spacing w:val="6"/>
          <w:kern w:val="0"/>
          <w:sz w:val="32"/>
          <w:szCs w:val="32"/>
        </w:rPr>
      </w:pPr>
      <w:r>
        <w:rPr>
          <w:rFonts w:hint="default" w:ascii="Times New Roman" w:hAnsi="Times New Roman" w:eastAsia="方正仿宋_GBK" w:cs="Times New Roman"/>
          <w:spacing w:val="6"/>
          <w:kern w:val="0"/>
          <w:sz w:val="32"/>
          <w:szCs w:val="32"/>
        </w:rPr>
        <w:t>——全县国有资本经营预算支出安排5000万元，加上调出资金5000万元后，支出总计10000万元。</w:t>
      </w:r>
    </w:p>
    <w:p>
      <w:pPr>
        <w:pStyle w:val="2"/>
        <w:keepNext w:val="0"/>
        <w:keepLines w:val="0"/>
        <w:pageBreakBefore w:val="0"/>
        <w:kinsoku/>
        <w:wordWrap/>
        <w:overflowPunct/>
        <w:topLinePunct w:val="0"/>
        <w:bidi w:val="0"/>
        <w:snapToGrid/>
        <w:spacing w:line="600" w:lineRule="exact"/>
        <w:ind w:firstLine="640" w:firstLineChars="200"/>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（二）县级收支预算草案。</w:t>
      </w:r>
    </w:p>
    <w:p>
      <w:pPr>
        <w:pStyle w:val="8"/>
        <w:keepNext w:val="0"/>
        <w:keepLines w:val="0"/>
        <w:pageBreakBefore w:val="0"/>
        <w:widowControl/>
        <w:kinsoku/>
        <w:wordWrap/>
        <w:overflowPunct/>
        <w:topLinePunct w:val="0"/>
        <w:bidi w:val="0"/>
        <w:snapToGrid/>
        <w:spacing w:line="600" w:lineRule="exact"/>
        <w:ind w:firstLine="664" w:firstLineChars="200"/>
        <w:jc w:val="both"/>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县本级财政收入预算435000万元，加上上级补助收入405201万元、债券转贷收入113400万元、调入资金150000万元、上年结转收入137545万元后，县本级财政预算总收入为1241146万元。按照收支平衡的原则，县本级财政预算总支出拟相应安排1241146万元。</w:t>
      </w:r>
    </w:p>
    <w:p>
      <w:pPr>
        <w:pStyle w:val="2"/>
        <w:keepNext w:val="0"/>
        <w:keepLines w:val="0"/>
        <w:pageBreakBefore w:val="0"/>
        <w:widowControl w:val="0"/>
        <w:kinsoku/>
        <w:wordWrap/>
        <w:overflowPunct/>
        <w:topLinePunct w:val="0"/>
        <w:autoSpaceDE w:val="0"/>
        <w:autoSpaceDN w:val="0"/>
        <w:bidi w:val="0"/>
        <w:adjustRightInd w:val="0"/>
        <w:snapToGrid/>
        <w:spacing w:after="161" w:afterLines="50" w:line="600" w:lineRule="exact"/>
        <w:ind w:firstLine="640" w:firstLineChars="200"/>
        <w:textAlignment w:val="auto"/>
        <w:rPr>
          <w:rFonts w:hint="default" w:ascii="Times New Roman" w:hAnsi="Times New Roman" w:cs="Times New Roman"/>
          <w:color w:val="auto"/>
          <w:kern w:val="2"/>
          <w:sz w:val="32"/>
          <w:szCs w:val="32"/>
        </w:rPr>
      </w:pPr>
      <w:r>
        <w:rPr>
          <w:rFonts w:hint="default" w:ascii="Times New Roman" w:hAnsi="Times New Roman" w:cs="Times New Roman"/>
          <w:color w:val="auto"/>
          <w:kern w:val="2"/>
          <w:sz w:val="32"/>
          <w:szCs w:val="32"/>
        </w:rPr>
        <w:t>1.县本级一般公共预算收支预算草案。</w:t>
      </w:r>
    </w:p>
    <w:tbl>
      <w:tblPr>
        <w:tblStyle w:val="9"/>
        <w:tblW w:w="8720" w:type="dxa"/>
        <w:jc w:val="center"/>
        <w:tblLayout w:type="fixed"/>
        <w:tblCellMar>
          <w:top w:w="0" w:type="dxa"/>
          <w:left w:w="108" w:type="dxa"/>
          <w:bottom w:w="0" w:type="dxa"/>
          <w:right w:w="108" w:type="dxa"/>
        </w:tblCellMar>
      </w:tblPr>
      <w:tblGrid>
        <w:gridCol w:w="2777"/>
        <w:gridCol w:w="1160"/>
        <w:gridCol w:w="3400"/>
        <w:gridCol w:w="1383"/>
      </w:tblGrid>
      <w:tr>
        <w:tblPrEx>
          <w:tblCellMar>
            <w:top w:w="0" w:type="dxa"/>
            <w:left w:w="108" w:type="dxa"/>
            <w:bottom w:w="0" w:type="dxa"/>
            <w:right w:w="108" w:type="dxa"/>
          </w:tblCellMar>
        </w:tblPrEx>
        <w:trPr>
          <w:cantSplit/>
          <w:trHeight w:val="495" w:hRule="atLeast"/>
          <w:jc w:val="center"/>
        </w:trPr>
        <w:tc>
          <w:tcPr>
            <w:tcW w:w="8720" w:type="dxa"/>
            <w:gridSpan w:val="4"/>
            <w:tcBorders>
              <w:top w:val="nil"/>
              <w:left w:val="nil"/>
              <w:bottom w:val="nil"/>
              <w:right w:val="nil"/>
            </w:tcBorders>
            <w:vAlign w:val="center"/>
          </w:tcPr>
          <w:p>
            <w:pPr>
              <w:pStyle w:val="2"/>
              <w:keepNext w:val="0"/>
              <w:keepLines w:val="0"/>
              <w:pageBreakBefore w:val="0"/>
              <w:kinsoku/>
              <w:wordWrap/>
              <w:overflowPunct/>
              <w:topLinePunct w:val="0"/>
              <w:bidi w:val="0"/>
              <w:adjustRightInd w:val="0"/>
              <w:snapToGrid w:val="0"/>
              <w:spacing w:line="400" w:lineRule="exact"/>
              <w:jc w:val="center"/>
              <w:textAlignment w:val="auto"/>
              <w:rPr>
                <w:rFonts w:hint="default" w:ascii="Times New Roman" w:hAnsi="Times New Roman" w:eastAsia="方正书宋_GBK" w:cs="Times New Roman"/>
                <w:color w:val="auto"/>
                <w:spacing w:val="-4"/>
                <w:sz w:val="28"/>
                <w:szCs w:val="28"/>
              </w:rPr>
            </w:pPr>
            <w:r>
              <w:rPr>
                <w:rFonts w:hint="default" w:ascii="Times New Roman" w:hAnsi="Times New Roman" w:eastAsia="方正小标宋_GBK" w:cs="Times New Roman"/>
                <w:color w:val="auto"/>
                <w:spacing w:val="6"/>
                <w:sz w:val="30"/>
                <w:szCs w:val="30"/>
              </w:rPr>
              <w:t>2022年县级一般公共预算收支平衡情况表</w:t>
            </w:r>
          </w:p>
        </w:tc>
      </w:tr>
      <w:tr>
        <w:tblPrEx>
          <w:tblCellMar>
            <w:top w:w="0" w:type="dxa"/>
            <w:left w:w="108" w:type="dxa"/>
            <w:bottom w:w="0" w:type="dxa"/>
            <w:right w:w="108" w:type="dxa"/>
          </w:tblCellMar>
        </w:tblPrEx>
        <w:trPr>
          <w:cantSplit/>
          <w:trHeight w:val="454" w:hRule="atLeast"/>
          <w:jc w:val="center"/>
        </w:trPr>
        <w:tc>
          <w:tcPr>
            <w:tcW w:w="2777" w:type="dxa"/>
            <w:tcBorders>
              <w:top w:val="nil"/>
              <w:left w:val="nil"/>
              <w:bottom w:val="single" w:color="auto" w:sz="4" w:space="0"/>
              <w:right w:val="nil"/>
            </w:tcBorders>
            <w:vAlign w:val="center"/>
          </w:tcPr>
          <w:p>
            <w:pPr>
              <w:keepNext w:val="0"/>
              <w:keepLines w:val="0"/>
              <w:pageBreakBefore w:val="0"/>
              <w:widowControl/>
              <w:kinsoku/>
              <w:wordWrap/>
              <w:overflowPunct/>
              <w:topLinePunct w:val="0"/>
              <w:bidi w:val="0"/>
              <w:adjustRightInd w:val="0"/>
              <w:snapToGrid w:val="0"/>
              <w:spacing w:line="400" w:lineRule="exact"/>
              <w:textAlignment w:val="auto"/>
              <w:rPr>
                <w:rFonts w:hint="default" w:ascii="Times New Roman" w:hAnsi="Times New Roman" w:eastAsia="方正书宋_GBK" w:cs="Times New Roman"/>
                <w:kern w:val="0"/>
                <w:sz w:val="28"/>
                <w:szCs w:val="28"/>
              </w:rPr>
            </w:pPr>
          </w:p>
        </w:tc>
        <w:tc>
          <w:tcPr>
            <w:tcW w:w="1160" w:type="dxa"/>
            <w:tcBorders>
              <w:top w:val="nil"/>
              <w:left w:val="nil"/>
              <w:bottom w:val="single" w:color="auto" w:sz="4" w:space="0"/>
              <w:right w:val="nil"/>
            </w:tcBorders>
            <w:vAlign w:val="center"/>
          </w:tcPr>
          <w:p>
            <w:pPr>
              <w:keepNext w:val="0"/>
              <w:keepLines w:val="0"/>
              <w:pageBreakBefore w:val="0"/>
              <w:widowControl/>
              <w:kinsoku/>
              <w:wordWrap/>
              <w:overflowPunct/>
              <w:topLinePunct w:val="0"/>
              <w:bidi w:val="0"/>
              <w:adjustRightInd w:val="0"/>
              <w:snapToGrid w:val="0"/>
              <w:spacing w:line="400" w:lineRule="exact"/>
              <w:textAlignment w:val="auto"/>
              <w:rPr>
                <w:rFonts w:hint="default" w:ascii="Times New Roman" w:hAnsi="Times New Roman" w:eastAsia="方正书宋_GBK" w:cs="Times New Roman"/>
                <w:kern w:val="0"/>
                <w:sz w:val="28"/>
                <w:szCs w:val="28"/>
              </w:rPr>
            </w:pPr>
          </w:p>
        </w:tc>
        <w:tc>
          <w:tcPr>
            <w:tcW w:w="4783" w:type="dxa"/>
            <w:gridSpan w:val="2"/>
            <w:tcBorders>
              <w:top w:val="nil"/>
              <w:left w:val="nil"/>
              <w:bottom w:val="single" w:color="auto" w:sz="4" w:space="0"/>
              <w:right w:val="nil"/>
            </w:tcBorders>
            <w:vAlign w:val="center"/>
          </w:tcPr>
          <w:p>
            <w:pPr>
              <w:keepNext w:val="0"/>
              <w:keepLines w:val="0"/>
              <w:pageBreakBefore w:val="0"/>
              <w:widowControl/>
              <w:kinsoku/>
              <w:wordWrap/>
              <w:overflowPunct/>
              <w:topLinePunct w:val="0"/>
              <w:bidi w:val="0"/>
              <w:adjustRightInd w:val="0"/>
              <w:snapToGrid w:val="0"/>
              <w:spacing w:line="400" w:lineRule="exact"/>
              <w:jc w:val="right"/>
              <w:textAlignment w:val="auto"/>
              <w:rPr>
                <w:rFonts w:hint="default" w:ascii="Times New Roman" w:hAnsi="Times New Roman" w:eastAsia="方正书宋_GBK" w:cs="Times New Roman"/>
                <w:kern w:val="0"/>
                <w:sz w:val="28"/>
                <w:szCs w:val="28"/>
              </w:rPr>
            </w:pPr>
            <w:r>
              <w:rPr>
                <w:rFonts w:hint="default" w:ascii="Times New Roman" w:hAnsi="Times New Roman" w:eastAsia="方正书宋_GBK" w:cs="Times New Roman"/>
                <w:spacing w:val="-4"/>
                <w:sz w:val="28"/>
                <w:szCs w:val="28"/>
              </w:rPr>
              <w:t>单位：万元</w:t>
            </w:r>
          </w:p>
        </w:tc>
      </w:tr>
      <w:tr>
        <w:tblPrEx>
          <w:tblCellMar>
            <w:top w:w="0" w:type="dxa"/>
            <w:left w:w="108" w:type="dxa"/>
            <w:bottom w:w="0" w:type="dxa"/>
            <w:right w:w="108" w:type="dxa"/>
          </w:tblCellMar>
        </w:tblPrEx>
        <w:trPr>
          <w:cantSplit/>
          <w:trHeight w:val="454"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400" w:lineRule="exact"/>
              <w:jc w:val="center"/>
              <w:textAlignment w:val="auto"/>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收     入</w:t>
            </w: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400" w:lineRule="exact"/>
              <w:jc w:val="center"/>
              <w:textAlignment w:val="auto"/>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预算数</w:t>
            </w:r>
          </w:p>
        </w:tc>
        <w:tc>
          <w:tcPr>
            <w:tcW w:w="3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400" w:lineRule="exact"/>
              <w:jc w:val="center"/>
              <w:textAlignment w:val="auto"/>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支    出</w:t>
            </w:r>
          </w:p>
        </w:tc>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400" w:lineRule="exact"/>
              <w:jc w:val="center"/>
              <w:textAlignment w:val="auto"/>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预算数</w:t>
            </w:r>
          </w:p>
        </w:tc>
      </w:tr>
      <w:tr>
        <w:tblPrEx>
          <w:tblCellMar>
            <w:top w:w="0" w:type="dxa"/>
            <w:left w:w="108" w:type="dxa"/>
            <w:bottom w:w="0" w:type="dxa"/>
            <w:right w:w="108" w:type="dxa"/>
          </w:tblCellMar>
        </w:tblPrEx>
        <w:trPr>
          <w:cantSplit/>
          <w:trHeight w:val="454"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总  计</w:t>
            </w:r>
          </w:p>
        </w:tc>
        <w:tc>
          <w:tcPr>
            <w:tcW w:w="11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792848</w:t>
            </w:r>
          </w:p>
        </w:tc>
        <w:tc>
          <w:tcPr>
            <w:tcW w:w="340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jc w:val="center"/>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总  计</w:t>
            </w:r>
          </w:p>
        </w:tc>
        <w:tc>
          <w:tcPr>
            <w:tcW w:w="13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792848</w:t>
            </w:r>
          </w:p>
        </w:tc>
      </w:tr>
      <w:tr>
        <w:tblPrEx>
          <w:tblCellMar>
            <w:top w:w="0" w:type="dxa"/>
            <w:left w:w="108" w:type="dxa"/>
            <w:bottom w:w="0" w:type="dxa"/>
            <w:right w:w="108" w:type="dxa"/>
          </w:tblCellMar>
        </w:tblPrEx>
        <w:trPr>
          <w:cantSplit/>
          <w:trHeight w:val="454"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一、本级收入</w:t>
            </w:r>
          </w:p>
        </w:tc>
        <w:tc>
          <w:tcPr>
            <w:tcW w:w="11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175000</w:t>
            </w:r>
          </w:p>
        </w:tc>
        <w:tc>
          <w:tcPr>
            <w:tcW w:w="3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一、本级支出</w:t>
            </w:r>
          </w:p>
        </w:tc>
        <w:tc>
          <w:tcPr>
            <w:tcW w:w="13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598692</w:t>
            </w:r>
          </w:p>
        </w:tc>
      </w:tr>
      <w:tr>
        <w:tblPrEx>
          <w:tblCellMar>
            <w:top w:w="0" w:type="dxa"/>
            <w:left w:w="108" w:type="dxa"/>
            <w:bottom w:w="0" w:type="dxa"/>
            <w:right w:w="108" w:type="dxa"/>
          </w:tblCellMar>
        </w:tblPrEx>
        <w:trPr>
          <w:cantSplit/>
          <w:trHeight w:val="454"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税收收入</w:t>
            </w:r>
          </w:p>
        </w:tc>
        <w:tc>
          <w:tcPr>
            <w:tcW w:w="11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110000</w:t>
            </w:r>
          </w:p>
        </w:tc>
        <w:tc>
          <w:tcPr>
            <w:tcW w:w="340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二、转移性支出</w:t>
            </w:r>
          </w:p>
        </w:tc>
        <w:tc>
          <w:tcPr>
            <w:tcW w:w="13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 xml:space="preserve">194156 </w:t>
            </w:r>
          </w:p>
        </w:tc>
      </w:tr>
      <w:tr>
        <w:tblPrEx>
          <w:tblCellMar>
            <w:top w:w="0" w:type="dxa"/>
            <w:left w:w="108" w:type="dxa"/>
            <w:bottom w:w="0" w:type="dxa"/>
            <w:right w:w="108" w:type="dxa"/>
          </w:tblCellMar>
        </w:tblPrEx>
        <w:trPr>
          <w:cantSplit/>
          <w:trHeight w:val="454"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非税收入</w:t>
            </w:r>
          </w:p>
        </w:tc>
        <w:tc>
          <w:tcPr>
            <w:tcW w:w="11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65000</w:t>
            </w:r>
          </w:p>
        </w:tc>
        <w:tc>
          <w:tcPr>
            <w:tcW w:w="340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上解支出</w:t>
            </w:r>
          </w:p>
        </w:tc>
        <w:tc>
          <w:tcPr>
            <w:tcW w:w="13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 xml:space="preserve">35172 </w:t>
            </w:r>
          </w:p>
        </w:tc>
      </w:tr>
      <w:tr>
        <w:tblPrEx>
          <w:tblCellMar>
            <w:top w:w="0" w:type="dxa"/>
            <w:left w:w="108" w:type="dxa"/>
            <w:bottom w:w="0" w:type="dxa"/>
            <w:right w:w="108" w:type="dxa"/>
          </w:tblCellMar>
        </w:tblPrEx>
        <w:trPr>
          <w:cantSplit/>
          <w:trHeight w:val="454"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二、转移性收入</w:t>
            </w:r>
          </w:p>
        </w:tc>
        <w:tc>
          <w:tcPr>
            <w:tcW w:w="11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617848</w:t>
            </w:r>
          </w:p>
        </w:tc>
        <w:tc>
          <w:tcPr>
            <w:tcW w:w="340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补助下级</w:t>
            </w:r>
          </w:p>
        </w:tc>
        <w:tc>
          <w:tcPr>
            <w:tcW w:w="13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48684</w:t>
            </w:r>
          </w:p>
        </w:tc>
      </w:tr>
      <w:tr>
        <w:tblPrEx>
          <w:tblCellMar>
            <w:top w:w="0" w:type="dxa"/>
            <w:left w:w="108" w:type="dxa"/>
            <w:bottom w:w="0" w:type="dxa"/>
            <w:right w:w="108" w:type="dxa"/>
          </w:tblCellMar>
        </w:tblPrEx>
        <w:trPr>
          <w:cantSplit/>
          <w:trHeight w:val="454"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上级补助收入</w:t>
            </w:r>
          </w:p>
        </w:tc>
        <w:tc>
          <w:tcPr>
            <w:tcW w:w="11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344172</w:t>
            </w:r>
          </w:p>
        </w:tc>
        <w:tc>
          <w:tcPr>
            <w:tcW w:w="340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地方政府债务还本支出</w:t>
            </w:r>
          </w:p>
        </w:tc>
        <w:tc>
          <w:tcPr>
            <w:tcW w:w="13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110300</w:t>
            </w:r>
          </w:p>
        </w:tc>
      </w:tr>
      <w:tr>
        <w:tblPrEx>
          <w:tblCellMar>
            <w:top w:w="0" w:type="dxa"/>
            <w:left w:w="108" w:type="dxa"/>
            <w:bottom w:w="0" w:type="dxa"/>
            <w:right w:w="108" w:type="dxa"/>
          </w:tblCellMar>
        </w:tblPrEx>
        <w:trPr>
          <w:cantSplit/>
          <w:trHeight w:val="454"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债券转贷收入</w:t>
            </w:r>
          </w:p>
        </w:tc>
        <w:tc>
          <w:tcPr>
            <w:tcW w:w="11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400" w:lineRule="exact"/>
              <w:jc w:val="right"/>
              <w:textAlignment w:val="auto"/>
              <w:rPr>
                <w:rFonts w:hint="default" w:ascii="Times New Roman" w:hAnsi="Times New Roman" w:eastAsia="方正书宋_GBK" w:cs="Times New Roman"/>
                <w:kern w:val="0"/>
                <w:sz w:val="28"/>
                <w:szCs w:val="28"/>
              </w:rPr>
            </w:pPr>
            <w:r>
              <w:rPr>
                <w:rFonts w:hint="default" w:ascii="Times New Roman" w:hAnsi="Times New Roman" w:eastAsia="方正书宋_GBK" w:cs="Times New Roman"/>
                <w:sz w:val="28"/>
                <w:szCs w:val="28"/>
              </w:rPr>
              <w:t>110300</w:t>
            </w:r>
          </w:p>
        </w:tc>
        <w:tc>
          <w:tcPr>
            <w:tcW w:w="340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ind w:firstLine="280" w:firstLineChars="100"/>
              <w:textAlignment w:val="auto"/>
              <w:rPr>
                <w:rFonts w:hint="default" w:ascii="Times New Roman" w:hAnsi="Times New Roman" w:eastAsia="方正书宋_GBK" w:cs="Times New Roman"/>
                <w:sz w:val="28"/>
                <w:szCs w:val="28"/>
              </w:rPr>
            </w:pPr>
          </w:p>
        </w:tc>
        <w:tc>
          <w:tcPr>
            <w:tcW w:w="138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jc w:val="right"/>
              <w:textAlignment w:val="auto"/>
              <w:rPr>
                <w:rFonts w:hint="default" w:ascii="Times New Roman" w:hAnsi="Times New Roman" w:eastAsia="方正书宋_GBK" w:cs="Times New Roman"/>
                <w:sz w:val="28"/>
                <w:szCs w:val="28"/>
              </w:rPr>
            </w:pPr>
          </w:p>
        </w:tc>
      </w:tr>
      <w:tr>
        <w:tblPrEx>
          <w:tblCellMar>
            <w:top w:w="0" w:type="dxa"/>
            <w:left w:w="108" w:type="dxa"/>
            <w:bottom w:w="0" w:type="dxa"/>
            <w:right w:w="108" w:type="dxa"/>
          </w:tblCellMar>
        </w:tblPrEx>
        <w:trPr>
          <w:cantSplit/>
          <w:trHeight w:val="454"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调入资金</w:t>
            </w:r>
          </w:p>
        </w:tc>
        <w:tc>
          <w:tcPr>
            <w:tcW w:w="11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150000</w:t>
            </w:r>
          </w:p>
        </w:tc>
        <w:tc>
          <w:tcPr>
            <w:tcW w:w="340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ind w:firstLine="280" w:firstLineChars="100"/>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　</w:t>
            </w:r>
          </w:p>
        </w:tc>
        <w:tc>
          <w:tcPr>
            <w:tcW w:w="138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　</w:t>
            </w:r>
          </w:p>
        </w:tc>
      </w:tr>
      <w:tr>
        <w:tblPrEx>
          <w:tblCellMar>
            <w:top w:w="0" w:type="dxa"/>
            <w:left w:w="108" w:type="dxa"/>
            <w:bottom w:w="0" w:type="dxa"/>
            <w:right w:w="108" w:type="dxa"/>
          </w:tblCellMar>
        </w:tblPrEx>
        <w:trPr>
          <w:cantSplit/>
          <w:trHeight w:val="454" w:hRule="atLeast"/>
          <w:jc w:val="center"/>
        </w:trPr>
        <w:tc>
          <w:tcPr>
            <w:tcW w:w="27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上年结转</w:t>
            </w:r>
          </w:p>
        </w:tc>
        <w:tc>
          <w:tcPr>
            <w:tcW w:w="116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line="400" w:lineRule="exact"/>
              <w:jc w:val="right"/>
              <w:textAlignment w:val="auto"/>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13376</w:t>
            </w:r>
          </w:p>
        </w:tc>
        <w:tc>
          <w:tcPr>
            <w:tcW w:w="340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ind w:firstLine="280" w:firstLineChars="100"/>
              <w:textAlignment w:val="auto"/>
              <w:rPr>
                <w:rFonts w:hint="default" w:ascii="Times New Roman" w:hAnsi="Times New Roman" w:eastAsia="方正书宋_GBK" w:cs="Times New Roman"/>
                <w:sz w:val="28"/>
                <w:szCs w:val="28"/>
              </w:rPr>
            </w:pPr>
          </w:p>
        </w:tc>
        <w:tc>
          <w:tcPr>
            <w:tcW w:w="138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jc w:val="right"/>
              <w:textAlignment w:val="auto"/>
              <w:rPr>
                <w:rFonts w:hint="default" w:ascii="Times New Roman" w:hAnsi="Times New Roman" w:eastAsia="方正书宋_GBK" w:cs="Times New Roman"/>
                <w:sz w:val="28"/>
                <w:szCs w:val="28"/>
              </w:rPr>
            </w:pPr>
          </w:p>
        </w:tc>
      </w:tr>
    </w:tbl>
    <w:p>
      <w:pPr>
        <w:keepNext w:val="0"/>
        <w:keepLines w:val="0"/>
        <w:pageBreakBefore w:val="0"/>
        <w:widowControl/>
        <w:kinsoku/>
        <w:wordWrap/>
        <w:overflowPunct/>
        <w:topLinePunct w:val="0"/>
        <w:autoSpaceDE/>
        <w:autoSpaceDN/>
        <w:bidi w:val="0"/>
        <w:adjustRightInd/>
        <w:snapToGrid/>
        <w:spacing w:line="600" w:lineRule="exact"/>
        <w:ind w:firstLine="664" w:firstLineChars="200"/>
        <w:jc w:val="left"/>
        <w:textAlignment w:val="auto"/>
        <w:rPr>
          <w:rFonts w:hint="default" w:ascii="Times New Roman" w:hAnsi="Times New Roman" w:eastAsia="方正仿宋_GBK" w:cs="Times New Roman"/>
          <w:spacing w:val="6"/>
          <w:kern w:val="0"/>
          <w:sz w:val="32"/>
          <w:szCs w:val="32"/>
        </w:rPr>
      </w:pPr>
      <w:r>
        <w:rPr>
          <w:rFonts w:hint="default" w:ascii="Times New Roman" w:hAnsi="Times New Roman" w:eastAsia="方正仿宋_GBK" w:cs="Times New Roman"/>
          <w:spacing w:val="6"/>
          <w:kern w:val="0"/>
          <w:sz w:val="32"/>
          <w:szCs w:val="32"/>
        </w:rPr>
        <w:t>——县本级一般公共预算收入175000万元，其中税收收入110000万元，非税收入65000万元。加上上级补助收入、债券转贷收入、调入资金和上年结转收入等617848万元后，收入总计792848万元。</w:t>
      </w:r>
    </w:p>
    <w:p>
      <w:pPr>
        <w:keepNext w:val="0"/>
        <w:keepLines w:val="0"/>
        <w:pageBreakBefore w:val="0"/>
        <w:widowControl/>
        <w:kinsoku/>
        <w:wordWrap/>
        <w:overflowPunct/>
        <w:topLinePunct w:val="0"/>
        <w:autoSpaceDE/>
        <w:autoSpaceDN/>
        <w:bidi w:val="0"/>
        <w:adjustRightInd/>
        <w:snapToGrid/>
        <w:spacing w:line="600" w:lineRule="exact"/>
        <w:ind w:firstLine="664" w:firstLineChars="200"/>
        <w:jc w:val="left"/>
        <w:textAlignment w:val="auto"/>
        <w:rPr>
          <w:rFonts w:hint="default" w:ascii="Times New Roman" w:hAnsi="Times New Roman" w:eastAsia="方正仿宋_GBK" w:cs="Times New Roman"/>
          <w:spacing w:val="6"/>
          <w:kern w:val="0"/>
          <w:sz w:val="32"/>
          <w:szCs w:val="32"/>
        </w:rPr>
      </w:pPr>
      <w:r>
        <w:rPr>
          <w:rFonts w:hint="default" w:ascii="Times New Roman" w:hAnsi="Times New Roman" w:eastAsia="方正仿宋_GBK" w:cs="Times New Roman"/>
          <w:spacing w:val="6"/>
          <w:kern w:val="0"/>
          <w:sz w:val="32"/>
          <w:szCs w:val="32"/>
        </w:rPr>
        <w:t>——县本级一般公共预算支出安排598692万元，加上上解支出35172万元、补助下级支出48684万元、债务还本支出110300万元后，支出总计792848万元。</w:t>
      </w:r>
    </w:p>
    <w:p>
      <w:pPr>
        <w:pStyle w:val="2"/>
        <w:keepNext w:val="0"/>
        <w:keepLines w:val="0"/>
        <w:pageBreakBefore w:val="0"/>
        <w:widowControl w:val="0"/>
        <w:kinsoku/>
        <w:wordWrap/>
        <w:overflowPunct/>
        <w:topLinePunct w:val="0"/>
        <w:autoSpaceDE w:val="0"/>
        <w:autoSpaceDN w:val="0"/>
        <w:bidi w:val="0"/>
        <w:adjustRightInd w:val="0"/>
        <w:snapToGrid/>
        <w:spacing w:after="161" w:afterLines="50" w:line="600" w:lineRule="exact"/>
        <w:ind w:firstLine="640" w:firstLineChars="200"/>
        <w:jc w:val="both"/>
        <w:textAlignment w:val="auto"/>
        <w:rPr>
          <w:rFonts w:hint="default" w:ascii="Times New Roman" w:hAnsi="Times New Roman" w:cs="Times New Roman"/>
          <w:color w:val="auto"/>
          <w:kern w:val="2"/>
          <w:sz w:val="32"/>
          <w:szCs w:val="32"/>
        </w:rPr>
      </w:pPr>
      <w:r>
        <w:rPr>
          <w:rFonts w:hint="default" w:ascii="Times New Roman" w:hAnsi="Times New Roman" w:cs="Times New Roman"/>
          <w:color w:val="auto"/>
          <w:kern w:val="2"/>
          <w:sz w:val="32"/>
          <w:szCs w:val="32"/>
        </w:rPr>
        <w:t>2.县本级政府性基金预算收支预算草案。</w:t>
      </w:r>
    </w:p>
    <w:tbl>
      <w:tblPr>
        <w:tblStyle w:val="9"/>
        <w:tblW w:w="8740" w:type="dxa"/>
        <w:jc w:val="center"/>
        <w:tblLayout w:type="fixed"/>
        <w:tblCellMar>
          <w:top w:w="0" w:type="dxa"/>
          <w:left w:w="108" w:type="dxa"/>
          <w:bottom w:w="0" w:type="dxa"/>
          <w:right w:w="108" w:type="dxa"/>
        </w:tblCellMar>
      </w:tblPr>
      <w:tblGrid>
        <w:gridCol w:w="3172"/>
        <w:gridCol w:w="1125"/>
        <w:gridCol w:w="3220"/>
        <w:gridCol w:w="1223"/>
      </w:tblGrid>
      <w:tr>
        <w:tblPrEx>
          <w:tblCellMar>
            <w:top w:w="0" w:type="dxa"/>
            <w:left w:w="108" w:type="dxa"/>
            <w:bottom w:w="0" w:type="dxa"/>
            <w:right w:w="108" w:type="dxa"/>
          </w:tblCellMar>
        </w:tblPrEx>
        <w:trPr>
          <w:trHeight w:val="525" w:hRule="atLeast"/>
          <w:jc w:val="center"/>
        </w:trPr>
        <w:tc>
          <w:tcPr>
            <w:tcW w:w="8740" w:type="dxa"/>
            <w:gridSpan w:val="4"/>
            <w:tcBorders>
              <w:top w:val="nil"/>
              <w:left w:val="nil"/>
              <w:bottom w:val="nil"/>
              <w:right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default" w:ascii="Times New Roman" w:hAnsi="Times New Roman" w:eastAsia="方正书宋_GBK" w:cs="Times New Roman"/>
                <w:kern w:val="0"/>
                <w:sz w:val="28"/>
                <w:szCs w:val="28"/>
              </w:rPr>
            </w:pPr>
            <w:r>
              <w:rPr>
                <w:rFonts w:hint="default" w:ascii="Times New Roman" w:hAnsi="Times New Roman" w:eastAsia="方正小标宋_GBK" w:cs="Times New Roman"/>
                <w:spacing w:val="6"/>
                <w:kern w:val="0"/>
                <w:sz w:val="30"/>
                <w:szCs w:val="30"/>
              </w:rPr>
              <w:t>2022年县级政府性基金预算收支平衡情况表</w:t>
            </w:r>
          </w:p>
        </w:tc>
      </w:tr>
      <w:tr>
        <w:tblPrEx>
          <w:tblCellMar>
            <w:top w:w="0" w:type="dxa"/>
            <w:left w:w="108" w:type="dxa"/>
            <w:bottom w:w="0" w:type="dxa"/>
            <w:right w:w="108" w:type="dxa"/>
          </w:tblCellMar>
        </w:tblPrEx>
        <w:trPr>
          <w:trHeight w:val="454" w:hRule="atLeast"/>
          <w:jc w:val="center"/>
        </w:trPr>
        <w:tc>
          <w:tcPr>
            <w:tcW w:w="8740" w:type="dxa"/>
            <w:gridSpan w:val="4"/>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right"/>
              <w:rPr>
                <w:rFonts w:hint="default" w:ascii="Times New Roman" w:hAnsi="Times New Roman" w:eastAsia="方正书宋_GBK" w:cs="Times New Roman"/>
                <w:kern w:val="0"/>
                <w:sz w:val="28"/>
                <w:szCs w:val="28"/>
              </w:rPr>
            </w:pPr>
            <w:r>
              <w:rPr>
                <w:rFonts w:hint="default" w:ascii="Times New Roman" w:hAnsi="Times New Roman" w:eastAsia="方正书宋_GBK" w:cs="Times New Roman"/>
                <w:spacing w:val="-4"/>
                <w:sz w:val="28"/>
                <w:szCs w:val="28"/>
              </w:rPr>
              <w:t>单位：万元</w:t>
            </w:r>
          </w:p>
        </w:tc>
      </w:tr>
      <w:tr>
        <w:tblPrEx>
          <w:tblCellMar>
            <w:top w:w="0" w:type="dxa"/>
            <w:left w:w="108" w:type="dxa"/>
            <w:bottom w:w="0" w:type="dxa"/>
            <w:right w:w="108" w:type="dxa"/>
          </w:tblCellMar>
        </w:tblPrEx>
        <w:trPr>
          <w:trHeight w:val="454" w:hRule="atLeast"/>
          <w:jc w:val="center"/>
        </w:trPr>
        <w:tc>
          <w:tcPr>
            <w:tcW w:w="31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收     入</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预算数</w:t>
            </w:r>
          </w:p>
        </w:tc>
        <w:tc>
          <w:tcPr>
            <w:tcW w:w="3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支    出</w:t>
            </w:r>
          </w:p>
        </w:tc>
        <w:tc>
          <w:tcPr>
            <w:tcW w:w="12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center"/>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预算数</w:t>
            </w:r>
          </w:p>
        </w:tc>
      </w:tr>
      <w:tr>
        <w:tblPrEx>
          <w:tblCellMar>
            <w:top w:w="0" w:type="dxa"/>
            <w:left w:w="108" w:type="dxa"/>
            <w:bottom w:w="0" w:type="dxa"/>
            <w:right w:w="108" w:type="dxa"/>
          </w:tblCellMar>
        </w:tblPrEx>
        <w:trPr>
          <w:trHeight w:val="454" w:hRule="atLeast"/>
          <w:jc w:val="center"/>
        </w:trPr>
        <w:tc>
          <w:tcPr>
            <w:tcW w:w="31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总  计</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438298</w:t>
            </w:r>
          </w:p>
        </w:tc>
        <w:tc>
          <w:tcPr>
            <w:tcW w:w="3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00" w:lineRule="exact"/>
              <w:jc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总  计</w:t>
            </w:r>
          </w:p>
        </w:tc>
        <w:tc>
          <w:tcPr>
            <w:tcW w:w="12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438298</w:t>
            </w:r>
          </w:p>
        </w:tc>
      </w:tr>
      <w:tr>
        <w:tblPrEx>
          <w:tblCellMar>
            <w:top w:w="0" w:type="dxa"/>
            <w:left w:w="108" w:type="dxa"/>
            <w:bottom w:w="0" w:type="dxa"/>
            <w:right w:w="108" w:type="dxa"/>
          </w:tblCellMar>
        </w:tblPrEx>
        <w:trPr>
          <w:trHeight w:val="454" w:hRule="atLeast"/>
          <w:jc w:val="center"/>
        </w:trPr>
        <w:tc>
          <w:tcPr>
            <w:tcW w:w="31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一、本级收入</w:t>
            </w:r>
          </w:p>
        </w:tc>
        <w:tc>
          <w:tcPr>
            <w:tcW w:w="11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250000</w:t>
            </w:r>
          </w:p>
        </w:tc>
        <w:tc>
          <w:tcPr>
            <w:tcW w:w="322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一、本级支出</w:t>
            </w:r>
          </w:p>
        </w:tc>
        <w:tc>
          <w:tcPr>
            <w:tcW w:w="12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kern w:val="0"/>
                <w:sz w:val="28"/>
                <w:szCs w:val="28"/>
              </w:rPr>
              <w:t xml:space="preserve">283870 </w:t>
            </w:r>
          </w:p>
        </w:tc>
      </w:tr>
      <w:tr>
        <w:tblPrEx>
          <w:tblCellMar>
            <w:top w:w="0" w:type="dxa"/>
            <w:left w:w="108" w:type="dxa"/>
            <w:bottom w:w="0" w:type="dxa"/>
            <w:right w:w="108" w:type="dxa"/>
          </w:tblCellMar>
        </w:tblPrEx>
        <w:trPr>
          <w:trHeight w:val="454" w:hRule="atLeast"/>
          <w:jc w:val="center"/>
        </w:trPr>
        <w:tc>
          <w:tcPr>
            <w:tcW w:w="31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二、转移性收入</w:t>
            </w:r>
          </w:p>
        </w:tc>
        <w:tc>
          <w:tcPr>
            <w:tcW w:w="11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188298</w:t>
            </w:r>
          </w:p>
        </w:tc>
        <w:tc>
          <w:tcPr>
            <w:tcW w:w="322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二、转移性支出</w:t>
            </w:r>
          </w:p>
        </w:tc>
        <w:tc>
          <w:tcPr>
            <w:tcW w:w="12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kern w:val="0"/>
                <w:sz w:val="28"/>
                <w:szCs w:val="28"/>
              </w:rPr>
              <w:t xml:space="preserve">154428 </w:t>
            </w:r>
          </w:p>
        </w:tc>
      </w:tr>
      <w:tr>
        <w:tblPrEx>
          <w:tblCellMar>
            <w:top w:w="0" w:type="dxa"/>
            <w:left w:w="108" w:type="dxa"/>
            <w:bottom w:w="0" w:type="dxa"/>
            <w:right w:w="108" w:type="dxa"/>
          </w:tblCellMar>
        </w:tblPrEx>
        <w:trPr>
          <w:trHeight w:val="454" w:hRule="atLeast"/>
          <w:jc w:val="center"/>
        </w:trPr>
        <w:tc>
          <w:tcPr>
            <w:tcW w:w="31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上级补助收入</w:t>
            </w:r>
          </w:p>
        </w:tc>
        <w:tc>
          <w:tcPr>
            <w:tcW w:w="11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kern w:val="0"/>
                <w:sz w:val="28"/>
                <w:szCs w:val="28"/>
              </w:rPr>
              <w:t xml:space="preserve">61029 </w:t>
            </w:r>
          </w:p>
        </w:tc>
        <w:tc>
          <w:tcPr>
            <w:tcW w:w="322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上解支出</w:t>
            </w:r>
          </w:p>
        </w:tc>
        <w:tc>
          <w:tcPr>
            <w:tcW w:w="12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kern w:val="0"/>
                <w:sz w:val="28"/>
                <w:szCs w:val="28"/>
              </w:rPr>
              <w:t xml:space="preserve">6328 </w:t>
            </w:r>
          </w:p>
        </w:tc>
      </w:tr>
      <w:tr>
        <w:tblPrEx>
          <w:tblCellMar>
            <w:top w:w="0" w:type="dxa"/>
            <w:left w:w="108" w:type="dxa"/>
            <w:bottom w:w="0" w:type="dxa"/>
            <w:right w:w="108" w:type="dxa"/>
          </w:tblCellMar>
        </w:tblPrEx>
        <w:trPr>
          <w:trHeight w:val="454" w:hRule="atLeast"/>
          <w:jc w:val="center"/>
        </w:trPr>
        <w:tc>
          <w:tcPr>
            <w:tcW w:w="31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债券转贷收入</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3100</w:t>
            </w:r>
          </w:p>
        </w:tc>
        <w:tc>
          <w:tcPr>
            <w:tcW w:w="32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地方政府债务还本支出</w:t>
            </w:r>
          </w:p>
        </w:tc>
        <w:tc>
          <w:tcPr>
            <w:tcW w:w="12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kern w:val="0"/>
                <w:sz w:val="28"/>
                <w:szCs w:val="28"/>
              </w:rPr>
              <w:t xml:space="preserve">3100 </w:t>
            </w:r>
          </w:p>
        </w:tc>
      </w:tr>
      <w:tr>
        <w:tblPrEx>
          <w:tblCellMar>
            <w:top w:w="0" w:type="dxa"/>
            <w:left w:w="108" w:type="dxa"/>
            <w:bottom w:w="0" w:type="dxa"/>
            <w:right w:w="108" w:type="dxa"/>
          </w:tblCellMar>
        </w:tblPrEx>
        <w:trPr>
          <w:trHeight w:val="454" w:hRule="atLeast"/>
          <w:jc w:val="center"/>
        </w:trPr>
        <w:tc>
          <w:tcPr>
            <w:tcW w:w="31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上年结转</w:t>
            </w:r>
          </w:p>
        </w:tc>
        <w:tc>
          <w:tcPr>
            <w:tcW w:w="11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kern w:val="0"/>
                <w:sz w:val="28"/>
                <w:szCs w:val="28"/>
              </w:rPr>
              <w:t xml:space="preserve">124169 </w:t>
            </w:r>
          </w:p>
        </w:tc>
        <w:tc>
          <w:tcPr>
            <w:tcW w:w="322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调出资金</w:t>
            </w:r>
          </w:p>
        </w:tc>
        <w:tc>
          <w:tcPr>
            <w:tcW w:w="122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145000</w:t>
            </w:r>
          </w:p>
        </w:tc>
      </w:tr>
    </w:tbl>
    <w:p>
      <w:pPr>
        <w:keepNext w:val="0"/>
        <w:keepLines w:val="0"/>
        <w:pageBreakBefore w:val="0"/>
        <w:widowControl/>
        <w:kinsoku/>
        <w:wordWrap/>
        <w:overflowPunct/>
        <w:topLinePunct w:val="0"/>
        <w:autoSpaceDE/>
        <w:autoSpaceDN/>
        <w:bidi w:val="0"/>
        <w:adjustRightInd/>
        <w:snapToGrid/>
        <w:spacing w:line="600" w:lineRule="exact"/>
        <w:ind w:firstLine="664" w:firstLineChars="200"/>
        <w:jc w:val="left"/>
        <w:textAlignment w:val="auto"/>
        <w:rPr>
          <w:rFonts w:hint="default" w:ascii="Times New Roman" w:hAnsi="Times New Roman" w:eastAsia="方正仿宋_GBK" w:cs="Times New Roman"/>
          <w:spacing w:val="6"/>
          <w:kern w:val="0"/>
          <w:sz w:val="32"/>
          <w:szCs w:val="32"/>
        </w:rPr>
      </w:pPr>
      <w:r>
        <w:rPr>
          <w:rFonts w:hint="default" w:ascii="Times New Roman" w:hAnsi="Times New Roman" w:eastAsia="方正仿宋_GBK" w:cs="Times New Roman"/>
          <w:spacing w:val="6"/>
          <w:kern w:val="0"/>
          <w:sz w:val="32"/>
          <w:szCs w:val="32"/>
        </w:rPr>
        <w:t>——县本级政府性基金预算收入预计250000万元，加上上级补助收入、债券转贷收入、上年结转收入等188298万元后，收入总计438298万元。</w:t>
      </w:r>
    </w:p>
    <w:p>
      <w:pPr>
        <w:keepNext w:val="0"/>
        <w:keepLines w:val="0"/>
        <w:pageBreakBefore w:val="0"/>
        <w:widowControl/>
        <w:kinsoku/>
        <w:wordWrap/>
        <w:overflowPunct/>
        <w:topLinePunct w:val="0"/>
        <w:autoSpaceDE/>
        <w:autoSpaceDN/>
        <w:bidi w:val="0"/>
        <w:adjustRightInd/>
        <w:snapToGrid/>
        <w:spacing w:line="600" w:lineRule="exact"/>
        <w:ind w:firstLine="664" w:firstLineChars="200"/>
        <w:jc w:val="left"/>
        <w:textAlignment w:val="auto"/>
        <w:rPr>
          <w:rFonts w:hint="default" w:ascii="Times New Roman" w:hAnsi="Times New Roman" w:eastAsia="方正仿宋_GBK" w:cs="Times New Roman"/>
          <w:spacing w:val="6"/>
          <w:kern w:val="0"/>
          <w:sz w:val="32"/>
          <w:szCs w:val="32"/>
        </w:rPr>
      </w:pPr>
      <w:r>
        <w:rPr>
          <w:rFonts w:hint="default" w:ascii="Times New Roman" w:hAnsi="Times New Roman" w:eastAsia="方正仿宋_GBK" w:cs="Times New Roman"/>
          <w:spacing w:val="6"/>
          <w:kern w:val="0"/>
          <w:sz w:val="32"/>
          <w:szCs w:val="32"/>
        </w:rPr>
        <w:t>——县本级政府性基金预算支出安排283870万元，加上上解支出、债务还本支出、调出资金等154428万元后，支出总计438298万元。</w:t>
      </w:r>
    </w:p>
    <w:p>
      <w:pPr>
        <w:pStyle w:val="2"/>
        <w:keepNext w:val="0"/>
        <w:keepLines w:val="0"/>
        <w:pageBreakBefore w:val="0"/>
        <w:widowControl w:val="0"/>
        <w:kinsoku/>
        <w:wordWrap/>
        <w:overflowPunct/>
        <w:topLinePunct w:val="0"/>
        <w:autoSpaceDE w:val="0"/>
        <w:autoSpaceDN w:val="0"/>
        <w:bidi w:val="0"/>
        <w:adjustRightInd w:val="0"/>
        <w:snapToGrid/>
        <w:spacing w:after="161" w:afterLines="50" w:line="600" w:lineRule="exact"/>
        <w:ind w:firstLine="640" w:firstLineChars="200"/>
        <w:textAlignment w:val="auto"/>
        <w:rPr>
          <w:rFonts w:hint="default" w:ascii="Times New Roman" w:hAnsi="Times New Roman" w:cs="Times New Roman"/>
          <w:color w:val="auto"/>
          <w:kern w:val="2"/>
          <w:sz w:val="32"/>
          <w:szCs w:val="32"/>
        </w:rPr>
      </w:pPr>
      <w:r>
        <w:rPr>
          <w:rFonts w:hint="default" w:ascii="Times New Roman" w:hAnsi="Times New Roman" w:cs="Times New Roman"/>
          <w:color w:val="auto"/>
          <w:kern w:val="2"/>
          <w:sz w:val="32"/>
          <w:szCs w:val="32"/>
        </w:rPr>
        <w:t>3.县本级国有资本经营预算收支预算草案。</w:t>
      </w:r>
    </w:p>
    <w:tbl>
      <w:tblPr>
        <w:tblStyle w:val="9"/>
        <w:tblW w:w="8240" w:type="dxa"/>
        <w:jc w:val="center"/>
        <w:tblLayout w:type="fixed"/>
        <w:tblCellMar>
          <w:top w:w="0" w:type="dxa"/>
          <w:left w:w="108" w:type="dxa"/>
          <w:bottom w:w="0" w:type="dxa"/>
          <w:right w:w="108" w:type="dxa"/>
        </w:tblCellMar>
      </w:tblPr>
      <w:tblGrid>
        <w:gridCol w:w="3069"/>
        <w:gridCol w:w="1219"/>
        <w:gridCol w:w="2854"/>
        <w:gridCol w:w="1098"/>
      </w:tblGrid>
      <w:tr>
        <w:tblPrEx>
          <w:tblCellMar>
            <w:top w:w="0" w:type="dxa"/>
            <w:left w:w="108" w:type="dxa"/>
            <w:bottom w:w="0" w:type="dxa"/>
            <w:right w:w="108" w:type="dxa"/>
          </w:tblCellMar>
        </w:tblPrEx>
        <w:trPr>
          <w:trHeight w:val="711" w:hRule="exact"/>
          <w:jc w:val="center"/>
        </w:trPr>
        <w:tc>
          <w:tcPr>
            <w:tcW w:w="8240" w:type="dxa"/>
            <w:gridSpan w:val="4"/>
            <w:tcBorders>
              <w:top w:val="nil"/>
              <w:left w:val="nil"/>
              <w:bottom w:val="nil"/>
              <w:right w:val="nil"/>
            </w:tcBorders>
            <w:vAlign w:val="center"/>
          </w:tcPr>
          <w:p>
            <w:pPr>
              <w:pStyle w:val="2"/>
              <w:keepNext w:val="0"/>
              <w:keepLines w:val="0"/>
              <w:pageBreakBefore w:val="0"/>
              <w:kinsoku/>
              <w:wordWrap/>
              <w:overflowPunct/>
              <w:topLinePunct w:val="0"/>
              <w:bidi w:val="0"/>
              <w:snapToGrid/>
              <w:spacing w:line="400" w:lineRule="exact"/>
              <w:jc w:val="center"/>
              <w:rPr>
                <w:rFonts w:hint="default" w:ascii="Times New Roman" w:hAnsi="Times New Roman" w:eastAsia="方正书宋_GBK" w:cs="Times New Roman"/>
                <w:spacing w:val="-4"/>
                <w:sz w:val="28"/>
                <w:szCs w:val="28"/>
              </w:rPr>
            </w:pPr>
            <w:r>
              <w:rPr>
                <w:rFonts w:hint="default" w:ascii="Times New Roman" w:hAnsi="Times New Roman" w:eastAsia="方正小标宋_GBK" w:cs="Times New Roman"/>
                <w:color w:val="auto"/>
                <w:spacing w:val="6"/>
                <w:sz w:val="30"/>
                <w:szCs w:val="30"/>
              </w:rPr>
              <w:t>2022年县级国有资本经营预算收支平衡情况表</w:t>
            </w:r>
          </w:p>
        </w:tc>
      </w:tr>
      <w:tr>
        <w:tblPrEx>
          <w:tblCellMar>
            <w:top w:w="0" w:type="dxa"/>
            <w:left w:w="108" w:type="dxa"/>
            <w:bottom w:w="0" w:type="dxa"/>
            <w:right w:w="108" w:type="dxa"/>
          </w:tblCellMar>
        </w:tblPrEx>
        <w:trPr>
          <w:trHeight w:val="454" w:hRule="exact"/>
          <w:jc w:val="center"/>
        </w:trPr>
        <w:tc>
          <w:tcPr>
            <w:tcW w:w="8240" w:type="dxa"/>
            <w:gridSpan w:val="4"/>
            <w:tcBorders>
              <w:top w:val="nil"/>
              <w:left w:val="nil"/>
              <w:bottom w:val="single" w:color="auto" w:sz="4" w:space="0"/>
              <w:right w:val="nil"/>
            </w:tcBorders>
            <w:vAlign w:val="center"/>
          </w:tcPr>
          <w:p>
            <w:pPr>
              <w:keepNext w:val="0"/>
              <w:keepLines w:val="0"/>
              <w:pageBreakBefore w:val="0"/>
              <w:widowControl/>
              <w:kinsoku/>
              <w:wordWrap/>
              <w:overflowPunct/>
              <w:topLinePunct w:val="0"/>
              <w:bidi w:val="0"/>
              <w:snapToGrid/>
              <w:spacing w:line="400" w:lineRule="exact"/>
              <w:jc w:val="right"/>
              <w:rPr>
                <w:rFonts w:hint="default" w:ascii="Times New Roman" w:hAnsi="Times New Roman" w:eastAsia="方正书宋_GBK" w:cs="Times New Roman"/>
                <w:kern w:val="0"/>
                <w:sz w:val="28"/>
                <w:szCs w:val="28"/>
              </w:rPr>
            </w:pPr>
            <w:r>
              <w:rPr>
                <w:rFonts w:hint="default" w:ascii="Times New Roman" w:hAnsi="Times New Roman" w:eastAsia="方正书宋_GBK" w:cs="Times New Roman"/>
                <w:spacing w:val="-4"/>
                <w:sz w:val="28"/>
                <w:szCs w:val="28"/>
              </w:rPr>
              <w:t>单位：万元</w:t>
            </w:r>
          </w:p>
        </w:tc>
      </w:tr>
      <w:tr>
        <w:tblPrEx>
          <w:tblCellMar>
            <w:top w:w="0" w:type="dxa"/>
            <w:left w:w="108" w:type="dxa"/>
            <w:bottom w:w="0" w:type="dxa"/>
            <w:right w:w="108" w:type="dxa"/>
          </w:tblCellMar>
        </w:tblPrEx>
        <w:trPr>
          <w:trHeight w:val="454" w:hRule="exact"/>
          <w:jc w:val="center"/>
        </w:trPr>
        <w:tc>
          <w:tcPr>
            <w:tcW w:w="30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收     入</w:t>
            </w:r>
          </w:p>
        </w:tc>
        <w:tc>
          <w:tcPr>
            <w:tcW w:w="12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预算数</w:t>
            </w:r>
          </w:p>
        </w:tc>
        <w:tc>
          <w:tcPr>
            <w:tcW w:w="2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支    出</w:t>
            </w:r>
          </w:p>
        </w:tc>
        <w:tc>
          <w:tcPr>
            <w:tcW w:w="10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hint="default" w:ascii="Times New Roman" w:hAnsi="Times New Roman" w:eastAsia="方正黑体_GBK" w:cs="Times New Roman"/>
                <w:kern w:val="0"/>
                <w:sz w:val="28"/>
                <w:szCs w:val="28"/>
              </w:rPr>
            </w:pPr>
            <w:r>
              <w:rPr>
                <w:rFonts w:hint="default" w:ascii="Times New Roman" w:hAnsi="Times New Roman" w:eastAsia="方正黑体_GBK" w:cs="Times New Roman"/>
                <w:kern w:val="0"/>
                <w:sz w:val="28"/>
                <w:szCs w:val="28"/>
              </w:rPr>
              <w:t>预算数</w:t>
            </w:r>
          </w:p>
        </w:tc>
      </w:tr>
      <w:tr>
        <w:tblPrEx>
          <w:tblCellMar>
            <w:top w:w="0" w:type="dxa"/>
            <w:left w:w="108" w:type="dxa"/>
            <w:bottom w:w="0" w:type="dxa"/>
            <w:right w:w="108" w:type="dxa"/>
          </w:tblCellMar>
        </w:tblPrEx>
        <w:trPr>
          <w:trHeight w:val="454" w:hRule="exact"/>
          <w:jc w:val="center"/>
        </w:trPr>
        <w:tc>
          <w:tcPr>
            <w:tcW w:w="30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总  计</w:t>
            </w:r>
          </w:p>
        </w:tc>
        <w:tc>
          <w:tcPr>
            <w:tcW w:w="121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kern w:val="0"/>
                <w:sz w:val="28"/>
                <w:szCs w:val="28"/>
              </w:rPr>
              <w:t xml:space="preserve">10000 </w:t>
            </w:r>
          </w:p>
        </w:tc>
        <w:tc>
          <w:tcPr>
            <w:tcW w:w="2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总  计</w:t>
            </w:r>
          </w:p>
        </w:tc>
        <w:tc>
          <w:tcPr>
            <w:tcW w:w="10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kern w:val="0"/>
                <w:sz w:val="28"/>
                <w:szCs w:val="28"/>
              </w:rPr>
              <w:t xml:space="preserve">10000 </w:t>
            </w:r>
          </w:p>
        </w:tc>
      </w:tr>
      <w:tr>
        <w:tblPrEx>
          <w:tblCellMar>
            <w:top w:w="0" w:type="dxa"/>
            <w:left w:w="108" w:type="dxa"/>
            <w:bottom w:w="0" w:type="dxa"/>
            <w:right w:w="108" w:type="dxa"/>
          </w:tblCellMar>
        </w:tblPrEx>
        <w:trPr>
          <w:trHeight w:val="454" w:hRule="exact"/>
          <w:jc w:val="center"/>
        </w:trPr>
        <w:tc>
          <w:tcPr>
            <w:tcW w:w="30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一、本级收入</w:t>
            </w:r>
          </w:p>
        </w:tc>
        <w:tc>
          <w:tcPr>
            <w:tcW w:w="121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kern w:val="0"/>
                <w:sz w:val="28"/>
                <w:szCs w:val="28"/>
              </w:rPr>
              <w:t xml:space="preserve">10000 </w:t>
            </w:r>
          </w:p>
        </w:tc>
        <w:tc>
          <w:tcPr>
            <w:tcW w:w="285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一、本级支出</w:t>
            </w:r>
          </w:p>
        </w:tc>
        <w:tc>
          <w:tcPr>
            <w:tcW w:w="109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kern w:val="0"/>
                <w:sz w:val="28"/>
                <w:szCs w:val="28"/>
              </w:rPr>
              <w:t xml:space="preserve">5000 </w:t>
            </w:r>
          </w:p>
        </w:tc>
      </w:tr>
      <w:tr>
        <w:tblPrEx>
          <w:tblCellMar>
            <w:top w:w="0" w:type="dxa"/>
            <w:left w:w="108" w:type="dxa"/>
            <w:bottom w:w="0" w:type="dxa"/>
            <w:right w:w="108" w:type="dxa"/>
          </w:tblCellMar>
        </w:tblPrEx>
        <w:trPr>
          <w:trHeight w:val="454" w:hRule="exact"/>
          <w:jc w:val="center"/>
        </w:trPr>
        <w:tc>
          <w:tcPr>
            <w:tcW w:w="30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二、转移性收入</w:t>
            </w:r>
          </w:p>
        </w:tc>
        <w:tc>
          <w:tcPr>
            <w:tcW w:w="121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kern w:val="0"/>
                <w:sz w:val="28"/>
                <w:szCs w:val="28"/>
              </w:rPr>
              <w:t xml:space="preserve">   </w:t>
            </w:r>
          </w:p>
        </w:tc>
        <w:tc>
          <w:tcPr>
            <w:tcW w:w="285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二、转移性支出</w:t>
            </w:r>
          </w:p>
        </w:tc>
        <w:tc>
          <w:tcPr>
            <w:tcW w:w="109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kern w:val="0"/>
                <w:sz w:val="28"/>
                <w:szCs w:val="28"/>
              </w:rPr>
              <w:t xml:space="preserve">5000 </w:t>
            </w:r>
          </w:p>
        </w:tc>
      </w:tr>
      <w:tr>
        <w:tblPrEx>
          <w:tblCellMar>
            <w:top w:w="0" w:type="dxa"/>
            <w:left w:w="108" w:type="dxa"/>
            <w:bottom w:w="0" w:type="dxa"/>
            <w:right w:w="108" w:type="dxa"/>
          </w:tblCellMar>
        </w:tblPrEx>
        <w:trPr>
          <w:trHeight w:val="454" w:hRule="exact"/>
          <w:jc w:val="center"/>
        </w:trPr>
        <w:tc>
          <w:tcPr>
            <w:tcW w:w="30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上级补助收入</w:t>
            </w:r>
          </w:p>
        </w:tc>
        <w:tc>
          <w:tcPr>
            <w:tcW w:w="121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right"/>
              <w:textAlignment w:val="center"/>
              <w:rPr>
                <w:rFonts w:hint="default" w:ascii="Times New Roman" w:hAnsi="Times New Roman" w:eastAsia="方正书宋_GBK" w:cs="Times New Roman"/>
                <w:sz w:val="28"/>
                <w:szCs w:val="28"/>
              </w:rPr>
            </w:pPr>
            <w:r>
              <w:rPr>
                <w:rFonts w:hint="default" w:ascii="Times New Roman" w:hAnsi="Times New Roman" w:eastAsia="方正书宋_GBK" w:cs="Times New Roman"/>
                <w:kern w:val="0"/>
                <w:sz w:val="28"/>
                <w:szCs w:val="28"/>
              </w:rPr>
              <w:t xml:space="preserve">   </w:t>
            </w:r>
          </w:p>
        </w:tc>
        <w:tc>
          <w:tcPr>
            <w:tcW w:w="2854"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调出资金</w:t>
            </w:r>
          </w:p>
        </w:tc>
        <w:tc>
          <w:tcPr>
            <w:tcW w:w="109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right"/>
              <w:rPr>
                <w:rFonts w:hint="default" w:ascii="Times New Roman" w:hAnsi="Times New Roman" w:eastAsia="方正书宋_GBK" w:cs="Times New Roman"/>
                <w:sz w:val="28"/>
                <w:szCs w:val="28"/>
              </w:rPr>
            </w:pPr>
            <w:r>
              <w:rPr>
                <w:rFonts w:hint="default" w:ascii="Times New Roman" w:hAnsi="Times New Roman" w:eastAsia="方正书宋_GBK" w:cs="Times New Roman"/>
                <w:sz w:val="28"/>
                <w:szCs w:val="28"/>
              </w:rPr>
              <w:t>5000</w:t>
            </w:r>
          </w:p>
        </w:tc>
      </w:tr>
    </w:tbl>
    <w:p>
      <w:pPr>
        <w:keepNext w:val="0"/>
        <w:keepLines w:val="0"/>
        <w:pageBreakBefore w:val="0"/>
        <w:widowControl/>
        <w:kinsoku/>
        <w:wordWrap/>
        <w:overflowPunct/>
        <w:topLinePunct w:val="0"/>
        <w:autoSpaceDE/>
        <w:autoSpaceDN/>
        <w:bidi w:val="0"/>
        <w:spacing w:line="600" w:lineRule="exact"/>
        <w:ind w:firstLine="664" w:firstLineChars="200"/>
        <w:jc w:val="left"/>
        <w:textAlignment w:val="auto"/>
        <w:rPr>
          <w:rFonts w:hint="default" w:ascii="Times New Roman" w:hAnsi="Times New Roman" w:eastAsia="方正仿宋_GBK" w:cs="Times New Roman"/>
          <w:spacing w:val="6"/>
          <w:kern w:val="0"/>
          <w:sz w:val="32"/>
          <w:szCs w:val="32"/>
        </w:rPr>
      </w:pPr>
      <w:r>
        <w:rPr>
          <w:rFonts w:hint="default" w:ascii="Times New Roman" w:hAnsi="Times New Roman" w:eastAsia="方正仿宋_GBK" w:cs="Times New Roman"/>
          <w:spacing w:val="6"/>
          <w:kern w:val="0"/>
          <w:sz w:val="32"/>
          <w:szCs w:val="32"/>
        </w:rPr>
        <w:t>——县本级国有资本经营预算收入预计10000万元。收入总计10000万元。</w:t>
      </w:r>
    </w:p>
    <w:p>
      <w:pPr>
        <w:keepNext w:val="0"/>
        <w:keepLines w:val="0"/>
        <w:pageBreakBefore w:val="0"/>
        <w:widowControl/>
        <w:kinsoku/>
        <w:wordWrap/>
        <w:overflowPunct/>
        <w:topLinePunct w:val="0"/>
        <w:autoSpaceDE/>
        <w:autoSpaceDN/>
        <w:bidi w:val="0"/>
        <w:spacing w:line="600" w:lineRule="exact"/>
        <w:ind w:firstLine="664" w:firstLineChars="200"/>
        <w:jc w:val="left"/>
        <w:textAlignment w:val="auto"/>
        <w:rPr>
          <w:rFonts w:hint="default" w:ascii="Times New Roman" w:hAnsi="Times New Roman" w:eastAsia="方正仿宋_GBK" w:cs="Times New Roman"/>
          <w:spacing w:val="6"/>
          <w:kern w:val="0"/>
          <w:sz w:val="32"/>
          <w:szCs w:val="32"/>
        </w:rPr>
      </w:pPr>
      <w:r>
        <w:rPr>
          <w:rFonts w:hint="default" w:ascii="Times New Roman" w:hAnsi="Times New Roman" w:eastAsia="方正仿宋_GBK" w:cs="Times New Roman"/>
          <w:spacing w:val="6"/>
          <w:kern w:val="0"/>
          <w:sz w:val="32"/>
          <w:szCs w:val="32"/>
        </w:rPr>
        <w:t>——县本级国有资本经营预算支出安排5000万元，加上调出资金5000万元后，支出总计10000万元。</w:t>
      </w: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各位代表，</w:t>
      </w:r>
      <w:r>
        <w:rPr>
          <w:rFonts w:hint="default" w:ascii="Times New Roman" w:hAnsi="Times New Roman" w:eastAsia="方正仿宋_GBK" w:cs="Times New Roman"/>
          <w:sz w:val="32"/>
          <w:szCs w:val="32"/>
        </w:rPr>
        <w:t>站在新起点，启航新征程。我们一定按照县委的决策部署和本次大会确定的预期目标，以更严的标准，更实的作风，更强的担当，</w:t>
      </w:r>
      <w:r>
        <w:rPr>
          <w:rFonts w:hint="default" w:ascii="Times New Roman" w:hAnsi="Times New Roman" w:eastAsia="方正仿宋_GBK" w:cs="Times New Roman"/>
          <w:spacing w:val="6"/>
          <w:sz w:val="32"/>
          <w:szCs w:val="32"/>
        </w:rPr>
        <w:t>持续壮大财力，</w:t>
      </w:r>
      <w:r>
        <w:rPr>
          <w:rFonts w:hint="default" w:ascii="Times New Roman" w:hAnsi="Times New Roman" w:eastAsia="方正仿宋_GBK" w:cs="Times New Roman"/>
          <w:sz w:val="32"/>
          <w:szCs w:val="32"/>
        </w:rPr>
        <w:t>全面深化改革，精细财政管理，</w:t>
      </w:r>
      <w:r>
        <w:rPr>
          <w:rFonts w:hint="default" w:ascii="Times New Roman" w:hAnsi="Times New Roman" w:eastAsia="方正仿宋_GBK" w:cs="Times New Roman"/>
          <w:spacing w:val="6"/>
          <w:sz w:val="32"/>
          <w:szCs w:val="32"/>
        </w:rPr>
        <w:t>为努力开创“兴业兴城、强县富民”崭新局面，奋力谱写新时代奉节高质量发展高质量生活新篇章贡献财政力量！</w:t>
      </w:r>
    </w:p>
    <w:p>
      <w:pPr>
        <w:pStyle w:val="2"/>
        <w:rPr>
          <w:rFonts w:hint="default" w:ascii="Times New Roman" w:hAnsi="Times New Roman" w:cs="Times New Roman"/>
          <w:color w:val="auto"/>
        </w:rPr>
      </w:pPr>
    </w:p>
    <w:p>
      <w:pPr>
        <w:rPr>
          <w:rFonts w:hint="default" w:ascii="Times New Roman" w:hAnsi="Times New Roman" w:cs="Times New Roman"/>
        </w:rPr>
      </w:pPr>
    </w:p>
    <w:p>
      <w:pPr>
        <w:pStyle w:val="2"/>
        <w:rPr>
          <w:rFonts w:hint="default" w:ascii="Times New Roman" w:hAnsi="Times New Roman" w:cs="Times New Roman"/>
          <w:color w:val="auto"/>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Bdr>
          <w:top w:val="single" w:color="auto" w:sz="6" w:space="1"/>
          <w:bottom w:val="single" w:color="auto" w:sz="6" w:space="1"/>
        </w:pBdr>
        <w:spacing w:line="584" w:lineRule="exact"/>
        <w:ind w:firstLine="280" w:firstLineChars="1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奉节县十八届人大一次会议秘书处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2022年1月印</w:t>
      </w:r>
    </w:p>
    <w:sectPr>
      <w:footerReference r:id="rId5" w:type="default"/>
      <w:pgSz w:w="11849" w:h="16781"/>
      <w:pgMar w:top="2098" w:right="1531" w:bottom="1757" w:left="1531" w:header="851" w:footer="1134" w:gutter="0"/>
      <w:pgNumType w:fmt="numberInDash" w:start="2"/>
      <w:cols w:space="0" w:num="1"/>
      <w:rtlGutter w:val="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mLMpMkBAACZ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I6&#10;29MHqLHrIWBfGu78kFunPGAyqx5UtPmNegjW0dzz1Vw5JCLyR+vVel1hSWBtPiAOe/w8REhvpbck&#10;Bw2NeHvFVH56D2lsnVvyNOfvtTGY57VxfyUQM2dY5j5yzFEa9sNEfO/bM+rp8eIb6nDPKTHvHPqa&#10;d2QO4hzs5+AYoj50SG1ZeEG4PSYkUbjlCSPsNBhvrKibtiuvxJ/n0vX4R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YsykyQEAAJkDAAAOAAAAAAAAAAEAIAAAAB4BAABkcnMvZTJvRG9j&#10;LnhtbFBLBQYAAAAABgAGAFkBAABZBQ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- 2 -</w:t>
                          </w:r>
                          <w:r>
                            <w:rPr>
                              <w:sz w:val="24"/>
                              <w:szCs w:val="24"/>
                            </w:rP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clYYOgBAADHAwAADgAAAGRycy9lMm9Eb2MueG1srVNLbtswEN0XyB2I&#10;2ddSXKR1BdNBGyNFgaINkOYANEVZBPgDSVtyD9DeoKtuus+5fI4MKckJ0k0W3UhDzsybeW+Gy8te&#10;K7IXPkhrKJzPSiDCcFtLs6Vw9/369QJIiMzUTFkjKBxEgMvV2atl5yoxt61VtfAEQUyoOkehjdFV&#10;RRF4KzQLM+uEQWdjvWYRj35b1J51iK5VMS/Lt0Vnfe285SIEvF0PThgR/UsAbdNILtaW77QwcUD1&#10;QrGIlEIrXYBV7rZpBI/fmiaISBQFZBrzF4ugvUnfYrVk1dYz10o+tsBe0sIzTppJg0VPUGsWGdl5&#10;+Q+UltzbYJs441YXA5GsCLI4L59pc9syJzIXlDq4k+jh/8Hyr/sbT2RN4Q0QwzQO/Pj71/HP/fHv&#10;T/IuydO5UGHUrcO42H+0PS7NdB/wMrHuG6/TH/kQ9KO4h5O4oo+Ep6TFfLEo0cXRNx0Qv3hMdz7E&#10;T8JqkgwKHqeXRWX7LyEOoVNIqmbstVQqT1AZ0lF4fzG/yAknD4IrgzUSiaHZZMV+04/MNrY+IDF8&#10;D1iwtf4HkA63gYLB5QeiPhsUOy3OZPjJ2EwGMxwTKUQgg3kVhwXbOS+3bV651G5wH3YRW85MUhtD&#10;7bE7nG/WYtzFtEBPzznq8f2tH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OqXm5zwAAAAUBAAAP&#10;AAAAAAAAAAEAIAAAACIAAABkcnMvZG93bnJldi54bWxQSwECFAAUAAAACACHTuJA2clYYOgBAADH&#10;AwAADgAAAAAAAAABACAAAAAeAQAAZHJzL2Uyb0RvYy54bWxQSwUGAAAAAAYABgBZAQAAeAUAAAAA&#10;">
              <v:fill on="f" focussize="0,0"/>
              <v:stroke on="f"/>
              <v:imagedata o:title=""/>
              <o:lock v:ext="edit" aspectratio="f"/>
              <v:textbox inset="0mm,0mm,0mm,0mm" style="mso-fit-shape-to-text:t;">
                <w:txbxContent>
                  <w:p>
                    <w:pPr>
                      <w:pStyle w:val="5"/>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- 2 -</w:t>
                    </w:r>
                    <w:r>
                      <w:rPr>
                        <w:sz w:val="24"/>
                        <w:szCs w:val="24"/>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skV/MgBAACZAwAADgAAAGRycy9lMm9Eb2MueG1srVPNjtMwEL4j8Q6W&#10;79RpD6sqarraVbUICQHSwgO4jt1Y8p88bpO+ALwBJy7cea4+B2Mn6cJy2QMXZzwz/ub7Ziab28Ea&#10;cpIRtHcNXS4qSqQTvtXu0NAvnx/erCmBxF3LjXeyoWcJ9Hb7+tWmD7Vc+c6bVkaCIA7qPjS0SynU&#10;jIHopOWw8EE6DCofLU94jQfWRt4jujVsVVU3rPexDdELCYDe3RikE2J8CaBXSgu58+JopUsjapSG&#10;J5QEnQ5At4WtUlKkj0qBTMQ0FJWmcmIRtPf5ZNsNrw+Rh06LiQJ/CYVnmizXDoteoXY8cXKM+h8o&#10;q0X04FVaCG/ZKKR0BFUsq2e9eex4kEULthrCtenw/2DFh9OnSHTb0BUljlsc+OX7t8uPX5efX8lN&#10;bk8foMasx4B5abj3Ay7N7Ad0ZtWDijZ/UQ/BODb3fG2uHBIR+dF6tV5XGBIYmy+Iz56ehwjprfSW&#10;ZKOhEadXmspP7yGNqXNKrub8gzamTNC4vxyImT0scx85ZisN+2EStPftGfX0OPiGOtxzSsw7h33N&#10;OzIbcTb2s3EMUR86pLYsvCDcHROSKNxyhRF2KowTK+qm7cor8ee9ZD39Ud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7JFfzIAQAAmQMAAA4AAAAAAAAAAQAgAAAAHgEAAGRycy9lMm9Eb2Mu&#10;eG1sUEsFBgAAAAAGAAYAWQEAAFgFAAAAAA==&#10;">
              <v:fill on="f" focussize="0,0"/>
              <v:stroke on="f"/>
              <v:imagedata o:title=""/>
              <o:lock v:ext="edit" aspectratio="f"/>
              <v:textbox inset="0mm,0mm,0mm,0mm" style="mso-fit-shape-to-text:t;">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0871F2"/>
    <w:multiLevelType w:val="singleLevel"/>
    <w:tmpl w:val="5E0871F2"/>
    <w:lvl w:ilvl="0" w:tentative="0">
      <w:start w:val="3"/>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9425E4"/>
    <w:rsid w:val="0000559B"/>
    <w:rsid w:val="0001263F"/>
    <w:rsid w:val="0001582A"/>
    <w:rsid w:val="00016A9B"/>
    <w:rsid w:val="00017A04"/>
    <w:rsid w:val="00024694"/>
    <w:rsid w:val="00025224"/>
    <w:rsid w:val="0002550C"/>
    <w:rsid w:val="0003483C"/>
    <w:rsid w:val="00037F2E"/>
    <w:rsid w:val="00041F20"/>
    <w:rsid w:val="000422A0"/>
    <w:rsid w:val="00042C54"/>
    <w:rsid w:val="000437D2"/>
    <w:rsid w:val="00045C95"/>
    <w:rsid w:val="00051C2C"/>
    <w:rsid w:val="00053D83"/>
    <w:rsid w:val="00057B03"/>
    <w:rsid w:val="00060ACE"/>
    <w:rsid w:val="00062B71"/>
    <w:rsid w:val="00064870"/>
    <w:rsid w:val="00070B3C"/>
    <w:rsid w:val="0007229D"/>
    <w:rsid w:val="00073E44"/>
    <w:rsid w:val="00076579"/>
    <w:rsid w:val="0007731E"/>
    <w:rsid w:val="0008022A"/>
    <w:rsid w:val="00091620"/>
    <w:rsid w:val="00091846"/>
    <w:rsid w:val="000A034E"/>
    <w:rsid w:val="000A10A5"/>
    <w:rsid w:val="000A198D"/>
    <w:rsid w:val="000A1E69"/>
    <w:rsid w:val="000A3285"/>
    <w:rsid w:val="000A36F7"/>
    <w:rsid w:val="000A3F7C"/>
    <w:rsid w:val="000A4662"/>
    <w:rsid w:val="000B0758"/>
    <w:rsid w:val="000B30A5"/>
    <w:rsid w:val="000B6531"/>
    <w:rsid w:val="000C18C7"/>
    <w:rsid w:val="000C3587"/>
    <w:rsid w:val="000C49BA"/>
    <w:rsid w:val="000C4F9E"/>
    <w:rsid w:val="000C7737"/>
    <w:rsid w:val="000D0C8B"/>
    <w:rsid w:val="000D1E3E"/>
    <w:rsid w:val="000D61E1"/>
    <w:rsid w:val="000E5961"/>
    <w:rsid w:val="000F1231"/>
    <w:rsid w:val="000F2486"/>
    <w:rsid w:val="000F3C72"/>
    <w:rsid w:val="000F4372"/>
    <w:rsid w:val="000F4A29"/>
    <w:rsid w:val="000F7133"/>
    <w:rsid w:val="00106DAA"/>
    <w:rsid w:val="00106E2C"/>
    <w:rsid w:val="00110B9F"/>
    <w:rsid w:val="00114441"/>
    <w:rsid w:val="001210BA"/>
    <w:rsid w:val="001276DE"/>
    <w:rsid w:val="00131659"/>
    <w:rsid w:val="001319A9"/>
    <w:rsid w:val="00137443"/>
    <w:rsid w:val="001407AB"/>
    <w:rsid w:val="00140F82"/>
    <w:rsid w:val="0014336C"/>
    <w:rsid w:val="001465B7"/>
    <w:rsid w:val="00150602"/>
    <w:rsid w:val="001542EF"/>
    <w:rsid w:val="00160291"/>
    <w:rsid w:val="00164FC3"/>
    <w:rsid w:val="0016661C"/>
    <w:rsid w:val="00167ED1"/>
    <w:rsid w:val="00170FE6"/>
    <w:rsid w:val="00173F65"/>
    <w:rsid w:val="001829C4"/>
    <w:rsid w:val="0018625F"/>
    <w:rsid w:val="00190205"/>
    <w:rsid w:val="00190A2D"/>
    <w:rsid w:val="00195900"/>
    <w:rsid w:val="0019774B"/>
    <w:rsid w:val="001A0C71"/>
    <w:rsid w:val="001A29F4"/>
    <w:rsid w:val="001A2BE5"/>
    <w:rsid w:val="001A55AC"/>
    <w:rsid w:val="001B0436"/>
    <w:rsid w:val="001B407D"/>
    <w:rsid w:val="001B408B"/>
    <w:rsid w:val="001B5625"/>
    <w:rsid w:val="001C2B6A"/>
    <w:rsid w:val="001C5893"/>
    <w:rsid w:val="001C6861"/>
    <w:rsid w:val="001D120A"/>
    <w:rsid w:val="001D337F"/>
    <w:rsid w:val="001D67F5"/>
    <w:rsid w:val="001E04DE"/>
    <w:rsid w:val="001E2AD0"/>
    <w:rsid w:val="001E40B4"/>
    <w:rsid w:val="001E633E"/>
    <w:rsid w:val="001F02E1"/>
    <w:rsid w:val="001F15D6"/>
    <w:rsid w:val="001F5C2D"/>
    <w:rsid w:val="001F6C96"/>
    <w:rsid w:val="00206490"/>
    <w:rsid w:val="00213226"/>
    <w:rsid w:val="00217188"/>
    <w:rsid w:val="00220931"/>
    <w:rsid w:val="0022134A"/>
    <w:rsid w:val="00223D09"/>
    <w:rsid w:val="00231328"/>
    <w:rsid w:val="0023503A"/>
    <w:rsid w:val="00237CF3"/>
    <w:rsid w:val="00244EF1"/>
    <w:rsid w:val="00247C78"/>
    <w:rsid w:val="00252F69"/>
    <w:rsid w:val="00262638"/>
    <w:rsid w:val="00266E30"/>
    <w:rsid w:val="00270242"/>
    <w:rsid w:val="002723DA"/>
    <w:rsid w:val="002743B1"/>
    <w:rsid w:val="002818AA"/>
    <w:rsid w:val="002831E5"/>
    <w:rsid w:val="00285EC1"/>
    <w:rsid w:val="00286003"/>
    <w:rsid w:val="00290DCE"/>
    <w:rsid w:val="00296B82"/>
    <w:rsid w:val="00297600"/>
    <w:rsid w:val="002A756C"/>
    <w:rsid w:val="002B09FA"/>
    <w:rsid w:val="002B376E"/>
    <w:rsid w:val="002C390D"/>
    <w:rsid w:val="002C7838"/>
    <w:rsid w:val="002C794F"/>
    <w:rsid w:val="002D09C9"/>
    <w:rsid w:val="002E485F"/>
    <w:rsid w:val="002F300B"/>
    <w:rsid w:val="002F31D8"/>
    <w:rsid w:val="002F3F29"/>
    <w:rsid w:val="002F45B7"/>
    <w:rsid w:val="002F6538"/>
    <w:rsid w:val="00301E97"/>
    <w:rsid w:val="00307091"/>
    <w:rsid w:val="00315040"/>
    <w:rsid w:val="00316322"/>
    <w:rsid w:val="00320E47"/>
    <w:rsid w:val="003226AB"/>
    <w:rsid w:val="0032478B"/>
    <w:rsid w:val="00327758"/>
    <w:rsid w:val="00331B95"/>
    <w:rsid w:val="00335896"/>
    <w:rsid w:val="003371A8"/>
    <w:rsid w:val="003371EB"/>
    <w:rsid w:val="00337694"/>
    <w:rsid w:val="003431A4"/>
    <w:rsid w:val="00350303"/>
    <w:rsid w:val="0035195D"/>
    <w:rsid w:val="00351E6F"/>
    <w:rsid w:val="00356D3C"/>
    <w:rsid w:val="003762E1"/>
    <w:rsid w:val="003762F3"/>
    <w:rsid w:val="00381779"/>
    <w:rsid w:val="00392EF3"/>
    <w:rsid w:val="003939D0"/>
    <w:rsid w:val="00395DEC"/>
    <w:rsid w:val="0039736A"/>
    <w:rsid w:val="003A2EB4"/>
    <w:rsid w:val="003A412C"/>
    <w:rsid w:val="003A580D"/>
    <w:rsid w:val="003A62F8"/>
    <w:rsid w:val="003B1A3A"/>
    <w:rsid w:val="003B5908"/>
    <w:rsid w:val="003B5E44"/>
    <w:rsid w:val="003C2A48"/>
    <w:rsid w:val="003C4F4F"/>
    <w:rsid w:val="003C5CE1"/>
    <w:rsid w:val="003D0AB6"/>
    <w:rsid w:val="003D0CE0"/>
    <w:rsid w:val="003D1F33"/>
    <w:rsid w:val="003D207D"/>
    <w:rsid w:val="003D3E05"/>
    <w:rsid w:val="003D637E"/>
    <w:rsid w:val="003E0C87"/>
    <w:rsid w:val="003E36BF"/>
    <w:rsid w:val="003E3BE6"/>
    <w:rsid w:val="003E681F"/>
    <w:rsid w:val="003E69D5"/>
    <w:rsid w:val="003E7E35"/>
    <w:rsid w:val="003F1FB2"/>
    <w:rsid w:val="00403B2C"/>
    <w:rsid w:val="00410152"/>
    <w:rsid w:val="00410C02"/>
    <w:rsid w:val="00412860"/>
    <w:rsid w:val="004167D9"/>
    <w:rsid w:val="00417235"/>
    <w:rsid w:val="0042149B"/>
    <w:rsid w:val="00422E06"/>
    <w:rsid w:val="00423019"/>
    <w:rsid w:val="004239E0"/>
    <w:rsid w:val="00423DA4"/>
    <w:rsid w:val="00425675"/>
    <w:rsid w:val="00430341"/>
    <w:rsid w:val="004333C8"/>
    <w:rsid w:val="0043569A"/>
    <w:rsid w:val="004360B2"/>
    <w:rsid w:val="0043648C"/>
    <w:rsid w:val="00441C85"/>
    <w:rsid w:val="00441D43"/>
    <w:rsid w:val="004457BC"/>
    <w:rsid w:val="00445B68"/>
    <w:rsid w:val="004521D0"/>
    <w:rsid w:val="00452756"/>
    <w:rsid w:val="00463D1A"/>
    <w:rsid w:val="00474520"/>
    <w:rsid w:val="00477B34"/>
    <w:rsid w:val="0048027A"/>
    <w:rsid w:val="00480676"/>
    <w:rsid w:val="004826AC"/>
    <w:rsid w:val="00485F1B"/>
    <w:rsid w:val="00491167"/>
    <w:rsid w:val="00492F6A"/>
    <w:rsid w:val="00494476"/>
    <w:rsid w:val="004A101C"/>
    <w:rsid w:val="004A6A14"/>
    <w:rsid w:val="004B09D2"/>
    <w:rsid w:val="004B3CBC"/>
    <w:rsid w:val="004C09E0"/>
    <w:rsid w:val="004C0BE8"/>
    <w:rsid w:val="004C0F5D"/>
    <w:rsid w:val="004C3F35"/>
    <w:rsid w:val="004C5E1A"/>
    <w:rsid w:val="004C76F3"/>
    <w:rsid w:val="004C7A63"/>
    <w:rsid w:val="004D148E"/>
    <w:rsid w:val="004D17CD"/>
    <w:rsid w:val="004D1B1C"/>
    <w:rsid w:val="004D38A7"/>
    <w:rsid w:val="004D41C2"/>
    <w:rsid w:val="004E089E"/>
    <w:rsid w:val="004E29B9"/>
    <w:rsid w:val="004E38CE"/>
    <w:rsid w:val="004F1D46"/>
    <w:rsid w:val="004F2D7F"/>
    <w:rsid w:val="004F432A"/>
    <w:rsid w:val="004F5CF5"/>
    <w:rsid w:val="00500AC3"/>
    <w:rsid w:val="005041E1"/>
    <w:rsid w:val="005079E3"/>
    <w:rsid w:val="005129DE"/>
    <w:rsid w:val="00513198"/>
    <w:rsid w:val="0051573B"/>
    <w:rsid w:val="00524D70"/>
    <w:rsid w:val="0052746C"/>
    <w:rsid w:val="00527A38"/>
    <w:rsid w:val="00536169"/>
    <w:rsid w:val="00542B24"/>
    <w:rsid w:val="0054406C"/>
    <w:rsid w:val="00544CB7"/>
    <w:rsid w:val="005451B7"/>
    <w:rsid w:val="005600C4"/>
    <w:rsid w:val="0056566D"/>
    <w:rsid w:val="00565A3B"/>
    <w:rsid w:val="00565AE6"/>
    <w:rsid w:val="00565E82"/>
    <w:rsid w:val="00566B20"/>
    <w:rsid w:val="00567865"/>
    <w:rsid w:val="0057175E"/>
    <w:rsid w:val="0057176F"/>
    <w:rsid w:val="00576182"/>
    <w:rsid w:val="00577DF2"/>
    <w:rsid w:val="0058016D"/>
    <w:rsid w:val="00580B30"/>
    <w:rsid w:val="00592508"/>
    <w:rsid w:val="00595388"/>
    <w:rsid w:val="005A5E7F"/>
    <w:rsid w:val="005A77AC"/>
    <w:rsid w:val="005B087F"/>
    <w:rsid w:val="005B2389"/>
    <w:rsid w:val="005B41A7"/>
    <w:rsid w:val="005B45BA"/>
    <w:rsid w:val="005B636C"/>
    <w:rsid w:val="005B6C92"/>
    <w:rsid w:val="005C02A0"/>
    <w:rsid w:val="005C6628"/>
    <w:rsid w:val="005D43CB"/>
    <w:rsid w:val="005D44A5"/>
    <w:rsid w:val="005D5D2D"/>
    <w:rsid w:val="005E14B7"/>
    <w:rsid w:val="005E47F4"/>
    <w:rsid w:val="005E6387"/>
    <w:rsid w:val="005F2569"/>
    <w:rsid w:val="005F369A"/>
    <w:rsid w:val="005F5881"/>
    <w:rsid w:val="005F719C"/>
    <w:rsid w:val="00600F28"/>
    <w:rsid w:val="006071AC"/>
    <w:rsid w:val="006078F9"/>
    <w:rsid w:val="00615529"/>
    <w:rsid w:val="0061628E"/>
    <w:rsid w:val="00620CC7"/>
    <w:rsid w:val="00621E0C"/>
    <w:rsid w:val="006248FC"/>
    <w:rsid w:val="00625AF5"/>
    <w:rsid w:val="00631784"/>
    <w:rsid w:val="0063222B"/>
    <w:rsid w:val="00634EA4"/>
    <w:rsid w:val="00635DB6"/>
    <w:rsid w:val="006363FA"/>
    <w:rsid w:val="0063790D"/>
    <w:rsid w:val="006434AC"/>
    <w:rsid w:val="00651AF3"/>
    <w:rsid w:val="00651D79"/>
    <w:rsid w:val="00652053"/>
    <w:rsid w:val="006548CA"/>
    <w:rsid w:val="006618EC"/>
    <w:rsid w:val="00664D0F"/>
    <w:rsid w:val="0066686F"/>
    <w:rsid w:val="0067440B"/>
    <w:rsid w:val="006749D3"/>
    <w:rsid w:val="00674CFF"/>
    <w:rsid w:val="0067672E"/>
    <w:rsid w:val="00682E7D"/>
    <w:rsid w:val="00687118"/>
    <w:rsid w:val="006905B9"/>
    <w:rsid w:val="00695AB7"/>
    <w:rsid w:val="00696F0F"/>
    <w:rsid w:val="006A35E8"/>
    <w:rsid w:val="006A3D66"/>
    <w:rsid w:val="006A5D4D"/>
    <w:rsid w:val="006B7931"/>
    <w:rsid w:val="006C02F0"/>
    <w:rsid w:val="006C0F7E"/>
    <w:rsid w:val="006C3B5B"/>
    <w:rsid w:val="006D085C"/>
    <w:rsid w:val="006D2047"/>
    <w:rsid w:val="006D2DAB"/>
    <w:rsid w:val="006E0CC3"/>
    <w:rsid w:val="006E0E5A"/>
    <w:rsid w:val="006E26B2"/>
    <w:rsid w:val="006E49C0"/>
    <w:rsid w:val="006E7730"/>
    <w:rsid w:val="006F0853"/>
    <w:rsid w:val="006F4A82"/>
    <w:rsid w:val="00701F13"/>
    <w:rsid w:val="007033BA"/>
    <w:rsid w:val="007036B1"/>
    <w:rsid w:val="007055CA"/>
    <w:rsid w:val="007073FA"/>
    <w:rsid w:val="00707813"/>
    <w:rsid w:val="00724C0F"/>
    <w:rsid w:val="0072660D"/>
    <w:rsid w:val="00730341"/>
    <w:rsid w:val="007345C1"/>
    <w:rsid w:val="00740147"/>
    <w:rsid w:val="00743126"/>
    <w:rsid w:val="007436D8"/>
    <w:rsid w:val="007457FD"/>
    <w:rsid w:val="007542F1"/>
    <w:rsid w:val="00756238"/>
    <w:rsid w:val="00757404"/>
    <w:rsid w:val="00757EAF"/>
    <w:rsid w:val="007603A7"/>
    <w:rsid w:val="00766933"/>
    <w:rsid w:val="00766A9A"/>
    <w:rsid w:val="00766AA5"/>
    <w:rsid w:val="00766BF8"/>
    <w:rsid w:val="00766C45"/>
    <w:rsid w:val="0076716A"/>
    <w:rsid w:val="00770730"/>
    <w:rsid w:val="0077116C"/>
    <w:rsid w:val="00773E68"/>
    <w:rsid w:val="00775089"/>
    <w:rsid w:val="00776CD9"/>
    <w:rsid w:val="00777C50"/>
    <w:rsid w:val="007802C2"/>
    <w:rsid w:val="00780D99"/>
    <w:rsid w:val="007853A2"/>
    <w:rsid w:val="0079686C"/>
    <w:rsid w:val="007A7DC2"/>
    <w:rsid w:val="007B01D4"/>
    <w:rsid w:val="007B1494"/>
    <w:rsid w:val="007B1803"/>
    <w:rsid w:val="007B394C"/>
    <w:rsid w:val="007B41B3"/>
    <w:rsid w:val="007C00BF"/>
    <w:rsid w:val="007C396A"/>
    <w:rsid w:val="007C4256"/>
    <w:rsid w:val="007C51EB"/>
    <w:rsid w:val="007E4720"/>
    <w:rsid w:val="007E6CAF"/>
    <w:rsid w:val="007E71E2"/>
    <w:rsid w:val="007E7B5A"/>
    <w:rsid w:val="007F0EC2"/>
    <w:rsid w:val="007F0F23"/>
    <w:rsid w:val="007F1DD5"/>
    <w:rsid w:val="007F44D2"/>
    <w:rsid w:val="007F4FB0"/>
    <w:rsid w:val="007F509C"/>
    <w:rsid w:val="007F5DF7"/>
    <w:rsid w:val="007F6B79"/>
    <w:rsid w:val="00800518"/>
    <w:rsid w:val="008036BE"/>
    <w:rsid w:val="008066A6"/>
    <w:rsid w:val="008072C3"/>
    <w:rsid w:val="00812787"/>
    <w:rsid w:val="00812E4F"/>
    <w:rsid w:val="00813577"/>
    <w:rsid w:val="00815E24"/>
    <w:rsid w:val="00824205"/>
    <w:rsid w:val="00826101"/>
    <w:rsid w:val="00830A93"/>
    <w:rsid w:val="00830AB3"/>
    <w:rsid w:val="0083158B"/>
    <w:rsid w:val="008333CE"/>
    <w:rsid w:val="00837BF9"/>
    <w:rsid w:val="008437B2"/>
    <w:rsid w:val="008452F0"/>
    <w:rsid w:val="00850708"/>
    <w:rsid w:val="00852953"/>
    <w:rsid w:val="00852A0A"/>
    <w:rsid w:val="00852DBD"/>
    <w:rsid w:val="00852E97"/>
    <w:rsid w:val="008572BA"/>
    <w:rsid w:val="00867E32"/>
    <w:rsid w:val="00871C48"/>
    <w:rsid w:val="00872945"/>
    <w:rsid w:val="00873FC6"/>
    <w:rsid w:val="00876F59"/>
    <w:rsid w:val="0088031F"/>
    <w:rsid w:val="00883647"/>
    <w:rsid w:val="00884AD8"/>
    <w:rsid w:val="00885478"/>
    <w:rsid w:val="0088579B"/>
    <w:rsid w:val="00887DF8"/>
    <w:rsid w:val="00887F98"/>
    <w:rsid w:val="00892B30"/>
    <w:rsid w:val="00896644"/>
    <w:rsid w:val="008968DB"/>
    <w:rsid w:val="0089770B"/>
    <w:rsid w:val="008A2C3A"/>
    <w:rsid w:val="008A6048"/>
    <w:rsid w:val="008A6FAD"/>
    <w:rsid w:val="008B3DE7"/>
    <w:rsid w:val="008B7C6A"/>
    <w:rsid w:val="008C09B4"/>
    <w:rsid w:val="008C0A1E"/>
    <w:rsid w:val="008C2E7E"/>
    <w:rsid w:val="008C3AE2"/>
    <w:rsid w:val="008D259F"/>
    <w:rsid w:val="008D2E80"/>
    <w:rsid w:val="008D65B7"/>
    <w:rsid w:val="008D6CAB"/>
    <w:rsid w:val="008E1374"/>
    <w:rsid w:val="008E3D05"/>
    <w:rsid w:val="008E69A2"/>
    <w:rsid w:val="008F1B25"/>
    <w:rsid w:val="008F2819"/>
    <w:rsid w:val="008F6A92"/>
    <w:rsid w:val="00903972"/>
    <w:rsid w:val="00906234"/>
    <w:rsid w:val="00907F0B"/>
    <w:rsid w:val="00912B07"/>
    <w:rsid w:val="00913F69"/>
    <w:rsid w:val="00915CF0"/>
    <w:rsid w:val="0092241E"/>
    <w:rsid w:val="00927D29"/>
    <w:rsid w:val="00931DB2"/>
    <w:rsid w:val="009322F6"/>
    <w:rsid w:val="00932CB6"/>
    <w:rsid w:val="00932CC3"/>
    <w:rsid w:val="00933D3D"/>
    <w:rsid w:val="0093571C"/>
    <w:rsid w:val="00937B06"/>
    <w:rsid w:val="00940F8A"/>
    <w:rsid w:val="0094224A"/>
    <w:rsid w:val="00942E10"/>
    <w:rsid w:val="00943CD9"/>
    <w:rsid w:val="00943D7A"/>
    <w:rsid w:val="00952799"/>
    <w:rsid w:val="00954670"/>
    <w:rsid w:val="00963169"/>
    <w:rsid w:val="00970AAE"/>
    <w:rsid w:val="00971042"/>
    <w:rsid w:val="009711F5"/>
    <w:rsid w:val="009729A3"/>
    <w:rsid w:val="00973B5B"/>
    <w:rsid w:val="00980277"/>
    <w:rsid w:val="00981AD2"/>
    <w:rsid w:val="009844B1"/>
    <w:rsid w:val="00986335"/>
    <w:rsid w:val="00987D2F"/>
    <w:rsid w:val="00987FB3"/>
    <w:rsid w:val="0099682B"/>
    <w:rsid w:val="009A7DA8"/>
    <w:rsid w:val="009B009D"/>
    <w:rsid w:val="009B0786"/>
    <w:rsid w:val="009B240C"/>
    <w:rsid w:val="009B4D1E"/>
    <w:rsid w:val="009B58FC"/>
    <w:rsid w:val="009B5923"/>
    <w:rsid w:val="009B5CAF"/>
    <w:rsid w:val="009B7233"/>
    <w:rsid w:val="009C02EC"/>
    <w:rsid w:val="009C230F"/>
    <w:rsid w:val="009C2D44"/>
    <w:rsid w:val="009C49DC"/>
    <w:rsid w:val="009C4A90"/>
    <w:rsid w:val="009C7B52"/>
    <w:rsid w:val="009D75B4"/>
    <w:rsid w:val="009D7AE1"/>
    <w:rsid w:val="009E0B65"/>
    <w:rsid w:val="009E145B"/>
    <w:rsid w:val="009E6E02"/>
    <w:rsid w:val="009E71B2"/>
    <w:rsid w:val="009E789C"/>
    <w:rsid w:val="009F06DE"/>
    <w:rsid w:val="009F6C49"/>
    <w:rsid w:val="00A0441F"/>
    <w:rsid w:val="00A123AD"/>
    <w:rsid w:val="00A13BE5"/>
    <w:rsid w:val="00A1568C"/>
    <w:rsid w:val="00A1702A"/>
    <w:rsid w:val="00A20EA4"/>
    <w:rsid w:val="00A23C07"/>
    <w:rsid w:val="00A23F64"/>
    <w:rsid w:val="00A25964"/>
    <w:rsid w:val="00A25DC7"/>
    <w:rsid w:val="00A27051"/>
    <w:rsid w:val="00A33B6A"/>
    <w:rsid w:val="00A375F3"/>
    <w:rsid w:val="00A378B0"/>
    <w:rsid w:val="00A424FE"/>
    <w:rsid w:val="00A42FAD"/>
    <w:rsid w:val="00A46D7A"/>
    <w:rsid w:val="00A512F9"/>
    <w:rsid w:val="00A521DE"/>
    <w:rsid w:val="00A52AC0"/>
    <w:rsid w:val="00A63B66"/>
    <w:rsid w:val="00A65930"/>
    <w:rsid w:val="00A67562"/>
    <w:rsid w:val="00A7068A"/>
    <w:rsid w:val="00A7597B"/>
    <w:rsid w:val="00A77003"/>
    <w:rsid w:val="00A77098"/>
    <w:rsid w:val="00A83112"/>
    <w:rsid w:val="00A83607"/>
    <w:rsid w:val="00A8465A"/>
    <w:rsid w:val="00A84DFD"/>
    <w:rsid w:val="00A868AD"/>
    <w:rsid w:val="00A86FF0"/>
    <w:rsid w:val="00A87EAD"/>
    <w:rsid w:val="00A92D75"/>
    <w:rsid w:val="00A93B5D"/>
    <w:rsid w:val="00AA0238"/>
    <w:rsid w:val="00AB5FB6"/>
    <w:rsid w:val="00AC1C3D"/>
    <w:rsid w:val="00AC2DEB"/>
    <w:rsid w:val="00AC2E68"/>
    <w:rsid w:val="00AC4788"/>
    <w:rsid w:val="00AC7476"/>
    <w:rsid w:val="00AD0214"/>
    <w:rsid w:val="00AD5AE6"/>
    <w:rsid w:val="00AE32E8"/>
    <w:rsid w:val="00AE3FE2"/>
    <w:rsid w:val="00B034F8"/>
    <w:rsid w:val="00B0408A"/>
    <w:rsid w:val="00B054FB"/>
    <w:rsid w:val="00B07873"/>
    <w:rsid w:val="00B11D1C"/>
    <w:rsid w:val="00B125D2"/>
    <w:rsid w:val="00B153AF"/>
    <w:rsid w:val="00B23366"/>
    <w:rsid w:val="00B242D5"/>
    <w:rsid w:val="00B26521"/>
    <w:rsid w:val="00B26C38"/>
    <w:rsid w:val="00B26DFB"/>
    <w:rsid w:val="00B3312B"/>
    <w:rsid w:val="00B340A7"/>
    <w:rsid w:val="00B345DD"/>
    <w:rsid w:val="00B35D4F"/>
    <w:rsid w:val="00B3609A"/>
    <w:rsid w:val="00B41459"/>
    <w:rsid w:val="00B42588"/>
    <w:rsid w:val="00B45466"/>
    <w:rsid w:val="00B5111D"/>
    <w:rsid w:val="00B52FEB"/>
    <w:rsid w:val="00B53E5E"/>
    <w:rsid w:val="00B54DF7"/>
    <w:rsid w:val="00B567E9"/>
    <w:rsid w:val="00B67D77"/>
    <w:rsid w:val="00B8094A"/>
    <w:rsid w:val="00B86EE3"/>
    <w:rsid w:val="00B87631"/>
    <w:rsid w:val="00B93D4A"/>
    <w:rsid w:val="00B96657"/>
    <w:rsid w:val="00BA05A2"/>
    <w:rsid w:val="00BA2995"/>
    <w:rsid w:val="00BA6019"/>
    <w:rsid w:val="00BB79B7"/>
    <w:rsid w:val="00BC39AC"/>
    <w:rsid w:val="00BC5987"/>
    <w:rsid w:val="00BD0CF6"/>
    <w:rsid w:val="00BD3792"/>
    <w:rsid w:val="00BE0A94"/>
    <w:rsid w:val="00BE2382"/>
    <w:rsid w:val="00BE3C83"/>
    <w:rsid w:val="00BE6733"/>
    <w:rsid w:val="00BE68AB"/>
    <w:rsid w:val="00BE6ABB"/>
    <w:rsid w:val="00BE75C9"/>
    <w:rsid w:val="00C00E9D"/>
    <w:rsid w:val="00C10ABD"/>
    <w:rsid w:val="00C133F7"/>
    <w:rsid w:val="00C149A4"/>
    <w:rsid w:val="00C23C6C"/>
    <w:rsid w:val="00C25D7A"/>
    <w:rsid w:val="00C304FA"/>
    <w:rsid w:val="00C307CC"/>
    <w:rsid w:val="00C45463"/>
    <w:rsid w:val="00C57473"/>
    <w:rsid w:val="00C60579"/>
    <w:rsid w:val="00C65EB7"/>
    <w:rsid w:val="00C7227A"/>
    <w:rsid w:val="00C74A20"/>
    <w:rsid w:val="00C820AC"/>
    <w:rsid w:val="00C84657"/>
    <w:rsid w:val="00C87CDE"/>
    <w:rsid w:val="00C9179D"/>
    <w:rsid w:val="00C91FA2"/>
    <w:rsid w:val="00C93EE1"/>
    <w:rsid w:val="00C945B5"/>
    <w:rsid w:val="00C94FC7"/>
    <w:rsid w:val="00C95483"/>
    <w:rsid w:val="00C9607C"/>
    <w:rsid w:val="00C97C12"/>
    <w:rsid w:val="00CA3083"/>
    <w:rsid w:val="00CA34AE"/>
    <w:rsid w:val="00CA5722"/>
    <w:rsid w:val="00CA6485"/>
    <w:rsid w:val="00CA70E1"/>
    <w:rsid w:val="00CA79F2"/>
    <w:rsid w:val="00CA7B16"/>
    <w:rsid w:val="00CA7FD8"/>
    <w:rsid w:val="00CB061F"/>
    <w:rsid w:val="00CB3039"/>
    <w:rsid w:val="00CB3BBF"/>
    <w:rsid w:val="00CB3CFB"/>
    <w:rsid w:val="00CC1F5F"/>
    <w:rsid w:val="00CC748F"/>
    <w:rsid w:val="00CD4C66"/>
    <w:rsid w:val="00CD5DF7"/>
    <w:rsid w:val="00CE0DD4"/>
    <w:rsid w:val="00CE150B"/>
    <w:rsid w:val="00CE209B"/>
    <w:rsid w:val="00CE46D3"/>
    <w:rsid w:val="00CE597F"/>
    <w:rsid w:val="00CE7055"/>
    <w:rsid w:val="00CE7C12"/>
    <w:rsid w:val="00CF2CB2"/>
    <w:rsid w:val="00CF3A48"/>
    <w:rsid w:val="00CF4700"/>
    <w:rsid w:val="00D04F3E"/>
    <w:rsid w:val="00D06877"/>
    <w:rsid w:val="00D214B7"/>
    <w:rsid w:val="00D424BD"/>
    <w:rsid w:val="00D425B2"/>
    <w:rsid w:val="00D5001C"/>
    <w:rsid w:val="00D51059"/>
    <w:rsid w:val="00D5395A"/>
    <w:rsid w:val="00D54DFC"/>
    <w:rsid w:val="00D55862"/>
    <w:rsid w:val="00D57690"/>
    <w:rsid w:val="00D616F8"/>
    <w:rsid w:val="00D62DC1"/>
    <w:rsid w:val="00D67F8C"/>
    <w:rsid w:val="00D71A5F"/>
    <w:rsid w:val="00D76668"/>
    <w:rsid w:val="00D76DE6"/>
    <w:rsid w:val="00D81A63"/>
    <w:rsid w:val="00D839E9"/>
    <w:rsid w:val="00D91065"/>
    <w:rsid w:val="00D92311"/>
    <w:rsid w:val="00D9498C"/>
    <w:rsid w:val="00D97EDC"/>
    <w:rsid w:val="00DA3047"/>
    <w:rsid w:val="00DA5DA3"/>
    <w:rsid w:val="00DB0A87"/>
    <w:rsid w:val="00DB1486"/>
    <w:rsid w:val="00DB5B58"/>
    <w:rsid w:val="00DC123D"/>
    <w:rsid w:val="00DD0285"/>
    <w:rsid w:val="00DD477B"/>
    <w:rsid w:val="00DD70E1"/>
    <w:rsid w:val="00DE1DEE"/>
    <w:rsid w:val="00DE257E"/>
    <w:rsid w:val="00DE527B"/>
    <w:rsid w:val="00DF1446"/>
    <w:rsid w:val="00DF3FFA"/>
    <w:rsid w:val="00DF5E05"/>
    <w:rsid w:val="00DF6FF0"/>
    <w:rsid w:val="00DF7D5F"/>
    <w:rsid w:val="00E0321A"/>
    <w:rsid w:val="00E1022A"/>
    <w:rsid w:val="00E11245"/>
    <w:rsid w:val="00E11278"/>
    <w:rsid w:val="00E16004"/>
    <w:rsid w:val="00E1772D"/>
    <w:rsid w:val="00E200AE"/>
    <w:rsid w:val="00E27286"/>
    <w:rsid w:val="00E274DD"/>
    <w:rsid w:val="00E32C13"/>
    <w:rsid w:val="00E42271"/>
    <w:rsid w:val="00E448D0"/>
    <w:rsid w:val="00E501F3"/>
    <w:rsid w:val="00E5125D"/>
    <w:rsid w:val="00E52F43"/>
    <w:rsid w:val="00E53283"/>
    <w:rsid w:val="00E532E7"/>
    <w:rsid w:val="00E54999"/>
    <w:rsid w:val="00E54DB2"/>
    <w:rsid w:val="00E5793F"/>
    <w:rsid w:val="00E57AAF"/>
    <w:rsid w:val="00E65E4D"/>
    <w:rsid w:val="00E72A57"/>
    <w:rsid w:val="00E740CF"/>
    <w:rsid w:val="00E75270"/>
    <w:rsid w:val="00E82926"/>
    <w:rsid w:val="00E84F49"/>
    <w:rsid w:val="00E85BA3"/>
    <w:rsid w:val="00E86534"/>
    <w:rsid w:val="00E869FA"/>
    <w:rsid w:val="00E87B87"/>
    <w:rsid w:val="00E903BD"/>
    <w:rsid w:val="00E941A4"/>
    <w:rsid w:val="00E95C92"/>
    <w:rsid w:val="00E972B9"/>
    <w:rsid w:val="00EA0067"/>
    <w:rsid w:val="00EA0E7D"/>
    <w:rsid w:val="00EA6F16"/>
    <w:rsid w:val="00EB0458"/>
    <w:rsid w:val="00EB172B"/>
    <w:rsid w:val="00EB5891"/>
    <w:rsid w:val="00EC2086"/>
    <w:rsid w:val="00EC2CF7"/>
    <w:rsid w:val="00EC4157"/>
    <w:rsid w:val="00ED213D"/>
    <w:rsid w:val="00ED2D29"/>
    <w:rsid w:val="00ED3639"/>
    <w:rsid w:val="00ED4D47"/>
    <w:rsid w:val="00ED6CA0"/>
    <w:rsid w:val="00EE0A0A"/>
    <w:rsid w:val="00EE0A0E"/>
    <w:rsid w:val="00EE1584"/>
    <w:rsid w:val="00EE161E"/>
    <w:rsid w:val="00EE4E52"/>
    <w:rsid w:val="00EE640F"/>
    <w:rsid w:val="00EE69A5"/>
    <w:rsid w:val="00EF0314"/>
    <w:rsid w:val="00EF10FA"/>
    <w:rsid w:val="00EF4535"/>
    <w:rsid w:val="00EF7293"/>
    <w:rsid w:val="00F00331"/>
    <w:rsid w:val="00F04B6B"/>
    <w:rsid w:val="00F0605D"/>
    <w:rsid w:val="00F111BF"/>
    <w:rsid w:val="00F1238F"/>
    <w:rsid w:val="00F12521"/>
    <w:rsid w:val="00F17368"/>
    <w:rsid w:val="00F24465"/>
    <w:rsid w:val="00F248A3"/>
    <w:rsid w:val="00F25275"/>
    <w:rsid w:val="00F260AA"/>
    <w:rsid w:val="00F26529"/>
    <w:rsid w:val="00F26A68"/>
    <w:rsid w:val="00F35500"/>
    <w:rsid w:val="00F36C62"/>
    <w:rsid w:val="00F41F92"/>
    <w:rsid w:val="00F42AEA"/>
    <w:rsid w:val="00F42C5A"/>
    <w:rsid w:val="00F43680"/>
    <w:rsid w:val="00F43A03"/>
    <w:rsid w:val="00F46FA0"/>
    <w:rsid w:val="00F54792"/>
    <w:rsid w:val="00F57503"/>
    <w:rsid w:val="00F6483B"/>
    <w:rsid w:val="00F65764"/>
    <w:rsid w:val="00F6632C"/>
    <w:rsid w:val="00F666AB"/>
    <w:rsid w:val="00F6675D"/>
    <w:rsid w:val="00F81EEC"/>
    <w:rsid w:val="00F82FE2"/>
    <w:rsid w:val="00F8330B"/>
    <w:rsid w:val="00F941CF"/>
    <w:rsid w:val="00F94F07"/>
    <w:rsid w:val="00F95EDD"/>
    <w:rsid w:val="00FA13BC"/>
    <w:rsid w:val="00FB3CFF"/>
    <w:rsid w:val="00FB6361"/>
    <w:rsid w:val="00FB6CCA"/>
    <w:rsid w:val="00FC10C4"/>
    <w:rsid w:val="00FC48E2"/>
    <w:rsid w:val="00FC52D7"/>
    <w:rsid w:val="00FD104D"/>
    <w:rsid w:val="00FD13E3"/>
    <w:rsid w:val="00FD37B1"/>
    <w:rsid w:val="00FD5D31"/>
    <w:rsid w:val="00FD5ECE"/>
    <w:rsid w:val="00FE0A69"/>
    <w:rsid w:val="00FE2B88"/>
    <w:rsid w:val="00FE47A1"/>
    <w:rsid w:val="00FE5FB8"/>
    <w:rsid w:val="00FE626D"/>
    <w:rsid w:val="00FF54B7"/>
    <w:rsid w:val="01155BD6"/>
    <w:rsid w:val="015F1AEB"/>
    <w:rsid w:val="01644331"/>
    <w:rsid w:val="01694D86"/>
    <w:rsid w:val="01A31B01"/>
    <w:rsid w:val="01C234E8"/>
    <w:rsid w:val="01D33312"/>
    <w:rsid w:val="02622D87"/>
    <w:rsid w:val="033F2832"/>
    <w:rsid w:val="03455967"/>
    <w:rsid w:val="03A17507"/>
    <w:rsid w:val="03B923AC"/>
    <w:rsid w:val="03BC2AFE"/>
    <w:rsid w:val="03C63F67"/>
    <w:rsid w:val="04082434"/>
    <w:rsid w:val="04202BAA"/>
    <w:rsid w:val="04CE5A49"/>
    <w:rsid w:val="04FA68C4"/>
    <w:rsid w:val="051B5776"/>
    <w:rsid w:val="0589300B"/>
    <w:rsid w:val="05970D34"/>
    <w:rsid w:val="05A20C27"/>
    <w:rsid w:val="062068A4"/>
    <w:rsid w:val="064C314F"/>
    <w:rsid w:val="065928F7"/>
    <w:rsid w:val="066123CD"/>
    <w:rsid w:val="06C94A05"/>
    <w:rsid w:val="06F127B7"/>
    <w:rsid w:val="07375BAD"/>
    <w:rsid w:val="07AB7714"/>
    <w:rsid w:val="07B37B62"/>
    <w:rsid w:val="07F9549E"/>
    <w:rsid w:val="08074143"/>
    <w:rsid w:val="090915BA"/>
    <w:rsid w:val="09097FD4"/>
    <w:rsid w:val="09167A44"/>
    <w:rsid w:val="0926211B"/>
    <w:rsid w:val="0A546AED"/>
    <w:rsid w:val="0A5D1DCF"/>
    <w:rsid w:val="0A735919"/>
    <w:rsid w:val="0ACE2441"/>
    <w:rsid w:val="0ACF4716"/>
    <w:rsid w:val="0B062B54"/>
    <w:rsid w:val="0B444D3D"/>
    <w:rsid w:val="0B75394F"/>
    <w:rsid w:val="0BB122D4"/>
    <w:rsid w:val="0C076211"/>
    <w:rsid w:val="0CF903C5"/>
    <w:rsid w:val="0DC36F17"/>
    <w:rsid w:val="0E6C1B48"/>
    <w:rsid w:val="0F8B52ED"/>
    <w:rsid w:val="0FB02D15"/>
    <w:rsid w:val="0FDA2C43"/>
    <w:rsid w:val="0FEB6B1C"/>
    <w:rsid w:val="100358E7"/>
    <w:rsid w:val="10122B88"/>
    <w:rsid w:val="10D354AD"/>
    <w:rsid w:val="10DB5F86"/>
    <w:rsid w:val="10E33708"/>
    <w:rsid w:val="10F15E39"/>
    <w:rsid w:val="1178129C"/>
    <w:rsid w:val="11795C4F"/>
    <w:rsid w:val="11CC25A1"/>
    <w:rsid w:val="12552C56"/>
    <w:rsid w:val="12A70E2F"/>
    <w:rsid w:val="12EB411A"/>
    <w:rsid w:val="1352620E"/>
    <w:rsid w:val="13957277"/>
    <w:rsid w:val="14117205"/>
    <w:rsid w:val="14580774"/>
    <w:rsid w:val="14E679E1"/>
    <w:rsid w:val="14FF3EB4"/>
    <w:rsid w:val="15266658"/>
    <w:rsid w:val="15A73C42"/>
    <w:rsid w:val="164B5B02"/>
    <w:rsid w:val="164F46C7"/>
    <w:rsid w:val="166F2B61"/>
    <w:rsid w:val="169A1CB5"/>
    <w:rsid w:val="170A6B35"/>
    <w:rsid w:val="170E57C3"/>
    <w:rsid w:val="180C2407"/>
    <w:rsid w:val="188C04AF"/>
    <w:rsid w:val="19365350"/>
    <w:rsid w:val="1A1A6743"/>
    <w:rsid w:val="1A931FDE"/>
    <w:rsid w:val="1AC2734E"/>
    <w:rsid w:val="1B465C19"/>
    <w:rsid w:val="1C280948"/>
    <w:rsid w:val="1C2D40DA"/>
    <w:rsid w:val="1C4A2B8F"/>
    <w:rsid w:val="1C851A9C"/>
    <w:rsid w:val="1C895593"/>
    <w:rsid w:val="1CD46B84"/>
    <w:rsid w:val="1D024007"/>
    <w:rsid w:val="1D083B4D"/>
    <w:rsid w:val="1DD92B69"/>
    <w:rsid w:val="1DF07F30"/>
    <w:rsid w:val="1E0E54C8"/>
    <w:rsid w:val="1E680C94"/>
    <w:rsid w:val="1EB56458"/>
    <w:rsid w:val="1EEB1DCE"/>
    <w:rsid w:val="1F3B22D0"/>
    <w:rsid w:val="1F463654"/>
    <w:rsid w:val="1F5C3FC7"/>
    <w:rsid w:val="1FA12E43"/>
    <w:rsid w:val="1FD178F9"/>
    <w:rsid w:val="1FD720D0"/>
    <w:rsid w:val="204265C5"/>
    <w:rsid w:val="20DB1784"/>
    <w:rsid w:val="20E333AE"/>
    <w:rsid w:val="218D48F0"/>
    <w:rsid w:val="219615E7"/>
    <w:rsid w:val="219F32E5"/>
    <w:rsid w:val="21F54F72"/>
    <w:rsid w:val="22546780"/>
    <w:rsid w:val="226B0AC3"/>
    <w:rsid w:val="22E171CF"/>
    <w:rsid w:val="243C43AB"/>
    <w:rsid w:val="24715238"/>
    <w:rsid w:val="248006AC"/>
    <w:rsid w:val="25A05142"/>
    <w:rsid w:val="25BE7C06"/>
    <w:rsid w:val="25C7047F"/>
    <w:rsid w:val="25F212E3"/>
    <w:rsid w:val="260E737E"/>
    <w:rsid w:val="261C4B27"/>
    <w:rsid w:val="2636788B"/>
    <w:rsid w:val="26A832E9"/>
    <w:rsid w:val="27347085"/>
    <w:rsid w:val="273B628E"/>
    <w:rsid w:val="27817EC6"/>
    <w:rsid w:val="27A74292"/>
    <w:rsid w:val="28320368"/>
    <w:rsid w:val="2925070F"/>
    <w:rsid w:val="2929021E"/>
    <w:rsid w:val="297F3D0E"/>
    <w:rsid w:val="29DB5F0C"/>
    <w:rsid w:val="2A0B0AA8"/>
    <w:rsid w:val="2A222295"/>
    <w:rsid w:val="2A45179F"/>
    <w:rsid w:val="2A481CA4"/>
    <w:rsid w:val="2B040ED3"/>
    <w:rsid w:val="2B375497"/>
    <w:rsid w:val="2BB5377E"/>
    <w:rsid w:val="2BFB4777"/>
    <w:rsid w:val="2C3178F6"/>
    <w:rsid w:val="2C3B645D"/>
    <w:rsid w:val="2D270F17"/>
    <w:rsid w:val="2D6A0899"/>
    <w:rsid w:val="2D6A4E63"/>
    <w:rsid w:val="2DA10668"/>
    <w:rsid w:val="2E625741"/>
    <w:rsid w:val="2F0A60E2"/>
    <w:rsid w:val="2F4A2072"/>
    <w:rsid w:val="2F6D6055"/>
    <w:rsid w:val="2F87788B"/>
    <w:rsid w:val="2FB55153"/>
    <w:rsid w:val="2FF25A5A"/>
    <w:rsid w:val="30011B12"/>
    <w:rsid w:val="300E5BE6"/>
    <w:rsid w:val="303933FD"/>
    <w:rsid w:val="304015C9"/>
    <w:rsid w:val="30942C47"/>
    <w:rsid w:val="30C75313"/>
    <w:rsid w:val="3153445F"/>
    <w:rsid w:val="31DC340C"/>
    <w:rsid w:val="31DD5504"/>
    <w:rsid w:val="31E270D0"/>
    <w:rsid w:val="320B0DBD"/>
    <w:rsid w:val="327143E5"/>
    <w:rsid w:val="33BA68AF"/>
    <w:rsid w:val="33C3351E"/>
    <w:rsid w:val="33D42FF0"/>
    <w:rsid w:val="34853B4C"/>
    <w:rsid w:val="34CB1B12"/>
    <w:rsid w:val="35D43088"/>
    <w:rsid w:val="36424316"/>
    <w:rsid w:val="36483100"/>
    <w:rsid w:val="36CB77D2"/>
    <w:rsid w:val="36CE5337"/>
    <w:rsid w:val="37005F46"/>
    <w:rsid w:val="37B32EB7"/>
    <w:rsid w:val="37F3045F"/>
    <w:rsid w:val="37F31534"/>
    <w:rsid w:val="390A60C6"/>
    <w:rsid w:val="39631926"/>
    <w:rsid w:val="39E47027"/>
    <w:rsid w:val="3A5514E4"/>
    <w:rsid w:val="3A5F02F9"/>
    <w:rsid w:val="3A982A24"/>
    <w:rsid w:val="3AF12006"/>
    <w:rsid w:val="3B043A1D"/>
    <w:rsid w:val="3B105C6A"/>
    <w:rsid w:val="3B4F5CA3"/>
    <w:rsid w:val="3B663CAD"/>
    <w:rsid w:val="3B6F7711"/>
    <w:rsid w:val="3C126E5E"/>
    <w:rsid w:val="3C3F3B89"/>
    <w:rsid w:val="3D406C69"/>
    <w:rsid w:val="3D63582C"/>
    <w:rsid w:val="3E5A7DF8"/>
    <w:rsid w:val="3EC4622C"/>
    <w:rsid w:val="3EE6709F"/>
    <w:rsid w:val="3F353AA5"/>
    <w:rsid w:val="3F520E58"/>
    <w:rsid w:val="3F847C9C"/>
    <w:rsid w:val="40454CD9"/>
    <w:rsid w:val="405154B9"/>
    <w:rsid w:val="406B2951"/>
    <w:rsid w:val="40823710"/>
    <w:rsid w:val="408E1952"/>
    <w:rsid w:val="40D81790"/>
    <w:rsid w:val="410141B7"/>
    <w:rsid w:val="41040E2A"/>
    <w:rsid w:val="417B2D06"/>
    <w:rsid w:val="41C319E4"/>
    <w:rsid w:val="41CD2FB7"/>
    <w:rsid w:val="42312C1E"/>
    <w:rsid w:val="4246681D"/>
    <w:rsid w:val="4278135F"/>
    <w:rsid w:val="42B827A2"/>
    <w:rsid w:val="42EA3689"/>
    <w:rsid w:val="436F115E"/>
    <w:rsid w:val="43E727D7"/>
    <w:rsid w:val="43FF672E"/>
    <w:rsid w:val="442348A3"/>
    <w:rsid w:val="44B573C9"/>
    <w:rsid w:val="44C5398C"/>
    <w:rsid w:val="45BF5AEB"/>
    <w:rsid w:val="45E03741"/>
    <w:rsid w:val="46522C3C"/>
    <w:rsid w:val="4684015D"/>
    <w:rsid w:val="46CA78F0"/>
    <w:rsid w:val="472C05A0"/>
    <w:rsid w:val="4761447B"/>
    <w:rsid w:val="47775577"/>
    <w:rsid w:val="4787765D"/>
    <w:rsid w:val="47C740EC"/>
    <w:rsid w:val="47E50A8A"/>
    <w:rsid w:val="47F34756"/>
    <w:rsid w:val="48201E54"/>
    <w:rsid w:val="483725AB"/>
    <w:rsid w:val="485905AE"/>
    <w:rsid w:val="496C1B53"/>
    <w:rsid w:val="49836A5F"/>
    <w:rsid w:val="4988614D"/>
    <w:rsid w:val="499C4903"/>
    <w:rsid w:val="4A0C36FF"/>
    <w:rsid w:val="4A5976B4"/>
    <w:rsid w:val="4AC772D9"/>
    <w:rsid w:val="4AE55640"/>
    <w:rsid w:val="4AF65AED"/>
    <w:rsid w:val="4BC346C7"/>
    <w:rsid w:val="4C7F44FD"/>
    <w:rsid w:val="4CEF125A"/>
    <w:rsid w:val="4D68302E"/>
    <w:rsid w:val="4D6E54A6"/>
    <w:rsid w:val="4D7E5F1D"/>
    <w:rsid w:val="4DAF34B9"/>
    <w:rsid w:val="4E027E10"/>
    <w:rsid w:val="4E3A27EA"/>
    <w:rsid w:val="4F406C05"/>
    <w:rsid w:val="4FAE082F"/>
    <w:rsid w:val="501E2D34"/>
    <w:rsid w:val="503742A0"/>
    <w:rsid w:val="508C167E"/>
    <w:rsid w:val="50FF0565"/>
    <w:rsid w:val="51085FA5"/>
    <w:rsid w:val="519452D6"/>
    <w:rsid w:val="51FA6D88"/>
    <w:rsid w:val="52214F63"/>
    <w:rsid w:val="52E8557B"/>
    <w:rsid w:val="533E519B"/>
    <w:rsid w:val="534701BF"/>
    <w:rsid w:val="538D1674"/>
    <w:rsid w:val="53A96AB8"/>
    <w:rsid w:val="53B01D13"/>
    <w:rsid w:val="53E3173A"/>
    <w:rsid w:val="5494391A"/>
    <w:rsid w:val="549A28A4"/>
    <w:rsid w:val="54CC5588"/>
    <w:rsid w:val="55987224"/>
    <w:rsid w:val="56864201"/>
    <w:rsid w:val="56B27AF3"/>
    <w:rsid w:val="56BF4A89"/>
    <w:rsid w:val="57C613C6"/>
    <w:rsid w:val="587248DB"/>
    <w:rsid w:val="58AB1522"/>
    <w:rsid w:val="59091683"/>
    <w:rsid w:val="591D05C7"/>
    <w:rsid w:val="592610EC"/>
    <w:rsid w:val="599425E4"/>
    <w:rsid w:val="59B56875"/>
    <w:rsid w:val="59B578C5"/>
    <w:rsid w:val="59C704C1"/>
    <w:rsid w:val="5AC749FD"/>
    <w:rsid w:val="5B593DF8"/>
    <w:rsid w:val="5B762EEA"/>
    <w:rsid w:val="5C007A09"/>
    <w:rsid w:val="5C1D50C8"/>
    <w:rsid w:val="5C540311"/>
    <w:rsid w:val="5CA17592"/>
    <w:rsid w:val="5CBD5D5D"/>
    <w:rsid w:val="5CD8028D"/>
    <w:rsid w:val="5D7E34B5"/>
    <w:rsid w:val="5DCF1811"/>
    <w:rsid w:val="5F3638FA"/>
    <w:rsid w:val="5F7E11ED"/>
    <w:rsid w:val="5FA6282B"/>
    <w:rsid w:val="5FE33740"/>
    <w:rsid w:val="5FE470F3"/>
    <w:rsid w:val="5FF71CD3"/>
    <w:rsid w:val="601A3E20"/>
    <w:rsid w:val="60EB6FAC"/>
    <w:rsid w:val="6156395B"/>
    <w:rsid w:val="61AA0ECF"/>
    <w:rsid w:val="61AF0B2E"/>
    <w:rsid w:val="61B850D8"/>
    <w:rsid w:val="621D2122"/>
    <w:rsid w:val="623D62E4"/>
    <w:rsid w:val="62882A6B"/>
    <w:rsid w:val="62B3183E"/>
    <w:rsid w:val="63113A9F"/>
    <w:rsid w:val="63803B07"/>
    <w:rsid w:val="6382192F"/>
    <w:rsid w:val="64071E01"/>
    <w:rsid w:val="642A76B6"/>
    <w:rsid w:val="64525947"/>
    <w:rsid w:val="64C41712"/>
    <w:rsid w:val="64F302BB"/>
    <w:rsid w:val="6509122F"/>
    <w:rsid w:val="6525649B"/>
    <w:rsid w:val="65A8799D"/>
    <w:rsid w:val="65C34488"/>
    <w:rsid w:val="66141EC9"/>
    <w:rsid w:val="662D611B"/>
    <w:rsid w:val="665D03E9"/>
    <w:rsid w:val="66B9542E"/>
    <w:rsid w:val="66C37FBE"/>
    <w:rsid w:val="67031D26"/>
    <w:rsid w:val="67075685"/>
    <w:rsid w:val="67141D14"/>
    <w:rsid w:val="67655CE5"/>
    <w:rsid w:val="67D430C4"/>
    <w:rsid w:val="67E4572C"/>
    <w:rsid w:val="68316CC0"/>
    <w:rsid w:val="68744543"/>
    <w:rsid w:val="68821FAA"/>
    <w:rsid w:val="689446C6"/>
    <w:rsid w:val="690073FB"/>
    <w:rsid w:val="69162BEC"/>
    <w:rsid w:val="691E5FEA"/>
    <w:rsid w:val="69A52334"/>
    <w:rsid w:val="6A243C59"/>
    <w:rsid w:val="6A327B3A"/>
    <w:rsid w:val="6A901EFF"/>
    <w:rsid w:val="6AC219B7"/>
    <w:rsid w:val="6B136335"/>
    <w:rsid w:val="6B363ACC"/>
    <w:rsid w:val="6B806A3A"/>
    <w:rsid w:val="6BBB1362"/>
    <w:rsid w:val="6C602C2B"/>
    <w:rsid w:val="6CBE75FE"/>
    <w:rsid w:val="6D084BED"/>
    <w:rsid w:val="6DA16B61"/>
    <w:rsid w:val="6EEA7567"/>
    <w:rsid w:val="6EF66457"/>
    <w:rsid w:val="6EFA4214"/>
    <w:rsid w:val="6EFE305E"/>
    <w:rsid w:val="6F0D1651"/>
    <w:rsid w:val="6F3368FD"/>
    <w:rsid w:val="6F461B84"/>
    <w:rsid w:val="6F550214"/>
    <w:rsid w:val="6FC44B45"/>
    <w:rsid w:val="70112A12"/>
    <w:rsid w:val="706A15E1"/>
    <w:rsid w:val="70DD54AD"/>
    <w:rsid w:val="70F60D55"/>
    <w:rsid w:val="713C6D66"/>
    <w:rsid w:val="71D96098"/>
    <w:rsid w:val="71F635B6"/>
    <w:rsid w:val="72852659"/>
    <w:rsid w:val="728D2696"/>
    <w:rsid w:val="742F2D5A"/>
    <w:rsid w:val="74482189"/>
    <w:rsid w:val="74F76EEC"/>
    <w:rsid w:val="75171586"/>
    <w:rsid w:val="752F3570"/>
    <w:rsid w:val="75C74BE4"/>
    <w:rsid w:val="75F83B72"/>
    <w:rsid w:val="76D64224"/>
    <w:rsid w:val="76FD4664"/>
    <w:rsid w:val="774150D6"/>
    <w:rsid w:val="774721C6"/>
    <w:rsid w:val="77583AEF"/>
    <w:rsid w:val="77621065"/>
    <w:rsid w:val="778206D3"/>
    <w:rsid w:val="77B56CB3"/>
    <w:rsid w:val="77C00E2B"/>
    <w:rsid w:val="77EB349D"/>
    <w:rsid w:val="77EC798E"/>
    <w:rsid w:val="78302E76"/>
    <w:rsid w:val="78730616"/>
    <w:rsid w:val="788A1AE6"/>
    <w:rsid w:val="791A5D7F"/>
    <w:rsid w:val="793B5E14"/>
    <w:rsid w:val="797D7856"/>
    <w:rsid w:val="79F502F2"/>
    <w:rsid w:val="7A1B2975"/>
    <w:rsid w:val="7A462A03"/>
    <w:rsid w:val="7ABC7C79"/>
    <w:rsid w:val="7AC1032E"/>
    <w:rsid w:val="7BAB0D70"/>
    <w:rsid w:val="7BB95FC8"/>
    <w:rsid w:val="7D865E28"/>
    <w:rsid w:val="7EBC57A0"/>
    <w:rsid w:val="7F326E2F"/>
    <w:rsid w:val="7F6A00CF"/>
    <w:rsid w:val="7F886A32"/>
    <w:rsid w:val="7FBD474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方正仿宋_GBK" w:hAnsi="Times New Roman" w:eastAsia="方正仿宋_GBK" w:cs="Times New Roman"/>
      <w:color w:val="000000"/>
      <w:sz w:val="24"/>
      <w:szCs w:val="24"/>
      <w:lang w:val="en-US" w:eastAsia="zh-CN" w:bidi="ar-SA"/>
    </w:rPr>
  </w:style>
  <w:style w:type="paragraph" w:styleId="3">
    <w:name w:val="Body Text"/>
    <w:basedOn w:val="1"/>
    <w:link w:val="14"/>
    <w:qFormat/>
    <w:uiPriority w:val="99"/>
    <w:pPr>
      <w:ind w:left="100" w:leftChars="100" w:right="100" w:rightChars="100"/>
    </w:pPr>
    <w:rPr>
      <w:rFonts w:cs="宋体"/>
      <w:szCs w:val="21"/>
    </w:rPr>
  </w:style>
  <w:style w:type="paragraph" w:styleId="4">
    <w:name w:val="Balloon Text"/>
    <w:basedOn w:val="1"/>
    <w:link w:val="180"/>
    <w:semiHidden/>
    <w:unhideWhenUsed/>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Indent 3"/>
    <w:basedOn w:val="1"/>
    <w:link w:val="17"/>
    <w:qFormat/>
    <w:uiPriority w:val="0"/>
    <w:pPr>
      <w:ind w:firstLine="630"/>
    </w:pPr>
    <w:rPr>
      <w:rFonts w:ascii="黑体" w:eastAsia="黑体"/>
      <w:sz w:val="32"/>
    </w:rPr>
  </w:style>
  <w:style w:type="paragraph" w:styleId="8">
    <w:name w:val="Normal (Web)"/>
    <w:basedOn w:val="1"/>
    <w:qFormat/>
    <w:uiPriority w:val="99"/>
    <w:pPr>
      <w:jc w:val="left"/>
    </w:pPr>
    <w:rPr>
      <w:kern w:val="0"/>
      <w:sz w:val="24"/>
    </w:rPr>
  </w:style>
  <w:style w:type="character" w:styleId="11">
    <w:name w:val="Strong"/>
    <w:qFormat/>
    <w:uiPriority w:val="99"/>
    <w:rPr>
      <w:rFonts w:cs="Times New Roman"/>
      <w:b/>
    </w:rPr>
  </w:style>
  <w:style w:type="character" w:styleId="12">
    <w:name w:val="FollowedHyperlink"/>
    <w:qFormat/>
    <w:uiPriority w:val="99"/>
    <w:rPr>
      <w:rFonts w:cs="Times New Roman"/>
      <w:color w:val="000000"/>
      <w:u w:val="none"/>
    </w:rPr>
  </w:style>
  <w:style w:type="character" w:styleId="13">
    <w:name w:val="Hyperlink"/>
    <w:qFormat/>
    <w:uiPriority w:val="99"/>
    <w:rPr>
      <w:rFonts w:cs="Times New Roman"/>
      <w:color w:val="000000"/>
      <w:u w:val="none"/>
    </w:rPr>
  </w:style>
  <w:style w:type="character" w:customStyle="1" w:styleId="14">
    <w:name w:val="正文文本 Char"/>
    <w:link w:val="3"/>
    <w:semiHidden/>
    <w:qFormat/>
    <w:uiPriority w:val="99"/>
    <w:rPr>
      <w:szCs w:val="24"/>
    </w:rPr>
  </w:style>
  <w:style w:type="character" w:customStyle="1" w:styleId="15">
    <w:name w:val="页脚 Char"/>
    <w:link w:val="5"/>
    <w:semiHidden/>
    <w:qFormat/>
    <w:uiPriority w:val="99"/>
    <w:rPr>
      <w:sz w:val="18"/>
      <w:szCs w:val="18"/>
    </w:rPr>
  </w:style>
  <w:style w:type="character" w:customStyle="1" w:styleId="16">
    <w:name w:val="页眉 Char"/>
    <w:link w:val="6"/>
    <w:semiHidden/>
    <w:qFormat/>
    <w:uiPriority w:val="99"/>
    <w:rPr>
      <w:sz w:val="18"/>
      <w:szCs w:val="18"/>
    </w:rPr>
  </w:style>
  <w:style w:type="character" w:customStyle="1" w:styleId="17">
    <w:name w:val="正文文本缩进 3 Char"/>
    <w:link w:val="7"/>
    <w:qFormat/>
    <w:uiPriority w:val="0"/>
    <w:rPr>
      <w:sz w:val="16"/>
      <w:szCs w:val="16"/>
    </w:rPr>
  </w:style>
  <w:style w:type="character" w:customStyle="1" w:styleId="18">
    <w:name w:val="jointquery_btn"/>
    <w:qFormat/>
    <w:uiPriority w:val="99"/>
    <w:rPr>
      <w:rFonts w:cs="Times New Roman"/>
    </w:rPr>
  </w:style>
  <w:style w:type="character" w:customStyle="1" w:styleId="19">
    <w:name w:val="d_in_btn"/>
    <w:qFormat/>
    <w:uiPriority w:val="99"/>
    <w:rPr>
      <w:rFonts w:cs="Times New Roman"/>
    </w:rPr>
  </w:style>
  <w:style w:type="character" w:customStyle="1" w:styleId="20">
    <w:name w:val="switch_btn"/>
    <w:qFormat/>
    <w:uiPriority w:val="99"/>
    <w:rPr>
      <w:rFonts w:cs="Times New Roman"/>
    </w:rPr>
  </w:style>
  <w:style w:type="character" w:customStyle="1" w:styleId="21">
    <w:name w:val="helpnotice_btn"/>
    <w:qFormat/>
    <w:uiPriority w:val="99"/>
    <w:rPr>
      <w:rFonts w:cs="Times New Roman"/>
    </w:rPr>
  </w:style>
  <w:style w:type="character" w:customStyle="1" w:styleId="22">
    <w:name w:val="setprint_btn"/>
    <w:qFormat/>
    <w:uiPriority w:val="99"/>
    <w:rPr>
      <w:rFonts w:cs="Times New Roman"/>
    </w:rPr>
  </w:style>
  <w:style w:type="character" w:customStyle="1" w:styleId="23">
    <w:name w:val="vchshow_btn"/>
    <w:qFormat/>
    <w:uiPriority w:val="99"/>
    <w:rPr>
      <w:rFonts w:cs="Times New Roman"/>
    </w:rPr>
  </w:style>
  <w:style w:type="character" w:customStyle="1" w:styleId="24">
    <w:name w:val="quarterav_btn"/>
    <w:qFormat/>
    <w:uiPriority w:val="99"/>
    <w:rPr>
      <w:rFonts w:cs="Times New Roman"/>
    </w:rPr>
  </w:style>
  <w:style w:type="character" w:customStyle="1" w:styleId="25">
    <w:name w:val="issuing_btn"/>
    <w:qFormat/>
    <w:uiPriority w:val="99"/>
    <w:rPr>
      <w:rFonts w:cs="Times New Roman"/>
    </w:rPr>
  </w:style>
  <w:style w:type="character" w:customStyle="1" w:styleId="26">
    <w:name w:val="accredit_btn"/>
    <w:qFormat/>
    <w:uiPriority w:val="99"/>
    <w:rPr>
      <w:rFonts w:cs="Times New Roman"/>
    </w:rPr>
  </w:style>
  <w:style w:type="character" w:customStyle="1" w:styleId="27">
    <w:name w:val="starttocount_btn"/>
    <w:qFormat/>
    <w:uiPriority w:val="99"/>
    <w:rPr>
      <w:rFonts w:cs="Times New Roman"/>
    </w:rPr>
  </w:style>
  <w:style w:type="character" w:customStyle="1" w:styleId="28">
    <w:name w:val="bdgamt_btn"/>
    <w:qFormat/>
    <w:uiPriority w:val="99"/>
    <w:rPr>
      <w:rFonts w:cs="Times New Roman"/>
    </w:rPr>
  </w:style>
  <w:style w:type="character" w:customStyle="1" w:styleId="29">
    <w:name w:val="viewsub_btn"/>
    <w:qFormat/>
    <w:uiPriority w:val="99"/>
    <w:rPr>
      <w:rFonts w:cs="Times New Roman"/>
    </w:rPr>
  </w:style>
  <w:style w:type="character" w:customStyle="1" w:styleId="30">
    <w:name w:val="add_btn"/>
    <w:qFormat/>
    <w:uiPriority w:val="99"/>
    <w:rPr>
      <w:rFonts w:cs="Times New Roman"/>
    </w:rPr>
  </w:style>
  <w:style w:type="character" w:customStyle="1" w:styleId="31">
    <w:name w:val="monthav_btn"/>
    <w:qFormat/>
    <w:uiPriority w:val="99"/>
    <w:rPr>
      <w:rFonts w:cs="Times New Roman"/>
    </w:rPr>
  </w:style>
  <w:style w:type="character" w:customStyle="1" w:styleId="32">
    <w:name w:val="borrowingtwocolumn_btn"/>
    <w:qFormat/>
    <w:uiPriority w:val="99"/>
    <w:rPr>
      <w:rFonts w:cs="Times New Roman"/>
    </w:rPr>
  </w:style>
  <w:style w:type="character" w:customStyle="1" w:styleId="33">
    <w:name w:val="archive_btn"/>
    <w:qFormat/>
    <w:uiPriority w:val="99"/>
    <w:rPr>
      <w:rFonts w:cs="Times New Roman"/>
    </w:rPr>
  </w:style>
  <w:style w:type="character" w:customStyle="1" w:styleId="34">
    <w:name w:val="ui-icon"/>
    <w:qFormat/>
    <w:uiPriority w:val="99"/>
    <w:rPr>
      <w:rFonts w:cs="Times New Roman"/>
    </w:rPr>
  </w:style>
  <w:style w:type="character" w:customStyle="1" w:styleId="35">
    <w:name w:val="mond_btn"/>
    <w:qFormat/>
    <w:uiPriority w:val="99"/>
    <w:rPr>
      <w:rFonts w:cs="Times New Roman"/>
    </w:rPr>
  </w:style>
  <w:style w:type="character" w:customStyle="1" w:styleId="36">
    <w:name w:val="state_btn"/>
    <w:qFormat/>
    <w:uiPriority w:val="99"/>
    <w:rPr>
      <w:rFonts w:cs="Times New Roman"/>
    </w:rPr>
  </w:style>
  <w:style w:type="character" w:customStyle="1" w:styleId="37">
    <w:name w:val="statisticsaudit_btn"/>
    <w:qFormat/>
    <w:uiPriority w:val="99"/>
    <w:rPr>
      <w:rFonts w:cs="Times New Roman"/>
    </w:rPr>
  </w:style>
  <w:style w:type="character" w:customStyle="1" w:styleId="38">
    <w:name w:val="generationdaily_btn"/>
    <w:qFormat/>
    <w:uiPriority w:val="99"/>
    <w:rPr>
      <w:rFonts w:cs="Times New Roman"/>
    </w:rPr>
  </w:style>
  <w:style w:type="character" w:customStyle="1" w:styleId="39">
    <w:name w:val="changenote_btn"/>
    <w:qFormat/>
    <w:uiPriority w:val="99"/>
    <w:rPr>
      <w:rFonts w:cs="Times New Roman"/>
    </w:rPr>
  </w:style>
  <w:style w:type="character" w:customStyle="1" w:styleId="40">
    <w:name w:val="view_btn"/>
    <w:qFormat/>
    <w:uiPriority w:val="99"/>
    <w:rPr>
      <w:rFonts w:cs="Times New Roman"/>
    </w:rPr>
  </w:style>
  <w:style w:type="character" w:customStyle="1" w:styleId="41">
    <w:name w:val="summary_btn"/>
    <w:qFormat/>
    <w:uiPriority w:val="99"/>
    <w:rPr>
      <w:rFonts w:cs="Times New Roman"/>
    </w:rPr>
  </w:style>
  <w:style w:type="character" w:customStyle="1" w:styleId="42">
    <w:name w:val="copyplay_btn"/>
    <w:qFormat/>
    <w:uiPriority w:val="99"/>
    <w:rPr>
      <w:rFonts w:cs="Times New Roman"/>
    </w:rPr>
  </w:style>
  <w:style w:type="character" w:customStyle="1" w:styleId="43">
    <w:name w:val="nogeneration_btn"/>
    <w:qFormat/>
    <w:uiPriority w:val="99"/>
    <w:rPr>
      <w:rFonts w:cs="Times New Roman"/>
    </w:rPr>
  </w:style>
  <w:style w:type="character" w:customStyle="1" w:styleId="44">
    <w:name w:val="endpage_btn"/>
    <w:qFormat/>
    <w:uiPriority w:val="99"/>
    <w:rPr>
      <w:rFonts w:cs="Times New Roman"/>
    </w:rPr>
  </w:style>
  <w:style w:type="character" w:customStyle="1" w:styleId="45">
    <w:name w:val="norootaccount_btn"/>
    <w:qFormat/>
    <w:uiPriority w:val="99"/>
    <w:rPr>
      <w:rFonts w:cs="Times New Roman"/>
    </w:rPr>
  </w:style>
  <w:style w:type="character" w:customStyle="1" w:styleId="46">
    <w:name w:val="addbatch_btn"/>
    <w:qFormat/>
    <w:uiPriority w:val="99"/>
    <w:rPr>
      <w:rFonts w:cs="Times New Roman"/>
    </w:rPr>
  </w:style>
  <w:style w:type="character" w:customStyle="1" w:styleId="47">
    <w:name w:val="borrowingonecolumn_btn"/>
    <w:qFormat/>
    <w:uiPriority w:val="99"/>
    <w:rPr>
      <w:rFonts w:cs="Times New Roman"/>
    </w:rPr>
  </w:style>
  <w:style w:type="character" w:customStyle="1" w:styleId="48">
    <w:name w:val="printsalary_btn"/>
    <w:qFormat/>
    <w:uiPriority w:val="99"/>
    <w:rPr>
      <w:rFonts w:cs="Times New Roman"/>
    </w:rPr>
  </w:style>
  <w:style w:type="character" w:customStyle="1" w:styleId="49">
    <w:name w:val="extend_btn"/>
    <w:qFormat/>
    <w:uiPriority w:val="99"/>
    <w:rPr>
      <w:rFonts w:cs="Times New Roman"/>
    </w:rPr>
  </w:style>
  <w:style w:type="character" w:customStyle="1" w:styleId="50">
    <w:name w:val="fistpage_btn"/>
    <w:qFormat/>
    <w:uiPriority w:val="99"/>
    <w:rPr>
      <w:rFonts w:cs="Times New Roman"/>
    </w:rPr>
  </w:style>
  <w:style w:type="character" w:customStyle="1" w:styleId="51">
    <w:name w:val="certification_btn"/>
    <w:qFormat/>
    <w:uiPriority w:val="99"/>
    <w:rPr>
      <w:rFonts w:cs="Times New Roman"/>
    </w:rPr>
  </w:style>
  <w:style w:type="character" w:customStyle="1" w:styleId="52">
    <w:name w:val="adjustbatch_btn"/>
    <w:qFormat/>
    <w:uiPriority w:val="99"/>
    <w:rPr>
      <w:rFonts w:cs="Times New Roman"/>
    </w:rPr>
  </w:style>
  <w:style w:type="character" w:customStyle="1" w:styleId="53">
    <w:name w:val="adddown_btn"/>
    <w:qFormat/>
    <w:uiPriority w:val="99"/>
    <w:rPr>
      <w:rFonts w:cs="Times New Roman"/>
    </w:rPr>
  </w:style>
  <w:style w:type="character" w:customStyle="1" w:styleId="54">
    <w:name w:val="noprint_btn"/>
    <w:qFormat/>
    <w:uiPriority w:val="99"/>
    <w:rPr>
      <w:rFonts w:cs="Times New Roman"/>
    </w:rPr>
  </w:style>
  <w:style w:type="character" w:customStyle="1" w:styleId="55">
    <w:name w:val="query_btn"/>
    <w:qFormat/>
    <w:uiPriority w:val="99"/>
    <w:rPr>
      <w:rFonts w:cs="Times New Roman"/>
    </w:rPr>
  </w:style>
  <w:style w:type="character" w:customStyle="1" w:styleId="56">
    <w:name w:val="ryeard_btn"/>
    <w:qFormat/>
    <w:uiPriority w:val="99"/>
    <w:rPr>
      <w:rFonts w:cs="Times New Roman"/>
    </w:rPr>
  </w:style>
  <w:style w:type="character" w:customStyle="1" w:styleId="57">
    <w:name w:val="payamt_btn"/>
    <w:qFormat/>
    <w:uiPriority w:val="99"/>
    <w:rPr>
      <w:rFonts w:cs="Times New Roman"/>
    </w:rPr>
  </w:style>
  <w:style w:type="character" w:customStyle="1" w:styleId="58">
    <w:name w:val="login_btn"/>
    <w:qFormat/>
    <w:uiPriority w:val="99"/>
    <w:rPr>
      <w:rFonts w:cs="Times New Roman"/>
    </w:rPr>
  </w:style>
  <w:style w:type="character" w:customStyle="1" w:styleId="59">
    <w:name w:val="hedui_btn"/>
    <w:qFormat/>
    <w:uiPriority w:val="99"/>
    <w:rPr>
      <w:rFonts w:cs="Times New Roman"/>
    </w:rPr>
  </w:style>
  <w:style w:type="character" w:customStyle="1" w:styleId="60">
    <w:name w:val="redoreceive_btn"/>
    <w:qFormat/>
    <w:uiPriority w:val="99"/>
    <w:rPr>
      <w:rFonts w:cs="Times New Roman"/>
    </w:rPr>
  </w:style>
  <w:style w:type="character" w:customStyle="1" w:styleId="61">
    <w:name w:val="detail_btn"/>
    <w:qFormat/>
    <w:uiPriority w:val="99"/>
    <w:rPr>
      <w:rFonts w:cs="Times New Roman"/>
    </w:rPr>
  </w:style>
  <w:style w:type="character" w:customStyle="1" w:styleId="62">
    <w:name w:val="undoarchive_btn"/>
    <w:qFormat/>
    <w:uiPriority w:val="99"/>
    <w:rPr>
      <w:rFonts w:cs="Times New Roman"/>
    </w:rPr>
  </w:style>
  <w:style w:type="character" w:customStyle="1" w:styleId="63">
    <w:name w:val="setlegend_btn"/>
    <w:qFormat/>
    <w:uiPriority w:val="99"/>
    <w:rPr>
      <w:rFonts w:cs="Times New Roman"/>
    </w:rPr>
  </w:style>
  <w:style w:type="character" w:customStyle="1" w:styleId="64">
    <w:name w:val="noliquidation_btn"/>
    <w:qFormat/>
    <w:uiPriority w:val="99"/>
    <w:rPr>
      <w:rFonts w:cs="Times New Roman"/>
    </w:rPr>
  </w:style>
  <w:style w:type="character" w:customStyle="1" w:styleId="65">
    <w:name w:val="clear_btn"/>
    <w:qFormat/>
    <w:uiPriority w:val="99"/>
    <w:rPr>
      <w:rFonts w:cs="Times New Roman"/>
    </w:rPr>
  </w:style>
  <w:style w:type="character" w:customStyle="1" w:styleId="66">
    <w:name w:val="close_btn"/>
    <w:qFormat/>
    <w:uiPriority w:val="99"/>
    <w:rPr>
      <w:rFonts w:cs="Times New Roman"/>
    </w:rPr>
  </w:style>
  <w:style w:type="character" w:customStyle="1" w:styleId="67">
    <w:name w:val="notoaudit_btn"/>
    <w:qFormat/>
    <w:uiPriority w:val="99"/>
    <w:rPr>
      <w:rFonts w:cs="Times New Roman"/>
    </w:rPr>
  </w:style>
  <w:style w:type="character" w:customStyle="1" w:styleId="68">
    <w:name w:val="disable_btn"/>
    <w:qFormat/>
    <w:uiPriority w:val="99"/>
    <w:rPr>
      <w:rFonts w:cs="Times New Roman"/>
    </w:rPr>
  </w:style>
  <w:style w:type="character" w:customStyle="1" w:styleId="69">
    <w:name w:val="toaudit_btn"/>
    <w:qFormat/>
    <w:uiPriority w:val="99"/>
    <w:rPr>
      <w:rFonts w:cs="Times New Roman"/>
    </w:rPr>
  </w:style>
  <w:style w:type="character" w:customStyle="1" w:styleId="70">
    <w:name w:val="hidden_btn"/>
    <w:qFormat/>
    <w:uiPriority w:val="99"/>
    <w:rPr>
      <w:rFonts w:cs="Times New Roman"/>
    </w:rPr>
  </w:style>
  <w:style w:type="character" w:customStyle="1" w:styleId="71">
    <w:name w:val="rmond_btn"/>
    <w:qFormat/>
    <w:uiPriority w:val="99"/>
    <w:rPr>
      <w:rFonts w:cs="Times New Roman"/>
    </w:rPr>
  </w:style>
  <w:style w:type="character" w:customStyle="1" w:styleId="72">
    <w:name w:val="cancelissuing_btn"/>
    <w:qFormat/>
    <w:uiPriority w:val="99"/>
    <w:rPr>
      <w:rFonts w:cs="Times New Roman"/>
    </w:rPr>
  </w:style>
  <w:style w:type="character" w:customStyle="1" w:styleId="73">
    <w:name w:val="mod_btn"/>
    <w:qFormat/>
    <w:uiPriority w:val="99"/>
    <w:rPr>
      <w:rFonts w:cs="Times New Roman"/>
    </w:rPr>
  </w:style>
  <w:style w:type="character" w:customStyle="1" w:styleId="74">
    <w:name w:val="del_btn"/>
    <w:qFormat/>
    <w:uiPriority w:val="99"/>
    <w:rPr>
      <w:rFonts w:cs="Times New Roman"/>
    </w:rPr>
  </w:style>
  <w:style w:type="character" w:customStyle="1" w:styleId="75">
    <w:name w:val="generationandgoon_btn"/>
    <w:qFormat/>
    <w:uiPriority w:val="99"/>
    <w:rPr>
      <w:rFonts w:cs="Times New Roman"/>
    </w:rPr>
  </w:style>
  <w:style w:type="character" w:customStyle="1" w:styleId="76">
    <w:name w:val="liquidation_btn"/>
    <w:qFormat/>
    <w:uiPriority w:val="99"/>
    <w:rPr>
      <w:rFonts w:cs="Times New Roman"/>
    </w:rPr>
  </w:style>
  <w:style w:type="character" w:customStyle="1" w:styleId="77">
    <w:name w:val="goaudit_btn"/>
    <w:qFormat/>
    <w:uiPriority w:val="99"/>
    <w:rPr>
      <w:rFonts w:cs="Times New Roman"/>
    </w:rPr>
  </w:style>
  <w:style w:type="character" w:customStyle="1" w:styleId="78">
    <w:name w:val="nogoaudit_btn"/>
    <w:qFormat/>
    <w:uiPriority w:val="99"/>
    <w:rPr>
      <w:rFonts w:cs="Times New Roman"/>
    </w:rPr>
  </w:style>
  <w:style w:type="character" w:customStyle="1" w:styleId="79">
    <w:name w:val="generation_btn"/>
    <w:qFormat/>
    <w:uiPriority w:val="99"/>
    <w:rPr>
      <w:rFonts w:cs="Times New Roman"/>
    </w:rPr>
  </w:style>
  <w:style w:type="character" w:customStyle="1" w:styleId="80">
    <w:name w:val="renode_btn"/>
    <w:qFormat/>
    <w:uiPriority w:val="99"/>
    <w:rPr>
      <w:rFonts w:cs="Times New Roman"/>
    </w:rPr>
  </w:style>
  <w:style w:type="character" w:customStyle="1" w:styleId="81">
    <w:name w:val="rechuanchu_btn"/>
    <w:qFormat/>
    <w:uiPriority w:val="99"/>
    <w:rPr>
      <w:rFonts w:cs="Times New Roman"/>
    </w:rPr>
  </w:style>
  <w:style w:type="character" w:customStyle="1" w:styleId="82">
    <w:name w:val="neededdone_btn"/>
    <w:qFormat/>
    <w:uiPriority w:val="99"/>
    <w:rPr>
      <w:rFonts w:cs="Times New Roman"/>
    </w:rPr>
  </w:style>
  <w:style w:type="character" w:customStyle="1" w:styleId="83">
    <w:name w:val="return_btn"/>
    <w:qFormat/>
    <w:uiPriority w:val="99"/>
    <w:rPr>
      <w:rFonts w:cs="Times New Roman"/>
    </w:rPr>
  </w:style>
  <w:style w:type="character" w:customStyle="1" w:styleId="84">
    <w:name w:val="inductionsalary_btn"/>
    <w:qFormat/>
    <w:uiPriority w:val="99"/>
    <w:rPr>
      <w:rFonts w:cs="Times New Roman"/>
    </w:rPr>
  </w:style>
  <w:style w:type="character" w:customStyle="1" w:styleId="85">
    <w:name w:val="orderset_btn"/>
    <w:qFormat/>
    <w:uiPriority w:val="99"/>
    <w:rPr>
      <w:rFonts w:cs="Times New Roman"/>
    </w:rPr>
  </w:style>
  <w:style w:type="character" w:customStyle="1" w:styleId="86">
    <w:name w:val="noreturn_btn"/>
    <w:qFormat/>
    <w:uiPriority w:val="99"/>
    <w:rPr>
      <w:rFonts w:cs="Times New Roman"/>
    </w:rPr>
  </w:style>
  <w:style w:type="character" w:customStyle="1" w:styleId="87">
    <w:name w:val="auditinfo_btn"/>
    <w:qFormat/>
    <w:uiPriority w:val="99"/>
    <w:rPr>
      <w:rFonts w:cs="Times New Roman"/>
    </w:rPr>
  </w:style>
  <w:style w:type="character" w:customStyle="1" w:styleId="88">
    <w:name w:val="goback_retired_btn"/>
    <w:qFormat/>
    <w:uiPriority w:val="99"/>
    <w:rPr>
      <w:rFonts w:cs="Times New Roman"/>
    </w:rPr>
  </w:style>
  <w:style w:type="character" w:customStyle="1" w:styleId="89">
    <w:name w:val="source_btn"/>
    <w:qFormat/>
    <w:uiPriority w:val="99"/>
    <w:rPr>
      <w:rFonts w:cs="Times New Roman"/>
    </w:rPr>
  </w:style>
  <w:style w:type="character" w:customStyle="1" w:styleId="90">
    <w:name w:val="save_btn"/>
    <w:qFormat/>
    <w:uiPriority w:val="99"/>
    <w:rPr>
      <w:rFonts w:cs="Times New Roman"/>
    </w:rPr>
  </w:style>
  <w:style w:type="character" w:customStyle="1" w:styleId="91">
    <w:name w:val="save_btn1"/>
    <w:qFormat/>
    <w:uiPriority w:val="99"/>
    <w:rPr>
      <w:rFonts w:cs="Times New Roman"/>
    </w:rPr>
  </w:style>
  <w:style w:type="character" w:customStyle="1" w:styleId="92">
    <w:name w:val="yeard_btn"/>
    <w:qFormat/>
    <w:uiPriority w:val="99"/>
    <w:rPr>
      <w:rFonts w:cs="Times New Roman"/>
    </w:rPr>
  </w:style>
  <w:style w:type="character" w:customStyle="1" w:styleId="93">
    <w:name w:val="receiptshow_btn"/>
    <w:qFormat/>
    <w:uiPriority w:val="99"/>
    <w:rPr>
      <w:rFonts w:cs="Times New Roman"/>
    </w:rPr>
  </w:style>
  <w:style w:type="character" w:customStyle="1" w:styleId="94">
    <w:name w:val="induction_btn"/>
    <w:qFormat/>
    <w:uiPriority w:val="99"/>
    <w:rPr>
      <w:rFonts w:cs="Times New Roman"/>
    </w:rPr>
  </w:style>
  <w:style w:type="character" w:customStyle="1" w:styleId="95">
    <w:name w:val="planamt_btn"/>
    <w:qFormat/>
    <w:uiPriority w:val="99"/>
    <w:rPr>
      <w:rFonts w:cs="Times New Roman"/>
    </w:rPr>
  </w:style>
  <w:style w:type="character" w:customStyle="1" w:styleId="96">
    <w:name w:val="print_btn"/>
    <w:qFormat/>
    <w:uiPriority w:val="99"/>
    <w:rPr>
      <w:rFonts w:cs="Times New Roman"/>
    </w:rPr>
  </w:style>
  <w:style w:type="character" w:customStyle="1" w:styleId="97">
    <w:name w:val="notetypedef_btn"/>
    <w:qFormat/>
    <w:uiPriority w:val="99"/>
    <w:rPr>
      <w:rFonts w:cs="Times New Roman"/>
    </w:rPr>
  </w:style>
  <w:style w:type="character" w:customStyle="1" w:styleId="98">
    <w:name w:val="list_btn"/>
    <w:qFormat/>
    <w:uiPriority w:val="99"/>
    <w:rPr>
      <w:rFonts w:cs="Times New Roman"/>
    </w:rPr>
  </w:style>
  <w:style w:type="character" w:customStyle="1" w:styleId="99">
    <w:name w:val="newprint_btn"/>
    <w:qFormat/>
    <w:uiPriority w:val="99"/>
    <w:rPr>
      <w:rFonts w:cs="Times New Roman"/>
    </w:rPr>
  </w:style>
  <w:style w:type="character" w:customStyle="1" w:styleId="100">
    <w:name w:val="cancel_btn"/>
    <w:qFormat/>
    <w:uiPriority w:val="99"/>
    <w:rPr>
      <w:rFonts w:cs="Times New Roman"/>
    </w:rPr>
  </w:style>
  <w:style w:type="character" w:customStyle="1" w:styleId="101">
    <w:name w:val="excel_btn"/>
    <w:qFormat/>
    <w:uiPriority w:val="99"/>
    <w:rPr>
      <w:rFonts w:cs="Times New Roman"/>
    </w:rPr>
  </w:style>
  <w:style w:type="character" w:customStyle="1" w:styleId="102">
    <w:name w:val="cancellogin_btn"/>
    <w:qFormat/>
    <w:uiPriority w:val="99"/>
    <w:rPr>
      <w:rFonts w:cs="Times New Roman"/>
    </w:rPr>
  </w:style>
  <w:style w:type="character" w:customStyle="1" w:styleId="103">
    <w:name w:val="reduce_btn"/>
    <w:qFormat/>
    <w:uiPriority w:val="99"/>
    <w:rPr>
      <w:rFonts w:cs="Times New Roman"/>
    </w:rPr>
  </w:style>
  <w:style w:type="character" w:customStyle="1" w:styleId="104">
    <w:name w:val="drop_btn"/>
    <w:qFormat/>
    <w:uiPriority w:val="99"/>
    <w:rPr>
      <w:rFonts w:cs="Times New Roman"/>
    </w:rPr>
  </w:style>
  <w:style w:type="character" w:customStyle="1" w:styleId="105">
    <w:name w:val="totrace_btn"/>
    <w:qFormat/>
    <w:uiPriority w:val="99"/>
    <w:rPr>
      <w:rFonts w:cs="Times New Roman"/>
    </w:rPr>
  </w:style>
  <w:style w:type="character" w:customStyle="1" w:styleId="106">
    <w:name w:val="checkno_btn"/>
    <w:qFormat/>
    <w:uiPriority w:val="99"/>
    <w:rPr>
      <w:rFonts w:cs="Times New Roman"/>
    </w:rPr>
  </w:style>
  <w:style w:type="character" w:customStyle="1" w:styleId="107">
    <w:name w:val="fullshow_btn"/>
    <w:qFormat/>
    <w:uiPriority w:val="99"/>
    <w:rPr>
      <w:rFonts w:cs="Times New Roman"/>
    </w:rPr>
  </w:style>
  <w:style w:type="character" w:customStyle="1" w:styleId="108">
    <w:name w:val="rootaccount_btn"/>
    <w:qFormat/>
    <w:uiPriority w:val="99"/>
    <w:rPr>
      <w:rFonts w:cs="Times New Roman"/>
    </w:rPr>
  </w:style>
  <w:style w:type="character" w:customStyle="1" w:styleId="109">
    <w:name w:val="queryele_btn"/>
    <w:qFormat/>
    <w:uiPriority w:val="99"/>
    <w:rPr>
      <w:rFonts w:cs="Times New Roman"/>
    </w:rPr>
  </w:style>
  <w:style w:type="character" w:customStyle="1" w:styleId="110">
    <w:name w:val="prepage_btn"/>
    <w:qFormat/>
    <w:uiPriority w:val="99"/>
    <w:rPr>
      <w:rFonts w:cs="Times New Roman"/>
    </w:rPr>
  </w:style>
  <w:style w:type="character" w:customStyle="1" w:styleId="111">
    <w:name w:val="insertrow_btn"/>
    <w:qFormat/>
    <w:uiPriority w:val="99"/>
    <w:rPr>
      <w:rFonts w:cs="Times New Roman"/>
    </w:rPr>
  </w:style>
  <w:style w:type="character" w:customStyle="1" w:styleId="112">
    <w:name w:val="nextpage_btn"/>
    <w:qFormat/>
    <w:uiPriority w:val="99"/>
    <w:rPr>
      <w:rFonts w:cs="Times New Roman"/>
    </w:rPr>
  </w:style>
  <w:style w:type="character" w:customStyle="1" w:styleId="113">
    <w:name w:val="advancedquery_btn"/>
    <w:qFormat/>
    <w:uiPriority w:val="99"/>
    <w:rPr>
      <w:rFonts w:cs="Times New Roman"/>
    </w:rPr>
  </w:style>
  <w:style w:type="character" w:customStyle="1" w:styleId="114">
    <w:name w:val="adjust_btn"/>
    <w:qFormat/>
    <w:uiPriority w:val="99"/>
    <w:rPr>
      <w:rFonts w:cs="Times New Roman"/>
    </w:rPr>
  </w:style>
  <w:style w:type="character" w:customStyle="1" w:styleId="115">
    <w:name w:val="split_btn"/>
    <w:qFormat/>
    <w:uiPriority w:val="99"/>
    <w:rPr>
      <w:rFonts w:cs="Times New Roman"/>
    </w:rPr>
  </w:style>
  <w:style w:type="character" w:customStyle="1" w:styleId="116">
    <w:name w:val="returnhigher_btn"/>
    <w:qFormat/>
    <w:uiPriority w:val="99"/>
    <w:rPr>
      <w:rFonts w:cs="Times New Roman"/>
    </w:rPr>
  </w:style>
  <w:style w:type="character" w:customStyle="1" w:styleId="117">
    <w:name w:val="assetmaintenance_btn"/>
    <w:qFormat/>
    <w:uiPriority w:val="99"/>
    <w:rPr>
      <w:rFonts w:cs="Times New Roman"/>
    </w:rPr>
  </w:style>
  <w:style w:type="character" w:customStyle="1" w:styleId="118">
    <w:name w:val="goback_off_btn"/>
    <w:qFormat/>
    <w:uiPriority w:val="99"/>
    <w:rPr>
      <w:rFonts w:cs="Times New Roman"/>
    </w:rPr>
  </w:style>
  <w:style w:type="character" w:customStyle="1" w:styleId="119">
    <w:name w:val="restore_btn"/>
    <w:qFormat/>
    <w:uiPriority w:val="99"/>
    <w:rPr>
      <w:rFonts w:cs="Times New Roman"/>
    </w:rPr>
  </w:style>
  <w:style w:type="character" w:customStyle="1" w:styleId="120">
    <w:name w:val="distribution_btn"/>
    <w:qFormat/>
    <w:uiPriority w:val="99"/>
    <w:rPr>
      <w:rFonts w:cs="Times New Roman"/>
    </w:rPr>
  </w:style>
  <w:style w:type="character" w:customStyle="1" w:styleId="121">
    <w:name w:val="datapermission_btn"/>
    <w:qFormat/>
    <w:uiPriority w:val="99"/>
    <w:rPr>
      <w:rFonts w:cs="Times New Roman"/>
    </w:rPr>
  </w:style>
  <w:style w:type="character" w:customStyle="1" w:styleId="122">
    <w:name w:val="enabled_btn"/>
    <w:qFormat/>
    <w:uiPriority w:val="99"/>
    <w:rPr>
      <w:rFonts w:cs="Times New Roman"/>
    </w:rPr>
  </w:style>
  <w:style w:type="character" w:customStyle="1" w:styleId="123">
    <w:name w:val="addsame_btn"/>
    <w:qFormat/>
    <w:uiPriority w:val="99"/>
    <w:rPr>
      <w:rFonts w:cs="Times New Roman"/>
    </w:rPr>
  </w:style>
  <w:style w:type="character" w:customStyle="1" w:styleId="124">
    <w:name w:val="receipt_btn"/>
    <w:qFormat/>
    <w:uiPriority w:val="99"/>
    <w:rPr>
      <w:rFonts w:cs="Times New Roman"/>
    </w:rPr>
  </w:style>
  <w:style w:type="character" w:customStyle="1" w:styleId="125">
    <w:name w:val="volumereceipt_btn"/>
    <w:qFormat/>
    <w:uiPriority w:val="99"/>
    <w:rPr>
      <w:rFonts w:cs="Times New Roman"/>
    </w:rPr>
  </w:style>
  <w:style w:type="character" w:customStyle="1" w:styleId="126">
    <w:name w:val="batchaudit_btn"/>
    <w:qFormat/>
    <w:uiPriority w:val="99"/>
    <w:rPr>
      <w:rFonts w:cs="Times New Roman"/>
    </w:rPr>
  </w:style>
  <w:style w:type="character" w:customStyle="1" w:styleId="127">
    <w:name w:val="chuanchu_btn"/>
    <w:qFormat/>
    <w:uiPriority w:val="99"/>
    <w:rPr>
      <w:rFonts w:cs="Times New Roman"/>
    </w:rPr>
  </w:style>
  <w:style w:type="character" w:customStyle="1" w:styleId="128">
    <w:name w:val="ok_btn"/>
    <w:qFormat/>
    <w:uiPriority w:val="99"/>
    <w:rPr>
      <w:rFonts w:cs="Times New Roman"/>
    </w:rPr>
  </w:style>
  <w:style w:type="character" w:customStyle="1" w:styleId="129">
    <w:name w:val="extend0_btn"/>
    <w:qFormat/>
    <w:uiPriority w:val="99"/>
    <w:rPr>
      <w:rFonts w:cs="Times New Roman"/>
    </w:rPr>
  </w:style>
  <w:style w:type="character" w:customStyle="1" w:styleId="130">
    <w:name w:val="tobottom_btn"/>
    <w:qFormat/>
    <w:uiPriority w:val="99"/>
    <w:rPr>
      <w:rFonts w:cs="Times New Roman"/>
    </w:rPr>
  </w:style>
  <w:style w:type="character" w:customStyle="1" w:styleId="131">
    <w:name w:val="singlekill_btn"/>
    <w:qFormat/>
    <w:uiPriority w:val="99"/>
    <w:rPr>
      <w:rFonts w:cs="Times New Roman"/>
    </w:rPr>
  </w:style>
  <w:style w:type="character" w:customStyle="1" w:styleId="132">
    <w:name w:val="grading_btn"/>
    <w:qFormat/>
    <w:uiPriority w:val="99"/>
    <w:rPr>
      <w:rFonts w:cs="Times New Roman"/>
    </w:rPr>
  </w:style>
  <w:style w:type="character" w:customStyle="1" w:styleId="133">
    <w:name w:val="currentissue_btn"/>
    <w:qFormat/>
    <w:uiPriority w:val="99"/>
    <w:rPr>
      <w:rFonts w:cs="Times New Roman"/>
    </w:rPr>
  </w:style>
  <w:style w:type="character" w:customStyle="1" w:styleId="134">
    <w:name w:val="doreceive_btn"/>
    <w:qFormat/>
    <w:uiPriority w:val="99"/>
    <w:rPr>
      <w:rFonts w:cs="Times New Roman"/>
    </w:rPr>
  </w:style>
  <w:style w:type="character" w:customStyle="1" w:styleId="135">
    <w:name w:val="cumulative_btn"/>
    <w:qFormat/>
    <w:uiPriority w:val="99"/>
    <w:rPr>
      <w:rFonts w:cs="Times New Roman"/>
    </w:rPr>
  </w:style>
  <w:style w:type="character" w:customStyle="1" w:styleId="136">
    <w:name w:val="screening_btn"/>
    <w:qFormat/>
    <w:uiPriority w:val="99"/>
    <w:rPr>
      <w:rFonts w:cs="Times New Roman"/>
    </w:rPr>
  </w:style>
  <w:style w:type="character" w:customStyle="1" w:styleId="137">
    <w:name w:val="initialization_btn"/>
    <w:qFormat/>
    <w:uiPriority w:val="99"/>
    <w:rPr>
      <w:rFonts w:cs="Times New Roman"/>
    </w:rPr>
  </w:style>
  <w:style w:type="character" w:customStyle="1" w:styleId="138">
    <w:name w:val="flip_btn"/>
    <w:qFormat/>
    <w:uiPriority w:val="99"/>
    <w:rPr>
      <w:rFonts w:cs="Times New Roman"/>
    </w:rPr>
  </w:style>
  <w:style w:type="character" w:customStyle="1" w:styleId="139">
    <w:name w:val="changenotes_btn"/>
    <w:qFormat/>
    <w:uiPriority w:val="99"/>
    <w:rPr>
      <w:rFonts w:cs="Times New Roman"/>
    </w:rPr>
  </w:style>
  <w:style w:type="character" w:customStyle="1" w:styleId="140">
    <w:name w:val="documents_btn"/>
    <w:qFormat/>
    <w:uiPriority w:val="99"/>
    <w:rPr>
      <w:rFonts w:cs="Times New Roman"/>
    </w:rPr>
  </w:style>
  <w:style w:type="character" w:customStyle="1" w:styleId="141">
    <w:name w:val="certificate_btn"/>
    <w:qFormat/>
    <w:uiPriority w:val="99"/>
    <w:rPr>
      <w:rFonts w:cs="Times New Roman"/>
    </w:rPr>
  </w:style>
  <w:style w:type="character" w:customStyle="1" w:styleId="142">
    <w:name w:val="sendsalaries_btn"/>
    <w:qFormat/>
    <w:uiPriority w:val="99"/>
    <w:rPr>
      <w:rFonts w:cs="Times New Roman"/>
    </w:rPr>
  </w:style>
  <w:style w:type="character" w:customStyle="1" w:styleId="143">
    <w:name w:val="stop_m_btn"/>
    <w:qFormat/>
    <w:uiPriority w:val="99"/>
    <w:rPr>
      <w:rFonts w:cs="Times New Roman"/>
    </w:rPr>
  </w:style>
  <w:style w:type="character" w:customStyle="1" w:styleId="144">
    <w:name w:val="sourceonly_btn"/>
    <w:qFormat/>
    <w:uiPriority w:val="99"/>
    <w:rPr>
      <w:rFonts w:cs="Times New Roman"/>
    </w:rPr>
  </w:style>
  <w:style w:type="character" w:customStyle="1" w:styleId="145">
    <w:name w:val="autocertificate_btn"/>
    <w:qFormat/>
    <w:uiPriority w:val="99"/>
    <w:rPr>
      <w:rFonts w:cs="Times New Roman"/>
    </w:rPr>
  </w:style>
  <w:style w:type="character" w:customStyle="1" w:styleId="146">
    <w:name w:val="refresh_btn"/>
    <w:qFormat/>
    <w:uiPriority w:val="99"/>
    <w:rPr>
      <w:rFonts w:cs="Times New Roman"/>
    </w:rPr>
  </w:style>
  <w:style w:type="character" w:customStyle="1" w:styleId="147">
    <w:name w:val="template_btn"/>
    <w:qFormat/>
    <w:uiPriority w:val="99"/>
    <w:rPr>
      <w:rFonts w:cs="Times New Roman"/>
    </w:rPr>
  </w:style>
  <w:style w:type="character" w:customStyle="1" w:styleId="148">
    <w:name w:val="show_btn"/>
    <w:qFormat/>
    <w:uiPriority w:val="99"/>
    <w:rPr>
      <w:rFonts w:cs="Times New Roman"/>
    </w:rPr>
  </w:style>
  <w:style w:type="character" w:customStyle="1" w:styleId="149">
    <w:name w:val="noticeshow_btn"/>
    <w:qFormat/>
    <w:uiPriority w:val="99"/>
    <w:rPr>
      <w:rFonts w:cs="Times New Roman"/>
    </w:rPr>
  </w:style>
  <w:style w:type="character" w:customStyle="1" w:styleId="150">
    <w:name w:val="ordercorresponding_btn"/>
    <w:qFormat/>
    <w:uiPriority w:val="99"/>
    <w:rPr>
      <w:rFonts w:cs="Times New Roman"/>
    </w:rPr>
  </w:style>
  <w:style w:type="character" w:customStyle="1" w:styleId="151">
    <w:name w:val="continue_m_btn"/>
    <w:qFormat/>
    <w:uiPriority w:val="99"/>
    <w:rPr>
      <w:rFonts w:cs="Times New Roman"/>
    </w:rPr>
  </w:style>
  <w:style w:type="character" w:customStyle="1" w:styleId="152">
    <w:name w:val="d_out_btn"/>
    <w:qFormat/>
    <w:uiPriority w:val="99"/>
    <w:rPr>
      <w:rFonts w:cs="Times New Roman"/>
    </w:rPr>
  </w:style>
  <w:style w:type="character" w:customStyle="1" w:styleId="153">
    <w:name w:val="retired_btn"/>
    <w:qFormat/>
    <w:uiPriority w:val="99"/>
    <w:rPr>
      <w:rFonts w:cs="Times New Roman"/>
    </w:rPr>
  </w:style>
  <w:style w:type="character" w:customStyle="1" w:styleId="154">
    <w:name w:val="off_btn"/>
    <w:qFormat/>
    <w:uiPriority w:val="99"/>
    <w:rPr>
      <w:rFonts w:cs="Times New Roman"/>
    </w:rPr>
  </w:style>
  <w:style w:type="character" w:customStyle="1" w:styleId="155">
    <w:name w:val="confirm_btn"/>
    <w:qFormat/>
    <w:uiPriority w:val="99"/>
    <w:rPr>
      <w:rFonts w:cs="Times New Roman"/>
    </w:rPr>
  </w:style>
  <w:style w:type="character" w:customStyle="1" w:styleId="156">
    <w:name w:val="setconditions_btn"/>
    <w:qFormat/>
    <w:uiPriority w:val="99"/>
    <w:rPr>
      <w:rFonts w:cs="Times New Roman"/>
    </w:rPr>
  </w:style>
  <w:style w:type="character" w:customStyle="1" w:styleId="157">
    <w:name w:val="returnlastpage_btn"/>
    <w:qFormat/>
    <w:uiPriority w:val="99"/>
    <w:rPr>
      <w:rFonts w:cs="Times New Roman"/>
    </w:rPr>
  </w:style>
  <w:style w:type="character" w:customStyle="1" w:styleId="158">
    <w:name w:val="additionalmonth_btn"/>
    <w:qFormat/>
    <w:uiPriority w:val="99"/>
    <w:rPr>
      <w:rFonts w:cs="Times New Roman"/>
    </w:rPr>
  </w:style>
  <w:style w:type="character" w:customStyle="1" w:styleId="159">
    <w:name w:val="log_btn"/>
    <w:qFormat/>
    <w:uiPriority w:val="99"/>
    <w:rPr>
      <w:rFonts w:cs="Times New Roman"/>
    </w:rPr>
  </w:style>
  <w:style w:type="character" w:customStyle="1" w:styleId="160">
    <w:name w:val="cleartozero_btn"/>
    <w:qFormat/>
    <w:uiPriority w:val="99"/>
    <w:rPr>
      <w:rFonts w:cs="Times New Roman"/>
    </w:rPr>
  </w:style>
  <w:style w:type="character" w:customStyle="1" w:styleId="161">
    <w:name w:val="ismodify_btn"/>
    <w:qFormat/>
    <w:uiPriority w:val="99"/>
    <w:rPr>
      <w:rFonts w:cs="Times New Roman"/>
    </w:rPr>
  </w:style>
  <w:style w:type="character" w:customStyle="1" w:styleId="162">
    <w:name w:val="onlyread_btn"/>
    <w:qFormat/>
    <w:uiPriority w:val="99"/>
    <w:rPr>
      <w:rFonts w:cs="Times New Roman"/>
    </w:rPr>
  </w:style>
  <w:style w:type="character" w:customStyle="1" w:styleId="163">
    <w:name w:val="personnelview_btn"/>
    <w:qFormat/>
    <w:uiPriority w:val="99"/>
    <w:rPr>
      <w:rFonts w:cs="Times New Roman"/>
    </w:rPr>
  </w:style>
  <w:style w:type="character" w:customStyle="1" w:styleId="164">
    <w:name w:val="salaryview_btn"/>
    <w:qFormat/>
    <w:uiPriority w:val="99"/>
    <w:rPr>
      <w:rFonts w:cs="Times New Roman"/>
    </w:rPr>
  </w:style>
  <w:style w:type="character" w:customStyle="1" w:styleId="165">
    <w:name w:val="certificatelist_btn"/>
    <w:qFormat/>
    <w:uiPriority w:val="99"/>
    <w:rPr>
      <w:rFonts w:cs="Times New Roman"/>
    </w:rPr>
  </w:style>
  <w:style w:type="character" w:customStyle="1" w:styleId="166">
    <w:name w:val="combinecertificate_btn"/>
    <w:qFormat/>
    <w:uiPriority w:val="99"/>
    <w:rPr>
      <w:rFonts w:cs="Times New Roman"/>
    </w:rPr>
  </w:style>
  <w:style w:type="character" w:customStyle="1" w:styleId="167">
    <w:name w:val="reversalcertificate_btn"/>
    <w:qFormat/>
    <w:uiPriority w:val="99"/>
    <w:rPr>
      <w:rFonts w:cs="Times New Roman"/>
    </w:rPr>
  </w:style>
  <w:style w:type="character" w:customStyle="1" w:styleId="168">
    <w:name w:val="sendmassage_btn"/>
    <w:qFormat/>
    <w:uiPriority w:val="99"/>
    <w:rPr>
      <w:rFonts w:cs="Times New Roman"/>
    </w:rPr>
  </w:style>
  <w:style w:type="character" w:customStyle="1" w:styleId="169">
    <w:name w:val="batchsave_btn"/>
    <w:qFormat/>
    <w:uiPriority w:val="99"/>
    <w:rPr>
      <w:rFonts w:cs="Times New Roman"/>
    </w:rPr>
  </w:style>
  <w:style w:type="character" w:customStyle="1" w:styleId="170">
    <w:name w:val="summaryconditions_btn"/>
    <w:qFormat/>
    <w:uiPriority w:val="99"/>
    <w:rPr>
      <w:rFonts w:cs="Times New Roman"/>
    </w:rPr>
  </w:style>
  <w:style w:type="character" w:customStyle="1" w:styleId="171">
    <w:name w:val="totop_btn"/>
    <w:qFormat/>
    <w:uiPriority w:val="99"/>
    <w:rPr>
      <w:rFonts w:cs="Times New Roman"/>
    </w:rPr>
  </w:style>
  <w:style w:type="character" w:customStyle="1" w:styleId="172">
    <w:name w:val="adjustorder_btn"/>
    <w:qFormat/>
    <w:uiPriority w:val="99"/>
    <w:rPr>
      <w:rFonts w:cs="Times New Roman"/>
    </w:rPr>
  </w:style>
  <w:style w:type="character" w:customStyle="1" w:styleId="173">
    <w:name w:val="availablecredit_btn"/>
    <w:qFormat/>
    <w:uiPriority w:val="99"/>
    <w:rPr>
      <w:rFonts w:cs="Times New Roman"/>
    </w:rPr>
  </w:style>
  <w:style w:type="character" w:customStyle="1" w:styleId="174">
    <w:name w:val="addrow_btn"/>
    <w:qFormat/>
    <w:uiPriority w:val="99"/>
    <w:rPr>
      <w:rFonts w:cs="Times New Roman"/>
    </w:rPr>
  </w:style>
  <w:style w:type="character" w:customStyle="1" w:styleId="175">
    <w:name w:val="jianrow_btn"/>
    <w:qFormat/>
    <w:uiPriority w:val="99"/>
    <w:rPr>
      <w:rFonts w:cs="Times New Roman"/>
    </w:rPr>
  </w:style>
  <w:style w:type="character" w:customStyle="1" w:styleId="176">
    <w:name w:val="active9"/>
    <w:qFormat/>
    <w:uiPriority w:val="99"/>
    <w:rPr>
      <w:rFonts w:cs="Times New Roman"/>
      <w:color w:val="00FF00"/>
      <w:shd w:val="clear" w:color="auto" w:fill="000000"/>
    </w:rPr>
  </w:style>
  <w:style w:type="character" w:customStyle="1" w:styleId="177">
    <w:name w:val="hilite6"/>
    <w:qFormat/>
    <w:uiPriority w:val="99"/>
    <w:rPr>
      <w:rFonts w:cs="Times New Roman"/>
      <w:color w:val="FFFFFF"/>
      <w:shd w:val="clear" w:color="auto" w:fill="666677"/>
    </w:rPr>
  </w:style>
  <w:style w:type="character" w:customStyle="1" w:styleId="178">
    <w:name w:val="active"/>
    <w:qFormat/>
    <w:uiPriority w:val="99"/>
    <w:rPr>
      <w:rFonts w:cs="Times New Roman"/>
      <w:color w:val="00FF00"/>
      <w:shd w:val="clear" w:color="auto" w:fill="000000"/>
    </w:rPr>
  </w:style>
  <w:style w:type="character" w:customStyle="1" w:styleId="179">
    <w:name w:val="ui-icon6"/>
    <w:qFormat/>
    <w:uiPriority w:val="99"/>
    <w:rPr>
      <w:rFonts w:cs="Times New Roman"/>
    </w:rPr>
  </w:style>
  <w:style w:type="character" w:customStyle="1" w:styleId="180">
    <w:name w:val="批注框文本 Char"/>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5BF5E6-C8A1-49BD-B38E-8A1490D406E9}">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24</Pages>
  <Words>1837</Words>
  <Characters>10472</Characters>
  <Lines>87</Lines>
  <Paragraphs>24</Paragraphs>
  <TotalTime>17</TotalTime>
  <ScaleCrop>false</ScaleCrop>
  <LinksUpToDate>false</LinksUpToDate>
  <CharactersWithSpaces>12285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2020-12-10T01:04:00Z</dcterms:created>
  <dc:creator>七彩阳光</dc:creator>
  <cp:lastModifiedBy>Administrator</cp:lastModifiedBy>
  <cp:lastPrinted>2021-12-31T03:42:00Z</cp:lastPrinted>
  <dcterms:modified xsi:type="dcterms:W3CDTF">2022-01-02T03:16:59Z</dcterms:modified>
  <cp:revision>699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KSOSaveFontToCloudKey">
    <vt:lpwstr>278859995_btnclosed</vt:lpwstr>
  </property>
  <property fmtid="{D5CDD505-2E9C-101B-9397-08002B2CF9AE}" pid="4" name="ICV">
    <vt:lpwstr>E6E04B65839E4F0CBF3A29E8E6D8015F</vt:lpwstr>
  </property>
</Properties>
</file>