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bidi w:val="0"/>
        <w:snapToGrid/>
        <w:spacing w:line="560" w:lineRule="exact"/>
        <w:ind w:left="0" w:leftChars="0" w:right="0" w:rightChars="0"/>
        <w:jc w:val="center"/>
        <w:textAlignment w:val="auto"/>
        <w:outlineLvl w:val="9"/>
        <w:rPr>
          <w:rFonts w:hint="default" w:ascii="Times New Roman" w:hAnsi="Times New Roman" w:eastAsia="方正小标宋_GBK" w:cs="Times New Roman"/>
          <w:b w:val="0"/>
          <w:bCs w:val="0"/>
          <w:color w:val="auto"/>
          <w:sz w:val="44"/>
          <w:szCs w:val="44"/>
          <w:shd w:val="clear" w:color="auto" w:fill="FFFFFF"/>
          <w:lang w:val="en-US" w:eastAsia="zh-CN" w:bidi="ar"/>
        </w:rPr>
      </w:pPr>
      <w:bookmarkStart w:id="0" w:name="_GoBack"/>
      <w:r>
        <w:rPr>
          <w:rFonts w:hint="default" w:ascii="Times New Roman" w:hAnsi="Times New Roman" w:eastAsia="方正小标宋_GBK" w:cs="Times New Roman"/>
          <w:b w:val="0"/>
          <w:bCs w:val="0"/>
          <w:color w:val="auto"/>
          <w:sz w:val="44"/>
          <w:szCs w:val="44"/>
          <w:shd w:val="clear" w:color="auto" w:fill="FFFFFF"/>
          <w:lang w:val="en-US" w:eastAsia="zh-CN" w:bidi="ar"/>
        </w:rPr>
        <w:t>奉节县总工会</w:t>
      </w:r>
    </w:p>
    <w:p>
      <w:pPr>
        <w:keepNext w:val="0"/>
        <w:keepLines w:val="0"/>
        <w:pageBreakBefore w:val="0"/>
        <w:widowControl w:val="0"/>
        <w:kinsoku/>
        <w:wordWrap/>
        <w:overflowPunct/>
        <w:topLinePunct w:val="0"/>
        <w:bidi w:val="0"/>
        <w:snapToGrid/>
        <w:spacing w:line="560" w:lineRule="exact"/>
        <w:ind w:left="0" w:leftChars="0" w:right="0" w:rightChars="0" w:firstLine="880" w:firstLineChars="200"/>
        <w:jc w:val="center"/>
        <w:textAlignment w:val="auto"/>
        <w:outlineLvl w:val="9"/>
        <w:rPr>
          <w:rFonts w:hint="default" w:ascii="Times New Roman" w:hAnsi="Times New Roman" w:eastAsia="方正小标宋_GBK" w:cs="Times New Roman"/>
          <w:b w:val="0"/>
          <w:bCs w:val="0"/>
          <w:i w:val="0"/>
          <w:iCs w:val="0"/>
          <w:caps w:val="0"/>
          <w:color w:val="auto"/>
          <w:spacing w:val="0"/>
          <w:kern w:val="0"/>
          <w:sz w:val="44"/>
          <w:szCs w:val="44"/>
          <w:u w:val="none"/>
          <w:shd w:val="clear" w:color="auto" w:fill="FFFFFF"/>
          <w:lang w:val="en-US" w:eastAsia="zh-CN" w:bidi="ar"/>
        </w:rPr>
      </w:pPr>
      <w:r>
        <w:rPr>
          <w:rFonts w:hint="default" w:ascii="Times New Roman" w:hAnsi="Times New Roman" w:eastAsia="方正小标宋_GBK" w:cs="Times New Roman"/>
          <w:b w:val="0"/>
          <w:bCs w:val="0"/>
          <w:i w:val="0"/>
          <w:iCs w:val="0"/>
          <w:caps w:val="0"/>
          <w:color w:val="auto"/>
          <w:spacing w:val="0"/>
          <w:kern w:val="0"/>
          <w:sz w:val="44"/>
          <w:szCs w:val="44"/>
          <w:u w:val="none"/>
          <w:shd w:val="clear" w:color="auto" w:fill="FFFFFF"/>
          <w:lang w:val="en-US" w:eastAsia="zh-CN" w:bidi="ar"/>
        </w:rPr>
        <w:t>2022年度部门（单位）整体支出预算绩效自评报告</w:t>
      </w:r>
    </w:p>
    <w:bookmarkEnd w:id="0"/>
    <w:p>
      <w:pPr>
        <w:pStyle w:val="2"/>
        <w:keepNext w:val="0"/>
        <w:keepLines w:val="0"/>
        <w:pageBreakBefore w:val="0"/>
        <w:widowControl w:val="0"/>
        <w:kinsoku/>
        <w:wordWrap/>
        <w:overflowPunct/>
        <w:topLinePunct w:val="0"/>
        <w:bidi w:val="0"/>
        <w:snapToGrid/>
        <w:spacing w:line="560" w:lineRule="exact"/>
        <w:ind w:right="0" w:rightChars="0" w:firstLine="64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bidi w:val="0"/>
        <w:snapToGrid/>
        <w:spacing w:line="600" w:lineRule="exact"/>
        <w:ind w:right="0" w:rightChars="0" w:firstLine="640" w:firstLineChars="200"/>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一、</w:t>
      </w:r>
      <w:r>
        <w:rPr>
          <w:rFonts w:hint="default" w:ascii="Times New Roman" w:hAnsi="Times New Roman" w:eastAsia="方正黑体_GBK" w:cs="Times New Roman"/>
          <w:b w:val="0"/>
          <w:bCs w:val="0"/>
          <w:sz w:val="32"/>
          <w:szCs w:val="32"/>
          <w:lang w:eastAsia="zh-CN"/>
        </w:rPr>
        <w:t>单位</w:t>
      </w:r>
      <w:r>
        <w:rPr>
          <w:rFonts w:hint="default" w:ascii="Times New Roman" w:hAnsi="Times New Roman" w:eastAsia="方正黑体_GBK" w:cs="Times New Roman"/>
          <w:b w:val="0"/>
          <w:bCs w:val="0"/>
          <w:sz w:val="32"/>
          <w:szCs w:val="32"/>
        </w:rPr>
        <w:t>概况</w:t>
      </w:r>
    </w:p>
    <w:p>
      <w:pPr>
        <w:keepNext w:val="0"/>
        <w:keepLines w:val="0"/>
        <w:pageBreakBefore w:val="0"/>
        <w:widowControl w:val="0"/>
        <w:kinsoku/>
        <w:wordWrap/>
        <w:overflowPunct/>
        <w:topLinePunct w:val="0"/>
        <w:bidi w:val="0"/>
        <w:snapToGrid/>
        <w:spacing w:line="600" w:lineRule="exact"/>
        <w:ind w:right="0" w:righ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（一）基本情况</w:t>
      </w:r>
    </w:p>
    <w:p>
      <w:pPr>
        <w:keepNext w:val="0"/>
        <w:keepLines w:val="0"/>
        <w:pageBreakBefore w:val="0"/>
        <w:widowControl w:val="0"/>
        <w:kinsoku/>
        <w:wordWrap/>
        <w:overflowPunct/>
        <w:topLinePunct w:val="0"/>
        <w:bidi w:val="0"/>
        <w:snapToGrid/>
        <w:spacing w:line="60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cs="Times New Roman"/>
          <w:sz w:val="32"/>
          <w:szCs w:val="32"/>
          <w:lang w:val="en-US" w:eastAsia="zh-CN"/>
        </w:rPr>
        <w:t>2022</w:t>
      </w:r>
      <w:r>
        <w:rPr>
          <w:rFonts w:hint="default" w:ascii="Times New Roman" w:hAnsi="Times New Roman" w:eastAsia="方正仿宋_GBK" w:cs="Times New Roman"/>
          <w:sz w:val="32"/>
          <w:szCs w:val="32"/>
        </w:rPr>
        <w:t>年我</w:t>
      </w:r>
      <w:r>
        <w:rPr>
          <w:rFonts w:hint="default" w:ascii="Times New Roman" w:hAnsi="Times New Roman" w:eastAsia="方正仿宋_GBK" w:cs="Times New Roman"/>
          <w:sz w:val="32"/>
          <w:szCs w:val="32"/>
          <w:lang w:eastAsia="zh-CN"/>
        </w:rPr>
        <w:t>单位</w:t>
      </w:r>
      <w:r>
        <w:rPr>
          <w:rFonts w:hint="default" w:ascii="Times New Roman" w:hAnsi="Times New Roman" w:eastAsia="方正仿宋_GBK" w:cs="Times New Roman"/>
          <w:sz w:val="32"/>
          <w:szCs w:val="32"/>
        </w:rPr>
        <w:t>预算编制范围包括</w:t>
      </w:r>
      <w:r>
        <w:rPr>
          <w:rFonts w:hint="default" w:ascii="Times New Roman" w:hAnsi="Times New Roman" w:eastAsia="方正仿宋_GBK" w:cs="Times New Roman"/>
          <w:sz w:val="32"/>
          <w:szCs w:val="32"/>
          <w:lang w:eastAsia="zh-CN"/>
        </w:rPr>
        <w:t>：</w:t>
      </w:r>
      <w:r>
        <w:rPr>
          <w:rFonts w:hint="default" w:ascii="Times New Roman" w:hAnsi="Times New Roman" w:cs="Times New Roman"/>
          <w:color w:val="auto"/>
          <w:sz w:val="32"/>
          <w:szCs w:val="32"/>
          <w:lang w:val="en-US" w:eastAsia="zh-CN"/>
        </w:rPr>
        <w:t>奉节县总工会</w:t>
      </w:r>
      <w:r>
        <w:rPr>
          <w:rFonts w:hint="default" w:ascii="Times New Roman" w:hAnsi="Times New Roman" w:eastAsia="方正仿宋_GBK" w:cs="Times New Roman"/>
          <w:sz w:val="32"/>
          <w:szCs w:val="32"/>
        </w:rPr>
        <w:t>作为一级预算单位。我单位</w:t>
      </w:r>
      <w:r>
        <w:rPr>
          <w:rFonts w:hint="default" w:ascii="Times New Roman" w:hAnsi="Times New Roman" w:eastAsia="方正仿宋_GBK" w:cs="Times New Roman"/>
          <w:sz w:val="32"/>
          <w:szCs w:val="32"/>
          <w:lang w:eastAsia="zh-CN"/>
        </w:rPr>
        <w:t>核定</w:t>
      </w:r>
      <w:r>
        <w:rPr>
          <w:rFonts w:hint="default" w:ascii="Times New Roman" w:hAnsi="Times New Roman" w:eastAsia="方正仿宋_GBK" w:cs="Times New Roman"/>
          <w:sz w:val="32"/>
          <w:szCs w:val="32"/>
        </w:rPr>
        <w:t>人员编制数为</w:t>
      </w:r>
      <w:r>
        <w:rPr>
          <w:rFonts w:hint="default" w:ascii="Times New Roman" w:hAnsi="Times New Roman" w:cs="Times New Roman"/>
          <w:sz w:val="32"/>
          <w:szCs w:val="32"/>
          <w:lang w:val="en-US" w:eastAsia="zh-CN"/>
        </w:rPr>
        <w:t>9</w:t>
      </w:r>
      <w:r>
        <w:rPr>
          <w:rFonts w:hint="default" w:ascii="Times New Roman" w:hAnsi="Times New Roman" w:eastAsia="方正仿宋_GBK" w:cs="Times New Roman"/>
          <w:sz w:val="32"/>
          <w:szCs w:val="32"/>
        </w:rPr>
        <w:t>人</w:t>
      </w:r>
      <w:r>
        <w:rPr>
          <w:rFonts w:hint="default" w:ascii="Times New Roman" w:hAnsi="Times New Roman" w:eastAsia="方正仿宋_GBK" w:cs="Times New Roman"/>
          <w:sz w:val="32"/>
          <w:szCs w:val="32"/>
          <w:lang w:eastAsia="zh-CN"/>
        </w:rPr>
        <w:t>（其中行政编制</w:t>
      </w:r>
      <w:r>
        <w:rPr>
          <w:rFonts w:hint="default" w:ascii="Times New Roman" w:hAnsi="Times New Roman" w:cs="Times New Roman"/>
          <w:sz w:val="32"/>
          <w:szCs w:val="32"/>
          <w:lang w:val="en-US" w:eastAsia="zh-CN"/>
        </w:rPr>
        <w:t>5</w:t>
      </w:r>
      <w:r>
        <w:rPr>
          <w:rFonts w:hint="default" w:ascii="Times New Roman" w:hAnsi="Times New Roman" w:eastAsia="方正仿宋_GBK" w:cs="Times New Roman"/>
          <w:sz w:val="32"/>
          <w:szCs w:val="32"/>
          <w:lang w:val="en-US" w:eastAsia="zh-CN"/>
        </w:rPr>
        <w:t>人，事业编制</w:t>
      </w:r>
      <w:r>
        <w:rPr>
          <w:rFonts w:hint="default" w:ascii="Times New Roman" w:hAnsi="Times New Roman" w:cs="Times New Roman"/>
          <w:sz w:val="32"/>
          <w:szCs w:val="32"/>
          <w:lang w:val="en-US" w:eastAsia="zh-CN"/>
        </w:rPr>
        <w:t>4</w:t>
      </w:r>
      <w:r>
        <w:rPr>
          <w:rFonts w:hint="default" w:ascii="Times New Roman" w:hAnsi="Times New Roman" w:eastAsia="方正仿宋_GBK" w:cs="Times New Roman"/>
          <w:sz w:val="32"/>
          <w:szCs w:val="32"/>
          <w:lang w:val="en-US" w:eastAsia="zh-CN"/>
        </w:rPr>
        <w:t>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，实际在职在岗</w:t>
      </w:r>
      <w:r>
        <w:rPr>
          <w:rFonts w:hint="default" w:ascii="Times New Roman" w:hAnsi="Times New Roman" w:cs="Times New Roman"/>
          <w:sz w:val="32"/>
          <w:szCs w:val="32"/>
          <w:lang w:val="en-US" w:eastAsia="zh-CN"/>
        </w:rPr>
        <w:t>9</w:t>
      </w:r>
      <w:r>
        <w:rPr>
          <w:rFonts w:hint="default" w:ascii="Times New Roman" w:hAnsi="Times New Roman" w:eastAsia="方正仿宋_GBK" w:cs="Times New Roman"/>
          <w:sz w:val="32"/>
          <w:szCs w:val="32"/>
        </w:rPr>
        <w:t>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遗属补助</w:t>
      </w:r>
      <w:r>
        <w:rPr>
          <w:rFonts w:hint="default" w:ascii="Times New Roman" w:hAnsi="Times New Roman" w:cs="Times New Roman"/>
          <w:sz w:val="32"/>
          <w:szCs w:val="32"/>
          <w:lang w:val="en-US" w:eastAsia="zh-CN"/>
        </w:rPr>
        <w:t>0</w:t>
      </w:r>
      <w:r>
        <w:rPr>
          <w:rFonts w:hint="default" w:ascii="Times New Roman" w:hAnsi="Times New Roman" w:eastAsia="方正仿宋_GBK" w:cs="Times New Roman"/>
          <w:sz w:val="32"/>
          <w:szCs w:val="32"/>
        </w:rPr>
        <w:t>人。公务用车编制数</w:t>
      </w:r>
      <w:r>
        <w:rPr>
          <w:rFonts w:hint="default" w:ascii="Times New Roman" w:hAnsi="Times New Roman" w:cs="Times New Roman"/>
          <w:sz w:val="32"/>
          <w:szCs w:val="32"/>
          <w:lang w:val="en-US" w:eastAsia="zh-CN"/>
        </w:rPr>
        <w:t>1</w:t>
      </w:r>
      <w:r>
        <w:rPr>
          <w:rFonts w:hint="default" w:ascii="Times New Roman" w:hAnsi="Times New Roman" w:eastAsia="方正仿宋_GBK" w:cs="Times New Roman"/>
          <w:sz w:val="32"/>
          <w:szCs w:val="32"/>
        </w:rPr>
        <w:t>台，实际</w:t>
      </w:r>
      <w:r>
        <w:rPr>
          <w:rFonts w:hint="default" w:ascii="Times New Roman" w:hAnsi="Times New Roman" w:cs="Times New Roman"/>
          <w:sz w:val="32"/>
          <w:szCs w:val="32"/>
          <w:lang w:val="en-US" w:eastAsia="zh-CN"/>
        </w:rPr>
        <w:t>1</w:t>
      </w:r>
      <w:r>
        <w:rPr>
          <w:rFonts w:hint="default" w:ascii="Times New Roman" w:hAnsi="Times New Roman" w:eastAsia="方正仿宋_GBK" w:cs="Times New Roman"/>
          <w:sz w:val="32"/>
          <w:szCs w:val="32"/>
        </w:rPr>
        <w:t>台。房屋</w:t>
      </w:r>
      <w:r>
        <w:rPr>
          <w:rFonts w:hint="default" w:ascii="Times New Roman" w:hAnsi="Times New Roman" w:eastAsia="方正仿宋_GBK" w:cs="Times New Roman"/>
          <w:sz w:val="32"/>
          <w:szCs w:val="32"/>
          <w:lang w:eastAsia="zh-CN"/>
        </w:rPr>
        <w:t>建筑</w:t>
      </w:r>
      <w:r>
        <w:rPr>
          <w:rFonts w:hint="default" w:ascii="Times New Roman" w:hAnsi="Times New Roman" w:eastAsia="方正仿宋_GBK" w:cs="Times New Roman"/>
          <w:sz w:val="32"/>
          <w:szCs w:val="32"/>
        </w:rPr>
        <w:t>面积</w:t>
      </w:r>
      <w:r>
        <w:rPr>
          <w:rFonts w:hint="default" w:ascii="Times New Roman" w:hAnsi="Times New Roman" w:eastAsia="方正仿宋_GBK" w:cs="Times New Roman"/>
          <w:sz w:val="32"/>
          <w:szCs w:val="32"/>
          <w:lang w:val="en-US" w:eastAsia="zh-CN"/>
        </w:rPr>
        <w:t>5946.59</w:t>
      </w:r>
      <w:r>
        <w:rPr>
          <w:rFonts w:hint="default" w:ascii="Times New Roman" w:hAnsi="Times New Roman" w:eastAsia="方正仿宋_GBK" w:cs="Times New Roman"/>
          <w:sz w:val="32"/>
          <w:szCs w:val="32"/>
        </w:rPr>
        <w:t>平方米</w:t>
      </w:r>
      <w:r>
        <w:rPr>
          <w:rFonts w:hint="default" w:ascii="Times New Roman" w:hAnsi="Times New Roman" w:eastAsia="方正仿宋_GBK" w:cs="Times New Roman"/>
          <w:sz w:val="32"/>
          <w:szCs w:val="32"/>
          <w:lang w:eastAsia="zh-CN"/>
        </w:rPr>
        <w:t>，使用面积</w:t>
      </w:r>
      <w:r>
        <w:rPr>
          <w:rFonts w:hint="default" w:ascii="Times New Roman" w:hAnsi="Times New Roman" w:cs="Times New Roman"/>
          <w:sz w:val="32"/>
          <w:szCs w:val="32"/>
          <w:lang w:val="en-US" w:eastAsia="zh-CN"/>
        </w:rPr>
        <w:t>1021.77</w:t>
      </w:r>
      <w:r>
        <w:rPr>
          <w:rFonts w:hint="default" w:ascii="Times New Roman" w:hAnsi="Times New Roman" w:eastAsia="方正仿宋_GBK" w:cs="Times New Roman"/>
          <w:sz w:val="32"/>
          <w:szCs w:val="32"/>
          <w:lang w:val="en-US" w:eastAsia="zh-CN"/>
        </w:rPr>
        <w:t>平方米</w:t>
      </w:r>
      <w:r>
        <w:rPr>
          <w:rFonts w:hint="default" w:ascii="Times New Roman" w:hAnsi="Times New Roman" w:eastAsia="方正仿宋_GBK" w:cs="Times New Roman"/>
          <w:sz w:val="32"/>
          <w:szCs w:val="32"/>
        </w:rPr>
        <w:t>。</w:t>
      </w:r>
    </w:p>
    <w:p>
      <w:pPr>
        <w:keepNext w:val="0"/>
        <w:keepLines w:val="0"/>
        <w:pageBreakBefore w:val="0"/>
        <w:widowControl w:val="0"/>
        <w:numPr>
          <w:ilvl w:val="0"/>
          <w:numId w:val="1"/>
        </w:numPr>
        <w:kinsoku/>
        <w:wordWrap/>
        <w:overflowPunct/>
        <w:topLinePunct w:val="0"/>
        <w:bidi w:val="0"/>
        <w:snapToGrid/>
        <w:spacing w:line="600" w:lineRule="exact"/>
        <w:ind w:right="0" w:rightChars="0" w:firstLine="640" w:firstLineChars="200"/>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基本职责</w:t>
      </w:r>
    </w:p>
    <w:p>
      <w:pPr>
        <w:keepNext w:val="0"/>
        <w:keepLines w:val="0"/>
        <w:pageBreakBefore w:val="0"/>
        <w:widowControl w:val="0"/>
        <w:kinsoku/>
        <w:wordWrap/>
        <w:overflowPunct/>
        <w:topLinePunct w:val="0"/>
        <w:bidi w:val="0"/>
        <w:snapToGrid/>
        <w:spacing w:line="600" w:lineRule="exact"/>
        <w:ind w:right="0" w:rightChars="0" w:firstLine="643"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一是</w:t>
      </w:r>
      <w:r>
        <w:rPr>
          <w:rFonts w:hint="default" w:ascii="Times New Roman" w:hAnsi="Times New Roman" w:eastAsia="方正仿宋_GBK" w:cs="Times New Roman"/>
          <w:sz w:val="32"/>
          <w:szCs w:val="32"/>
          <w:lang w:val="en-US" w:eastAsia="zh-CN"/>
        </w:rPr>
        <w:t>加强对广大职工群众的政治引领和思想引导。坚持党的领导，坚决贯彻党的意志和主张，坚定不移走中国特色社会主义工会发展道路，增强工会工作的政治性、先进性和群众性，切实承担引导广大职工群众听党话、跟党走的政治任务，始终把广大职工群众紧紧地团结在以习近平同志为核心的党中央周围，引导广大职工弘扬劳动精神、劳模精神、工匠精神，增强“四个意识”，凝聚建设社会主义现代化强国，实现伟大复兴“中国梦”的强大合力。</w:t>
      </w:r>
      <w:r>
        <w:rPr>
          <w:rFonts w:hint="default" w:ascii="Times New Roman" w:hAnsi="Times New Roman" w:eastAsia="方正仿宋_GBK" w:cs="Times New Roman"/>
          <w:b/>
          <w:bCs/>
          <w:sz w:val="32"/>
          <w:szCs w:val="32"/>
          <w:lang w:val="en-US" w:eastAsia="zh-CN"/>
        </w:rPr>
        <w:t>二是</w:t>
      </w:r>
      <w:r>
        <w:rPr>
          <w:rFonts w:hint="default" w:ascii="Times New Roman" w:hAnsi="Times New Roman" w:eastAsia="方正仿宋_GBK" w:cs="Times New Roman"/>
          <w:sz w:val="32"/>
          <w:szCs w:val="32"/>
          <w:lang w:val="en-US" w:eastAsia="zh-CN"/>
        </w:rPr>
        <w:t>突出基本职责定位。认真学习贯彻落实习近平新时代中国特色社会主义思想、《中华人民共和国工会法》、《中国工会章程》等有关工会方面的法律法规，切实履行“维护、建设、参与、教育”四大职能，贯彻执行奉节县工会代表大会确定的方针任务和作出的决议，组织和指导各级工会认真履行工会工作职能，以忠诚党的事业、竭诚服务职工为己任，围绕中心、服务大局，充分发挥桥梁和纽带作用。</w:t>
      </w:r>
      <w:r>
        <w:rPr>
          <w:rFonts w:hint="default" w:ascii="Times New Roman" w:hAnsi="Times New Roman" w:eastAsia="方正仿宋_GBK" w:cs="Times New Roman"/>
          <w:b/>
          <w:bCs/>
          <w:sz w:val="32"/>
          <w:szCs w:val="32"/>
          <w:lang w:val="en-US" w:eastAsia="zh-CN"/>
        </w:rPr>
        <w:t>三是</w:t>
      </w:r>
      <w:r>
        <w:rPr>
          <w:rFonts w:hint="default" w:ascii="Times New Roman" w:hAnsi="Times New Roman" w:eastAsia="方正仿宋_GBK" w:cs="Times New Roman"/>
          <w:sz w:val="32"/>
          <w:szCs w:val="32"/>
          <w:lang w:val="en-US" w:eastAsia="zh-CN"/>
        </w:rPr>
        <w:t>拓展组织覆盖和工作覆盖。适应人口流动、新兴群体发展等新情况，以企业、行业、乡镇（街道）、园区等为主阵地，重点加强移民生态产业园工会建设和对非公经济组织和社会组织的组织覆盖。积极探索新时代工会工作的新举措、新经验，全面深化工会改革创新，建设符合广大职工需求的网上职工之家，创新会员发展、联系职工、开展活动的方式，健全完善工会工作效果评价制度，加强工会组织建设，做实做强“四季帮扶”、“职工之家”建设、技能竞赛、法律援助和职工文化等品牌。</w:t>
      </w:r>
    </w:p>
    <w:p>
      <w:pPr>
        <w:keepNext w:val="0"/>
        <w:keepLines w:val="0"/>
        <w:pageBreakBefore w:val="0"/>
        <w:widowControl w:val="0"/>
        <w:kinsoku/>
        <w:wordWrap/>
        <w:overflowPunct/>
        <w:topLinePunct w:val="0"/>
        <w:bidi w:val="0"/>
        <w:snapToGrid/>
        <w:spacing w:line="600" w:lineRule="exact"/>
        <w:ind w:right="0" w:rightChars="0" w:firstLine="640" w:firstLineChars="200"/>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（三）年度主要工作概述</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方正仿宋_GBK" w:cs="Times New Roman"/>
          <w:b w:val="0"/>
          <w:kern w:val="2"/>
          <w:sz w:val="32"/>
          <w:szCs w:val="32"/>
          <w:lang w:val="en-US" w:eastAsia="zh-CN" w:bidi="ar-SA"/>
        </w:rPr>
      </w:pPr>
      <w:r>
        <w:rPr>
          <w:rFonts w:hint="default" w:ascii="Times New Roman" w:hAnsi="Times New Roman" w:eastAsia="方正仿宋_GBK" w:cs="Times New Roman"/>
          <w:b w:val="0"/>
          <w:color w:val="auto"/>
          <w:kern w:val="2"/>
          <w:sz w:val="32"/>
          <w:szCs w:val="32"/>
          <w:lang w:val="en-US" w:eastAsia="zh-CN" w:bidi="ar-SA"/>
        </w:rPr>
        <w:t>制定主题鲜明、富有特色的全县干部职工工会活动方案，</w:t>
      </w:r>
      <w:r>
        <w:rPr>
          <w:rFonts w:hint="default" w:ascii="Times New Roman" w:hAnsi="Times New Roman" w:eastAsia="方正仿宋_GBK" w:cs="Times New Roman"/>
          <w:color w:val="000000"/>
          <w:kern w:val="0"/>
          <w:sz w:val="32"/>
          <w:szCs w:val="32"/>
          <w:lang w:val="en-US" w:eastAsia="zh-CN"/>
        </w:rPr>
        <w:t>规范和指导各级工会活动有声有色开展，</w:t>
      </w:r>
      <w:r>
        <w:rPr>
          <w:rFonts w:hint="default" w:ascii="Times New Roman" w:hAnsi="Times New Roman" w:eastAsia="方正仿宋_GBK" w:cs="Times New Roman"/>
          <w:b w:val="0"/>
          <w:color w:val="auto"/>
          <w:kern w:val="2"/>
          <w:sz w:val="32"/>
          <w:szCs w:val="32"/>
          <w:lang w:val="en-US" w:eastAsia="zh-CN" w:bidi="ar-SA"/>
        </w:rPr>
        <w:t>激励担当作为、展现干部职工风采。顺应人民群众对美好环境和幸福生活的新期待，做好做实户外劳动者关心关爱工作，新建太白苑、滨河四号等六个“劳动者港湾”示范点，奉节县夔州路建行工会户外劳动者服务站点获评全国总工会2022年“最美工会户外劳动者服务站点”，职工群众获得感、幸福感进一步提升。强化女职工关爱，渝东医院工会“爱心妈咪小屋”荣获市级“爱心妈咪小屋”功能拓展升级单位。</w:t>
      </w:r>
      <w:r>
        <w:rPr>
          <w:rFonts w:hint="default" w:ascii="Times New Roman" w:hAnsi="Times New Roman" w:eastAsia="方正仿宋_GBK" w:cs="Times New Roman"/>
          <w:b w:val="0"/>
          <w:kern w:val="2"/>
          <w:sz w:val="32"/>
          <w:szCs w:val="32"/>
          <w:lang w:val="en-US" w:eastAsia="zh-CN" w:bidi="ar-SA"/>
        </w:rPr>
        <w:t>将“中国梦·劳动美”主题宣传教育纳入全县工会工作要点，高质量组织开展“五一”庆祝活动，拍摄制作10名“劳模风采”专题片在县级媒体陆续播放，组织6名劳模工匠进校园进社区进园区宣讲，参与职工群众1000余人；首次评选“我爱劳动”视频优秀作品10件，系列活动发出好声音，传达正能量，营造好氛围。与县级有关部门承办好全县干部职工广播体操比赛、首届公文写作大赛等文体活动，展现职工风采。广泛动员、精心组织我县职工参加各类文体艺赛事活动，重庆市职工书画摄影大赛中我县6幅作品获奖。</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kern w:val="2"/>
          <w:sz w:val="32"/>
          <w:szCs w:val="32"/>
          <w:lang w:val="en-US" w:eastAsia="zh-CN" w:bidi="ar-SA"/>
        </w:rPr>
        <w:t>切实维护职工合法权益，加强劳动法律监督员、劳动关系信息员和劳动保护监督检查员的选任培训力度，建立来自乡镇（街道）、工业园区等行列的劳动关系信息员、劳动关系信息员和劳动保护监督检查员各35名的人员队伍，畅通渠道、全面排查化解劳动领域各类矛盾纠纷。聘用工会业务骨干和专职律师为调解员，积极开展工会劳动争议纠纷人民调解工作，全年完成调解案件5件，并录入和收集归档；开展“尊法守法·携手筑梦”专项宣传活动3次，提供免费法律咨询136人次；持续做实武汉青山区等外出农民工维权站工作，</w:t>
      </w:r>
      <w:r>
        <w:rPr>
          <w:rFonts w:hint="default" w:ascii="Times New Roman" w:hAnsi="Times New Roman" w:eastAsia="方正仿宋_GBK" w:cs="Times New Roman"/>
          <w:b w:val="0"/>
          <w:color w:val="auto"/>
          <w:kern w:val="2"/>
          <w:sz w:val="32"/>
          <w:szCs w:val="32"/>
          <w:lang w:val="en-US" w:eastAsia="zh-CN" w:bidi="ar-SA"/>
        </w:rPr>
        <w:t>办结维权案件40件、395.8万元。</w:t>
      </w:r>
    </w:p>
    <w:p>
      <w:pPr>
        <w:keepNext w:val="0"/>
        <w:keepLines w:val="0"/>
        <w:pageBreakBefore w:val="0"/>
        <w:widowControl w:val="0"/>
        <w:numPr>
          <w:ilvl w:val="0"/>
          <w:numId w:val="0"/>
        </w:numPr>
        <w:kinsoku/>
        <w:wordWrap/>
        <w:overflowPunct/>
        <w:topLinePunct w:val="0"/>
        <w:bidi w:val="0"/>
        <w:snapToGrid/>
        <w:spacing w:line="600" w:lineRule="exact"/>
        <w:ind w:right="0" w:rightChars="0" w:firstLine="640" w:firstLineChars="200"/>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（四）绩效目标</w:t>
      </w:r>
    </w:p>
    <w:p>
      <w:pPr>
        <w:keepNext w:val="0"/>
        <w:keepLines w:val="0"/>
        <w:pageBreakBefore w:val="0"/>
        <w:widowControl w:val="0"/>
        <w:numPr>
          <w:ilvl w:val="0"/>
          <w:numId w:val="0"/>
        </w:numPr>
        <w:kinsoku/>
        <w:wordWrap/>
        <w:overflowPunct/>
        <w:topLinePunct w:val="0"/>
        <w:bidi w:val="0"/>
        <w:snapToGrid/>
        <w:spacing w:line="600" w:lineRule="exact"/>
        <w:ind w:right="0" w:righ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eastAsia="zh-CN"/>
        </w:rPr>
        <w:t>整体支出绩效目标申报及年中追加支出绩效目标情况：年初预算下达了整体支出绩效目标，由于年中追加了预算，对整体支出绩效目标进行了调整，我单位根据调整后的整体支出绩效目标开展了自评。</w:t>
      </w:r>
    </w:p>
    <w:p>
      <w:pPr>
        <w:keepNext w:val="0"/>
        <w:keepLines w:val="0"/>
        <w:pageBreakBefore w:val="0"/>
        <w:widowControl w:val="0"/>
        <w:numPr>
          <w:ilvl w:val="0"/>
          <w:numId w:val="0"/>
        </w:numPr>
        <w:kinsoku/>
        <w:wordWrap/>
        <w:overflowPunct/>
        <w:topLinePunct w:val="0"/>
        <w:bidi w:val="0"/>
        <w:snapToGrid/>
        <w:spacing w:line="600" w:lineRule="exact"/>
        <w:ind w:right="0" w:righ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（五）年度预决算</w:t>
      </w:r>
      <w:r>
        <w:rPr>
          <w:rFonts w:hint="default" w:ascii="Times New Roman" w:hAnsi="Times New Roman" w:eastAsia="方正楷体_GBK" w:cs="Times New Roman"/>
          <w:sz w:val="32"/>
          <w:szCs w:val="32"/>
        </w:rPr>
        <w:t>情况</w:t>
      </w:r>
    </w:p>
    <w:p>
      <w:pPr>
        <w:keepNext w:val="0"/>
        <w:keepLines w:val="0"/>
        <w:pageBreakBefore w:val="0"/>
        <w:widowControl w:val="0"/>
        <w:kinsoku/>
        <w:wordWrap/>
        <w:overflowPunct/>
        <w:topLinePunct w:val="0"/>
        <w:bidi w:val="0"/>
        <w:snapToGrid/>
        <w:spacing w:line="600" w:lineRule="exact"/>
        <w:ind w:right="0" w:righ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我单位</w:t>
      </w:r>
      <w:r>
        <w:rPr>
          <w:rFonts w:hint="default" w:ascii="Times New Roman" w:hAnsi="Times New Roman" w:cs="Times New Roman"/>
          <w:sz w:val="32"/>
          <w:szCs w:val="32"/>
          <w:lang w:val="en-US" w:eastAsia="zh-CN"/>
        </w:rPr>
        <w:t>2022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eastAsia="zh-CN"/>
        </w:rPr>
        <w:t>初</w:t>
      </w:r>
      <w:r>
        <w:rPr>
          <w:rFonts w:hint="default" w:ascii="Times New Roman" w:hAnsi="Times New Roman" w:eastAsia="方正仿宋_GBK" w:cs="Times New Roman"/>
          <w:sz w:val="32"/>
          <w:szCs w:val="32"/>
        </w:rPr>
        <w:t>预算总</w:t>
      </w:r>
      <w:r>
        <w:rPr>
          <w:rFonts w:hint="default" w:ascii="Times New Roman" w:hAnsi="Times New Roman" w:eastAsia="方正仿宋_GBK" w:cs="Times New Roman"/>
          <w:sz w:val="32"/>
          <w:szCs w:val="32"/>
          <w:lang w:eastAsia="zh-CN"/>
        </w:rPr>
        <w:t>收入为</w:t>
      </w:r>
      <w:r>
        <w:rPr>
          <w:rFonts w:hint="default" w:ascii="Times New Roman" w:hAnsi="Times New Roman" w:cs="Times New Roman"/>
          <w:sz w:val="32"/>
          <w:szCs w:val="32"/>
          <w:lang w:val="en-US" w:eastAsia="zh-CN"/>
        </w:rPr>
        <w:t>365.45</w:t>
      </w:r>
      <w:r>
        <w:rPr>
          <w:rFonts w:hint="default" w:ascii="Times New Roman" w:hAnsi="Times New Roman" w:eastAsia="方正仿宋_GBK" w:cs="Times New Roman"/>
          <w:sz w:val="32"/>
          <w:szCs w:val="32"/>
          <w:lang w:val="en-US" w:eastAsia="zh-CN"/>
        </w:rPr>
        <w:t>万元，年中追加（减）收入</w:t>
      </w:r>
      <w:r>
        <w:rPr>
          <w:rFonts w:hint="default" w:ascii="Times New Roman" w:hAnsi="Times New Roman" w:cs="Times New Roman"/>
          <w:sz w:val="32"/>
          <w:szCs w:val="32"/>
          <w:lang w:val="en-US" w:eastAsia="zh-CN"/>
        </w:rPr>
        <w:t>50.01</w:t>
      </w:r>
      <w:r>
        <w:rPr>
          <w:rFonts w:hint="default" w:ascii="Times New Roman" w:hAnsi="Times New Roman" w:eastAsia="方正仿宋_GBK" w:cs="Times New Roman"/>
          <w:sz w:val="32"/>
          <w:szCs w:val="32"/>
          <w:lang w:val="en-US" w:eastAsia="zh-CN"/>
        </w:rPr>
        <w:t>万元，全年总收入为</w:t>
      </w:r>
      <w:r>
        <w:rPr>
          <w:rFonts w:hint="default" w:ascii="Times New Roman" w:hAnsi="Times New Roman" w:cs="Times New Roman"/>
          <w:sz w:val="32"/>
          <w:szCs w:val="32"/>
          <w:lang w:val="en-US" w:eastAsia="zh-CN"/>
        </w:rPr>
        <w:t>415.46</w:t>
      </w:r>
      <w:r>
        <w:rPr>
          <w:rFonts w:hint="default" w:ascii="Times New Roman" w:hAnsi="Times New Roman" w:eastAsia="方正仿宋_GBK" w:cs="Times New Roman"/>
          <w:sz w:val="32"/>
          <w:szCs w:val="32"/>
          <w:lang w:val="en-US" w:eastAsia="zh-CN"/>
        </w:rPr>
        <w:t>万元；全年总</w:t>
      </w:r>
      <w:r>
        <w:rPr>
          <w:rFonts w:hint="default" w:ascii="Times New Roman" w:hAnsi="Times New Roman" w:eastAsia="方正仿宋_GBK" w:cs="Times New Roman"/>
          <w:sz w:val="32"/>
          <w:szCs w:val="32"/>
        </w:rPr>
        <w:t>支出为</w:t>
      </w:r>
      <w:r>
        <w:rPr>
          <w:rFonts w:hint="default" w:ascii="Times New Roman" w:hAnsi="Times New Roman" w:cs="Times New Roman"/>
          <w:sz w:val="32"/>
          <w:szCs w:val="32"/>
          <w:lang w:val="en-US" w:eastAsia="zh-CN"/>
        </w:rPr>
        <w:t>415.46</w:t>
      </w:r>
      <w:r>
        <w:rPr>
          <w:rFonts w:hint="default" w:ascii="Times New Roman" w:hAnsi="Times New Roman" w:eastAsia="方正仿宋_GBK" w:cs="Times New Roman"/>
          <w:sz w:val="32"/>
          <w:szCs w:val="32"/>
        </w:rPr>
        <w:t>万元，其中</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基本支出</w:t>
      </w:r>
      <w:r>
        <w:rPr>
          <w:rFonts w:hint="default" w:ascii="Times New Roman" w:hAnsi="Times New Roman" w:cs="Times New Roman"/>
          <w:sz w:val="32"/>
          <w:szCs w:val="32"/>
          <w:lang w:val="en-US" w:eastAsia="zh-CN"/>
        </w:rPr>
        <w:t>268.5</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工资福利支出</w:t>
      </w:r>
      <w:r>
        <w:rPr>
          <w:rFonts w:hint="default" w:ascii="Times New Roman" w:hAnsi="Times New Roman" w:cs="Times New Roman"/>
          <w:sz w:val="32"/>
          <w:szCs w:val="32"/>
          <w:lang w:val="en-US" w:eastAsia="zh-CN"/>
        </w:rPr>
        <w:t>205.08</w:t>
      </w:r>
      <w:r>
        <w:rPr>
          <w:rFonts w:hint="default" w:ascii="Times New Roman" w:hAnsi="Times New Roman" w:eastAsia="方正仿宋_GBK" w:cs="Times New Roman"/>
          <w:sz w:val="32"/>
          <w:szCs w:val="32"/>
        </w:rPr>
        <w:t>万元、商品和服务支出</w:t>
      </w:r>
      <w:r>
        <w:rPr>
          <w:rFonts w:hint="default" w:ascii="Times New Roman" w:hAnsi="Times New Roman" w:cs="Times New Roman"/>
          <w:sz w:val="32"/>
          <w:szCs w:val="32"/>
          <w:lang w:val="en-US" w:eastAsia="zh-CN"/>
        </w:rPr>
        <w:t>48.75</w:t>
      </w:r>
      <w:r>
        <w:rPr>
          <w:rFonts w:hint="default" w:ascii="Times New Roman" w:hAnsi="Times New Roman" w:eastAsia="方正仿宋_GBK" w:cs="Times New Roman"/>
          <w:sz w:val="32"/>
          <w:szCs w:val="32"/>
        </w:rPr>
        <w:t>万元、对个人和家庭的补助</w:t>
      </w:r>
      <w:r>
        <w:rPr>
          <w:rFonts w:hint="default" w:ascii="Times New Roman" w:hAnsi="Times New Roman" w:cs="Times New Roman"/>
          <w:sz w:val="32"/>
          <w:szCs w:val="32"/>
          <w:lang w:val="en-US" w:eastAsia="zh-CN"/>
        </w:rPr>
        <w:t>14.67</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），项目支出</w:t>
      </w:r>
      <w:r>
        <w:rPr>
          <w:rFonts w:hint="default" w:ascii="Times New Roman" w:hAnsi="Times New Roman" w:cs="Times New Roman"/>
          <w:sz w:val="32"/>
          <w:szCs w:val="32"/>
          <w:lang w:val="en-US" w:eastAsia="zh-CN"/>
        </w:rPr>
        <w:t>146.96</w:t>
      </w:r>
      <w:r>
        <w:rPr>
          <w:rFonts w:hint="default" w:ascii="Times New Roman" w:hAnsi="Times New Roman" w:eastAsia="方正仿宋_GBK" w:cs="Times New Roman"/>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cs="Times New Roman"/>
          <w:sz w:val="32"/>
          <w:szCs w:val="32"/>
          <w:lang w:val="en-US" w:eastAsia="zh-CN"/>
        </w:rPr>
        <w:t>.</w:t>
      </w:r>
      <w:r>
        <w:rPr>
          <w:rFonts w:hint="default" w:ascii="Times New Roman" w:hAnsi="Times New Roman" w:eastAsia="方正仿宋_GBK" w:cs="Times New Roman"/>
          <w:b w:val="0"/>
          <w:bCs w:val="0"/>
          <w:sz w:val="32"/>
          <w:szCs w:val="32"/>
        </w:rPr>
        <w:t>年初</w:t>
      </w:r>
      <w:r>
        <w:rPr>
          <w:rFonts w:hint="default" w:ascii="Times New Roman" w:hAnsi="Times New Roman" w:eastAsia="方正仿宋_GBK" w:cs="Times New Roman"/>
          <w:sz w:val="32"/>
          <w:szCs w:val="32"/>
        </w:rPr>
        <w:t>预算收入</w:t>
      </w:r>
      <w:r>
        <w:rPr>
          <w:rFonts w:hint="default" w:ascii="Times New Roman" w:hAnsi="Times New Roman" w:cs="Times New Roman"/>
          <w:sz w:val="32"/>
          <w:szCs w:val="32"/>
          <w:lang w:val="en-US" w:eastAsia="zh-CN"/>
        </w:rPr>
        <w:t>365.45</w:t>
      </w:r>
      <w:r>
        <w:rPr>
          <w:rFonts w:hint="default" w:ascii="Times New Roman" w:hAnsi="Times New Roman" w:eastAsia="方正仿宋_GBK" w:cs="Times New Roman"/>
          <w:sz w:val="32"/>
          <w:szCs w:val="32"/>
        </w:rPr>
        <w:t>万元，其中：财政拨款收入年初预算</w:t>
      </w:r>
      <w:r>
        <w:rPr>
          <w:rFonts w:hint="default" w:ascii="Times New Roman" w:hAnsi="Times New Roman" w:cs="Times New Roman"/>
          <w:sz w:val="32"/>
          <w:szCs w:val="32"/>
          <w:lang w:val="en-US" w:eastAsia="zh-CN"/>
        </w:rPr>
        <w:t>365.45</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（一般公共预算收入</w:t>
      </w:r>
      <w:r>
        <w:rPr>
          <w:rFonts w:hint="default" w:ascii="Times New Roman" w:hAnsi="Times New Roman" w:cs="Times New Roman"/>
          <w:sz w:val="32"/>
          <w:szCs w:val="32"/>
          <w:lang w:val="en-US" w:eastAsia="zh-CN"/>
        </w:rPr>
        <w:t>365.45</w:t>
      </w:r>
      <w:r>
        <w:rPr>
          <w:rFonts w:hint="default" w:ascii="Times New Roman" w:hAnsi="Times New Roman" w:eastAsia="方正仿宋_GBK" w:cs="Times New Roman"/>
          <w:sz w:val="32"/>
          <w:szCs w:val="32"/>
          <w:lang w:val="en-US" w:eastAsia="zh-CN"/>
        </w:rPr>
        <w:t>万元，政府基金预算收入</w:t>
      </w:r>
      <w:r>
        <w:rPr>
          <w:rFonts w:hint="default" w:ascii="Times New Roman" w:hAnsi="Times New Roman" w:cs="Times New Roman"/>
          <w:sz w:val="32"/>
          <w:szCs w:val="32"/>
          <w:lang w:val="en-US" w:eastAsia="zh-CN"/>
        </w:rPr>
        <w:t>0</w:t>
      </w:r>
      <w:r>
        <w:rPr>
          <w:rFonts w:hint="default" w:ascii="Times New Roman" w:hAnsi="Times New Roman" w:eastAsia="方正仿宋_GBK" w:cs="Times New Roman"/>
          <w:sz w:val="32"/>
          <w:szCs w:val="32"/>
          <w:lang w:val="en-US" w:eastAsia="zh-CN"/>
        </w:rPr>
        <w:t>万元，国有资本经营收入预算</w:t>
      </w:r>
      <w:r>
        <w:rPr>
          <w:rFonts w:hint="default" w:ascii="Times New Roman" w:hAnsi="Times New Roman" w:cs="Times New Roman"/>
          <w:sz w:val="32"/>
          <w:szCs w:val="32"/>
          <w:lang w:val="en-US" w:eastAsia="zh-CN"/>
        </w:rPr>
        <w:t>0</w:t>
      </w:r>
      <w:r>
        <w:rPr>
          <w:rFonts w:hint="default" w:ascii="Times New Roman" w:hAnsi="Times New Roman" w:eastAsia="方正仿宋_GBK" w:cs="Times New Roman"/>
          <w:sz w:val="32"/>
          <w:szCs w:val="32"/>
          <w:lang w:val="en-US" w:eastAsia="zh-CN"/>
        </w:rPr>
        <w:t>万元，社保基金预算收入</w:t>
      </w:r>
      <w:r>
        <w:rPr>
          <w:rFonts w:hint="default" w:ascii="Times New Roman" w:hAnsi="Times New Roman" w:cs="Times New Roman"/>
          <w:sz w:val="32"/>
          <w:szCs w:val="32"/>
          <w:lang w:val="en-US" w:eastAsia="zh-CN"/>
        </w:rPr>
        <w:t>0</w:t>
      </w:r>
      <w:r>
        <w:rPr>
          <w:rFonts w:hint="default" w:ascii="Times New Roman" w:hAnsi="Times New Roman" w:eastAsia="方正仿宋_GBK" w:cs="Times New Roman"/>
          <w:sz w:val="32"/>
          <w:szCs w:val="32"/>
          <w:lang w:val="en-US" w:eastAsia="zh-CN"/>
        </w:rPr>
        <w:t>万元，其他收入</w:t>
      </w:r>
      <w:r>
        <w:rPr>
          <w:rFonts w:hint="default" w:ascii="Times New Roman" w:hAnsi="Times New Roman" w:cs="Times New Roman"/>
          <w:sz w:val="32"/>
          <w:szCs w:val="32"/>
          <w:lang w:val="en-US" w:eastAsia="zh-CN"/>
        </w:rPr>
        <w:t>0</w:t>
      </w:r>
      <w:r>
        <w:rPr>
          <w:rFonts w:hint="default" w:ascii="Times New Roman" w:hAnsi="Times New Roman" w:eastAsia="方正仿宋_GBK" w:cs="Times New Roman"/>
          <w:sz w:val="32"/>
          <w:szCs w:val="32"/>
          <w:lang w:val="en-US" w:eastAsia="zh-CN"/>
        </w:rPr>
        <w:t>万元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
          <w:bCs/>
          <w:sz w:val="32"/>
          <w:szCs w:val="32"/>
          <w:lang w:eastAsia="zh-CN"/>
        </w:rPr>
        <w:t>年中</w:t>
      </w:r>
      <w:r>
        <w:rPr>
          <w:rFonts w:hint="default" w:ascii="Times New Roman" w:hAnsi="Times New Roman" w:eastAsia="方正仿宋_GBK" w:cs="Times New Roman"/>
          <w:sz w:val="32"/>
          <w:szCs w:val="32"/>
          <w:lang w:eastAsia="zh-CN"/>
        </w:rPr>
        <w:t>追加（减）</w:t>
      </w:r>
      <w:r>
        <w:rPr>
          <w:rFonts w:hint="default" w:ascii="Times New Roman" w:hAnsi="Times New Roman" w:eastAsia="方正仿宋_GBK" w:cs="Times New Roman"/>
          <w:sz w:val="32"/>
          <w:szCs w:val="32"/>
        </w:rPr>
        <w:t>专项资金</w:t>
      </w:r>
      <w:r>
        <w:rPr>
          <w:rFonts w:hint="default" w:ascii="Times New Roman" w:hAnsi="Times New Roman" w:cs="Times New Roman"/>
          <w:sz w:val="32"/>
          <w:szCs w:val="32"/>
          <w:lang w:val="en-US" w:eastAsia="zh-CN"/>
        </w:rPr>
        <w:t>50.01</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（一般公共预算收入</w:t>
      </w:r>
      <w:r>
        <w:rPr>
          <w:rFonts w:hint="default" w:ascii="Times New Roman" w:hAnsi="Times New Roman" w:cs="Times New Roman"/>
          <w:sz w:val="32"/>
          <w:szCs w:val="32"/>
          <w:lang w:val="en-US" w:eastAsia="zh-CN"/>
        </w:rPr>
        <w:t>50.01</w:t>
      </w:r>
      <w:r>
        <w:rPr>
          <w:rFonts w:hint="default" w:ascii="Times New Roman" w:hAnsi="Times New Roman" w:eastAsia="方正仿宋_GBK" w:cs="Times New Roman"/>
          <w:sz w:val="32"/>
          <w:szCs w:val="32"/>
          <w:lang w:val="en-US" w:eastAsia="zh-CN"/>
        </w:rPr>
        <w:t>万元，政府基金预算收入</w:t>
      </w:r>
      <w:r>
        <w:rPr>
          <w:rFonts w:hint="default" w:ascii="Times New Roman" w:hAnsi="Times New Roman" w:cs="Times New Roman"/>
          <w:sz w:val="32"/>
          <w:szCs w:val="32"/>
          <w:lang w:val="en-US" w:eastAsia="zh-CN"/>
        </w:rPr>
        <w:t>0</w:t>
      </w:r>
      <w:r>
        <w:rPr>
          <w:rFonts w:hint="default" w:ascii="Times New Roman" w:hAnsi="Times New Roman" w:eastAsia="方正仿宋_GBK" w:cs="Times New Roman"/>
          <w:sz w:val="32"/>
          <w:szCs w:val="32"/>
          <w:lang w:val="en-US" w:eastAsia="zh-CN"/>
        </w:rPr>
        <w:t>万元，国有资本经营收入预算</w:t>
      </w:r>
      <w:r>
        <w:rPr>
          <w:rFonts w:hint="default" w:ascii="Times New Roman" w:hAnsi="Times New Roman" w:cs="Times New Roman"/>
          <w:sz w:val="32"/>
          <w:szCs w:val="32"/>
          <w:lang w:val="en-US" w:eastAsia="zh-CN"/>
        </w:rPr>
        <w:t>0</w:t>
      </w:r>
      <w:r>
        <w:rPr>
          <w:rFonts w:hint="default" w:ascii="Times New Roman" w:hAnsi="Times New Roman" w:eastAsia="方正仿宋_GBK" w:cs="Times New Roman"/>
          <w:sz w:val="32"/>
          <w:szCs w:val="32"/>
          <w:lang w:val="en-US" w:eastAsia="zh-CN"/>
        </w:rPr>
        <w:t>万元，社保基金预算收入</w:t>
      </w:r>
      <w:r>
        <w:rPr>
          <w:rFonts w:hint="default" w:ascii="Times New Roman" w:hAnsi="Times New Roman" w:cs="Times New Roman"/>
          <w:sz w:val="32"/>
          <w:szCs w:val="32"/>
          <w:lang w:val="en-US" w:eastAsia="zh-CN"/>
        </w:rPr>
        <w:t>0</w:t>
      </w:r>
      <w:r>
        <w:rPr>
          <w:rFonts w:hint="default" w:ascii="Times New Roman" w:hAnsi="Times New Roman" w:eastAsia="方正仿宋_GBK" w:cs="Times New Roman"/>
          <w:sz w:val="32"/>
          <w:szCs w:val="32"/>
          <w:lang w:val="en-US" w:eastAsia="zh-CN"/>
        </w:rPr>
        <w:t>万元，其他收入</w:t>
      </w:r>
      <w:r>
        <w:rPr>
          <w:rFonts w:hint="default" w:ascii="Times New Roman" w:hAnsi="Times New Roman" w:cs="Times New Roman"/>
          <w:sz w:val="32"/>
          <w:szCs w:val="32"/>
          <w:lang w:val="en-US" w:eastAsia="zh-CN"/>
        </w:rPr>
        <w:t>0</w:t>
      </w:r>
      <w:r>
        <w:rPr>
          <w:rFonts w:hint="default" w:ascii="Times New Roman" w:hAnsi="Times New Roman" w:eastAsia="方正仿宋_GBK" w:cs="Times New Roman"/>
          <w:sz w:val="32"/>
          <w:szCs w:val="32"/>
          <w:lang w:val="en-US" w:eastAsia="zh-CN"/>
        </w:rPr>
        <w:t>万元</w:t>
      </w:r>
      <w:r>
        <w:rPr>
          <w:rFonts w:hint="default" w:ascii="Times New Roman" w:hAnsi="Times New Roman" w:eastAsia="方正仿宋_GBK" w:cs="Times New Roman"/>
          <w:sz w:val="32"/>
          <w:szCs w:val="32"/>
          <w:lang w:eastAsia="zh-CN"/>
        </w:rPr>
        <w:t>），共计收入</w:t>
      </w:r>
      <w:r>
        <w:rPr>
          <w:rFonts w:hint="default" w:ascii="Times New Roman" w:hAnsi="Times New Roman" w:cs="Times New Roman"/>
          <w:sz w:val="32"/>
          <w:szCs w:val="32"/>
          <w:lang w:val="en-US" w:eastAsia="zh-CN"/>
        </w:rPr>
        <w:t>415.46</w:t>
      </w:r>
      <w:r>
        <w:rPr>
          <w:rFonts w:hint="default" w:ascii="Times New Roman" w:hAnsi="Times New Roman" w:eastAsia="方正仿宋_GBK" w:cs="Times New Roman"/>
          <w:sz w:val="32"/>
          <w:szCs w:val="32"/>
          <w:lang w:val="en-US" w:eastAsia="zh-CN"/>
        </w:rPr>
        <w:t>万元</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bidi w:val="0"/>
        <w:snapToGrid/>
        <w:spacing w:line="600" w:lineRule="exact"/>
        <w:ind w:right="0" w:rightChars="0" w:firstLine="640" w:firstLineChars="200"/>
        <w:textAlignment w:val="auto"/>
        <w:rPr>
          <w:rFonts w:hint="default" w:ascii="Times New Roman" w:hAnsi="Times New Roman" w:cs="Times New Roman"/>
          <w:color w:val="auto"/>
          <w:lang w:val="en-US" w:eastAsia="zh-CN"/>
        </w:rPr>
      </w:pPr>
      <w:r>
        <w:rPr>
          <w:rFonts w:hint="default" w:ascii="Times New Roman" w:hAnsi="Times New Roman" w:eastAsia="方正仿宋_GBK" w:cs="Times New Roman"/>
          <w:sz w:val="32"/>
          <w:szCs w:val="32"/>
        </w:rPr>
        <w:t>2</w:t>
      </w:r>
      <w:r>
        <w:rPr>
          <w:rFonts w:hint="default" w:ascii="Times New Roman" w:hAnsi="Times New Roman" w:cs="Times New Roman"/>
          <w:sz w:val="32"/>
          <w:szCs w:val="32"/>
          <w:lang w:val="en-US" w:eastAsia="zh-CN"/>
        </w:rPr>
        <w:t>.</w:t>
      </w:r>
      <w:r>
        <w:rPr>
          <w:rFonts w:hint="default" w:ascii="Times New Roman" w:hAnsi="Times New Roman" w:eastAsia="方正仿宋_GBK" w:cs="Times New Roman"/>
          <w:sz w:val="32"/>
          <w:szCs w:val="32"/>
          <w:lang w:eastAsia="zh-CN"/>
        </w:rPr>
        <w:t>年初</w:t>
      </w:r>
      <w:r>
        <w:rPr>
          <w:rFonts w:hint="default" w:ascii="Times New Roman" w:hAnsi="Times New Roman" w:eastAsia="方正仿宋_GBK" w:cs="Times New Roman"/>
          <w:sz w:val="32"/>
          <w:szCs w:val="32"/>
        </w:rPr>
        <w:t>预算支出</w:t>
      </w:r>
      <w:r>
        <w:rPr>
          <w:rFonts w:hint="default" w:ascii="Times New Roman" w:hAnsi="Times New Roman" w:cs="Times New Roman"/>
          <w:sz w:val="32"/>
          <w:szCs w:val="32"/>
          <w:lang w:val="en-US" w:eastAsia="zh-CN"/>
        </w:rPr>
        <w:t>365.45</w:t>
      </w:r>
      <w:r>
        <w:rPr>
          <w:rFonts w:hint="default" w:ascii="Times New Roman" w:hAnsi="Times New Roman" w:eastAsia="方正仿宋_GBK" w:cs="Times New Roman"/>
          <w:sz w:val="32"/>
          <w:szCs w:val="32"/>
        </w:rPr>
        <w:t>万元，基本支出</w:t>
      </w:r>
      <w:r>
        <w:rPr>
          <w:rFonts w:hint="default" w:ascii="Times New Roman" w:hAnsi="Times New Roman" w:cs="Times New Roman"/>
          <w:sz w:val="32"/>
          <w:szCs w:val="32"/>
          <w:lang w:val="en-US" w:eastAsia="zh-CN"/>
        </w:rPr>
        <w:t>196.49</w:t>
      </w:r>
      <w:r>
        <w:rPr>
          <w:rFonts w:hint="default" w:ascii="Times New Roman" w:hAnsi="Times New Roman" w:eastAsia="方正仿宋_GBK" w:cs="Times New Roman"/>
          <w:sz w:val="32"/>
          <w:szCs w:val="32"/>
        </w:rPr>
        <w:t>万</w:t>
      </w:r>
      <w:r>
        <w:rPr>
          <w:rFonts w:hint="default" w:ascii="Times New Roman" w:hAnsi="Times New Roman" w:eastAsia="方正仿宋_GBK" w:cs="Times New Roman"/>
          <w:sz w:val="32"/>
          <w:szCs w:val="32"/>
          <w:lang w:eastAsia="zh-CN"/>
        </w:rPr>
        <w:t>元（</w:t>
      </w:r>
      <w:r>
        <w:rPr>
          <w:rFonts w:hint="default" w:ascii="Times New Roman" w:hAnsi="Times New Roman" w:eastAsia="方正仿宋_GBK" w:cs="Times New Roman"/>
          <w:sz w:val="32"/>
          <w:szCs w:val="32"/>
        </w:rPr>
        <w:t>工资福利支出</w:t>
      </w:r>
      <w:r>
        <w:rPr>
          <w:rFonts w:hint="default" w:ascii="Times New Roman" w:hAnsi="Times New Roman" w:cs="Times New Roman"/>
          <w:sz w:val="32"/>
          <w:szCs w:val="32"/>
          <w:lang w:val="en-US" w:eastAsia="zh-CN"/>
        </w:rPr>
        <w:t>149.45</w:t>
      </w:r>
      <w:r>
        <w:rPr>
          <w:rFonts w:hint="default" w:ascii="Times New Roman" w:hAnsi="Times New Roman" w:eastAsia="方正仿宋_GBK" w:cs="Times New Roman"/>
          <w:sz w:val="32"/>
          <w:szCs w:val="32"/>
        </w:rPr>
        <w:t>万元、商品和服务支出</w:t>
      </w:r>
      <w:r>
        <w:rPr>
          <w:rFonts w:hint="default" w:ascii="Times New Roman" w:hAnsi="Times New Roman" w:cs="Times New Roman"/>
          <w:sz w:val="32"/>
          <w:szCs w:val="32"/>
          <w:lang w:val="en-US" w:eastAsia="zh-CN"/>
        </w:rPr>
        <w:t>39.3</w:t>
      </w:r>
      <w:r>
        <w:rPr>
          <w:rFonts w:hint="default" w:ascii="Times New Roman" w:hAnsi="Times New Roman" w:eastAsia="方正仿宋_GBK" w:cs="Times New Roman"/>
          <w:sz w:val="32"/>
          <w:szCs w:val="32"/>
        </w:rPr>
        <w:t>万元、对个人和家庭的补助</w:t>
      </w:r>
      <w:r>
        <w:rPr>
          <w:rFonts w:hint="default" w:ascii="Times New Roman" w:hAnsi="Times New Roman" w:cs="Times New Roman"/>
          <w:sz w:val="32"/>
          <w:szCs w:val="32"/>
          <w:lang w:val="en-US" w:eastAsia="zh-CN"/>
        </w:rPr>
        <w:t>7.74</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，项目支出</w:t>
      </w:r>
      <w:r>
        <w:rPr>
          <w:rFonts w:hint="default" w:ascii="Times New Roman" w:hAnsi="Times New Roman" w:cs="Times New Roman"/>
          <w:sz w:val="32"/>
          <w:szCs w:val="32"/>
          <w:lang w:val="en-US" w:eastAsia="zh-CN"/>
        </w:rPr>
        <w:t>168.96</w:t>
      </w:r>
      <w:r>
        <w:rPr>
          <w:rFonts w:hint="default" w:ascii="Times New Roman" w:hAnsi="Times New Roman" w:eastAsia="方正仿宋_GBK" w:cs="Times New Roman"/>
          <w:sz w:val="32"/>
          <w:szCs w:val="32"/>
          <w:lang w:val="en-US" w:eastAsia="zh-CN"/>
        </w:rPr>
        <w:t>万元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color w:val="auto"/>
          <w:sz w:val="32"/>
          <w:szCs w:val="32"/>
          <w:lang w:eastAsia="zh-CN"/>
        </w:rPr>
        <w:t>年中</w:t>
      </w:r>
      <w:r>
        <w:rPr>
          <w:rFonts w:hint="default" w:ascii="Times New Roman" w:hAnsi="Times New Roman" w:cs="Times New Roman"/>
          <w:color w:val="auto"/>
          <w:sz w:val="32"/>
          <w:szCs w:val="32"/>
          <w:lang w:val="en-US" w:eastAsia="zh-CN"/>
        </w:rPr>
        <w:t>追加</w:t>
      </w:r>
      <w:r>
        <w:rPr>
          <w:rFonts w:hint="default" w:ascii="Times New Roman" w:hAnsi="Times New Roman" w:eastAsia="方正仿宋_GBK" w:cs="Times New Roman"/>
          <w:color w:val="auto"/>
          <w:sz w:val="32"/>
          <w:szCs w:val="32"/>
          <w:lang w:eastAsia="zh-CN"/>
        </w:rPr>
        <w:t>支出</w:t>
      </w:r>
      <w:r>
        <w:rPr>
          <w:rFonts w:hint="default" w:ascii="Times New Roman" w:hAnsi="Times New Roman" w:cs="Times New Roman"/>
          <w:color w:val="auto"/>
          <w:sz w:val="32"/>
          <w:szCs w:val="32"/>
          <w:lang w:val="en-US" w:eastAsia="zh-CN"/>
        </w:rPr>
        <w:t>50.01</w:t>
      </w:r>
      <w:r>
        <w:rPr>
          <w:rFonts w:hint="default" w:ascii="Times New Roman" w:hAnsi="Times New Roman" w:eastAsia="方正仿宋_GBK" w:cs="Times New Roman"/>
          <w:color w:val="auto"/>
          <w:sz w:val="32"/>
          <w:szCs w:val="32"/>
          <w:lang w:val="en-US" w:eastAsia="zh-CN"/>
        </w:rPr>
        <w:t>万元，共计支出为</w:t>
      </w:r>
      <w:r>
        <w:rPr>
          <w:rFonts w:hint="default" w:ascii="Times New Roman" w:hAnsi="Times New Roman" w:cs="Times New Roman"/>
          <w:color w:val="auto"/>
          <w:sz w:val="32"/>
          <w:szCs w:val="32"/>
          <w:lang w:val="en-US" w:eastAsia="zh-CN"/>
        </w:rPr>
        <w:t>415.46</w:t>
      </w:r>
      <w:r>
        <w:rPr>
          <w:rFonts w:hint="default" w:ascii="Times New Roman" w:hAnsi="Times New Roman" w:eastAsia="方正仿宋_GBK" w:cs="Times New Roman"/>
          <w:color w:val="auto"/>
          <w:sz w:val="32"/>
          <w:szCs w:val="32"/>
          <w:lang w:val="en-US" w:eastAsia="zh-CN"/>
        </w:rPr>
        <w:t>万元</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bidi w:val="0"/>
        <w:snapToGrid/>
        <w:spacing w:line="600" w:lineRule="exact"/>
        <w:ind w:right="0" w:rightChars="0" w:firstLine="640" w:firstLineChars="200"/>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二、整体支出管理及使用情况</w:t>
      </w:r>
    </w:p>
    <w:p>
      <w:pPr>
        <w:keepNext w:val="0"/>
        <w:keepLines w:val="0"/>
        <w:pageBreakBefore w:val="0"/>
        <w:widowControl w:val="0"/>
        <w:kinsoku/>
        <w:wordWrap/>
        <w:overflowPunct/>
        <w:topLinePunct w:val="0"/>
        <w:bidi w:val="0"/>
        <w:snapToGrid/>
        <w:spacing w:line="60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eastAsia="zh-CN"/>
        </w:rPr>
        <w:t>（一）</w:t>
      </w:r>
      <w:r>
        <w:rPr>
          <w:rFonts w:hint="default" w:ascii="Times New Roman" w:hAnsi="Times New Roman" w:eastAsia="方正楷体_GBK" w:cs="Times New Roman"/>
          <w:sz w:val="32"/>
          <w:szCs w:val="32"/>
        </w:rPr>
        <w:t>基本支出</w:t>
      </w:r>
      <w:r>
        <w:rPr>
          <w:rFonts w:hint="default" w:ascii="Times New Roman" w:hAnsi="Times New Roman" w:eastAsia="方正仿宋_GBK" w:cs="Times New Roman"/>
          <w:sz w:val="32"/>
          <w:szCs w:val="32"/>
        </w:rPr>
        <w:t>：</w:t>
      </w:r>
      <w:r>
        <w:rPr>
          <w:rFonts w:hint="default" w:ascii="Times New Roman" w:hAnsi="Times New Roman" w:cs="Times New Roman"/>
          <w:sz w:val="32"/>
          <w:szCs w:val="32"/>
          <w:lang w:val="en-US" w:eastAsia="zh-CN"/>
        </w:rPr>
        <w:t>2022</w:t>
      </w:r>
      <w:r>
        <w:rPr>
          <w:rFonts w:hint="default" w:ascii="Times New Roman" w:hAnsi="Times New Roman" w:eastAsia="方正仿宋_GBK" w:cs="Times New Roman"/>
          <w:sz w:val="32"/>
          <w:szCs w:val="32"/>
        </w:rPr>
        <w:t>年度我</w:t>
      </w:r>
      <w:r>
        <w:rPr>
          <w:rFonts w:hint="default" w:ascii="Times New Roman" w:hAnsi="Times New Roman" w:cs="Times New Roman"/>
          <w:sz w:val="32"/>
          <w:szCs w:val="32"/>
          <w:lang w:val="en-US" w:eastAsia="zh-CN"/>
        </w:rPr>
        <w:t>单位</w:t>
      </w:r>
      <w:r>
        <w:rPr>
          <w:rFonts w:hint="default" w:ascii="Times New Roman" w:hAnsi="Times New Roman" w:eastAsia="方正仿宋_GBK" w:cs="Times New Roman"/>
          <w:sz w:val="32"/>
          <w:szCs w:val="32"/>
        </w:rPr>
        <w:t>基本支出</w:t>
      </w:r>
      <w:r>
        <w:rPr>
          <w:rFonts w:hint="default" w:ascii="Times New Roman" w:hAnsi="Times New Roman" w:cs="Times New Roman"/>
          <w:sz w:val="32"/>
          <w:szCs w:val="32"/>
          <w:lang w:val="en-US" w:eastAsia="zh-CN"/>
        </w:rPr>
        <w:t>268.5</w:t>
      </w:r>
      <w:r>
        <w:rPr>
          <w:rFonts w:hint="default" w:ascii="Times New Roman" w:hAnsi="Times New Roman" w:eastAsia="方正仿宋_GBK" w:cs="Times New Roman"/>
          <w:sz w:val="32"/>
          <w:szCs w:val="32"/>
        </w:rPr>
        <w:t>万元，其中</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人员支出</w:t>
      </w:r>
      <w:r>
        <w:rPr>
          <w:rFonts w:hint="default" w:ascii="Times New Roman" w:hAnsi="Times New Roman" w:cs="Times New Roman"/>
          <w:sz w:val="32"/>
          <w:szCs w:val="32"/>
          <w:lang w:val="en-US" w:eastAsia="zh-CN"/>
        </w:rPr>
        <w:t>219.75</w:t>
      </w:r>
      <w:r>
        <w:rPr>
          <w:rFonts w:hint="default" w:ascii="Times New Roman" w:hAnsi="Times New Roman" w:eastAsia="方正仿宋_GBK" w:cs="Times New Roman"/>
          <w:sz w:val="32"/>
          <w:szCs w:val="32"/>
        </w:rPr>
        <w:t>万元，公用支出</w:t>
      </w:r>
      <w:r>
        <w:rPr>
          <w:rFonts w:hint="default" w:ascii="Times New Roman" w:hAnsi="Times New Roman" w:cs="Times New Roman"/>
          <w:sz w:val="32"/>
          <w:szCs w:val="32"/>
          <w:lang w:val="en-US" w:eastAsia="zh-CN"/>
        </w:rPr>
        <w:t>48.75</w:t>
      </w:r>
      <w:r>
        <w:rPr>
          <w:rFonts w:hint="default" w:ascii="Times New Roman" w:hAnsi="Times New Roman" w:eastAsia="方正仿宋_GBK"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cs="Times New Roman"/>
          <w:sz w:val="32"/>
          <w:szCs w:val="32"/>
          <w:lang w:val="en-US" w:eastAsia="zh-CN"/>
        </w:rPr>
        <w:t>2022</w:t>
      </w:r>
      <w:r>
        <w:rPr>
          <w:rFonts w:hint="default" w:ascii="Times New Roman" w:hAnsi="Times New Roman" w:eastAsia="方正仿宋_GBK" w:cs="Times New Roman"/>
          <w:sz w:val="32"/>
          <w:szCs w:val="32"/>
        </w:rPr>
        <w:t>年三公经费支出</w:t>
      </w:r>
      <w:r>
        <w:rPr>
          <w:rFonts w:hint="default" w:ascii="Times New Roman" w:hAnsi="Times New Roman" w:cs="Times New Roman"/>
          <w:sz w:val="32"/>
          <w:szCs w:val="32"/>
          <w:lang w:val="en-US" w:eastAsia="zh-CN"/>
        </w:rPr>
        <w:t>4.61</w:t>
      </w:r>
      <w:r>
        <w:rPr>
          <w:rFonts w:hint="default" w:ascii="Times New Roman" w:hAnsi="Times New Roman" w:eastAsia="方正仿宋_GBK" w:cs="Times New Roman"/>
          <w:sz w:val="32"/>
          <w:szCs w:val="32"/>
        </w:rPr>
        <w:t>万元（预算为</w:t>
      </w:r>
      <w:r>
        <w:rPr>
          <w:rFonts w:hint="default" w:ascii="Times New Roman" w:hAnsi="Times New Roman" w:cs="Times New Roman"/>
          <w:sz w:val="32"/>
          <w:szCs w:val="32"/>
          <w:lang w:val="en-US" w:eastAsia="zh-CN"/>
        </w:rPr>
        <w:t>4.63</w:t>
      </w:r>
      <w:r>
        <w:rPr>
          <w:rFonts w:hint="default" w:ascii="Times New Roman" w:hAnsi="Times New Roman" w:eastAsia="方正仿宋_GBK" w:cs="Times New Roman"/>
          <w:sz w:val="32"/>
          <w:szCs w:val="32"/>
        </w:rPr>
        <w:t>万元），同比去年减少</w:t>
      </w:r>
      <w:r>
        <w:rPr>
          <w:rFonts w:hint="default" w:ascii="Times New Roman" w:hAnsi="Times New Roman" w:cs="Times New Roman"/>
          <w:sz w:val="32"/>
          <w:szCs w:val="32"/>
          <w:lang w:val="en-US" w:eastAsia="zh-CN"/>
        </w:rPr>
        <w:t>0.22</w:t>
      </w:r>
      <w:r>
        <w:rPr>
          <w:rFonts w:hint="default" w:ascii="Times New Roman" w:hAnsi="Times New Roman" w:eastAsia="方正仿宋_GBK" w:cs="Times New Roman"/>
          <w:sz w:val="32"/>
          <w:szCs w:val="32"/>
        </w:rPr>
        <w:t>%。其中</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公务接待费</w:t>
      </w:r>
      <w:r>
        <w:rPr>
          <w:rFonts w:hint="default" w:ascii="Times New Roman" w:hAnsi="Times New Roman" w:cs="Times New Roman"/>
          <w:sz w:val="32"/>
          <w:szCs w:val="32"/>
          <w:lang w:val="en-US" w:eastAsia="zh-CN"/>
        </w:rPr>
        <w:t>0.61</w:t>
      </w:r>
      <w:r>
        <w:rPr>
          <w:rFonts w:hint="default" w:ascii="Times New Roman" w:hAnsi="Times New Roman" w:eastAsia="方正仿宋_GBK" w:cs="Times New Roman"/>
          <w:sz w:val="32"/>
          <w:szCs w:val="32"/>
        </w:rPr>
        <w:t>万元（预算为</w:t>
      </w:r>
      <w:r>
        <w:rPr>
          <w:rFonts w:hint="default" w:ascii="Times New Roman" w:hAnsi="Times New Roman" w:cs="Times New Roman"/>
          <w:sz w:val="32"/>
          <w:szCs w:val="32"/>
          <w:lang w:val="en-US" w:eastAsia="zh-CN"/>
        </w:rPr>
        <w:t>0.63</w:t>
      </w:r>
      <w:r>
        <w:rPr>
          <w:rFonts w:hint="default" w:ascii="Times New Roman" w:hAnsi="Times New Roman" w:eastAsia="方正仿宋_GBK" w:cs="Times New Roman"/>
          <w:sz w:val="32"/>
          <w:szCs w:val="32"/>
        </w:rPr>
        <w:t>万元），同比去年减少</w:t>
      </w:r>
      <w:r>
        <w:rPr>
          <w:rFonts w:hint="default" w:ascii="Times New Roman" w:hAnsi="Times New Roman" w:cs="Times New Roman"/>
          <w:sz w:val="32"/>
          <w:szCs w:val="32"/>
          <w:lang w:val="en-US" w:eastAsia="zh-CN"/>
        </w:rPr>
        <w:t>1.61</w:t>
      </w:r>
      <w:r>
        <w:rPr>
          <w:rFonts w:hint="default" w:ascii="Times New Roman" w:hAnsi="Times New Roman" w:eastAsia="方正仿宋_GBK" w:cs="Times New Roman"/>
          <w:sz w:val="32"/>
          <w:szCs w:val="32"/>
        </w:rPr>
        <w:t>%，公务用车运行维护费</w:t>
      </w:r>
      <w:r>
        <w:rPr>
          <w:rFonts w:hint="default" w:ascii="Times New Roman" w:hAnsi="Times New Roman" w:cs="Times New Roman"/>
          <w:sz w:val="32"/>
          <w:szCs w:val="32"/>
          <w:lang w:val="en-US" w:eastAsia="zh-CN"/>
        </w:rPr>
        <w:t>4</w:t>
      </w:r>
      <w:r>
        <w:rPr>
          <w:rFonts w:hint="default" w:ascii="Times New Roman" w:hAnsi="Times New Roman" w:eastAsia="方正仿宋_GBK" w:cs="Times New Roman"/>
          <w:sz w:val="32"/>
          <w:szCs w:val="32"/>
        </w:rPr>
        <w:t>万元（预算为</w:t>
      </w:r>
      <w:r>
        <w:rPr>
          <w:rFonts w:hint="default" w:ascii="Times New Roman" w:hAnsi="Times New Roman" w:cs="Times New Roman"/>
          <w:sz w:val="32"/>
          <w:szCs w:val="32"/>
          <w:lang w:val="en-US" w:eastAsia="zh-CN"/>
        </w:rPr>
        <w:t>4</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color w:val="000000"/>
          <w:kern w:val="0"/>
          <w:sz w:val="32"/>
          <w:szCs w:val="32"/>
          <w:lang w:val="en-US" w:eastAsia="zh-CN" w:bidi="ar-SA"/>
        </w:rPr>
        <w:t>与</w:t>
      </w:r>
      <w:r>
        <w:rPr>
          <w:rFonts w:hint="default" w:ascii="Times New Roman" w:hAnsi="Times New Roman" w:cs="Times New Roman"/>
          <w:color w:val="000000"/>
          <w:kern w:val="0"/>
          <w:sz w:val="32"/>
          <w:szCs w:val="32"/>
          <w:lang w:val="en-US" w:eastAsia="zh-CN" w:bidi="ar-SA"/>
        </w:rPr>
        <w:t>上</w:t>
      </w:r>
      <w:r>
        <w:rPr>
          <w:rFonts w:hint="default" w:ascii="Times New Roman" w:hAnsi="Times New Roman" w:eastAsia="方正仿宋_GBK" w:cs="Times New Roman"/>
          <w:color w:val="000000"/>
          <w:kern w:val="0"/>
          <w:sz w:val="32"/>
          <w:szCs w:val="32"/>
          <w:lang w:val="en-US" w:eastAsia="zh-CN" w:bidi="ar-SA"/>
        </w:rPr>
        <w:t>年保持一致</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政府采购完成</w:t>
      </w:r>
      <w:r>
        <w:rPr>
          <w:rFonts w:hint="default" w:ascii="Times New Roman" w:hAnsi="Times New Roman" w:cs="Times New Roman"/>
          <w:sz w:val="32"/>
          <w:szCs w:val="32"/>
          <w:lang w:val="en-US" w:eastAsia="zh-CN"/>
        </w:rPr>
        <w:t>0</w:t>
      </w:r>
      <w:r>
        <w:rPr>
          <w:rFonts w:hint="default" w:ascii="Times New Roman" w:hAnsi="Times New Roman" w:eastAsia="方正仿宋_GBK" w:cs="Times New Roman"/>
          <w:sz w:val="32"/>
          <w:szCs w:val="32"/>
          <w:lang w:val="en-US" w:eastAsia="zh-CN"/>
        </w:rPr>
        <w:t>万元（预算为</w:t>
      </w:r>
      <w:r>
        <w:rPr>
          <w:rFonts w:hint="default" w:ascii="Times New Roman" w:hAnsi="Times New Roman" w:cs="Times New Roman"/>
          <w:sz w:val="32"/>
          <w:szCs w:val="32"/>
          <w:lang w:val="en-US" w:eastAsia="zh-CN"/>
        </w:rPr>
        <w:t>0</w:t>
      </w:r>
      <w:r>
        <w:rPr>
          <w:rFonts w:hint="default" w:ascii="Times New Roman" w:hAnsi="Times New Roman" w:eastAsia="方正仿宋_GBK" w:cs="Times New Roman"/>
          <w:sz w:val="32"/>
          <w:szCs w:val="32"/>
          <w:lang w:val="en-US" w:eastAsia="zh-CN"/>
        </w:rPr>
        <w:t>万元），</w:t>
      </w:r>
      <w:r>
        <w:rPr>
          <w:rFonts w:hint="default" w:ascii="Times New Roman" w:hAnsi="Times New Roman" w:eastAsia="方正仿宋_GBK" w:cs="Times New Roman"/>
          <w:color w:val="000000"/>
          <w:kern w:val="0"/>
          <w:sz w:val="32"/>
          <w:szCs w:val="32"/>
          <w:lang w:val="en-US" w:eastAsia="zh-CN" w:bidi="ar-SA"/>
        </w:rPr>
        <w:t>与</w:t>
      </w:r>
      <w:r>
        <w:rPr>
          <w:rFonts w:hint="default" w:ascii="Times New Roman" w:hAnsi="Times New Roman" w:cs="Times New Roman"/>
          <w:color w:val="000000"/>
          <w:kern w:val="0"/>
          <w:sz w:val="32"/>
          <w:szCs w:val="32"/>
          <w:lang w:val="en-US" w:eastAsia="zh-CN" w:bidi="ar-SA"/>
        </w:rPr>
        <w:t>上</w:t>
      </w:r>
      <w:r>
        <w:rPr>
          <w:rFonts w:hint="default" w:ascii="Times New Roman" w:hAnsi="Times New Roman" w:eastAsia="方正仿宋_GBK" w:cs="Times New Roman"/>
          <w:color w:val="000000"/>
          <w:kern w:val="0"/>
          <w:sz w:val="32"/>
          <w:szCs w:val="32"/>
          <w:lang w:val="en-US" w:eastAsia="zh-CN" w:bidi="ar-SA"/>
        </w:rPr>
        <w:t>年保持一致</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bidi w:val="0"/>
        <w:snapToGrid/>
        <w:spacing w:line="60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eastAsia="zh-CN"/>
        </w:rPr>
        <w:t>（二）</w:t>
      </w:r>
      <w:r>
        <w:rPr>
          <w:rFonts w:hint="default" w:ascii="Times New Roman" w:hAnsi="Times New Roman" w:eastAsia="方正楷体_GBK" w:cs="Times New Roman"/>
          <w:sz w:val="32"/>
          <w:szCs w:val="32"/>
        </w:rPr>
        <w:t>项目支出：</w:t>
      </w:r>
      <w:r>
        <w:rPr>
          <w:rFonts w:hint="default" w:ascii="Times New Roman" w:hAnsi="Times New Roman" w:cs="Times New Roman"/>
          <w:sz w:val="32"/>
          <w:szCs w:val="32"/>
          <w:lang w:val="en-US" w:eastAsia="zh-CN"/>
        </w:rPr>
        <w:t>2022</w:t>
      </w:r>
      <w:r>
        <w:rPr>
          <w:rFonts w:hint="default" w:ascii="Times New Roman" w:hAnsi="Times New Roman" w:eastAsia="方正仿宋_GBK" w:cs="Times New Roman"/>
          <w:sz w:val="32"/>
          <w:szCs w:val="32"/>
        </w:rPr>
        <w:t>年财政拨款项目支出</w:t>
      </w:r>
      <w:r>
        <w:rPr>
          <w:rFonts w:hint="default" w:ascii="Times New Roman" w:hAnsi="Times New Roman" w:cs="Times New Roman"/>
          <w:sz w:val="32"/>
          <w:szCs w:val="32"/>
          <w:lang w:val="en-US" w:eastAsia="zh-CN"/>
        </w:rPr>
        <w:t>146.96</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，同比上年减少</w:t>
      </w:r>
      <w:r>
        <w:rPr>
          <w:rFonts w:hint="default" w:ascii="Times New Roman" w:hAnsi="Times New Roman" w:cs="Times New Roman"/>
          <w:sz w:val="32"/>
          <w:szCs w:val="32"/>
          <w:lang w:val="en-US" w:eastAsia="zh-CN"/>
        </w:rPr>
        <w:t>22.43</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bidi w:val="0"/>
        <w:snapToGrid/>
        <w:spacing w:line="600" w:lineRule="exact"/>
        <w:ind w:right="0" w:rightChars="0" w:firstLine="640" w:firstLineChars="200"/>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三、整体支出绩效情况</w:t>
      </w:r>
    </w:p>
    <w:p>
      <w:pPr>
        <w:keepNext w:val="0"/>
        <w:keepLines w:val="0"/>
        <w:pageBreakBefore w:val="0"/>
        <w:widowControl w:val="0"/>
        <w:kinsoku/>
        <w:wordWrap/>
        <w:overflowPunct/>
        <w:topLinePunct w:val="0"/>
        <w:bidi w:val="0"/>
        <w:snapToGrid/>
        <w:spacing w:line="60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eastAsia="zh-CN"/>
        </w:rPr>
        <w:t>（一）</w:t>
      </w:r>
      <w:r>
        <w:rPr>
          <w:rFonts w:hint="default" w:ascii="Times New Roman" w:hAnsi="Times New Roman" w:eastAsia="方正楷体_GBK" w:cs="Times New Roman"/>
          <w:sz w:val="32"/>
          <w:szCs w:val="32"/>
        </w:rPr>
        <w:t>财务管理制度建设情况：</w:t>
      </w:r>
      <w:r>
        <w:rPr>
          <w:rFonts w:hint="default" w:ascii="Times New Roman" w:hAnsi="Times New Roman" w:eastAsia="方正仿宋_GBK" w:cs="Times New Roman"/>
          <w:color w:val="auto"/>
          <w:sz w:val="32"/>
          <w:szCs w:val="32"/>
        </w:rPr>
        <w:t>资金拨付严格按程序申报、审批，合理合规使用资金，确保财政资金安全。</w:t>
      </w:r>
    </w:p>
    <w:p>
      <w:pPr>
        <w:keepNext w:val="0"/>
        <w:keepLines w:val="0"/>
        <w:pageBreakBefore w:val="0"/>
        <w:widowControl w:val="0"/>
        <w:kinsoku/>
        <w:wordWrap/>
        <w:overflowPunct/>
        <w:topLinePunct w:val="0"/>
        <w:bidi w:val="0"/>
        <w:snapToGrid/>
        <w:spacing w:line="600" w:lineRule="exact"/>
        <w:ind w:right="0" w:righ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sz w:val="32"/>
          <w:szCs w:val="32"/>
          <w:lang w:eastAsia="zh-CN"/>
        </w:rPr>
        <w:t>（二）</w:t>
      </w:r>
      <w:r>
        <w:rPr>
          <w:rFonts w:hint="default" w:ascii="Times New Roman" w:hAnsi="Times New Roman" w:eastAsia="方正楷体_GBK" w:cs="Times New Roman"/>
          <w:sz w:val="32"/>
          <w:szCs w:val="32"/>
        </w:rPr>
        <w:t>资产管理：</w:t>
      </w:r>
      <w:r>
        <w:rPr>
          <w:rFonts w:hint="default" w:ascii="Times New Roman" w:hAnsi="Times New Roman" w:eastAsia="方正仿宋_GBK" w:cs="Times New Roman"/>
          <w:color w:val="auto"/>
          <w:sz w:val="32"/>
          <w:szCs w:val="32"/>
        </w:rPr>
        <w:t>按照要求</w:t>
      </w:r>
      <w:r>
        <w:rPr>
          <w:rFonts w:hint="default" w:ascii="Times New Roman" w:hAnsi="Times New Roman" w:eastAsia="方正仿宋_GBK" w:cs="Times New Roman"/>
          <w:color w:val="auto"/>
          <w:sz w:val="32"/>
          <w:szCs w:val="32"/>
          <w:lang w:eastAsia="zh-CN"/>
        </w:rPr>
        <w:t>及时</w:t>
      </w:r>
      <w:r>
        <w:rPr>
          <w:rFonts w:hint="default" w:ascii="Times New Roman" w:hAnsi="Times New Roman" w:eastAsia="方正仿宋_GBK" w:cs="Times New Roman"/>
          <w:color w:val="auto"/>
          <w:sz w:val="32"/>
          <w:szCs w:val="32"/>
        </w:rPr>
        <w:t>报送资产情况报表，确保各项资产核算准确、帐实相符、管理到位。</w:t>
      </w:r>
    </w:p>
    <w:p>
      <w:pPr>
        <w:keepNext w:val="0"/>
        <w:keepLines w:val="0"/>
        <w:pageBreakBefore w:val="0"/>
        <w:widowControl w:val="0"/>
        <w:kinsoku/>
        <w:wordWrap/>
        <w:overflowPunct/>
        <w:topLinePunct w:val="0"/>
        <w:bidi w:val="0"/>
        <w:snapToGrid/>
        <w:spacing w:line="600" w:lineRule="exact"/>
        <w:ind w:right="0" w:righ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sz w:val="32"/>
          <w:szCs w:val="32"/>
          <w:lang w:eastAsia="zh-CN"/>
        </w:rPr>
        <w:t>（三）</w:t>
      </w:r>
      <w:r>
        <w:rPr>
          <w:rFonts w:hint="default" w:ascii="Times New Roman" w:hAnsi="Times New Roman" w:eastAsia="方正楷体_GBK" w:cs="Times New Roman"/>
          <w:sz w:val="32"/>
          <w:szCs w:val="32"/>
        </w:rPr>
        <w:t>预决算公开：</w:t>
      </w:r>
      <w:r>
        <w:rPr>
          <w:rFonts w:hint="default" w:ascii="Times New Roman" w:hAnsi="Times New Roman" w:eastAsia="方正仿宋_GBK" w:cs="Times New Roman"/>
          <w:color w:val="auto"/>
          <w:sz w:val="32"/>
          <w:szCs w:val="32"/>
        </w:rPr>
        <w:t>在县人民政府门户网站上</w:t>
      </w:r>
      <w:r>
        <w:rPr>
          <w:rFonts w:hint="default" w:ascii="Times New Roman" w:hAnsi="Times New Roman" w:eastAsia="方正仿宋_GBK" w:cs="Times New Roman"/>
          <w:color w:val="auto"/>
          <w:sz w:val="32"/>
          <w:szCs w:val="32"/>
          <w:lang w:eastAsia="zh-CN"/>
        </w:rPr>
        <w:t>按时</w:t>
      </w:r>
      <w:r>
        <w:rPr>
          <w:rFonts w:hint="default" w:ascii="Times New Roman" w:hAnsi="Times New Roman" w:eastAsia="方正仿宋_GBK" w:cs="Times New Roman"/>
          <w:color w:val="auto"/>
          <w:sz w:val="32"/>
          <w:szCs w:val="32"/>
        </w:rPr>
        <w:t>进行了预决算公开。</w:t>
      </w:r>
    </w:p>
    <w:p>
      <w:pPr>
        <w:keepNext w:val="0"/>
        <w:keepLines w:val="0"/>
        <w:pageBreakBefore w:val="0"/>
        <w:widowControl w:val="0"/>
        <w:kinsoku/>
        <w:wordWrap/>
        <w:overflowPunct/>
        <w:topLinePunct w:val="0"/>
        <w:bidi w:val="0"/>
        <w:snapToGrid/>
        <w:spacing w:line="600" w:lineRule="exact"/>
        <w:ind w:right="0" w:righ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sz w:val="32"/>
          <w:szCs w:val="32"/>
          <w:lang w:eastAsia="zh-CN"/>
        </w:rPr>
        <w:t>（四）</w:t>
      </w:r>
      <w:r>
        <w:rPr>
          <w:rFonts w:hint="default" w:ascii="Times New Roman" w:hAnsi="Times New Roman" w:eastAsia="方正楷体_GBK" w:cs="Times New Roman"/>
          <w:sz w:val="32"/>
          <w:szCs w:val="32"/>
        </w:rPr>
        <w:t>“三公经费”控制情况：</w:t>
      </w:r>
      <w:r>
        <w:rPr>
          <w:rFonts w:hint="default" w:ascii="Times New Roman" w:hAnsi="Times New Roman" w:eastAsia="方正仿宋_GBK" w:cs="Times New Roman"/>
          <w:color w:val="auto"/>
          <w:sz w:val="32"/>
          <w:szCs w:val="32"/>
        </w:rPr>
        <w:t>严格遵守各项规章制度，严控“三公”经费支出，并及时在县人民政府门户网站上对“三公”经费情况进行公示。</w:t>
      </w:r>
    </w:p>
    <w:p>
      <w:pPr>
        <w:keepNext w:val="0"/>
        <w:keepLines w:val="0"/>
        <w:pageBreakBefore w:val="0"/>
        <w:widowControl w:val="0"/>
        <w:kinsoku/>
        <w:wordWrap/>
        <w:overflowPunct/>
        <w:topLinePunct w:val="0"/>
        <w:bidi w:val="0"/>
        <w:snapToGrid/>
        <w:spacing w:line="600" w:lineRule="exact"/>
        <w:ind w:right="0" w:rightChars="0" w:firstLine="640" w:firstLineChars="200"/>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（五）政府采购情况：</w:t>
      </w:r>
      <w:r>
        <w:rPr>
          <w:rFonts w:hint="default" w:ascii="Times New Roman" w:hAnsi="Times New Roman" w:eastAsia="方正楷体_GBK" w:cs="Times New Roman"/>
          <w:sz w:val="32"/>
          <w:szCs w:val="32"/>
          <w:lang w:val="en-US" w:eastAsia="zh-CN"/>
        </w:rPr>
        <w:t>无。</w:t>
      </w:r>
    </w:p>
    <w:p>
      <w:pPr>
        <w:keepNext w:val="0"/>
        <w:keepLines w:val="0"/>
        <w:pageBreakBefore w:val="0"/>
        <w:widowControl w:val="0"/>
        <w:numPr>
          <w:ilvl w:val="0"/>
          <w:numId w:val="2"/>
        </w:numPr>
        <w:kinsoku/>
        <w:wordWrap/>
        <w:overflowPunct/>
        <w:topLinePunct w:val="0"/>
        <w:autoSpaceDE/>
        <w:autoSpaceDN/>
        <w:bidi w:val="0"/>
        <w:snapToGrid/>
        <w:spacing w:line="600" w:lineRule="exact"/>
        <w:ind w:right="0" w:righ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认真履行职责</w:t>
      </w:r>
      <w:r>
        <w:rPr>
          <w:rFonts w:hint="default" w:ascii="Times New Roman" w:hAnsi="Times New Roman" w:eastAsia="方正楷体_GBK" w:cs="Times New Roman"/>
          <w:sz w:val="32"/>
          <w:szCs w:val="32"/>
          <w:lang w:eastAsia="zh-CN"/>
        </w:rPr>
        <w:t>情况：</w:t>
      </w:r>
      <w:r>
        <w:rPr>
          <w:rFonts w:hint="default" w:ascii="Times New Roman" w:hAnsi="Times New Roman" w:cs="Times New Roman"/>
          <w:sz w:val="32"/>
          <w:szCs w:val="32"/>
          <w:lang w:val="en-US" w:eastAsia="zh-CN"/>
        </w:rPr>
        <w:t>我单位认真履行职责，坚持党的领导，依法独立自主的开展工作，</w:t>
      </w:r>
      <w:r>
        <w:rPr>
          <w:rFonts w:hint="default" w:ascii="Times New Roman" w:hAnsi="Times New Roman" w:eastAsia="方正仿宋_GBK" w:cs="Times New Roman"/>
          <w:sz w:val="32"/>
          <w:szCs w:val="32"/>
          <w:lang w:val="en-US" w:eastAsia="zh-CN"/>
        </w:rPr>
        <w:t>加强</w:t>
      </w:r>
      <w:r>
        <w:rPr>
          <w:rFonts w:hint="default" w:ascii="Times New Roman" w:hAnsi="Times New Roman" w:cs="Times New Roman"/>
          <w:sz w:val="32"/>
          <w:szCs w:val="32"/>
          <w:lang w:val="en-US" w:eastAsia="zh-CN"/>
        </w:rPr>
        <w:t>了</w:t>
      </w:r>
      <w:r>
        <w:rPr>
          <w:rFonts w:hint="default" w:ascii="Times New Roman" w:hAnsi="Times New Roman" w:eastAsia="方正仿宋_GBK" w:cs="Times New Roman"/>
          <w:sz w:val="32"/>
          <w:szCs w:val="32"/>
          <w:lang w:val="en-US" w:eastAsia="zh-CN"/>
        </w:rPr>
        <w:t>对广大职工的政治引领和思想引导</w:t>
      </w:r>
      <w:r>
        <w:rPr>
          <w:rFonts w:hint="default" w:ascii="Times New Roman" w:hAnsi="Times New Roman" w:cs="Times New Roman"/>
          <w:sz w:val="32"/>
          <w:szCs w:val="32"/>
          <w:lang w:val="en-US" w:eastAsia="zh-CN"/>
        </w:rPr>
        <w:t>作用。按时认真完成各项目标工作任务，按要求高质量限时办结县委、县政府、上级交办的事项。</w:t>
      </w:r>
    </w:p>
    <w:p>
      <w:pPr>
        <w:keepNext w:val="0"/>
        <w:keepLines w:val="0"/>
        <w:pageBreakBefore w:val="0"/>
        <w:widowControl w:val="0"/>
        <w:numPr>
          <w:ilvl w:val="0"/>
          <w:numId w:val="3"/>
        </w:numPr>
        <w:kinsoku/>
        <w:wordWrap/>
        <w:overflowPunct/>
        <w:topLinePunct w:val="0"/>
        <w:autoSpaceDE/>
        <w:autoSpaceDN/>
        <w:bidi w:val="0"/>
        <w:snapToGrid/>
        <w:spacing w:line="600" w:lineRule="exact"/>
        <w:ind w:left="640" w:leftChars="0" w:right="0" w:rightChars="0" w:firstLine="0" w:firstLineChars="0"/>
        <w:jc w:val="both"/>
        <w:textAlignment w:val="auto"/>
        <w:rPr>
          <w:rFonts w:hint="default" w:ascii="Times New Roman" w:hAnsi="Times New Roman" w:eastAsia="方正黑体_GBK" w:cs="Times New Roman"/>
          <w:i w:val="0"/>
          <w:iCs w:val="0"/>
          <w:caps w:val="0"/>
          <w:color w:val="000000"/>
          <w:spacing w:val="0"/>
          <w:sz w:val="32"/>
          <w:szCs w:val="32"/>
        </w:rPr>
      </w:pPr>
      <w:r>
        <w:rPr>
          <w:rFonts w:hint="default" w:ascii="Times New Roman" w:hAnsi="Times New Roman" w:eastAsia="方正黑体_GBK" w:cs="Times New Roman"/>
          <w:i w:val="0"/>
          <w:iCs w:val="0"/>
          <w:caps w:val="0"/>
          <w:color w:val="000000"/>
          <w:spacing w:val="0"/>
          <w:sz w:val="32"/>
          <w:szCs w:val="32"/>
        </w:rPr>
        <w:t>评价结论</w:t>
      </w:r>
      <w:r>
        <w:rPr>
          <w:rFonts w:hint="default" w:ascii="Times New Roman" w:hAnsi="Times New Roman" w:eastAsia="方正黑体_GBK" w:cs="Times New Roman"/>
          <w:i w:val="0"/>
          <w:iCs w:val="0"/>
          <w:caps w:val="0"/>
          <w:color w:val="000000"/>
          <w:spacing w:val="0"/>
          <w:sz w:val="32"/>
          <w:szCs w:val="32"/>
          <w:lang w:eastAsia="zh-CN"/>
        </w:rPr>
        <w:t>及分析</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firstLine="640" w:firstLineChars="200"/>
        <w:jc w:val="both"/>
        <w:textAlignment w:val="auto"/>
        <w:rPr>
          <w:rFonts w:hint="default" w:ascii="Times New Roman" w:hAnsi="Times New Roman" w:eastAsia="仿宋_GB2312" w:cs="Times New Roman"/>
          <w:i w:val="0"/>
          <w:iCs w:val="0"/>
          <w:caps w:val="0"/>
          <w:color w:val="000000"/>
          <w:spacing w:val="0"/>
          <w:sz w:val="32"/>
          <w:szCs w:val="32"/>
          <w:lang w:val="en-US" w:eastAsia="zh-CN"/>
        </w:rPr>
      </w:pPr>
      <w:r>
        <w:rPr>
          <w:rFonts w:hint="default" w:ascii="Times New Roman" w:hAnsi="Times New Roman" w:eastAsia="仿宋_GB2312" w:cs="Times New Roman"/>
          <w:i w:val="0"/>
          <w:iCs w:val="0"/>
          <w:caps w:val="0"/>
          <w:color w:val="000000"/>
          <w:spacing w:val="0"/>
          <w:sz w:val="32"/>
          <w:szCs w:val="32"/>
          <w:lang w:val="en-US" w:eastAsia="zh-CN"/>
        </w:rPr>
        <w:t>通过认真开展单位整体支出绩效目标自评，综合评分97分，评价结果为</w:t>
      </w:r>
      <w:r>
        <w:rPr>
          <w:rFonts w:hint="default" w:ascii="Times New Roman" w:hAnsi="Times New Roman" w:eastAsia="仿宋_GB2312" w:cs="Times New Roman"/>
          <w:i w:val="0"/>
          <w:iCs w:val="0"/>
          <w:caps w:val="0"/>
          <w:color w:val="auto"/>
          <w:spacing w:val="0"/>
          <w:sz w:val="32"/>
          <w:szCs w:val="32"/>
          <w:lang w:val="en-US" w:eastAsia="zh-CN"/>
        </w:rPr>
        <w:t>优</w:t>
      </w:r>
      <w:r>
        <w:rPr>
          <w:rFonts w:hint="default" w:ascii="Times New Roman" w:hAnsi="Times New Roman" w:eastAsia="仿宋_GB2312" w:cs="Times New Roman"/>
          <w:i w:val="0"/>
          <w:iCs w:val="0"/>
          <w:caps w:val="0"/>
          <w:color w:val="000000"/>
          <w:spacing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snapToGrid/>
        <w:spacing w:line="600" w:lineRule="exact"/>
        <w:ind w:left="640" w:leftChars="0" w:right="0" w:rightChars="0"/>
        <w:jc w:val="both"/>
        <w:textAlignment w:val="auto"/>
        <w:rPr>
          <w:rFonts w:hint="default" w:ascii="Times New Roman" w:hAnsi="Times New Roman" w:eastAsia="方正楷体_GBK" w:cs="Times New Roman"/>
          <w:i w:val="0"/>
          <w:iCs w:val="0"/>
          <w:caps w:val="0"/>
          <w:color w:val="000000"/>
          <w:spacing w:val="0"/>
          <w:sz w:val="32"/>
          <w:szCs w:val="32"/>
          <w:lang w:val="en-US" w:eastAsia="zh-CN"/>
        </w:rPr>
      </w:pPr>
      <w:r>
        <w:rPr>
          <w:rFonts w:hint="default" w:ascii="Times New Roman" w:hAnsi="Times New Roman" w:eastAsia="方正楷体_GBK" w:cs="Times New Roman"/>
          <w:i w:val="0"/>
          <w:iCs w:val="0"/>
          <w:caps w:val="0"/>
          <w:color w:val="000000"/>
          <w:spacing w:val="0"/>
          <w:sz w:val="32"/>
          <w:szCs w:val="32"/>
          <w:lang w:val="en-US" w:eastAsia="zh-CN"/>
        </w:rPr>
        <w:t>（一）经济性分析</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firstLine="640" w:firstLineChars="200"/>
        <w:jc w:val="both"/>
        <w:textAlignment w:val="auto"/>
        <w:rPr>
          <w:rFonts w:hint="default" w:ascii="Times New Roman" w:hAnsi="Times New Roman" w:eastAsia="方正仿宋_GBK" w:cs="Times New Roman"/>
          <w:i w:val="0"/>
          <w:iCs w:val="0"/>
          <w:caps w:val="0"/>
          <w:color w:val="auto"/>
          <w:spacing w:val="0"/>
          <w:sz w:val="32"/>
          <w:szCs w:val="32"/>
          <w:lang w:val="en-US" w:eastAsia="zh-CN"/>
        </w:rPr>
      </w:pPr>
      <w:r>
        <w:rPr>
          <w:rFonts w:hint="default" w:ascii="Times New Roman" w:hAnsi="Times New Roman" w:eastAsia="方正仿宋_GBK" w:cs="Times New Roman"/>
          <w:i w:val="0"/>
          <w:iCs w:val="0"/>
          <w:caps w:val="0"/>
          <w:color w:val="auto"/>
          <w:spacing w:val="0"/>
          <w:sz w:val="32"/>
          <w:szCs w:val="32"/>
          <w:lang w:val="en-US" w:eastAsia="zh-CN"/>
        </w:rPr>
        <w:t>执行绩效评价体系，从以下几个方面提升了我单位的绩效工作：一是要加大支出管理。严格执行公务接待、公车管理及差旅费、会议费管理，坚持厉行节约，努力降低财政运行成本。二是严格预算约束做好增收节支，极力控制非生产性支出，降低行政运行成本，严肃财经纪律，坚决反对铺张浪费。三是加强预算执行，建立健全财政资金使用管理办法，促进资金使用效益。四是积极化解存量债务，严控政府性债务风险。</w:t>
      </w:r>
    </w:p>
    <w:p>
      <w:pPr>
        <w:keepNext w:val="0"/>
        <w:keepLines w:val="0"/>
        <w:pageBreakBefore w:val="0"/>
        <w:widowControl w:val="0"/>
        <w:numPr>
          <w:ilvl w:val="0"/>
          <w:numId w:val="0"/>
        </w:numPr>
        <w:kinsoku/>
        <w:wordWrap/>
        <w:overflowPunct/>
        <w:topLinePunct w:val="0"/>
        <w:autoSpaceDE/>
        <w:autoSpaceDN/>
        <w:bidi w:val="0"/>
        <w:snapToGrid/>
        <w:spacing w:line="600" w:lineRule="exact"/>
        <w:ind w:left="640" w:leftChars="0" w:right="0" w:rightChars="0"/>
        <w:jc w:val="both"/>
        <w:textAlignment w:val="auto"/>
        <w:rPr>
          <w:rFonts w:hint="default" w:ascii="Times New Roman" w:hAnsi="Times New Roman" w:eastAsia="方正楷体_GBK" w:cs="Times New Roman"/>
          <w:i w:val="0"/>
          <w:iCs w:val="0"/>
          <w:caps w:val="0"/>
          <w:color w:val="000000"/>
          <w:spacing w:val="0"/>
          <w:sz w:val="32"/>
          <w:szCs w:val="32"/>
          <w:lang w:val="en-US" w:eastAsia="zh-CN"/>
        </w:rPr>
      </w:pPr>
      <w:r>
        <w:rPr>
          <w:rFonts w:hint="default" w:ascii="Times New Roman" w:hAnsi="Times New Roman" w:eastAsia="方正楷体_GBK" w:cs="Times New Roman"/>
          <w:i w:val="0"/>
          <w:iCs w:val="0"/>
          <w:caps w:val="0"/>
          <w:color w:val="000000"/>
          <w:spacing w:val="0"/>
          <w:sz w:val="32"/>
          <w:szCs w:val="32"/>
          <w:lang w:val="en-US" w:eastAsia="zh-CN"/>
        </w:rPr>
        <w:t>（二）效率性分析</w:t>
      </w:r>
    </w:p>
    <w:p>
      <w:pPr>
        <w:pStyle w:val="3"/>
        <w:keepNext w:val="0"/>
        <w:keepLines w:val="0"/>
        <w:pageBreakBefore w:val="0"/>
        <w:widowControl w:val="0"/>
        <w:numPr>
          <w:ilvl w:val="0"/>
          <w:numId w:val="0"/>
        </w:numPr>
        <w:kinsoku/>
        <w:wordWrap/>
        <w:overflowPunct/>
        <w:topLinePunct w:val="0"/>
        <w:autoSpaceDE/>
        <w:autoSpaceDN/>
        <w:bidi w:val="0"/>
        <w:adjustRightInd w:val="0"/>
        <w:snapToGrid/>
        <w:spacing w:after="0" w:line="600" w:lineRule="exact"/>
        <w:ind w:left="0" w:leftChars="0" w:right="0" w:rightChars="0" w:firstLine="640" w:firstLineChars="200"/>
        <w:jc w:val="both"/>
        <w:textAlignment w:val="auto"/>
        <w:outlineLvl w:val="9"/>
        <w:rPr>
          <w:rFonts w:hint="default" w:ascii="Times New Roman" w:hAnsi="Times New Roman" w:eastAsia="仿宋_GB2312" w:cs="Times New Roman"/>
          <w:i w:val="0"/>
          <w:iCs w:val="0"/>
          <w:caps w:val="0"/>
          <w:color w:val="000000"/>
          <w:spacing w:val="0"/>
          <w:sz w:val="32"/>
          <w:szCs w:val="32"/>
          <w:lang w:val="en-US" w:eastAsia="zh-CN"/>
        </w:rPr>
      </w:pPr>
      <w:r>
        <w:rPr>
          <w:rFonts w:hint="default" w:ascii="Times New Roman" w:hAnsi="Times New Roman" w:eastAsia="方正仿宋_GBK" w:cs="Times New Roman"/>
          <w:lang w:val="en-US" w:eastAsia="zh-CN"/>
        </w:rPr>
        <w:t>本单位按年初确定的工作思路和目标，大力推进工作的开展，各项工作任务均按质按量按时完成，较好的履行了部门职能。</w:t>
      </w:r>
    </w:p>
    <w:p>
      <w:pPr>
        <w:keepNext w:val="0"/>
        <w:keepLines w:val="0"/>
        <w:pageBreakBefore w:val="0"/>
        <w:widowControl w:val="0"/>
        <w:numPr>
          <w:ilvl w:val="0"/>
          <w:numId w:val="0"/>
        </w:numPr>
        <w:kinsoku/>
        <w:wordWrap/>
        <w:overflowPunct/>
        <w:topLinePunct w:val="0"/>
        <w:autoSpaceDE/>
        <w:autoSpaceDN/>
        <w:bidi w:val="0"/>
        <w:snapToGrid/>
        <w:spacing w:line="600" w:lineRule="exact"/>
        <w:ind w:left="640" w:leftChars="0" w:right="0" w:rightChars="0"/>
        <w:jc w:val="both"/>
        <w:textAlignment w:val="auto"/>
        <w:rPr>
          <w:rFonts w:hint="default" w:ascii="Times New Roman" w:hAnsi="Times New Roman" w:eastAsia="方正楷体_GBK" w:cs="Times New Roman"/>
          <w:i w:val="0"/>
          <w:iCs w:val="0"/>
          <w:caps w:val="0"/>
          <w:color w:val="000000"/>
          <w:spacing w:val="0"/>
          <w:sz w:val="32"/>
          <w:szCs w:val="32"/>
          <w:lang w:val="en-US" w:eastAsia="zh-CN"/>
        </w:rPr>
      </w:pPr>
      <w:r>
        <w:rPr>
          <w:rFonts w:hint="default" w:ascii="Times New Roman" w:hAnsi="Times New Roman" w:eastAsia="方正楷体_GBK" w:cs="Times New Roman"/>
          <w:i w:val="0"/>
          <w:iCs w:val="0"/>
          <w:caps w:val="0"/>
          <w:color w:val="000000"/>
          <w:spacing w:val="0"/>
          <w:sz w:val="32"/>
          <w:szCs w:val="32"/>
          <w:lang w:val="en-US" w:eastAsia="zh-CN"/>
        </w:rPr>
        <w:t>（三）效益性分析</w:t>
      </w:r>
    </w:p>
    <w:p>
      <w:pPr>
        <w:keepNext w:val="0"/>
        <w:keepLines w:val="0"/>
        <w:pageBreakBefore w:val="0"/>
        <w:widowControl w:val="0"/>
        <w:kinsoku/>
        <w:wordWrap/>
        <w:overflowPunct/>
        <w:topLinePunct w:val="0"/>
        <w:autoSpaceDE/>
        <w:autoSpaceDN/>
        <w:bidi w:val="0"/>
        <w:snapToGrid/>
        <w:spacing w:line="600" w:lineRule="exact"/>
        <w:ind w:right="0" w:rightChars="0" w:firstLine="640" w:firstLineChars="200"/>
        <w:jc w:val="both"/>
        <w:textAlignment w:val="auto"/>
        <w:rPr>
          <w:rFonts w:hint="default" w:ascii="Times New Roman" w:hAnsi="Times New Roman" w:eastAsia="方正仿宋_GBK" w:cs="Times New Roman"/>
          <w:i w:val="0"/>
          <w:iCs w:val="0"/>
          <w:caps w:val="0"/>
          <w:color w:val="auto"/>
          <w:spacing w:val="0"/>
          <w:sz w:val="32"/>
          <w:szCs w:val="32"/>
          <w:lang w:val="en-US" w:eastAsia="zh-CN"/>
        </w:rPr>
      </w:pPr>
      <w:r>
        <w:rPr>
          <w:rFonts w:hint="default" w:ascii="Times New Roman" w:hAnsi="Times New Roman" w:eastAsia="方正仿宋_GBK" w:cs="Times New Roman"/>
          <w:i w:val="0"/>
          <w:iCs w:val="0"/>
          <w:caps w:val="0"/>
          <w:color w:val="auto"/>
          <w:spacing w:val="0"/>
          <w:sz w:val="32"/>
          <w:szCs w:val="32"/>
          <w:lang w:val="en-US" w:eastAsia="zh-CN"/>
        </w:rPr>
        <w:t>2022年，我单位的绩效评价工作在县委、县政府的坚强领导下，在县审计局、县财政局的监督指导下，在社会各界的大力支持下，促进社会稳定，维护职工权益，</w:t>
      </w:r>
      <w:r>
        <w:rPr>
          <w:rFonts w:hint="default" w:ascii="Times New Roman" w:hAnsi="Times New Roman" w:eastAsia="方正仿宋_GBK" w:cs="Times New Roman"/>
          <w:color w:val="auto"/>
          <w:kern w:val="0"/>
          <w:sz w:val="32"/>
          <w:szCs w:val="32"/>
          <w:lang w:val="en-US" w:eastAsia="zh-CN"/>
        </w:rPr>
        <w:t>引领广大职工更加自觉拥护“两个确立”，做到“两个维护”，听党话跟党走，</w:t>
      </w:r>
      <w:r>
        <w:rPr>
          <w:rFonts w:hint="default" w:ascii="Times New Roman" w:hAnsi="Times New Roman" w:eastAsia="方正仿宋_GBK" w:cs="Times New Roman"/>
          <w:i w:val="0"/>
          <w:iCs w:val="0"/>
          <w:caps w:val="0"/>
          <w:color w:val="auto"/>
          <w:spacing w:val="0"/>
          <w:sz w:val="32"/>
          <w:szCs w:val="32"/>
          <w:lang w:val="en-US" w:eastAsia="zh-CN"/>
        </w:rPr>
        <w:t>增强职工幸福感和归属感，提升了单位形象和影响力。</w:t>
      </w:r>
    </w:p>
    <w:p>
      <w:pPr>
        <w:keepNext w:val="0"/>
        <w:keepLines w:val="0"/>
        <w:pageBreakBefore w:val="0"/>
        <w:widowControl w:val="0"/>
        <w:kinsoku/>
        <w:wordWrap/>
        <w:overflowPunct/>
        <w:topLinePunct w:val="0"/>
        <w:autoSpaceDE/>
        <w:autoSpaceDN/>
        <w:bidi w:val="0"/>
        <w:snapToGrid/>
        <w:spacing w:line="600" w:lineRule="exact"/>
        <w:ind w:right="0" w:rightChars="0" w:firstLine="640" w:firstLineChars="200"/>
        <w:jc w:val="both"/>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lang w:eastAsia="zh-CN"/>
        </w:rPr>
        <w:t>五</w:t>
      </w:r>
      <w:r>
        <w:rPr>
          <w:rFonts w:hint="default" w:ascii="Times New Roman" w:hAnsi="Times New Roman" w:eastAsia="方正黑体_GBK" w:cs="Times New Roman"/>
          <w:b w:val="0"/>
          <w:bCs w:val="0"/>
          <w:sz w:val="32"/>
          <w:szCs w:val="32"/>
        </w:rPr>
        <w:t>、存在的问题</w:t>
      </w:r>
    </w:p>
    <w:p>
      <w:pPr>
        <w:keepNext w:val="0"/>
        <w:keepLines w:val="0"/>
        <w:pageBreakBefore w:val="0"/>
        <w:widowControl w:val="0"/>
        <w:kinsoku/>
        <w:wordWrap/>
        <w:overflowPunct/>
        <w:topLinePunct w:val="0"/>
        <w:bidi w:val="0"/>
        <w:snapToGrid/>
        <w:spacing w:line="600" w:lineRule="exact"/>
        <w:ind w:right="0" w:rightChars="0"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eastAsia="zh-CN"/>
        </w:rPr>
        <w:t>（一）</w:t>
      </w:r>
      <w:r>
        <w:rPr>
          <w:rFonts w:hint="eastAsia" w:ascii="方正楷体_GBK" w:hAnsi="方正楷体_GBK" w:eastAsia="方正楷体_GBK" w:cs="方正楷体_GBK"/>
          <w:color w:val="auto"/>
          <w:sz w:val="32"/>
          <w:szCs w:val="32"/>
        </w:rPr>
        <w:t>因业务水平有限，年初预算的编制支出类别上理解不够，比如基本支出和项目支出，在日常业务操作时容易出错。</w:t>
      </w:r>
    </w:p>
    <w:p>
      <w:pPr>
        <w:keepNext w:val="0"/>
        <w:keepLines w:val="0"/>
        <w:pageBreakBefore w:val="0"/>
        <w:widowControl w:val="0"/>
        <w:kinsoku/>
        <w:wordWrap/>
        <w:overflowPunct/>
        <w:topLinePunct w:val="0"/>
        <w:bidi w:val="0"/>
        <w:snapToGrid/>
        <w:spacing w:line="600" w:lineRule="exact"/>
        <w:ind w:right="0" w:rightChars="0"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eastAsia="zh-CN"/>
        </w:rPr>
        <w:t>（二）</w:t>
      </w:r>
      <w:r>
        <w:rPr>
          <w:rFonts w:hint="eastAsia" w:ascii="方正楷体_GBK" w:hAnsi="方正楷体_GBK" w:eastAsia="方正楷体_GBK" w:cs="方正楷体_GBK"/>
          <w:color w:val="auto"/>
          <w:sz w:val="32"/>
          <w:szCs w:val="32"/>
        </w:rPr>
        <w:t>预决算项目支出编制需进一步明确、精细化。同时项目执行率需进一步提高。</w:t>
      </w:r>
    </w:p>
    <w:p>
      <w:pPr>
        <w:keepNext w:val="0"/>
        <w:keepLines w:val="0"/>
        <w:pageBreakBefore w:val="0"/>
        <w:widowControl w:val="0"/>
        <w:kinsoku/>
        <w:wordWrap/>
        <w:overflowPunct/>
        <w:topLinePunct w:val="0"/>
        <w:bidi w:val="0"/>
        <w:snapToGrid/>
        <w:spacing w:line="600" w:lineRule="exact"/>
        <w:ind w:right="0" w:rightChars="0"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eastAsia="zh-CN"/>
        </w:rPr>
        <w:t>（三）</w:t>
      </w:r>
      <w:r>
        <w:rPr>
          <w:rFonts w:hint="eastAsia" w:ascii="方正楷体_GBK" w:hAnsi="方正楷体_GBK" w:eastAsia="方正楷体_GBK" w:cs="方正楷体_GBK"/>
          <w:color w:val="auto"/>
          <w:sz w:val="32"/>
          <w:szCs w:val="32"/>
        </w:rPr>
        <w:t>随着对预、决算编制工作水平要求越来越高，数据编制要求越来越精准、规范；时间紧、任务大；加之现行决算工作与实际账务处理工作间衔接还存在一定差异；会计人员业务明显增加，人员紧缺，加之业务操作水平有限，实际操作中确实感到力不从心。</w:t>
      </w:r>
    </w:p>
    <w:p>
      <w:pPr>
        <w:keepNext w:val="0"/>
        <w:keepLines w:val="0"/>
        <w:pageBreakBefore w:val="0"/>
        <w:widowControl w:val="0"/>
        <w:kinsoku/>
        <w:wordWrap/>
        <w:overflowPunct/>
        <w:topLinePunct w:val="0"/>
        <w:bidi w:val="0"/>
        <w:snapToGrid/>
        <w:spacing w:line="600" w:lineRule="exact"/>
        <w:ind w:right="0" w:rightChars="0"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eastAsia="zh-CN"/>
        </w:rPr>
        <w:t>六</w:t>
      </w:r>
      <w:r>
        <w:rPr>
          <w:rFonts w:hint="eastAsia" w:ascii="方正黑体_GBK" w:hAnsi="方正黑体_GBK" w:eastAsia="方正黑体_GBK" w:cs="方正黑体_GBK"/>
          <w:b w:val="0"/>
          <w:bCs w:val="0"/>
          <w:sz w:val="32"/>
          <w:szCs w:val="32"/>
        </w:rPr>
        <w:t>、改进措施和有关建议</w:t>
      </w:r>
    </w:p>
    <w:p>
      <w:pPr>
        <w:keepNext w:val="0"/>
        <w:keepLines w:val="0"/>
        <w:pageBreakBefore w:val="0"/>
        <w:widowControl w:val="0"/>
        <w:kinsoku/>
        <w:wordWrap/>
        <w:overflowPunct/>
        <w:topLinePunct w:val="0"/>
        <w:bidi w:val="0"/>
        <w:snapToGrid/>
        <w:spacing w:line="600" w:lineRule="exact"/>
        <w:ind w:right="0" w:rightChars="0"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eastAsia="zh-CN"/>
        </w:rPr>
        <w:t>（一）</w:t>
      </w:r>
      <w:r>
        <w:rPr>
          <w:rFonts w:hint="eastAsia" w:ascii="方正楷体_GBK" w:hAnsi="方正楷体_GBK" w:eastAsia="方正楷体_GBK" w:cs="方正楷体_GBK"/>
          <w:color w:val="auto"/>
          <w:sz w:val="32"/>
          <w:szCs w:val="32"/>
        </w:rPr>
        <w:t>细化预算编制工作，进一步加强内设机构的预算管理意识，严格按照预算编制的相关制度和要求进行预算编制。</w:t>
      </w:r>
    </w:p>
    <w:p>
      <w:pPr>
        <w:keepNext w:val="0"/>
        <w:keepLines w:val="0"/>
        <w:pageBreakBefore w:val="0"/>
        <w:widowControl w:val="0"/>
        <w:kinsoku/>
        <w:wordWrap/>
        <w:overflowPunct/>
        <w:topLinePunct w:val="0"/>
        <w:bidi w:val="0"/>
        <w:snapToGrid/>
        <w:spacing w:line="600" w:lineRule="exact"/>
        <w:ind w:right="0" w:rightChars="0"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eastAsia="zh-CN"/>
        </w:rPr>
        <w:t>（二）</w:t>
      </w:r>
      <w:r>
        <w:rPr>
          <w:rFonts w:hint="eastAsia" w:ascii="方正楷体_GBK" w:hAnsi="方正楷体_GBK" w:eastAsia="方正楷体_GBK" w:cs="方正楷体_GBK"/>
          <w:color w:val="auto"/>
          <w:sz w:val="32"/>
          <w:szCs w:val="32"/>
        </w:rPr>
        <w:t>加强财务管理，严格财务审核。加强单位财务管理，健全单位财务管理制度体系，规范单位财务行为。在费用报账支付时，按照预算规定的费用项目和用途进行资金使用审核、财务严格核算，杜绝超支现象的发生。</w:t>
      </w:r>
    </w:p>
    <w:p>
      <w:pPr>
        <w:keepNext w:val="0"/>
        <w:keepLines w:val="0"/>
        <w:pageBreakBefore w:val="0"/>
        <w:widowControl w:val="0"/>
        <w:kinsoku/>
        <w:wordWrap/>
        <w:overflowPunct/>
        <w:topLinePunct w:val="0"/>
        <w:bidi w:val="0"/>
        <w:snapToGrid/>
        <w:spacing w:line="600" w:lineRule="exact"/>
        <w:ind w:right="0" w:rightChars="0"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color w:val="auto"/>
          <w:sz w:val="32"/>
          <w:szCs w:val="32"/>
          <w:lang w:eastAsia="zh-CN"/>
        </w:rPr>
        <w:t>（三）</w:t>
      </w:r>
      <w:r>
        <w:rPr>
          <w:rFonts w:hint="eastAsia" w:ascii="方正楷体_GBK" w:hAnsi="方正楷体_GBK" w:eastAsia="方正楷体_GBK" w:cs="方正楷体_GBK"/>
          <w:color w:val="auto"/>
          <w:sz w:val="32"/>
          <w:szCs w:val="32"/>
        </w:rPr>
        <w:t>合理安排会计岗位，适当增加会计人员，增加业务知识培训，加强决算工作与账务处理工作衔接。 </w:t>
      </w:r>
      <w:r>
        <w:rPr>
          <w:rFonts w:hint="eastAsia" w:ascii="方正楷体_GBK" w:hAnsi="方正楷体_GBK" w:eastAsia="方正楷体_GBK" w:cs="方正楷体_GBK"/>
          <w:sz w:val="32"/>
          <w:szCs w:val="32"/>
        </w:rPr>
        <w:t>   </w:t>
      </w:r>
    </w:p>
    <w:p>
      <w:pPr>
        <w:pStyle w:val="2"/>
        <w:keepNext w:val="0"/>
        <w:keepLines w:val="0"/>
        <w:pageBreakBefore w:val="0"/>
        <w:widowControl w:val="0"/>
        <w:kinsoku/>
        <w:wordWrap/>
        <w:overflowPunct/>
        <w:topLinePunct w:val="0"/>
        <w:bidi w:val="0"/>
        <w:snapToGrid/>
        <w:spacing w:line="600" w:lineRule="exact"/>
        <w:textAlignment w:val="auto"/>
        <w:rPr>
          <w:rFonts w:hint="eastAsia" w:ascii="方正楷体_GBK" w:hAnsi="方正楷体_GBK" w:eastAsia="方正楷体_GBK" w:cs="方正楷体_GBK"/>
          <w:lang w:eastAsia="zh-CN"/>
        </w:rPr>
      </w:pPr>
    </w:p>
    <w:p>
      <w:pPr>
        <w:keepNext w:val="0"/>
        <w:keepLines w:val="0"/>
        <w:pageBreakBefore w:val="0"/>
        <w:widowControl w:val="0"/>
        <w:kinsoku/>
        <w:wordWrap/>
        <w:overflowPunct/>
        <w:topLinePunct w:val="0"/>
        <w:bidi w:val="0"/>
        <w:snapToGrid/>
        <w:spacing w:line="60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附</w:t>
      </w:r>
      <w:r>
        <w:rPr>
          <w:rFonts w:hint="default" w:ascii="Times New Roman" w:hAnsi="Times New Roman" w:eastAsia="方正仿宋_GBK" w:cs="Times New Roman"/>
          <w:sz w:val="32"/>
          <w:szCs w:val="32"/>
          <w:lang w:val="en-US" w:eastAsia="zh-CN"/>
        </w:rPr>
        <w:t>件1.</w:t>
      </w:r>
      <w:r>
        <w:rPr>
          <w:rFonts w:hint="eastAsia" w:ascii="Times New Roman" w:hAnsi="Times New Roman"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部门（单位）</w:t>
      </w:r>
      <w:r>
        <w:rPr>
          <w:rFonts w:hint="default" w:ascii="Times New Roman" w:hAnsi="Times New Roman" w:eastAsia="方正仿宋_GBK" w:cs="Times New Roman"/>
          <w:sz w:val="32"/>
          <w:szCs w:val="32"/>
        </w:rPr>
        <w:t>整体支出</w:t>
      </w:r>
      <w:r>
        <w:rPr>
          <w:rFonts w:hint="default" w:ascii="Times New Roman" w:hAnsi="Times New Roman" w:eastAsia="方正仿宋_GBK" w:cs="Times New Roman"/>
          <w:sz w:val="32"/>
          <w:szCs w:val="32"/>
          <w:lang w:eastAsia="zh-CN"/>
        </w:rPr>
        <w:t>预算</w:t>
      </w:r>
      <w:r>
        <w:rPr>
          <w:rFonts w:hint="default" w:ascii="Times New Roman" w:hAnsi="Times New Roman" w:eastAsia="方正仿宋_GBK" w:cs="Times New Roman"/>
          <w:sz w:val="32"/>
          <w:szCs w:val="32"/>
        </w:rPr>
        <w:t>绩效自评表</w:t>
      </w:r>
    </w:p>
    <w:p>
      <w:pPr>
        <w:keepNext w:val="0"/>
        <w:keepLines w:val="0"/>
        <w:pageBreakBefore w:val="0"/>
        <w:widowControl w:val="0"/>
        <w:kinsoku/>
        <w:wordWrap/>
        <w:overflowPunct/>
        <w:topLinePunct w:val="0"/>
        <w:bidi w:val="0"/>
        <w:snapToGrid/>
        <w:spacing w:line="600" w:lineRule="exact"/>
        <w:ind w:right="0" w:rightChars="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bidi w:val="0"/>
        <w:snapToGrid/>
        <w:spacing w:line="560" w:lineRule="exact"/>
        <w:ind w:right="0" w:rightChars="0" w:firstLine="5440" w:firstLineChars="1700"/>
        <w:textAlignment w:val="auto"/>
        <w:rPr>
          <w:rFonts w:hint="eastAsia" w:ascii="方正仿宋_GBK" w:hAnsi="方正仿宋_GBK" w:eastAsia="方正仿宋_GBK" w:cs="方正仿宋_GBK"/>
          <w:sz w:val="32"/>
          <w:szCs w:val="32"/>
          <w:lang w:eastAsia="zh-CN"/>
        </w:rPr>
      </w:pPr>
      <w:r>
        <w:rPr>
          <w:rFonts w:hint="eastAsia" w:ascii="仿宋_GB2312" w:hAnsi="仿宋_GB2312" w:eastAsia="仿宋_GB2312" w:cs="仿宋_GB2312"/>
          <w:i w:val="0"/>
          <w:iCs w:val="0"/>
          <w:caps w:val="0"/>
          <w:color w:val="auto"/>
          <w:spacing w:val="0"/>
          <w:sz w:val="32"/>
          <w:szCs w:val="32"/>
          <w:lang w:val="en-US" w:eastAsia="zh-CN"/>
        </w:rPr>
        <w:t xml:space="preserve">                                   </w:t>
      </w:r>
    </w:p>
    <w:tbl>
      <w:tblPr>
        <w:tblStyle w:val="5"/>
        <w:tblW w:w="8556" w:type="dxa"/>
        <w:tblInd w:w="93" w:type="dxa"/>
        <w:tblLayout w:type="fixed"/>
        <w:tblCellMar>
          <w:top w:w="0" w:type="dxa"/>
          <w:left w:w="108" w:type="dxa"/>
          <w:bottom w:w="0" w:type="dxa"/>
          <w:right w:w="108" w:type="dxa"/>
        </w:tblCellMar>
      </w:tblPr>
      <w:tblGrid>
        <w:gridCol w:w="1266"/>
        <w:gridCol w:w="1215"/>
        <w:gridCol w:w="1815"/>
        <w:gridCol w:w="1080"/>
        <w:gridCol w:w="1110"/>
        <w:gridCol w:w="1020"/>
        <w:gridCol w:w="1050"/>
      </w:tblGrid>
      <w:tr>
        <w:tblPrEx>
          <w:tblLayout w:type="fixed"/>
          <w:tblCellMar>
            <w:top w:w="0" w:type="dxa"/>
            <w:left w:w="108" w:type="dxa"/>
            <w:bottom w:w="0" w:type="dxa"/>
            <w:right w:w="108" w:type="dxa"/>
          </w:tblCellMar>
        </w:tblPrEx>
        <w:trPr>
          <w:trHeight w:val="927" w:hRule="atLeast"/>
        </w:trPr>
        <w:tc>
          <w:tcPr>
            <w:tcW w:w="8556" w:type="dxa"/>
            <w:gridSpan w:val="7"/>
            <w:tcBorders>
              <w:top w:val="nil"/>
              <w:left w:val="nil"/>
              <w:bottom w:val="nil"/>
              <w:right w:val="nil"/>
            </w:tcBorders>
            <w:vAlign w:val="center"/>
          </w:tcPr>
          <w:p>
            <w:pPr>
              <w:keepNext w:val="0"/>
              <w:keepLines w:val="0"/>
              <w:widowControl/>
              <w:suppressLineNumbers w:val="0"/>
              <w:jc w:val="both"/>
              <w:textAlignment w:val="center"/>
              <w:rPr>
                <w:rFonts w:hint="eastAsia" w:ascii="方正黑体_GBK" w:hAnsi="方正黑体_GBK" w:eastAsia="方正黑体_GBK" w:cs="方正黑体_GBK"/>
                <w:b w:val="0"/>
                <w:bCs w:val="0"/>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方正黑体_GBK" w:hAnsi="方正黑体_GBK" w:eastAsia="方正黑体_GBK" w:cs="方正黑体_GBK"/>
                <w:b w:val="0"/>
                <w:bCs w:val="0"/>
                <w:i w:val="0"/>
                <w:iCs w:val="0"/>
                <w:color w:val="000000"/>
                <w:kern w:val="0"/>
                <w:sz w:val="32"/>
                <w:szCs w:val="32"/>
                <w:u w:val="none"/>
                <w:lang w:val="en-US" w:eastAsia="zh-CN" w:bidi="ar"/>
              </w:rPr>
            </w:pPr>
          </w:p>
          <w:p>
            <w:pPr>
              <w:keepNext w:val="0"/>
              <w:keepLines w:val="0"/>
              <w:widowControl/>
              <w:suppressLineNumbers w:val="0"/>
              <w:jc w:val="both"/>
              <w:textAlignment w:val="center"/>
              <w:rPr>
                <w:rFonts w:hint="default" w:ascii="方正黑体_GBK" w:hAnsi="方正黑体_GBK" w:eastAsia="方正黑体_GBK" w:cs="方正黑体_GBK"/>
                <w:b w:val="0"/>
                <w:bCs w:val="0"/>
                <w:i w:val="0"/>
                <w:iCs w:val="0"/>
                <w:color w:val="000000"/>
                <w:kern w:val="0"/>
                <w:sz w:val="32"/>
                <w:szCs w:val="32"/>
                <w:u w:val="none"/>
                <w:lang w:val="en-US" w:eastAsia="zh-CN" w:bidi="ar"/>
              </w:rPr>
            </w:pPr>
            <w:r>
              <w:rPr>
                <w:rFonts w:hint="eastAsia" w:ascii="方正黑体_GBK" w:hAnsi="方正黑体_GBK" w:eastAsia="方正黑体_GBK" w:cs="方正黑体_GBK"/>
                <w:b w:val="0"/>
                <w:bCs w:val="0"/>
                <w:i w:val="0"/>
                <w:iCs w:val="0"/>
                <w:color w:val="000000"/>
                <w:kern w:val="0"/>
                <w:sz w:val="32"/>
                <w:szCs w:val="32"/>
                <w:u w:val="none"/>
                <w:lang w:val="en-US" w:eastAsia="zh-CN" w:bidi="ar"/>
              </w:rPr>
              <w:t>附件1</w:t>
            </w:r>
          </w:p>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部门（单位）整体支出</w:t>
            </w:r>
            <w:r>
              <w:rPr>
                <w:rFonts w:hint="eastAsia" w:ascii="宋体" w:hAnsi="宋体" w:cs="宋体"/>
                <w:b/>
                <w:bCs/>
                <w:i w:val="0"/>
                <w:iCs w:val="0"/>
                <w:color w:val="000000"/>
                <w:kern w:val="0"/>
                <w:sz w:val="32"/>
                <w:szCs w:val="32"/>
                <w:u w:val="none"/>
                <w:lang w:val="en-US" w:eastAsia="zh-CN" w:bidi="ar"/>
              </w:rPr>
              <w:t>预算</w:t>
            </w:r>
            <w:r>
              <w:rPr>
                <w:rFonts w:hint="eastAsia" w:ascii="宋体" w:hAnsi="宋体" w:eastAsia="宋体" w:cs="宋体"/>
                <w:b/>
                <w:bCs/>
                <w:i w:val="0"/>
                <w:iCs w:val="0"/>
                <w:color w:val="000000"/>
                <w:kern w:val="0"/>
                <w:sz w:val="32"/>
                <w:szCs w:val="32"/>
                <w:u w:val="none"/>
                <w:lang w:val="en-US" w:eastAsia="zh-CN" w:bidi="ar"/>
              </w:rPr>
              <w:t>绩效自评表</w:t>
            </w:r>
          </w:p>
        </w:tc>
      </w:tr>
      <w:tr>
        <w:tblPrEx>
          <w:tblLayout w:type="fixed"/>
          <w:tblCellMar>
            <w:top w:w="0" w:type="dxa"/>
            <w:left w:w="108" w:type="dxa"/>
            <w:bottom w:w="0" w:type="dxa"/>
            <w:right w:w="108" w:type="dxa"/>
          </w:tblCellMar>
        </w:tblPrEx>
        <w:trPr>
          <w:trHeight w:val="315" w:hRule="atLeast"/>
        </w:trPr>
        <w:tc>
          <w:tcPr>
            <w:tcW w:w="8556" w:type="dxa"/>
            <w:gridSpan w:val="7"/>
            <w:tcBorders>
              <w:top w:val="nil"/>
              <w:left w:val="nil"/>
              <w:bottom w:val="nil"/>
              <w:right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r>
              <w:rPr>
                <w:rStyle w:val="6"/>
                <w:rFonts w:eastAsia="宋体"/>
                <w:lang w:val="en-US" w:eastAsia="zh-CN" w:bidi="ar"/>
              </w:rPr>
              <w:t xml:space="preserve"> </w:t>
            </w:r>
            <w:r>
              <w:rPr>
                <w:rStyle w:val="6"/>
                <w:rFonts w:hint="eastAsia"/>
                <w:lang w:val="en-US" w:eastAsia="zh-CN" w:bidi="ar"/>
              </w:rPr>
              <w:t>2022</w:t>
            </w:r>
            <w:r>
              <w:rPr>
                <w:rStyle w:val="7"/>
                <w:lang w:val="en-US" w:eastAsia="zh-CN" w:bidi="ar"/>
              </w:rPr>
              <w:t>年度）</w:t>
            </w:r>
          </w:p>
        </w:tc>
      </w:tr>
      <w:tr>
        <w:tblPrEx>
          <w:tblLayout w:type="fixed"/>
          <w:tblCellMar>
            <w:top w:w="0" w:type="dxa"/>
            <w:left w:w="108" w:type="dxa"/>
            <w:bottom w:w="0" w:type="dxa"/>
            <w:right w:w="108" w:type="dxa"/>
          </w:tblCellMar>
        </w:tblPrEx>
        <w:trPr>
          <w:trHeight w:val="560"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部门名称</w:t>
            </w:r>
          </w:p>
        </w:tc>
        <w:tc>
          <w:tcPr>
            <w:tcW w:w="3030"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default" w:ascii="Times New Roman" w:hAnsi="Times New Roman" w:eastAsia="方正仿宋_GBK" w:cs="Times New Roman"/>
                <w:i w:val="0"/>
                <w:iCs w:val="0"/>
                <w:color w:val="000000"/>
                <w:sz w:val="21"/>
                <w:szCs w:val="21"/>
                <w:u w:val="none"/>
                <w:lang w:val="en-US" w:eastAsia="zh-CN"/>
              </w:rPr>
            </w:pPr>
            <w:r>
              <w:rPr>
                <w:rFonts w:hint="default" w:ascii="Times New Roman" w:hAnsi="Times New Roman" w:cs="Times New Roman"/>
                <w:i w:val="0"/>
                <w:iCs w:val="0"/>
                <w:color w:val="000000"/>
                <w:sz w:val="21"/>
                <w:szCs w:val="21"/>
                <w:u w:val="none"/>
                <w:lang w:val="en-US" w:eastAsia="zh-CN"/>
              </w:rPr>
              <w:t>奉节县总工会</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内设机构个数</w:t>
            </w:r>
          </w:p>
        </w:tc>
        <w:tc>
          <w:tcPr>
            <w:tcW w:w="111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default" w:ascii="Times New Roman" w:hAnsi="Times New Roman" w:eastAsia="方正仿宋_GBK" w:cs="Times New Roman"/>
                <w:i w:val="0"/>
                <w:iCs w:val="0"/>
                <w:color w:val="000000"/>
                <w:sz w:val="21"/>
                <w:szCs w:val="21"/>
                <w:u w:val="none"/>
                <w:lang w:val="en-US" w:eastAsia="zh-CN"/>
              </w:rPr>
            </w:pPr>
            <w:r>
              <w:rPr>
                <w:rFonts w:hint="default" w:ascii="Times New Roman" w:hAnsi="Times New Roman" w:cs="Times New Roman"/>
                <w:i w:val="0"/>
                <w:iCs w:val="0"/>
                <w:color w:val="000000"/>
                <w:sz w:val="21"/>
                <w:szCs w:val="21"/>
                <w:u w:val="none"/>
                <w:lang w:val="en-US" w:eastAsia="zh-CN"/>
              </w:rPr>
              <w:t>3</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职工实有人数</w:t>
            </w:r>
          </w:p>
        </w:tc>
        <w:tc>
          <w:tcPr>
            <w:tcW w:w="105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default" w:ascii="Times New Roman" w:hAnsi="Times New Roman" w:eastAsia="方正仿宋_GBK" w:cs="Times New Roman"/>
                <w:i w:val="0"/>
                <w:iCs w:val="0"/>
                <w:color w:val="000000"/>
                <w:sz w:val="21"/>
                <w:szCs w:val="21"/>
                <w:u w:val="none"/>
                <w:lang w:val="en-US" w:eastAsia="zh-CN"/>
              </w:rPr>
            </w:pPr>
            <w:r>
              <w:rPr>
                <w:rFonts w:hint="default" w:ascii="Times New Roman" w:hAnsi="Times New Roman" w:cs="Times New Roman"/>
                <w:i w:val="0"/>
                <w:iCs w:val="0"/>
                <w:color w:val="000000"/>
                <w:sz w:val="21"/>
                <w:szCs w:val="21"/>
                <w:u w:val="none"/>
                <w:lang w:val="en-US" w:eastAsia="zh-CN"/>
              </w:rPr>
              <w:t>9</w:t>
            </w:r>
          </w:p>
        </w:tc>
      </w:tr>
      <w:tr>
        <w:tblPrEx>
          <w:tblLayout w:type="fixed"/>
          <w:tblCellMar>
            <w:top w:w="0" w:type="dxa"/>
            <w:left w:w="108" w:type="dxa"/>
            <w:bottom w:w="0" w:type="dxa"/>
            <w:right w:w="108" w:type="dxa"/>
          </w:tblCellMar>
        </w:tblPrEx>
        <w:trPr>
          <w:trHeight w:val="560" w:hRule="atLeast"/>
        </w:trPr>
        <w:tc>
          <w:tcPr>
            <w:tcW w:w="1266" w:type="dxa"/>
            <w:tcBorders>
              <w:top w:val="single" w:color="000000" w:sz="4" w:space="0"/>
              <w:left w:val="single" w:color="000000" w:sz="4" w:space="0"/>
              <w:bottom w:val="nil"/>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项目负责人</w:t>
            </w:r>
          </w:p>
        </w:tc>
        <w:tc>
          <w:tcPr>
            <w:tcW w:w="3030"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Times New Roman" w:hAnsi="Times New Roman" w:eastAsia="方正仿宋_GBK" w:cs="Times New Roman"/>
                <w:i w:val="0"/>
                <w:iCs w:val="0"/>
                <w:color w:val="000000"/>
                <w:sz w:val="21"/>
                <w:szCs w:val="21"/>
                <w:u w:val="none"/>
                <w:lang w:val="en-US" w:eastAsia="zh-CN"/>
              </w:rPr>
            </w:pPr>
            <w:r>
              <w:rPr>
                <w:rFonts w:hint="eastAsia" w:ascii="Times New Roman" w:hAnsi="Times New Roman" w:cs="Times New Roman"/>
                <w:i w:val="0"/>
                <w:iCs w:val="0"/>
                <w:color w:val="000000"/>
                <w:sz w:val="21"/>
                <w:szCs w:val="21"/>
                <w:u w:val="none"/>
                <w:lang w:val="en-US" w:eastAsia="zh-CN"/>
              </w:rPr>
              <w:t>莫小莉</w:t>
            </w:r>
          </w:p>
        </w:tc>
        <w:tc>
          <w:tcPr>
            <w:tcW w:w="21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联系电话</w:t>
            </w:r>
          </w:p>
        </w:tc>
        <w:tc>
          <w:tcPr>
            <w:tcW w:w="2070"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Times New Roman" w:hAnsi="Times New Roman" w:eastAsia="方正仿宋_GBK" w:cs="Times New Roman"/>
                <w:i w:val="0"/>
                <w:iCs w:val="0"/>
                <w:color w:val="000000"/>
                <w:sz w:val="21"/>
                <w:szCs w:val="21"/>
                <w:u w:val="none"/>
                <w:lang w:val="en-US" w:eastAsia="zh-CN"/>
              </w:rPr>
            </w:pPr>
            <w:r>
              <w:rPr>
                <w:rFonts w:hint="eastAsia" w:ascii="Times New Roman" w:hAnsi="Times New Roman" w:cs="Times New Roman"/>
                <w:i w:val="0"/>
                <w:iCs w:val="0"/>
                <w:color w:val="000000"/>
                <w:sz w:val="21"/>
                <w:szCs w:val="21"/>
                <w:u w:val="none"/>
                <w:lang w:val="en-US" w:eastAsia="zh-CN"/>
              </w:rPr>
              <w:t>17830268035</w:t>
            </w:r>
          </w:p>
        </w:tc>
      </w:tr>
      <w:tr>
        <w:tblPrEx>
          <w:tblLayout w:type="fixed"/>
          <w:tblCellMar>
            <w:top w:w="0" w:type="dxa"/>
            <w:left w:w="108" w:type="dxa"/>
            <w:bottom w:w="0" w:type="dxa"/>
            <w:right w:w="108" w:type="dxa"/>
          </w:tblCellMar>
        </w:tblPrEx>
        <w:trPr>
          <w:trHeight w:val="570" w:hRule="atLeast"/>
        </w:trPr>
        <w:tc>
          <w:tcPr>
            <w:tcW w:w="1266" w:type="dxa"/>
            <w:vMerge w:val="restart"/>
            <w:tcBorders>
              <w:top w:val="single" w:color="000000" w:sz="4" w:space="0"/>
              <w:left w:val="single" w:color="000000" w:sz="4" w:space="0"/>
              <w:bottom w:val="nil"/>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方正仿宋_GBK" w:cs="Times New Roman"/>
                <w:b/>
                <w:bCs/>
                <w:i w:val="0"/>
                <w:iCs w:val="0"/>
                <w:color w:val="000000"/>
                <w:sz w:val="21"/>
                <w:szCs w:val="21"/>
                <w:u w:val="none"/>
              </w:rPr>
            </w:pPr>
            <w:r>
              <w:rPr>
                <w:rFonts w:hint="default" w:ascii="Times New Roman" w:hAnsi="Times New Roman" w:eastAsia="方正仿宋_GBK" w:cs="Times New Roman"/>
                <w:b/>
                <w:bCs/>
                <w:i w:val="0"/>
                <w:iCs w:val="0"/>
                <w:color w:val="000000"/>
                <w:kern w:val="0"/>
                <w:sz w:val="21"/>
                <w:szCs w:val="21"/>
                <w:u w:val="none"/>
                <w:lang w:val="en-US" w:eastAsia="zh-CN" w:bidi="ar"/>
              </w:rPr>
              <w:t>预算及执行整体规模（万元）</w:t>
            </w:r>
          </w:p>
        </w:tc>
        <w:tc>
          <w:tcPr>
            <w:tcW w:w="30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资金来源与结构</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年初预算</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追加预算</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预算执行</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执行率%</w:t>
            </w:r>
          </w:p>
        </w:tc>
      </w:tr>
      <w:tr>
        <w:tblPrEx>
          <w:tblLayout w:type="fixed"/>
          <w:tblCellMar>
            <w:top w:w="0" w:type="dxa"/>
            <w:left w:w="108" w:type="dxa"/>
            <w:bottom w:w="0" w:type="dxa"/>
            <w:right w:w="108" w:type="dxa"/>
          </w:tblCellMar>
        </w:tblPrEx>
        <w:trPr>
          <w:trHeight w:val="585" w:hRule="atLeast"/>
        </w:trPr>
        <w:tc>
          <w:tcPr>
            <w:tcW w:w="1266" w:type="dxa"/>
            <w:vMerge w:val="continue"/>
            <w:tcBorders>
              <w:top w:val="single" w:color="000000" w:sz="4" w:space="0"/>
              <w:left w:val="single" w:color="000000" w:sz="4" w:space="0"/>
              <w:bottom w:val="nil"/>
              <w:right w:val="single" w:color="000000" w:sz="4" w:space="0"/>
            </w:tcBorders>
            <w:vAlign w:val="center"/>
          </w:tcPr>
          <w:p>
            <w:pPr>
              <w:spacing w:line="240" w:lineRule="auto"/>
              <w:jc w:val="center"/>
              <w:rPr>
                <w:rFonts w:hint="default" w:ascii="Times New Roman" w:hAnsi="Times New Roman" w:eastAsia="方正仿宋_GBK" w:cs="Times New Roman"/>
                <w:b/>
                <w:bCs/>
                <w:i w:val="0"/>
                <w:iCs w:val="0"/>
                <w:color w:val="000000"/>
                <w:sz w:val="21"/>
                <w:szCs w:val="21"/>
                <w:u w:val="none"/>
              </w:rPr>
            </w:pPr>
          </w:p>
        </w:tc>
        <w:tc>
          <w:tcPr>
            <w:tcW w:w="30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righ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资金来源：（</w:t>
            </w:r>
            <w:r>
              <w:rPr>
                <w:rStyle w:val="8"/>
                <w:rFonts w:hint="default" w:ascii="Times New Roman" w:hAnsi="Times New Roman" w:eastAsia="方正仿宋_GBK" w:cs="Times New Roman"/>
                <w:sz w:val="21"/>
                <w:szCs w:val="21"/>
                <w:lang w:val="en-US" w:eastAsia="zh-CN" w:bidi="ar"/>
              </w:rPr>
              <w:t>1</w:t>
            </w:r>
            <w:r>
              <w:rPr>
                <w:rStyle w:val="9"/>
                <w:rFonts w:hint="default" w:ascii="Times New Roman" w:hAnsi="Times New Roman" w:eastAsia="方正仿宋_GBK" w:cs="Times New Roman"/>
                <w:sz w:val="21"/>
                <w:szCs w:val="21"/>
                <w:lang w:val="en-US" w:eastAsia="zh-CN" w:bidi="ar"/>
              </w:rPr>
              <w:t>）财政拨款</w:t>
            </w:r>
          </w:p>
        </w:tc>
        <w:tc>
          <w:tcPr>
            <w:tcW w:w="1080" w:type="dxa"/>
            <w:tcBorders>
              <w:top w:val="single" w:color="000000" w:sz="4" w:space="0"/>
              <w:left w:val="nil"/>
              <w:bottom w:val="single" w:color="000000" w:sz="4" w:space="0"/>
              <w:right w:val="single" w:color="000000" w:sz="4" w:space="0"/>
            </w:tcBorders>
            <w:vAlign w:val="center"/>
          </w:tcPr>
          <w:p>
            <w:pPr>
              <w:spacing w:line="240" w:lineRule="auto"/>
              <w:jc w:val="center"/>
              <w:rPr>
                <w:rFonts w:hint="default" w:ascii="Times New Roman" w:hAnsi="Times New Roman" w:eastAsia="方正仿宋_GBK" w:cs="Times New Roman"/>
                <w:i w:val="0"/>
                <w:iCs w:val="0"/>
                <w:color w:val="000000"/>
                <w:sz w:val="21"/>
                <w:szCs w:val="21"/>
                <w:u w:val="none"/>
                <w:lang w:val="en-US" w:eastAsia="zh-CN"/>
              </w:rPr>
            </w:pPr>
            <w:r>
              <w:rPr>
                <w:rFonts w:hint="default" w:ascii="Times New Roman" w:hAnsi="Times New Roman" w:cs="Times New Roman"/>
                <w:i w:val="0"/>
                <w:iCs w:val="0"/>
                <w:color w:val="000000"/>
                <w:sz w:val="21"/>
                <w:szCs w:val="21"/>
                <w:u w:val="none"/>
                <w:lang w:val="en-US" w:eastAsia="zh-CN"/>
              </w:rPr>
              <w:t>365.45</w:t>
            </w:r>
          </w:p>
        </w:tc>
        <w:tc>
          <w:tcPr>
            <w:tcW w:w="111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default" w:ascii="Times New Roman" w:hAnsi="Times New Roman" w:eastAsia="方正仿宋_GBK" w:cs="Times New Roman"/>
                <w:i w:val="0"/>
                <w:iCs w:val="0"/>
                <w:color w:val="000000"/>
                <w:sz w:val="21"/>
                <w:szCs w:val="21"/>
                <w:u w:val="none"/>
                <w:lang w:val="en-US" w:eastAsia="zh-CN"/>
              </w:rPr>
            </w:pPr>
            <w:r>
              <w:rPr>
                <w:rFonts w:hint="default" w:ascii="Times New Roman" w:hAnsi="Times New Roman" w:cs="Times New Roman"/>
                <w:i w:val="0"/>
                <w:iCs w:val="0"/>
                <w:color w:val="000000"/>
                <w:sz w:val="21"/>
                <w:szCs w:val="21"/>
                <w:u w:val="none"/>
                <w:lang w:val="en-US" w:eastAsia="zh-CN"/>
              </w:rPr>
              <w:t>50.01</w:t>
            </w:r>
          </w:p>
        </w:tc>
        <w:tc>
          <w:tcPr>
            <w:tcW w:w="102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default" w:ascii="Times New Roman" w:hAnsi="Times New Roman" w:eastAsia="方正仿宋_GBK" w:cs="Times New Roman"/>
                <w:i w:val="0"/>
                <w:iCs w:val="0"/>
                <w:color w:val="000000"/>
                <w:sz w:val="21"/>
                <w:szCs w:val="21"/>
                <w:u w:val="none"/>
                <w:lang w:val="en-US" w:eastAsia="zh-CN"/>
              </w:rPr>
            </w:pPr>
            <w:r>
              <w:rPr>
                <w:rFonts w:hint="default" w:ascii="Times New Roman" w:hAnsi="Times New Roman" w:cs="Times New Roman"/>
                <w:i w:val="0"/>
                <w:iCs w:val="0"/>
                <w:color w:val="000000"/>
                <w:sz w:val="21"/>
                <w:szCs w:val="21"/>
                <w:u w:val="none"/>
                <w:lang w:val="en-US" w:eastAsia="zh-CN"/>
              </w:rPr>
              <w:t>415.46</w:t>
            </w:r>
          </w:p>
        </w:tc>
        <w:tc>
          <w:tcPr>
            <w:tcW w:w="105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default" w:ascii="Times New Roman" w:hAnsi="Times New Roman" w:eastAsia="方正仿宋_GBK" w:cs="Times New Roman"/>
                <w:i w:val="0"/>
                <w:iCs w:val="0"/>
                <w:color w:val="000000"/>
                <w:sz w:val="21"/>
                <w:szCs w:val="21"/>
                <w:u w:val="none"/>
                <w:lang w:val="en-US" w:eastAsia="zh-CN"/>
              </w:rPr>
            </w:pPr>
            <w:r>
              <w:rPr>
                <w:rFonts w:hint="default" w:ascii="Times New Roman" w:hAnsi="Times New Roman" w:cs="Times New Roman"/>
                <w:i w:val="0"/>
                <w:iCs w:val="0"/>
                <w:color w:val="000000"/>
                <w:sz w:val="21"/>
                <w:szCs w:val="21"/>
                <w:u w:val="none"/>
                <w:lang w:val="en-US" w:eastAsia="zh-CN"/>
              </w:rPr>
              <w:t>100</w:t>
            </w:r>
          </w:p>
        </w:tc>
      </w:tr>
      <w:tr>
        <w:tblPrEx>
          <w:tblLayout w:type="fixed"/>
          <w:tblCellMar>
            <w:top w:w="0" w:type="dxa"/>
            <w:left w:w="108" w:type="dxa"/>
            <w:bottom w:w="0" w:type="dxa"/>
            <w:right w:w="108" w:type="dxa"/>
          </w:tblCellMar>
        </w:tblPrEx>
        <w:trPr>
          <w:trHeight w:val="585" w:hRule="atLeast"/>
        </w:trPr>
        <w:tc>
          <w:tcPr>
            <w:tcW w:w="1266" w:type="dxa"/>
            <w:vMerge w:val="continue"/>
            <w:tcBorders>
              <w:top w:val="single" w:color="000000" w:sz="4" w:space="0"/>
              <w:left w:val="single" w:color="000000" w:sz="4" w:space="0"/>
              <w:bottom w:val="nil"/>
              <w:right w:val="single" w:color="000000" w:sz="4" w:space="0"/>
            </w:tcBorders>
            <w:vAlign w:val="center"/>
          </w:tcPr>
          <w:p>
            <w:pPr>
              <w:spacing w:line="240" w:lineRule="auto"/>
              <w:jc w:val="center"/>
              <w:rPr>
                <w:rFonts w:hint="default" w:ascii="Times New Roman" w:hAnsi="Times New Roman" w:eastAsia="方正仿宋_GBK" w:cs="Times New Roman"/>
                <w:b/>
                <w:bCs/>
                <w:i w:val="0"/>
                <w:iCs w:val="0"/>
                <w:color w:val="000000"/>
                <w:sz w:val="21"/>
                <w:szCs w:val="21"/>
                <w:u w:val="none"/>
              </w:rPr>
            </w:pPr>
          </w:p>
        </w:tc>
        <w:tc>
          <w:tcPr>
            <w:tcW w:w="30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righ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（2）其他资金</w:t>
            </w:r>
          </w:p>
        </w:tc>
        <w:tc>
          <w:tcPr>
            <w:tcW w:w="1080" w:type="dxa"/>
            <w:tcBorders>
              <w:top w:val="single" w:color="000000" w:sz="4" w:space="0"/>
              <w:left w:val="nil"/>
              <w:bottom w:val="single" w:color="000000" w:sz="4" w:space="0"/>
              <w:right w:val="single" w:color="000000" w:sz="4" w:space="0"/>
            </w:tcBorders>
            <w:vAlign w:val="center"/>
          </w:tcPr>
          <w:p>
            <w:pPr>
              <w:spacing w:line="240" w:lineRule="auto"/>
              <w:jc w:val="center"/>
              <w:rPr>
                <w:rFonts w:hint="default" w:ascii="Times New Roman" w:hAnsi="Times New Roman" w:eastAsia="方正仿宋_GBK"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default" w:ascii="Times New Roman" w:hAnsi="Times New Roman" w:eastAsia="方正仿宋_GBK" w:cs="Times New Roman"/>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default" w:ascii="Times New Roman" w:hAnsi="Times New Roman" w:eastAsia="方正仿宋_GBK"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default" w:ascii="Times New Roman" w:hAnsi="Times New Roman" w:eastAsia="方正仿宋_GBK" w:cs="Times New Roman"/>
                <w:i w:val="0"/>
                <w:iCs w:val="0"/>
                <w:color w:val="000000"/>
                <w:sz w:val="21"/>
                <w:szCs w:val="21"/>
                <w:u w:val="none"/>
              </w:rPr>
            </w:pPr>
          </w:p>
        </w:tc>
      </w:tr>
      <w:tr>
        <w:tblPrEx>
          <w:tblLayout w:type="fixed"/>
          <w:tblCellMar>
            <w:top w:w="0" w:type="dxa"/>
            <w:left w:w="108" w:type="dxa"/>
            <w:bottom w:w="0" w:type="dxa"/>
            <w:right w:w="108" w:type="dxa"/>
          </w:tblCellMar>
        </w:tblPrEx>
        <w:trPr>
          <w:trHeight w:val="585" w:hRule="atLeast"/>
        </w:trPr>
        <w:tc>
          <w:tcPr>
            <w:tcW w:w="1266" w:type="dxa"/>
            <w:vMerge w:val="continue"/>
            <w:tcBorders>
              <w:top w:val="single" w:color="000000" w:sz="4" w:space="0"/>
              <w:left w:val="single" w:color="000000" w:sz="4" w:space="0"/>
              <w:bottom w:val="nil"/>
              <w:right w:val="single" w:color="000000" w:sz="4" w:space="0"/>
            </w:tcBorders>
            <w:vAlign w:val="center"/>
          </w:tcPr>
          <w:p>
            <w:pPr>
              <w:spacing w:line="240" w:lineRule="auto"/>
              <w:jc w:val="center"/>
              <w:rPr>
                <w:rFonts w:hint="default" w:ascii="Times New Roman" w:hAnsi="Times New Roman" w:eastAsia="方正仿宋_GBK" w:cs="Times New Roman"/>
                <w:b/>
                <w:bCs/>
                <w:i w:val="0"/>
                <w:iCs w:val="0"/>
                <w:color w:val="000000"/>
                <w:sz w:val="21"/>
                <w:szCs w:val="21"/>
                <w:u w:val="none"/>
              </w:rPr>
            </w:pPr>
          </w:p>
        </w:tc>
        <w:tc>
          <w:tcPr>
            <w:tcW w:w="30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righ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资金结构：（</w:t>
            </w:r>
            <w:r>
              <w:rPr>
                <w:rStyle w:val="8"/>
                <w:rFonts w:hint="default" w:ascii="Times New Roman" w:hAnsi="Times New Roman" w:eastAsia="方正仿宋_GBK" w:cs="Times New Roman"/>
                <w:sz w:val="21"/>
                <w:szCs w:val="21"/>
                <w:lang w:val="en-US" w:eastAsia="zh-CN" w:bidi="ar"/>
              </w:rPr>
              <w:t>1</w:t>
            </w:r>
            <w:r>
              <w:rPr>
                <w:rStyle w:val="9"/>
                <w:rFonts w:hint="default" w:ascii="Times New Roman" w:hAnsi="Times New Roman" w:eastAsia="方正仿宋_GBK" w:cs="Times New Roman"/>
                <w:sz w:val="21"/>
                <w:szCs w:val="21"/>
                <w:lang w:val="en-US" w:eastAsia="zh-CN" w:bidi="ar"/>
              </w:rPr>
              <w:t>）基本支出</w:t>
            </w:r>
          </w:p>
        </w:tc>
        <w:tc>
          <w:tcPr>
            <w:tcW w:w="1080" w:type="dxa"/>
            <w:tcBorders>
              <w:top w:val="single" w:color="000000" w:sz="4" w:space="0"/>
              <w:left w:val="nil"/>
              <w:bottom w:val="single" w:color="000000" w:sz="4" w:space="0"/>
              <w:right w:val="single" w:color="000000" w:sz="4" w:space="0"/>
            </w:tcBorders>
            <w:vAlign w:val="center"/>
          </w:tcPr>
          <w:p>
            <w:pPr>
              <w:spacing w:line="240" w:lineRule="auto"/>
              <w:jc w:val="center"/>
              <w:rPr>
                <w:rFonts w:hint="default" w:ascii="Times New Roman" w:hAnsi="Times New Roman" w:eastAsia="方正仿宋_GBK" w:cs="Times New Roman"/>
                <w:i w:val="0"/>
                <w:iCs w:val="0"/>
                <w:color w:val="000000"/>
                <w:sz w:val="21"/>
                <w:szCs w:val="21"/>
                <w:u w:val="none"/>
                <w:lang w:val="en-US" w:eastAsia="zh-CN"/>
              </w:rPr>
            </w:pPr>
            <w:r>
              <w:rPr>
                <w:rFonts w:hint="default" w:ascii="Times New Roman" w:hAnsi="Times New Roman" w:cs="Times New Roman"/>
                <w:i w:val="0"/>
                <w:iCs w:val="0"/>
                <w:color w:val="000000"/>
                <w:sz w:val="21"/>
                <w:szCs w:val="21"/>
                <w:u w:val="none"/>
                <w:lang w:val="en-US" w:eastAsia="zh-CN"/>
              </w:rPr>
              <w:t>196.49</w:t>
            </w:r>
          </w:p>
        </w:tc>
        <w:tc>
          <w:tcPr>
            <w:tcW w:w="111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default" w:ascii="Times New Roman" w:hAnsi="Times New Roman" w:eastAsia="方正仿宋_GBK" w:cs="Times New Roman"/>
                <w:i w:val="0"/>
                <w:iCs w:val="0"/>
                <w:color w:val="000000"/>
                <w:sz w:val="21"/>
                <w:szCs w:val="21"/>
                <w:u w:val="none"/>
                <w:lang w:val="en-US" w:eastAsia="zh-CN"/>
              </w:rPr>
            </w:pPr>
            <w:r>
              <w:rPr>
                <w:rFonts w:hint="default" w:ascii="Times New Roman" w:hAnsi="Times New Roman" w:cs="Times New Roman"/>
                <w:i w:val="0"/>
                <w:iCs w:val="0"/>
                <w:color w:val="000000"/>
                <w:sz w:val="21"/>
                <w:szCs w:val="21"/>
                <w:u w:val="none"/>
                <w:lang w:val="en-US" w:eastAsia="zh-CN"/>
              </w:rPr>
              <w:t>72.04</w:t>
            </w:r>
          </w:p>
        </w:tc>
        <w:tc>
          <w:tcPr>
            <w:tcW w:w="102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default" w:ascii="Times New Roman" w:hAnsi="Times New Roman" w:eastAsia="方正仿宋_GBK" w:cs="Times New Roman"/>
                <w:i w:val="0"/>
                <w:iCs w:val="0"/>
                <w:color w:val="000000"/>
                <w:sz w:val="21"/>
                <w:szCs w:val="21"/>
                <w:u w:val="none"/>
                <w:lang w:val="en-US" w:eastAsia="zh-CN"/>
              </w:rPr>
            </w:pPr>
            <w:r>
              <w:rPr>
                <w:rFonts w:hint="default" w:ascii="Times New Roman" w:hAnsi="Times New Roman" w:cs="Times New Roman"/>
                <w:i w:val="0"/>
                <w:iCs w:val="0"/>
                <w:color w:val="000000"/>
                <w:sz w:val="21"/>
                <w:szCs w:val="21"/>
                <w:u w:val="none"/>
                <w:lang w:val="en-US" w:eastAsia="zh-CN"/>
              </w:rPr>
              <w:t>268.5</w:t>
            </w:r>
          </w:p>
        </w:tc>
        <w:tc>
          <w:tcPr>
            <w:tcW w:w="105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default" w:ascii="Times New Roman" w:hAnsi="Times New Roman" w:eastAsia="方正仿宋_GBK" w:cs="Times New Roman"/>
                <w:i w:val="0"/>
                <w:iCs w:val="0"/>
                <w:color w:val="000000"/>
                <w:sz w:val="21"/>
                <w:szCs w:val="21"/>
                <w:u w:val="none"/>
                <w:lang w:val="en-US" w:eastAsia="zh-CN"/>
              </w:rPr>
            </w:pPr>
            <w:r>
              <w:rPr>
                <w:rFonts w:hint="default" w:ascii="Times New Roman" w:hAnsi="Times New Roman" w:cs="Times New Roman"/>
                <w:i w:val="0"/>
                <w:iCs w:val="0"/>
                <w:color w:val="000000"/>
                <w:sz w:val="21"/>
                <w:szCs w:val="21"/>
                <w:u w:val="none"/>
                <w:lang w:val="en-US" w:eastAsia="zh-CN"/>
              </w:rPr>
              <w:t>100</w:t>
            </w:r>
          </w:p>
        </w:tc>
      </w:tr>
      <w:tr>
        <w:tblPrEx>
          <w:tblLayout w:type="fixed"/>
          <w:tblCellMar>
            <w:top w:w="0" w:type="dxa"/>
            <w:left w:w="108" w:type="dxa"/>
            <w:bottom w:w="0" w:type="dxa"/>
            <w:right w:w="108" w:type="dxa"/>
          </w:tblCellMar>
        </w:tblPrEx>
        <w:trPr>
          <w:trHeight w:val="585" w:hRule="atLeast"/>
        </w:trPr>
        <w:tc>
          <w:tcPr>
            <w:tcW w:w="1266" w:type="dxa"/>
            <w:vMerge w:val="continue"/>
            <w:tcBorders>
              <w:top w:val="single" w:color="000000" w:sz="4" w:space="0"/>
              <w:left w:val="single" w:color="000000" w:sz="4" w:space="0"/>
              <w:bottom w:val="nil"/>
              <w:right w:val="single" w:color="000000" w:sz="4" w:space="0"/>
            </w:tcBorders>
            <w:vAlign w:val="center"/>
          </w:tcPr>
          <w:p>
            <w:pPr>
              <w:spacing w:line="240" w:lineRule="auto"/>
              <w:jc w:val="center"/>
              <w:rPr>
                <w:rFonts w:hint="default" w:ascii="Times New Roman" w:hAnsi="Times New Roman" w:eastAsia="方正仿宋_GBK" w:cs="Times New Roman"/>
                <w:b/>
                <w:bCs/>
                <w:i w:val="0"/>
                <w:iCs w:val="0"/>
                <w:color w:val="000000"/>
                <w:sz w:val="21"/>
                <w:szCs w:val="21"/>
                <w:u w:val="none"/>
              </w:rPr>
            </w:pPr>
          </w:p>
        </w:tc>
        <w:tc>
          <w:tcPr>
            <w:tcW w:w="30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righ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（2）项目支出</w:t>
            </w:r>
          </w:p>
        </w:tc>
        <w:tc>
          <w:tcPr>
            <w:tcW w:w="1080" w:type="dxa"/>
            <w:tcBorders>
              <w:top w:val="single" w:color="000000" w:sz="4" w:space="0"/>
              <w:left w:val="nil"/>
              <w:bottom w:val="single" w:color="000000" w:sz="4" w:space="0"/>
              <w:right w:val="single" w:color="000000" w:sz="4" w:space="0"/>
            </w:tcBorders>
            <w:vAlign w:val="center"/>
          </w:tcPr>
          <w:p>
            <w:pPr>
              <w:spacing w:line="240" w:lineRule="auto"/>
              <w:jc w:val="center"/>
              <w:rPr>
                <w:rFonts w:hint="default" w:ascii="Times New Roman" w:hAnsi="Times New Roman" w:eastAsia="方正仿宋_GBK" w:cs="Times New Roman"/>
                <w:i w:val="0"/>
                <w:iCs w:val="0"/>
                <w:color w:val="000000"/>
                <w:sz w:val="21"/>
                <w:szCs w:val="21"/>
                <w:u w:val="none"/>
                <w:lang w:val="en-US" w:eastAsia="zh-CN"/>
              </w:rPr>
            </w:pPr>
            <w:r>
              <w:rPr>
                <w:rFonts w:hint="default" w:ascii="Times New Roman" w:hAnsi="Times New Roman" w:cs="Times New Roman"/>
                <w:i w:val="0"/>
                <w:iCs w:val="0"/>
                <w:color w:val="000000"/>
                <w:sz w:val="21"/>
                <w:szCs w:val="21"/>
                <w:u w:val="none"/>
                <w:lang w:val="en-US" w:eastAsia="zh-CN"/>
              </w:rPr>
              <w:t>168.96</w:t>
            </w:r>
          </w:p>
        </w:tc>
        <w:tc>
          <w:tcPr>
            <w:tcW w:w="111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default" w:ascii="Times New Roman" w:hAnsi="Times New Roman" w:eastAsia="方正仿宋_GBK" w:cs="Times New Roman"/>
                <w:i w:val="0"/>
                <w:iCs w:val="0"/>
                <w:color w:val="000000"/>
                <w:sz w:val="21"/>
                <w:szCs w:val="21"/>
                <w:u w:val="none"/>
                <w:lang w:val="en-US" w:eastAsia="zh-CN"/>
              </w:rPr>
            </w:pPr>
            <w:r>
              <w:rPr>
                <w:rFonts w:hint="default" w:ascii="Times New Roman" w:hAnsi="Times New Roman" w:cs="Times New Roman"/>
                <w:i w:val="0"/>
                <w:iCs w:val="0"/>
                <w:color w:val="000000"/>
                <w:sz w:val="21"/>
                <w:szCs w:val="21"/>
                <w:u w:val="none"/>
                <w:lang w:val="en-US" w:eastAsia="zh-CN"/>
              </w:rPr>
              <w:t>-22</w:t>
            </w:r>
          </w:p>
        </w:tc>
        <w:tc>
          <w:tcPr>
            <w:tcW w:w="102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default" w:ascii="Times New Roman" w:hAnsi="Times New Roman" w:eastAsia="方正仿宋_GBK" w:cs="Times New Roman"/>
                <w:i w:val="0"/>
                <w:iCs w:val="0"/>
                <w:color w:val="000000"/>
                <w:sz w:val="21"/>
                <w:szCs w:val="21"/>
                <w:u w:val="none"/>
                <w:lang w:val="en-US" w:eastAsia="zh-CN"/>
              </w:rPr>
            </w:pPr>
            <w:r>
              <w:rPr>
                <w:rFonts w:hint="default" w:ascii="Times New Roman" w:hAnsi="Times New Roman" w:cs="Times New Roman"/>
                <w:i w:val="0"/>
                <w:iCs w:val="0"/>
                <w:color w:val="000000"/>
                <w:sz w:val="21"/>
                <w:szCs w:val="21"/>
                <w:u w:val="none"/>
                <w:lang w:val="en-US" w:eastAsia="zh-CN"/>
              </w:rPr>
              <w:t>146.96</w:t>
            </w:r>
          </w:p>
        </w:tc>
        <w:tc>
          <w:tcPr>
            <w:tcW w:w="105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default" w:ascii="Times New Roman" w:hAnsi="Times New Roman" w:eastAsia="方正仿宋_GBK" w:cs="Times New Roman"/>
                <w:i w:val="0"/>
                <w:iCs w:val="0"/>
                <w:color w:val="000000"/>
                <w:sz w:val="21"/>
                <w:szCs w:val="21"/>
                <w:u w:val="none"/>
                <w:lang w:val="en-US" w:eastAsia="zh-CN"/>
              </w:rPr>
            </w:pPr>
            <w:r>
              <w:rPr>
                <w:rFonts w:hint="default" w:ascii="Times New Roman" w:hAnsi="Times New Roman" w:cs="Times New Roman"/>
                <w:i w:val="0"/>
                <w:iCs w:val="0"/>
                <w:color w:val="000000"/>
                <w:sz w:val="21"/>
                <w:szCs w:val="21"/>
                <w:u w:val="none"/>
                <w:lang w:val="en-US" w:eastAsia="zh-CN"/>
              </w:rPr>
              <w:t>100</w:t>
            </w:r>
          </w:p>
        </w:tc>
      </w:tr>
      <w:tr>
        <w:tblPrEx>
          <w:tblLayout w:type="fixed"/>
          <w:tblCellMar>
            <w:top w:w="0" w:type="dxa"/>
            <w:left w:w="108" w:type="dxa"/>
            <w:bottom w:w="0" w:type="dxa"/>
            <w:right w:w="108" w:type="dxa"/>
          </w:tblCellMar>
        </w:tblPrEx>
        <w:trPr>
          <w:trHeight w:val="925" w:hRule="atLeast"/>
        </w:trPr>
        <w:tc>
          <w:tcPr>
            <w:tcW w:w="126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方正仿宋_GBK" w:hAnsi="方正仿宋_GBK" w:eastAsia="方正仿宋_GBK" w:cs="方正仿宋_GBK"/>
                <w:b/>
                <w:bCs/>
                <w:i w:val="0"/>
                <w:iCs w:val="0"/>
                <w:color w:val="000000"/>
                <w:sz w:val="21"/>
                <w:szCs w:val="21"/>
                <w:u w:val="none"/>
              </w:rPr>
            </w:pPr>
            <w:r>
              <w:rPr>
                <w:rFonts w:hint="eastAsia" w:ascii="方正仿宋_GBK" w:hAnsi="方正仿宋_GBK" w:eastAsia="方正仿宋_GBK" w:cs="方正仿宋_GBK"/>
                <w:b/>
                <w:bCs/>
                <w:i w:val="0"/>
                <w:iCs w:val="0"/>
                <w:color w:val="000000"/>
                <w:kern w:val="0"/>
                <w:sz w:val="21"/>
                <w:szCs w:val="21"/>
                <w:u w:val="none"/>
                <w:lang w:val="en-US" w:eastAsia="zh-CN" w:bidi="ar"/>
              </w:rPr>
              <w:t>年度总</w:t>
            </w:r>
            <w:r>
              <w:rPr>
                <w:rFonts w:hint="eastAsia" w:ascii="方正仿宋_GBK" w:hAnsi="方正仿宋_GBK" w:eastAsia="方正仿宋_GBK" w:cs="方正仿宋_GBK"/>
                <w:b/>
                <w:bCs/>
                <w:i w:val="0"/>
                <w:iCs w:val="0"/>
                <w:color w:val="000000"/>
                <w:kern w:val="0"/>
                <w:sz w:val="21"/>
                <w:szCs w:val="21"/>
                <w:u w:val="none"/>
                <w:lang w:val="en-US" w:eastAsia="zh-CN" w:bidi="ar"/>
              </w:rPr>
              <w:br w:type="textWrapping"/>
            </w:r>
            <w:r>
              <w:rPr>
                <w:rFonts w:hint="eastAsia" w:ascii="方正仿宋_GBK" w:hAnsi="方正仿宋_GBK" w:eastAsia="方正仿宋_GBK" w:cs="方正仿宋_GBK"/>
                <w:b/>
                <w:bCs/>
                <w:i w:val="0"/>
                <w:iCs w:val="0"/>
                <w:color w:val="000000"/>
                <w:kern w:val="0"/>
                <w:sz w:val="21"/>
                <w:szCs w:val="21"/>
                <w:u w:val="none"/>
                <w:lang w:val="en-US" w:eastAsia="zh-CN" w:bidi="ar"/>
              </w:rPr>
              <w:t>体目标      及完成情况</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年初工作 计划综述</w:t>
            </w:r>
          </w:p>
        </w:tc>
        <w:tc>
          <w:tcPr>
            <w:tcW w:w="6075"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cs="方正仿宋_GBK"/>
                <w:i w:val="0"/>
                <w:iCs w:val="0"/>
                <w:color w:val="000000"/>
                <w:sz w:val="21"/>
                <w:szCs w:val="21"/>
                <w:u w:val="none"/>
                <w:lang w:val="en-US" w:eastAsia="zh-CN"/>
              </w:rPr>
              <w:t xml:space="preserve">  </w:t>
            </w:r>
            <w:r>
              <w:rPr>
                <w:rFonts w:hint="eastAsia" w:ascii="方正仿宋_GBK" w:hAnsi="方正仿宋_GBK" w:eastAsia="方正仿宋_GBK" w:cs="方正仿宋_GBK"/>
                <w:i w:val="0"/>
                <w:iCs w:val="0"/>
                <w:color w:val="000000"/>
                <w:sz w:val="21"/>
                <w:szCs w:val="21"/>
                <w:u w:val="none"/>
              </w:rPr>
              <w:t>坚持党的领导，加强对广大职工的政治引领和思想引导</w:t>
            </w:r>
            <w:r>
              <w:rPr>
                <w:rFonts w:hint="eastAsia" w:ascii="方正仿宋_GBK" w:hAnsi="方正仿宋_GBK" w:cs="方正仿宋_GBK"/>
                <w:i w:val="0"/>
                <w:iCs w:val="0"/>
                <w:color w:val="000000"/>
                <w:sz w:val="21"/>
                <w:szCs w:val="21"/>
                <w:u w:val="none"/>
                <w:lang w:eastAsia="zh-CN"/>
              </w:rPr>
              <w:t>，</w:t>
            </w:r>
            <w:r>
              <w:rPr>
                <w:rFonts w:hint="eastAsia" w:ascii="方正仿宋_GBK" w:hAnsi="方正仿宋_GBK" w:eastAsia="方正仿宋_GBK" w:cs="方正仿宋_GBK"/>
                <w:i w:val="0"/>
                <w:iCs w:val="0"/>
                <w:color w:val="000000"/>
                <w:sz w:val="21"/>
                <w:szCs w:val="21"/>
                <w:u w:val="none"/>
              </w:rPr>
              <w:t>按照市总工会、县委县政府的要求做好机关党建党务工作。做好机关日常事务管理、依法依章程独立自主开展工作，研究指导工会自身改革和建设。切实履行职能</w:t>
            </w:r>
            <w:r>
              <w:rPr>
                <w:rFonts w:hint="eastAsia" w:ascii="方正仿宋_GBK" w:hAnsi="方正仿宋_GBK" w:cs="方正仿宋_GBK"/>
                <w:i w:val="0"/>
                <w:iCs w:val="0"/>
                <w:color w:val="000000"/>
                <w:sz w:val="21"/>
                <w:szCs w:val="21"/>
                <w:u w:val="none"/>
                <w:lang w:val="en-US" w:eastAsia="zh-CN"/>
              </w:rPr>
              <w:t>职责</w:t>
            </w:r>
            <w:r>
              <w:rPr>
                <w:rFonts w:hint="eastAsia" w:ascii="方正仿宋_GBK" w:hAnsi="方正仿宋_GBK" w:eastAsia="方正仿宋_GBK" w:cs="方正仿宋_GBK"/>
                <w:i w:val="0"/>
                <w:iCs w:val="0"/>
                <w:color w:val="000000"/>
                <w:sz w:val="21"/>
                <w:szCs w:val="21"/>
                <w:u w:val="none"/>
              </w:rPr>
              <w:t>，组织和指导各级工会认真履行工会工作职能，持续加强对基层工会各项工作常态化管理。按时参加市县举行的各类会议、培训等，提高管理服务水平。切实承担引导广大职工听党话、跟党走的政治任务，把职工最广泛最紧密地团结在党的周围，引导广大职工弘扬劳动精神、劳模精神；完成县委县政府交办的工作。以工业园区、重点乡镇（街道）、企业等为工会工作主阵地，切实加强工会组织建设，强化基层基础。管好用活全县工会经费</w:t>
            </w:r>
            <w:r>
              <w:rPr>
                <w:rFonts w:hint="eastAsia" w:ascii="方正仿宋_GBK" w:hAnsi="方正仿宋_GBK" w:cs="方正仿宋_GBK"/>
                <w:i w:val="0"/>
                <w:iCs w:val="0"/>
                <w:color w:val="000000"/>
                <w:sz w:val="21"/>
                <w:szCs w:val="21"/>
                <w:u w:val="none"/>
                <w:lang w:eastAsia="zh-CN"/>
              </w:rPr>
              <w:t>，</w:t>
            </w:r>
            <w:r>
              <w:rPr>
                <w:rFonts w:hint="eastAsia" w:ascii="方正仿宋_GBK" w:hAnsi="方正仿宋_GBK" w:eastAsia="方正仿宋_GBK" w:cs="方正仿宋_GBK"/>
                <w:i w:val="0"/>
                <w:iCs w:val="0"/>
                <w:color w:val="000000"/>
                <w:sz w:val="21"/>
                <w:szCs w:val="21"/>
                <w:u w:val="none"/>
              </w:rPr>
              <w:t>加强工会经费的审查监督</w:t>
            </w:r>
          </w:p>
        </w:tc>
      </w:tr>
      <w:tr>
        <w:tblPrEx>
          <w:tblLayout w:type="fixed"/>
          <w:tblCellMar>
            <w:top w:w="0" w:type="dxa"/>
            <w:left w:w="108" w:type="dxa"/>
            <w:bottom w:w="0" w:type="dxa"/>
            <w:right w:w="108" w:type="dxa"/>
          </w:tblCellMar>
        </w:tblPrEx>
        <w:trPr>
          <w:trHeight w:val="2312" w:hRule="atLeast"/>
        </w:trPr>
        <w:tc>
          <w:tcPr>
            <w:tcW w:w="1266" w:type="dxa"/>
            <w:vMerge w:val="continue"/>
            <w:tcBorders>
              <w:top w:val="single" w:color="000000" w:sz="4" w:space="0"/>
              <w:left w:val="single" w:color="000000" w:sz="4" w:space="0"/>
              <w:bottom w:val="single" w:color="auto" w:sz="4" w:space="0"/>
              <w:right w:val="single" w:color="000000" w:sz="4" w:space="0"/>
            </w:tcBorders>
            <w:vAlign w:val="center"/>
          </w:tcPr>
          <w:p>
            <w:pPr>
              <w:spacing w:line="240" w:lineRule="auto"/>
              <w:jc w:val="center"/>
              <w:rPr>
                <w:rFonts w:hint="eastAsia" w:ascii="方正仿宋_GBK" w:hAnsi="方正仿宋_GBK" w:eastAsia="方正仿宋_GBK" w:cs="方正仿宋_GBK"/>
                <w:b/>
                <w:bCs/>
                <w:i w:val="0"/>
                <w:iCs w:val="0"/>
                <w:color w:val="000000"/>
                <w:sz w:val="21"/>
                <w:szCs w:val="21"/>
                <w:u w:val="none"/>
              </w:rPr>
            </w:pPr>
          </w:p>
        </w:tc>
        <w:tc>
          <w:tcPr>
            <w:tcW w:w="1215"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全年完成 情况综述</w:t>
            </w:r>
          </w:p>
        </w:tc>
        <w:tc>
          <w:tcPr>
            <w:tcW w:w="6075" w:type="dxa"/>
            <w:gridSpan w:val="5"/>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cs="方正仿宋_GBK"/>
                <w:i w:val="0"/>
                <w:iCs w:val="0"/>
                <w:color w:val="000000"/>
                <w:sz w:val="21"/>
                <w:szCs w:val="21"/>
                <w:u w:val="none"/>
                <w:lang w:val="en-US" w:eastAsia="zh-CN"/>
              </w:rPr>
              <w:t xml:space="preserve">  </w:t>
            </w:r>
            <w:r>
              <w:rPr>
                <w:rFonts w:hint="eastAsia" w:ascii="方正仿宋_GBK" w:hAnsi="方正仿宋_GBK" w:eastAsia="方正仿宋_GBK" w:cs="方正仿宋_GBK"/>
                <w:i w:val="0"/>
                <w:iCs w:val="0"/>
                <w:color w:val="000000"/>
                <w:sz w:val="21"/>
                <w:szCs w:val="21"/>
                <w:u w:val="none"/>
              </w:rPr>
              <w:t>认真履行职责，坚持党的领导，依法独立自主的开展工作，加强对广大职工的政治引领和思想引导。按时认真完成各项目标工作任务，按要求高质量限时办结县委、政府、上级交办的事项。</w:t>
            </w:r>
            <w:r>
              <w:rPr>
                <w:rFonts w:hint="eastAsia" w:ascii="方正仿宋_GBK" w:hAnsi="方正仿宋_GBK" w:cs="方正仿宋_GBK"/>
                <w:i w:val="0"/>
                <w:iCs w:val="0"/>
                <w:color w:val="000000"/>
                <w:sz w:val="21"/>
                <w:szCs w:val="21"/>
                <w:u w:val="none"/>
                <w:lang w:val="en-US" w:eastAsia="zh-CN"/>
              </w:rPr>
              <w:t>总体完成情况良好。</w:t>
            </w:r>
          </w:p>
        </w:tc>
      </w:tr>
      <w:tr>
        <w:tblPrEx>
          <w:tblLayout w:type="fixed"/>
          <w:tblCellMar>
            <w:top w:w="0" w:type="dxa"/>
            <w:left w:w="108" w:type="dxa"/>
            <w:bottom w:w="0" w:type="dxa"/>
            <w:right w:w="108" w:type="dxa"/>
          </w:tblCellMar>
        </w:tblPrEx>
        <w:trPr>
          <w:trHeight w:val="460" w:hRule="atLeast"/>
        </w:trPr>
        <w:tc>
          <w:tcPr>
            <w:tcW w:w="855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1"/>
                <w:szCs w:val="21"/>
                <w:u w:val="none"/>
                <w:lang w:val="en-US" w:eastAsia="zh-CN" w:bidi="ar"/>
              </w:rPr>
            </w:pPr>
            <w:r>
              <w:rPr>
                <w:rFonts w:hint="eastAsia" w:ascii="方正仿宋_GBK" w:hAnsi="方正仿宋_GBK" w:eastAsia="方正仿宋_GBK" w:cs="方正仿宋_GBK"/>
                <w:b/>
                <w:bCs/>
                <w:i w:val="0"/>
                <w:iCs w:val="0"/>
                <w:color w:val="000000"/>
                <w:kern w:val="0"/>
                <w:sz w:val="21"/>
                <w:szCs w:val="21"/>
                <w:u w:val="none"/>
                <w:lang w:val="en-US" w:eastAsia="zh-CN" w:bidi="ar"/>
              </w:rPr>
              <w:t>分解目标自评</w:t>
            </w:r>
          </w:p>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p>
        </w:tc>
      </w:tr>
      <w:tr>
        <w:tblPrEx>
          <w:tblLayout w:type="fixed"/>
          <w:tblCellMar>
            <w:top w:w="0" w:type="dxa"/>
            <w:left w:w="108" w:type="dxa"/>
            <w:bottom w:w="0" w:type="dxa"/>
            <w:right w:w="108" w:type="dxa"/>
          </w:tblCellMar>
        </w:tblPrEx>
        <w:trPr>
          <w:trHeight w:val="470" w:hRule="atLeast"/>
        </w:trPr>
        <w:tc>
          <w:tcPr>
            <w:tcW w:w="1266"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一级指标</w:t>
            </w:r>
          </w:p>
        </w:tc>
        <w:tc>
          <w:tcPr>
            <w:tcW w:w="1215"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二级指标</w:t>
            </w:r>
          </w:p>
        </w:tc>
        <w:tc>
          <w:tcPr>
            <w:tcW w:w="1815"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三级指标</w:t>
            </w:r>
          </w:p>
        </w:tc>
        <w:tc>
          <w:tcPr>
            <w:tcW w:w="1080"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指标值</w:t>
            </w:r>
          </w:p>
        </w:tc>
        <w:tc>
          <w:tcPr>
            <w:tcW w:w="1110"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分值</w:t>
            </w:r>
          </w:p>
        </w:tc>
        <w:tc>
          <w:tcPr>
            <w:tcW w:w="1020"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完成值</w:t>
            </w:r>
          </w:p>
        </w:tc>
        <w:tc>
          <w:tcPr>
            <w:tcW w:w="1050"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自评得分</w:t>
            </w:r>
          </w:p>
        </w:tc>
      </w:tr>
      <w:tr>
        <w:tblPrEx>
          <w:tblLayout w:type="fixed"/>
          <w:tblCellMar>
            <w:top w:w="0" w:type="dxa"/>
            <w:left w:w="108" w:type="dxa"/>
            <w:bottom w:w="0" w:type="dxa"/>
            <w:right w:w="108" w:type="dxa"/>
          </w:tblCellMar>
        </w:tblPrEx>
        <w:trPr>
          <w:trHeight w:val="315" w:hRule="atLeast"/>
        </w:trPr>
        <w:tc>
          <w:tcPr>
            <w:tcW w:w="1266" w:type="dxa"/>
            <w:vMerge w:val="restart"/>
            <w:tcBorders>
              <w:top w:val="single" w:color="000000" w:sz="4" w:space="0"/>
              <w:left w:val="single" w:color="000000" w:sz="4" w:space="0"/>
              <w:right w:val="single" w:color="000000" w:sz="4" w:space="0"/>
            </w:tcBorders>
            <w:vAlign w:val="center"/>
          </w:tcPr>
          <w:p>
            <w:pPr>
              <w:rPr>
                <w:rFonts w:hint="eastAsia" w:ascii="方正仿宋_GBK" w:hAnsi="方正仿宋_GBK" w:eastAsia="方正仿宋_GBK" w:cs="方正仿宋_GBK"/>
                <w:b/>
                <w:bCs/>
                <w:i w:val="0"/>
                <w:iCs w:val="0"/>
                <w:color w:val="000000"/>
                <w:sz w:val="20"/>
                <w:szCs w:val="20"/>
                <w:u w:val="none"/>
                <w:lang w:val="en-US" w:eastAsia="zh-CN"/>
              </w:rPr>
            </w:pPr>
            <w:r>
              <w:rPr>
                <w:rFonts w:hint="eastAsia" w:ascii="方正仿宋_GBK" w:hAnsi="方正仿宋_GBK" w:cs="方正仿宋_GBK"/>
                <w:b/>
                <w:bCs/>
                <w:i w:val="0"/>
                <w:iCs w:val="0"/>
                <w:color w:val="000000"/>
                <w:sz w:val="20"/>
                <w:szCs w:val="20"/>
                <w:u w:val="none"/>
                <w:lang w:val="en-US" w:eastAsia="zh-CN"/>
              </w:rPr>
              <w:t>产出指标</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rPr>
              <w:t>数量指标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rPr>
              <w:t>实际完成率</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sz w:val="20"/>
                <w:szCs w:val="20"/>
                <w:u w:val="none"/>
              </w:rPr>
              <w:t>100%</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5</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sz w:val="20"/>
                <w:szCs w:val="20"/>
                <w:u w:val="none"/>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5</w:t>
            </w:r>
          </w:p>
        </w:tc>
      </w:tr>
      <w:tr>
        <w:tblPrEx>
          <w:tblLayout w:type="fixed"/>
          <w:tblCellMar>
            <w:top w:w="0" w:type="dxa"/>
            <w:left w:w="108" w:type="dxa"/>
            <w:bottom w:w="0" w:type="dxa"/>
            <w:right w:w="108" w:type="dxa"/>
          </w:tblCellMar>
        </w:tblPrEx>
        <w:trPr>
          <w:trHeight w:val="300" w:hRule="atLeast"/>
        </w:trPr>
        <w:tc>
          <w:tcPr>
            <w:tcW w:w="1266" w:type="dxa"/>
            <w:vMerge w:val="continue"/>
            <w:tcBorders>
              <w:left w:val="single" w:color="000000" w:sz="4" w:space="0"/>
              <w:right w:val="single" w:color="000000" w:sz="4" w:space="0"/>
            </w:tcBorders>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rPr>
              <w:t>质量指标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rPr>
              <w:t>质量达标率</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sz w:val="20"/>
                <w:szCs w:val="20"/>
                <w:u w:val="none"/>
              </w:rPr>
              <w:t>100%</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5</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sz w:val="20"/>
                <w:szCs w:val="20"/>
                <w:u w:val="none"/>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5</w:t>
            </w:r>
          </w:p>
        </w:tc>
      </w:tr>
      <w:tr>
        <w:tblPrEx>
          <w:tblLayout w:type="fixed"/>
          <w:tblCellMar>
            <w:top w:w="0" w:type="dxa"/>
            <w:left w:w="108" w:type="dxa"/>
            <w:bottom w:w="0" w:type="dxa"/>
            <w:right w:w="108" w:type="dxa"/>
          </w:tblCellMar>
        </w:tblPrEx>
        <w:trPr>
          <w:trHeight w:val="315" w:hRule="atLeast"/>
        </w:trPr>
        <w:tc>
          <w:tcPr>
            <w:tcW w:w="1266" w:type="dxa"/>
            <w:vMerge w:val="continue"/>
            <w:tcBorders>
              <w:left w:val="single" w:color="000000" w:sz="4" w:space="0"/>
              <w:right w:val="single" w:color="000000" w:sz="4" w:space="0"/>
            </w:tcBorders>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rPr>
              <w:t>时效指标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rPr>
              <w:t>完成及时率</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宋体" w:cs="Times New Roman"/>
                <w:i w:val="0"/>
                <w:color w:val="000000"/>
                <w:kern w:val="0"/>
                <w:sz w:val="22"/>
                <w:szCs w:val="22"/>
                <w:u w:val="none"/>
                <w:lang w:val="en-US" w:eastAsia="zh-CN" w:bidi="ar"/>
              </w:rPr>
              <w:t>＝</w:t>
            </w:r>
            <w:r>
              <w:rPr>
                <w:rFonts w:hint="default" w:ascii="Times New Roman" w:hAnsi="Times New Roman" w:cs="Times New Roman"/>
                <w:i w:val="0"/>
                <w:iCs w:val="0"/>
                <w:color w:val="000000"/>
                <w:sz w:val="20"/>
                <w:szCs w:val="20"/>
                <w:u w:val="none"/>
                <w:lang w:val="en-US" w:eastAsia="zh-CN"/>
              </w:rPr>
              <w:t>100%</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10</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sz w:val="20"/>
                <w:szCs w:val="20"/>
                <w:u w:val="none"/>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w:t>
            </w:r>
          </w:p>
        </w:tc>
      </w:tr>
      <w:tr>
        <w:tblPrEx>
          <w:tblLayout w:type="fixed"/>
          <w:tblCellMar>
            <w:top w:w="0" w:type="dxa"/>
            <w:left w:w="108" w:type="dxa"/>
            <w:bottom w:w="0" w:type="dxa"/>
            <w:right w:w="108" w:type="dxa"/>
          </w:tblCellMar>
        </w:tblPrEx>
        <w:trPr>
          <w:trHeight w:val="315" w:hRule="atLeast"/>
        </w:trPr>
        <w:tc>
          <w:tcPr>
            <w:tcW w:w="1266" w:type="dxa"/>
            <w:vMerge w:val="continue"/>
            <w:tcBorders>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rPr>
              <w:t>成本指标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rPr>
              <w:t>成本节约率</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≤5%</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5</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4.5%</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5</w:t>
            </w:r>
          </w:p>
        </w:tc>
      </w:tr>
      <w:tr>
        <w:tblPrEx>
          <w:tblLayout w:type="fixed"/>
          <w:tblCellMar>
            <w:top w:w="0" w:type="dxa"/>
            <w:left w:w="108" w:type="dxa"/>
            <w:bottom w:w="0" w:type="dxa"/>
            <w:right w:w="108" w:type="dxa"/>
          </w:tblCellMar>
        </w:tblPrEx>
        <w:trPr>
          <w:trHeight w:val="90" w:hRule="atLeast"/>
        </w:trPr>
        <w:tc>
          <w:tcPr>
            <w:tcW w:w="1266" w:type="dxa"/>
            <w:vMerge w:val="restart"/>
            <w:tcBorders>
              <w:top w:val="single" w:color="000000" w:sz="4" w:space="0"/>
              <w:left w:val="single" w:color="000000" w:sz="4" w:space="0"/>
              <w:right w:val="single" w:color="000000" w:sz="4" w:space="0"/>
            </w:tcBorders>
            <w:vAlign w:val="center"/>
          </w:tcPr>
          <w:p>
            <w:pPr>
              <w:jc w:val="center"/>
              <w:rPr>
                <w:rFonts w:hint="eastAsia" w:ascii="方正仿宋_GBK" w:hAnsi="方正仿宋_GBK" w:cs="方正仿宋_GBK"/>
                <w:b/>
                <w:bCs/>
                <w:i w:val="0"/>
                <w:iCs w:val="0"/>
                <w:color w:val="000000"/>
                <w:sz w:val="20"/>
                <w:szCs w:val="20"/>
                <w:u w:val="none"/>
                <w:lang w:val="en-US" w:eastAsia="zh-CN"/>
              </w:rPr>
            </w:pPr>
            <w:r>
              <w:rPr>
                <w:rFonts w:hint="eastAsia" w:ascii="方正仿宋_GBK" w:hAnsi="方正仿宋_GBK" w:cs="方正仿宋_GBK"/>
                <w:b/>
                <w:bCs/>
                <w:i w:val="0"/>
                <w:iCs w:val="0"/>
                <w:color w:val="000000"/>
                <w:sz w:val="20"/>
                <w:szCs w:val="20"/>
                <w:u w:val="none"/>
                <w:lang w:val="en-US" w:eastAsia="zh-CN"/>
              </w:rPr>
              <w:t>履职效能</w:t>
            </w:r>
          </w:p>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restart"/>
            <w:tcBorders>
              <w:top w:val="single" w:color="000000" w:sz="4" w:space="0"/>
              <w:left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rPr>
              <w:t>数量指标</w:t>
            </w:r>
          </w:p>
          <w:p>
            <w:pPr>
              <w:jc w:val="center"/>
              <w:rPr>
                <w:rFonts w:hint="eastAsia" w:ascii="方正仿宋_GBK" w:hAnsi="方正仿宋_GBK" w:eastAsia="方正仿宋_GBK" w:cs="方正仿宋_GBK"/>
                <w:i w:val="0"/>
                <w:iCs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lang w:val="en-US" w:eastAsia="zh-CN"/>
              </w:rPr>
              <w:t>个性指标完成率</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lang w:val="en-US" w:eastAsia="zh-CN"/>
              </w:rPr>
              <w:t>＝100%</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lang w:val="en-US" w:eastAsia="zh-CN"/>
              </w:rPr>
              <w:t>5</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sz w:val="20"/>
                <w:szCs w:val="20"/>
                <w:u w:val="none"/>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5</w:t>
            </w:r>
          </w:p>
        </w:tc>
      </w:tr>
      <w:tr>
        <w:tblPrEx>
          <w:tblLayout w:type="fixed"/>
          <w:tblCellMar>
            <w:top w:w="0" w:type="dxa"/>
            <w:left w:w="108" w:type="dxa"/>
            <w:bottom w:w="0" w:type="dxa"/>
            <w:right w:w="108" w:type="dxa"/>
          </w:tblCellMar>
        </w:tblPrEx>
        <w:trPr>
          <w:trHeight w:val="315" w:hRule="atLeast"/>
        </w:trPr>
        <w:tc>
          <w:tcPr>
            <w:tcW w:w="1266" w:type="dxa"/>
            <w:vMerge w:val="continue"/>
            <w:tcBorders>
              <w:left w:val="single" w:color="000000" w:sz="4" w:space="0"/>
              <w:right w:val="single" w:color="000000" w:sz="4" w:space="0"/>
            </w:tcBorders>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left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lang w:val="en-US" w:eastAsia="zh-CN"/>
              </w:rPr>
              <w:t>公务卡刷卡率</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lang w:val="en-US" w:eastAsia="zh-CN"/>
              </w:rPr>
              <w:t>≥80%</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60%</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0.5</w:t>
            </w:r>
          </w:p>
        </w:tc>
      </w:tr>
      <w:tr>
        <w:tblPrEx>
          <w:tblLayout w:type="fixed"/>
          <w:tblCellMar>
            <w:top w:w="0" w:type="dxa"/>
            <w:left w:w="108" w:type="dxa"/>
            <w:bottom w:w="0" w:type="dxa"/>
            <w:right w:w="108" w:type="dxa"/>
          </w:tblCellMar>
        </w:tblPrEx>
        <w:trPr>
          <w:trHeight w:val="320" w:hRule="atLeast"/>
        </w:trPr>
        <w:tc>
          <w:tcPr>
            <w:tcW w:w="1266" w:type="dxa"/>
            <w:vMerge w:val="continue"/>
            <w:tcBorders>
              <w:left w:val="single" w:color="000000" w:sz="4" w:space="0"/>
              <w:right w:val="single" w:color="000000" w:sz="4" w:space="0"/>
            </w:tcBorders>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left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lang w:val="en-US" w:eastAsia="zh-CN"/>
              </w:rPr>
              <w:t>共性指标完成率</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lang w:val="en-US" w:eastAsia="zh-CN"/>
              </w:rPr>
              <w:t>＝100%</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lang w:val="en-US" w:eastAsia="zh-CN"/>
              </w:rPr>
              <w:t>5</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sz w:val="20"/>
                <w:szCs w:val="20"/>
                <w:u w:val="none"/>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5</w:t>
            </w:r>
          </w:p>
        </w:tc>
      </w:tr>
      <w:tr>
        <w:tblPrEx>
          <w:tblLayout w:type="fixed"/>
          <w:tblCellMar>
            <w:top w:w="0" w:type="dxa"/>
            <w:left w:w="108" w:type="dxa"/>
            <w:bottom w:w="0" w:type="dxa"/>
            <w:right w:w="108" w:type="dxa"/>
          </w:tblCellMar>
        </w:tblPrEx>
        <w:trPr>
          <w:trHeight w:val="365" w:hRule="atLeast"/>
        </w:trPr>
        <w:tc>
          <w:tcPr>
            <w:tcW w:w="1266" w:type="dxa"/>
            <w:vMerge w:val="continue"/>
            <w:tcBorders>
              <w:left w:val="single" w:color="000000" w:sz="4" w:space="0"/>
              <w:right w:val="single" w:color="000000" w:sz="4" w:space="0"/>
            </w:tcBorders>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left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lang w:val="en-US" w:eastAsia="zh-CN"/>
              </w:rPr>
              <w:t>固定资产利用率</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lang w:val="en-US" w:eastAsia="zh-CN"/>
              </w:rPr>
              <w:t>≥95%</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98%</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w:t>
            </w:r>
          </w:p>
        </w:tc>
      </w:tr>
      <w:tr>
        <w:tblPrEx>
          <w:tblLayout w:type="fixed"/>
          <w:tblCellMar>
            <w:top w:w="0" w:type="dxa"/>
            <w:left w:w="108" w:type="dxa"/>
            <w:bottom w:w="0" w:type="dxa"/>
            <w:right w:w="108" w:type="dxa"/>
          </w:tblCellMar>
        </w:tblPrEx>
        <w:trPr>
          <w:trHeight w:val="315" w:hRule="atLeast"/>
        </w:trPr>
        <w:tc>
          <w:tcPr>
            <w:tcW w:w="1266" w:type="dxa"/>
            <w:vMerge w:val="continue"/>
            <w:tcBorders>
              <w:left w:val="single" w:color="000000" w:sz="4" w:space="0"/>
              <w:right w:val="single" w:color="000000" w:sz="4" w:space="0"/>
            </w:tcBorders>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left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lang w:val="en-US" w:eastAsia="zh-CN"/>
              </w:rPr>
              <w:t>绩效目标合格率</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lang w:val="en-US" w:eastAsia="zh-CN"/>
              </w:rPr>
              <w:t>≥95%</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w:t>
            </w:r>
          </w:p>
        </w:tc>
      </w:tr>
      <w:tr>
        <w:tblPrEx>
          <w:tblLayout w:type="fixed"/>
          <w:tblCellMar>
            <w:top w:w="0" w:type="dxa"/>
            <w:left w:w="108" w:type="dxa"/>
            <w:bottom w:w="0" w:type="dxa"/>
            <w:right w:w="108" w:type="dxa"/>
          </w:tblCellMar>
        </w:tblPrEx>
        <w:trPr>
          <w:trHeight w:val="315" w:hRule="atLeast"/>
        </w:trPr>
        <w:tc>
          <w:tcPr>
            <w:tcW w:w="1266" w:type="dxa"/>
            <w:vMerge w:val="continue"/>
            <w:tcBorders>
              <w:left w:val="single" w:color="000000" w:sz="4" w:space="0"/>
              <w:right w:val="single" w:color="000000" w:sz="4" w:space="0"/>
            </w:tcBorders>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left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lang w:val="en-US" w:eastAsia="zh-CN"/>
              </w:rPr>
              <w:t>项目评价完成率</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lang w:val="en-US" w:eastAsia="zh-CN"/>
              </w:rPr>
              <w:t>＝100%</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lang w:val="en-US" w:eastAsia="zh-CN"/>
              </w:rPr>
              <w:t>2</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sz w:val="20"/>
                <w:szCs w:val="20"/>
                <w:u w:val="none"/>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2</w:t>
            </w:r>
          </w:p>
        </w:tc>
      </w:tr>
      <w:tr>
        <w:tblPrEx>
          <w:tblLayout w:type="fixed"/>
          <w:tblCellMar>
            <w:top w:w="0" w:type="dxa"/>
            <w:left w:w="108" w:type="dxa"/>
            <w:bottom w:w="0" w:type="dxa"/>
            <w:right w:w="108" w:type="dxa"/>
          </w:tblCellMar>
        </w:tblPrEx>
        <w:trPr>
          <w:trHeight w:val="315" w:hRule="atLeast"/>
        </w:trPr>
        <w:tc>
          <w:tcPr>
            <w:tcW w:w="1266" w:type="dxa"/>
            <w:vMerge w:val="continue"/>
            <w:tcBorders>
              <w:left w:val="single" w:color="000000" w:sz="4" w:space="0"/>
              <w:right w:val="single" w:color="000000" w:sz="4" w:space="0"/>
            </w:tcBorders>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left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lang w:val="en-US" w:eastAsia="zh-CN"/>
              </w:rPr>
              <w:t>项目实施率</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lang w:val="en-US" w:eastAsia="zh-CN"/>
              </w:rPr>
              <w:t>＝100%</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lang w:val="en-US" w:eastAsia="zh-CN"/>
              </w:rPr>
              <w:t>3</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sz w:val="20"/>
                <w:szCs w:val="20"/>
                <w:u w:val="none"/>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3</w:t>
            </w:r>
          </w:p>
        </w:tc>
      </w:tr>
      <w:tr>
        <w:tblPrEx>
          <w:tblLayout w:type="fixed"/>
          <w:tblCellMar>
            <w:top w:w="0" w:type="dxa"/>
            <w:left w:w="108" w:type="dxa"/>
            <w:bottom w:w="0" w:type="dxa"/>
            <w:right w:w="108" w:type="dxa"/>
          </w:tblCellMar>
        </w:tblPrEx>
        <w:trPr>
          <w:trHeight w:val="315" w:hRule="atLeast"/>
        </w:trPr>
        <w:tc>
          <w:tcPr>
            <w:tcW w:w="1266" w:type="dxa"/>
            <w:vMerge w:val="continue"/>
            <w:tcBorders>
              <w:left w:val="single" w:color="000000" w:sz="4" w:space="0"/>
              <w:right w:val="single" w:color="000000" w:sz="4" w:space="0"/>
            </w:tcBorders>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left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lang w:val="en-US" w:eastAsia="zh-CN"/>
              </w:rPr>
              <w:t>项目完成率</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lang w:val="en-US" w:eastAsia="zh-CN"/>
              </w:rPr>
              <w:t>＝100%</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lang w:val="en-US" w:eastAsia="zh-CN"/>
              </w:rPr>
              <w:t>3</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sz w:val="20"/>
                <w:szCs w:val="20"/>
                <w:u w:val="none"/>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3</w:t>
            </w:r>
          </w:p>
        </w:tc>
      </w:tr>
      <w:tr>
        <w:tblPrEx>
          <w:tblLayout w:type="fixed"/>
          <w:tblCellMar>
            <w:top w:w="0" w:type="dxa"/>
            <w:left w:w="108" w:type="dxa"/>
            <w:bottom w:w="0" w:type="dxa"/>
            <w:right w:w="108" w:type="dxa"/>
          </w:tblCellMar>
        </w:tblPrEx>
        <w:trPr>
          <w:trHeight w:val="364" w:hRule="atLeast"/>
        </w:trPr>
        <w:tc>
          <w:tcPr>
            <w:tcW w:w="1266" w:type="dxa"/>
            <w:vMerge w:val="continue"/>
            <w:tcBorders>
              <w:left w:val="single" w:color="000000" w:sz="4" w:space="0"/>
              <w:right w:val="single" w:color="000000" w:sz="4" w:space="0"/>
            </w:tcBorders>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left w:val="single" w:color="000000" w:sz="4" w:space="0"/>
              <w:right w:val="single" w:color="000000" w:sz="4" w:space="0"/>
            </w:tcBorders>
            <w:vAlign w:val="center"/>
          </w:tcPr>
          <w:p>
            <w:pPr>
              <w:jc w:val="left"/>
              <w:rPr>
                <w:rFonts w:hint="eastAsia" w:ascii="方正仿宋_GBK" w:hAnsi="方正仿宋_GBK" w:eastAsia="方正仿宋_GBK" w:cs="方正仿宋_GBK"/>
                <w:i w:val="0"/>
                <w:iCs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lang w:val="en-US" w:eastAsia="zh-CN"/>
              </w:rPr>
              <w:t>在职人员控制率</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lang w:val="en-US" w:eastAsia="zh-CN"/>
              </w:rPr>
              <w:t>≤100%</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90%</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0.5</w:t>
            </w:r>
          </w:p>
        </w:tc>
      </w:tr>
      <w:tr>
        <w:tblPrEx>
          <w:tblLayout w:type="fixed"/>
          <w:tblCellMar>
            <w:top w:w="0" w:type="dxa"/>
            <w:left w:w="108" w:type="dxa"/>
            <w:bottom w:w="0" w:type="dxa"/>
            <w:right w:w="108" w:type="dxa"/>
          </w:tblCellMar>
        </w:tblPrEx>
        <w:trPr>
          <w:trHeight w:val="365" w:hRule="atLeast"/>
        </w:trPr>
        <w:tc>
          <w:tcPr>
            <w:tcW w:w="1266" w:type="dxa"/>
            <w:vMerge w:val="continue"/>
            <w:tcBorders>
              <w:left w:val="single" w:color="000000" w:sz="4" w:space="0"/>
              <w:right w:val="single" w:color="000000" w:sz="4" w:space="0"/>
            </w:tcBorders>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left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lang w:val="en-US" w:eastAsia="zh-CN"/>
              </w:rPr>
              <w:t>政府采购执行率</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lang w:val="en-US" w:eastAsia="zh-CN"/>
              </w:rPr>
              <w:t>＝100%</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sz w:val="20"/>
                <w:szCs w:val="20"/>
                <w:u w:val="none"/>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w:t>
            </w:r>
          </w:p>
        </w:tc>
      </w:tr>
      <w:tr>
        <w:tblPrEx>
          <w:tblLayout w:type="fixed"/>
          <w:tblCellMar>
            <w:top w:w="0" w:type="dxa"/>
            <w:left w:w="108" w:type="dxa"/>
            <w:bottom w:w="0" w:type="dxa"/>
            <w:right w:w="108" w:type="dxa"/>
          </w:tblCellMar>
        </w:tblPrEx>
        <w:trPr>
          <w:trHeight w:val="315" w:hRule="atLeast"/>
        </w:trPr>
        <w:tc>
          <w:tcPr>
            <w:tcW w:w="1266" w:type="dxa"/>
            <w:vMerge w:val="continue"/>
            <w:tcBorders>
              <w:left w:val="single" w:color="000000" w:sz="4" w:space="0"/>
              <w:right w:val="single" w:color="000000" w:sz="4" w:space="0"/>
            </w:tcBorders>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lang w:val="en-US" w:eastAsia="zh-CN"/>
              </w:rPr>
              <w:t>资金结转结余率</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lang w:val="en-US" w:eastAsia="zh-CN"/>
              </w:rPr>
              <w:t>＝0%</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0</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w:t>
            </w:r>
          </w:p>
        </w:tc>
      </w:tr>
      <w:tr>
        <w:tblPrEx>
          <w:tblLayout w:type="fixed"/>
          <w:tblCellMar>
            <w:top w:w="0" w:type="dxa"/>
            <w:left w:w="108" w:type="dxa"/>
            <w:bottom w:w="0" w:type="dxa"/>
            <w:right w:w="108" w:type="dxa"/>
          </w:tblCellMar>
        </w:tblPrEx>
        <w:trPr>
          <w:trHeight w:val="315" w:hRule="atLeast"/>
        </w:trPr>
        <w:tc>
          <w:tcPr>
            <w:tcW w:w="1266" w:type="dxa"/>
            <w:vMerge w:val="continue"/>
            <w:tcBorders>
              <w:left w:val="single" w:color="000000" w:sz="4" w:space="0"/>
              <w:right w:val="single" w:color="000000" w:sz="4" w:space="0"/>
            </w:tcBorders>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restart"/>
            <w:tcBorders>
              <w:top w:val="single" w:color="000000" w:sz="4" w:space="0"/>
              <w:left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rPr>
              <w:t>质量指标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lang w:val="en-US" w:eastAsia="zh-CN"/>
              </w:rPr>
              <w:t>公用经费控制率</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lang w:val="en-US" w:eastAsia="zh-CN"/>
              </w:rPr>
              <w:t>≤100%</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w:t>
            </w:r>
          </w:p>
        </w:tc>
      </w:tr>
      <w:tr>
        <w:tblPrEx>
          <w:tblLayout w:type="fixed"/>
          <w:tblCellMar>
            <w:top w:w="0" w:type="dxa"/>
            <w:left w:w="108" w:type="dxa"/>
            <w:bottom w:w="0" w:type="dxa"/>
            <w:right w:w="108" w:type="dxa"/>
          </w:tblCellMar>
        </w:tblPrEx>
        <w:trPr>
          <w:trHeight w:val="315" w:hRule="atLeast"/>
        </w:trPr>
        <w:tc>
          <w:tcPr>
            <w:tcW w:w="1266" w:type="dxa"/>
            <w:vMerge w:val="continue"/>
            <w:tcBorders>
              <w:left w:val="single" w:color="000000" w:sz="4" w:space="0"/>
              <w:right w:val="single" w:color="000000" w:sz="4" w:space="0"/>
            </w:tcBorders>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left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lang w:val="en-US" w:eastAsia="zh-CN"/>
              </w:rPr>
              <w:t>管理制度健全性</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lang w:val="en-US" w:eastAsia="zh-CN"/>
              </w:rPr>
              <w:t>优</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优</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0.5</w:t>
            </w:r>
          </w:p>
        </w:tc>
      </w:tr>
      <w:tr>
        <w:tblPrEx>
          <w:tblLayout w:type="fixed"/>
          <w:tblCellMar>
            <w:top w:w="0" w:type="dxa"/>
            <w:left w:w="108" w:type="dxa"/>
            <w:bottom w:w="0" w:type="dxa"/>
            <w:right w:w="108" w:type="dxa"/>
          </w:tblCellMar>
        </w:tblPrEx>
        <w:trPr>
          <w:trHeight w:val="315" w:hRule="atLeast"/>
        </w:trPr>
        <w:tc>
          <w:tcPr>
            <w:tcW w:w="1266" w:type="dxa"/>
            <w:vMerge w:val="continue"/>
            <w:tcBorders>
              <w:left w:val="single" w:color="000000" w:sz="4" w:space="0"/>
              <w:right w:val="single" w:color="000000" w:sz="4" w:space="0"/>
            </w:tcBorders>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left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p>
        </w:tc>
        <w:tc>
          <w:tcPr>
            <w:tcW w:w="1815" w:type="dxa"/>
            <w:tcBorders>
              <w:top w:val="nil"/>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lang w:val="en-US" w:eastAsia="zh-CN"/>
              </w:rPr>
              <w:t>三公经费控制率</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lang w:val="en-US" w:eastAsia="zh-CN"/>
              </w:rPr>
              <w:t>≤100%</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w:t>
            </w:r>
          </w:p>
        </w:tc>
      </w:tr>
      <w:tr>
        <w:tblPrEx>
          <w:tblLayout w:type="fixed"/>
          <w:tblCellMar>
            <w:top w:w="0" w:type="dxa"/>
            <w:left w:w="108" w:type="dxa"/>
            <w:bottom w:w="0" w:type="dxa"/>
            <w:right w:w="108" w:type="dxa"/>
          </w:tblCellMar>
        </w:tblPrEx>
        <w:trPr>
          <w:trHeight w:val="315" w:hRule="atLeast"/>
        </w:trPr>
        <w:tc>
          <w:tcPr>
            <w:tcW w:w="1266" w:type="dxa"/>
            <w:vMerge w:val="continue"/>
            <w:tcBorders>
              <w:left w:val="single" w:color="000000" w:sz="4" w:space="0"/>
              <w:right w:val="single" w:color="000000" w:sz="4" w:space="0"/>
            </w:tcBorders>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left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lang w:val="en-US" w:eastAsia="zh-CN"/>
              </w:rPr>
              <w:t>信息公开完整率</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lang w:val="en-US" w:eastAsia="zh-CN"/>
              </w:rPr>
              <w:t>＝100%</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w:t>
            </w:r>
          </w:p>
        </w:tc>
      </w:tr>
      <w:tr>
        <w:tblPrEx>
          <w:tblLayout w:type="fixed"/>
          <w:tblCellMar>
            <w:top w:w="0" w:type="dxa"/>
            <w:left w:w="108" w:type="dxa"/>
            <w:bottom w:w="0" w:type="dxa"/>
            <w:right w:w="108" w:type="dxa"/>
          </w:tblCellMar>
        </w:tblPrEx>
        <w:trPr>
          <w:trHeight w:val="315" w:hRule="atLeast"/>
        </w:trPr>
        <w:tc>
          <w:tcPr>
            <w:tcW w:w="1266" w:type="dxa"/>
            <w:vMerge w:val="continue"/>
            <w:tcBorders>
              <w:left w:val="single" w:color="000000" w:sz="4" w:space="0"/>
              <w:right w:val="single" w:color="000000" w:sz="4" w:space="0"/>
            </w:tcBorders>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left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lang w:val="en-US" w:eastAsia="zh-CN"/>
              </w:rPr>
              <w:t>预算编制完整率</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lang w:val="en-US" w:eastAsia="zh-CN"/>
              </w:rPr>
              <w:t>＝100%</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w:t>
            </w:r>
          </w:p>
        </w:tc>
      </w:tr>
      <w:tr>
        <w:tblPrEx>
          <w:tblLayout w:type="fixed"/>
          <w:tblCellMar>
            <w:top w:w="0" w:type="dxa"/>
            <w:left w:w="108" w:type="dxa"/>
            <w:bottom w:w="0" w:type="dxa"/>
            <w:right w:w="108" w:type="dxa"/>
          </w:tblCellMar>
        </w:tblPrEx>
        <w:trPr>
          <w:trHeight w:val="315" w:hRule="atLeast"/>
        </w:trPr>
        <w:tc>
          <w:tcPr>
            <w:tcW w:w="1266" w:type="dxa"/>
            <w:vMerge w:val="continue"/>
            <w:tcBorders>
              <w:left w:val="single" w:color="000000" w:sz="4" w:space="0"/>
              <w:right w:val="single" w:color="000000" w:sz="4" w:space="0"/>
            </w:tcBorders>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left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p>
        </w:tc>
        <w:tc>
          <w:tcPr>
            <w:tcW w:w="1815"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lang w:val="en-US" w:eastAsia="zh-CN"/>
              </w:rPr>
              <w:t>预算编制准确率</w:t>
            </w:r>
          </w:p>
        </w:tc>
        <w:tc>
          <w:tcPr>
            <w:tcW w:w="1080" w:type="dxa"/>
            <w:tcBorders>
              <w:top w:val="single" w:color="000000"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lang w:val="en-US" w:eastAsia="zh-CN"/>
              </w:rPr>
              <w:t>＝100%</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w:t>
            </w:r>
          </w:p>
        </w:tc>
      </w:tr>
      <w:tr>
        <w:tblPrEx>
          <w:tblLayout w:type="fixed"/>
          <w:tblCellMar>
            <w:top w:w="0" w:type="dxa"/>
            <w:left w:w="108" w:type="dxa"/>
            <w:bottom w:w="0" w:type="dxa"/>
            <w:right w:w="108" w:type="dxa"/>
          </w:tblCellMar>
        </w:tblPrEx>
        <w:trPr>
          <w:trHeight w:val="136" w:hRule="atLeast"/>
        </w:trPr>
        <w:tc>
          <w:tcPr>
            <w:tcW w:w="1266" w:type="dxa"/>
            <w:vMerge w:val="continue"/>
            <w:tcBorders>
              <w:left w:val="single" w:color="000000" w:sz="4" w:space="0"/>
              <w:right w:val="single" w:color="000000" w:sz="4" w:space="0"/>
            </w:tcBorders>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left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lang w:val="en-US" w:eastAsia="zh-CN"/>
              </w:rPr>
              <w:t>预算执行率</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lang w:val="en-US" w:eastAsia="zh-CN"/>
              </w:rPr>
              <w:t>＝100%</w:t>
            </w:r>
          </w:p>
        </w:tc>
        <w:tc>
          <w:tcPr>
            <w:tcW w:w="1110" w:type="dxa"/>
            <w:tcBorders>
              <w:top w:val="single" w:color="000000" w:sz="4" w:space="0"/>
              <w:left w:val="single" w:color="auto" w:sz="4" w:space="0"/>
              <w:bottom w:val="single" w:color="auto"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sz w:val="20"/>
                <w:szCs w:val="20"/>
                <w:u w:val="none"/>
                <w:lang w:val="en-US" w:eastAsia="zh-CN"/>
              </w:rPr>
              <w:t>1</w:t>
            </w:r>
          </w:p>
        </w:tc>
        <w:tc>
          <w:tcPr>
            <w:tcW w:w="1020" w:type="dxa"/>
            <w:tcBorders>
              <w:top w:val="single" w:color="000000"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100%</w:t>
            </w:r>
          </w:p>
        </w:tc>
        <w:tc>
          <w:tcPr>
            <w:tcW w:w="1050" w:type="dxa"/>
            <w:tcBorders>
              <w:top w:val="single" w:color="000000"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w:t>
            </w:r>
          </w:p>
        </w:tc>
      </w:tr>
      <w:tr>
        <w:tblPrEx>
          <w:tblLayout w:type="fixed"/>
          <w:tblCellMar>
            <w:top w:w="0" w:type="dxa"/>
            <w:left w:w="108" w:type="dxa"/>
            <w:bottom w:w="0" w:type="dxa"/>
            <w:right w:w="108" w:type="dxa"/>
          </w:tblCellMar>
        </w:tblPrEx>
        <w:trPr>
          <w:trHeight w:val="90" w:hRule="atLeast"/>
        </w:trPr>
        <w:tc>
          <w:tcPr>
            <w:tcW w:w="1266" w:type="dxa"/>
            <w:vMerge w:val="continue"/>
            <w:tcBorders>
              <w:left w:val="single" w:color="000000" w:sz="4" w:space="0"/>
              <w:right w:val="single" w:color="000000" w:sz="4" w:space="0"/>
            </w:tcBorders>
            <w:vAlign w:val="center"/>
          </w:tcPr>
          <w:p>
            <w:pPr>
              <w:jc w:val="center"/>
              <w:rPr>
                <w:rFonts w:hint="eastAsia" w:ascii="方正仿宋_GBK" w:hAnsi="方正仿宋_GBK" w:eastAsia="方正仿宋_GBK" w:cs="方正仿宋_GBK"/>
                <w:b/>
                <w:bCs/>
                <w:i w:val="0"/>
                <w:iCs w:val="0"/>
                <w:color w:val="000000"/>
                <w:kern w:val="0"/>
                <w:sz w:val="20"/>
                <w:szCs w:val="20"/>
                <w:u w:val="none"/>
                <w:lang w:val="en-US" w:eastAsia="zh-CN" w:bidi="ar"/>
              </w:rPr>
            </w:pPr>
          </w:p>
        </w:tc>
        <w:tc>
          <w:tcPr>
            <w:tcW w:w="1215" w:type="dxa"/>
            <w:vMerge w:val="continue"/>
            <w:tcBorders>
              <w:left w:val="single" w:color="000000" w:sz="4" w:space="0"/>
              <w:bottom w:val="single" w:color="auto" w:sz="4" w:space="0"/>
              <w:right w:val="single" w:color="000000" w:sz="4" w:space="0"/>
            </w:tcBorders>
            <w:vAlign w:val="center"/>
          </w:tcPr>
          <w:p>
            <w:pPr>
              <w:jc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eastAsia="方正仿宋_GBK" w:cs="方正仿宋_GBK"/>
                <w:i w:val="0"/>
                <w:iCs w:val="0"/>
                <w:color w:val="000000"/>
                <w:sz w:val="20"/>
                <w:szCs w:val="20"/>
                <w:u w:val="none"/>
                <w:lang w:val="en-US" w:eastAsia="zh-CN"/>
              </w:rPr>
              <w:t>资金使用合规性</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lang w:val="en-US" w:eastAsia="zh-CN"/>
              </w:rPr>
              <w:t>＝100%</w:t>
            </w:r>
          </w:p>
        </w:tc>
        <w:tc>
          <w:tcPr>
            <w:tcW w:w="1110" w:type="dxa"/>
            <w:tcBorders>
              <w:top w:val="single" w:color="auto" w:sz="4" w:space="0"/>
              <w:left w:val="single" w:color="auto" w:sz="4" w:space="0"/>
              <w:bottom w:val="single" w:color="auto"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sz w:val="20"/>
                <w:szCs w:val="20"/>
                <w:u w:val="none"/>
                <w:lang w:val="en-US" w:eastAsia="zh-CN"/>
              </w:rPr>
              <w:t>1</w:t>
            </w:r>
          </w:p>
        </w:tc>
        <w:tc>
          <w:tcPr>
            <w:tcW w:w="1020" w:type="dxa"/>
            <w:tcBorders>
              <w:top w:val="single" w:color="auto"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100%</w:t>
            </w:r>
          </w:p>
        </w:tc>
        <w:tc>
          <w:tcPr>
            <w:tcW w:w="1050" w:type="dxa"/>
            <w:tcBorders>
              <w:top w:val="single" w:color="auto"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w:t>
            </w:r>
          </w:p>
        </w:tc>
      </w:tr>
      <w:tr>
        <w:tblPrEx>
          <w:tblLayout w:type="fixed"/>
          <w:tblCellMar>
            <w:top w:w="0" w:type="dxa"/>
            <w:left w:w="108" w:type="dxa"/>
            <w:bottom w:w="0" w:type="dxa"/>
            <w:right w:w="108" w:type="dxa"/>
          </w:tblCellMar>
        </w:tblPrEx>
        <w:trPr>
          <w:trHeight w:val="103" w:hRule="atLeast"/>
        </w:trPr>
        <w:tc>
          <w:tcPr>
            <w:tcW w:w="1266" w:type="dxa"/>
            <w:vMerge w:val="continue"/>
            <w:tcBorders>
              <w:left w:val="single" w:color="000000" w:sz="4" w:space="0"/>
              <w:right w:val="single" w:color="000000" w:sz="4" w:space="0"/>
            </w:tcBorders>
            <w:vAlign w:val="center"/>
          </w:tcPr>
          <w:p>
            <w:pPr>
              <w:jc w:val="center"/>
              <w:rPr>
                <w:rFonts w:hint="eastAsia" w:ascii="方正仿宋_GBK" w:hAnsi="方正仿宋_GBK" w:eastAsia="方正仿宋_GBK" w:cs="方正仿宋_GBK"/>
                <w:b/>
                <w:bCs/>
                <w:i w:val="0"/>
                <w:iCs w:val="0"/>
                <w:color w:val="000000"/>
                <w:kern w:val="0"/>
                <w:sz w:val="20"/>
                <w:szCs w:val="20"/>
                <w:u w:val="none"/>
                <w:lang w:val="en-US" w:eastAsia="zh-CN" w:bidi="ar"/>
              </w:rPr>
            </w:pPr>
          </w:p>
        </w:tc>
        <w:tc>
          <w:tcPr>
            <w:tcW w:w="1215" w:type="dxa"/>
            <w:vMerge w:val="restart"/>
            <w:tcBorders>
              <w:top w:val="single" w:color="auto" w:sz="4" w:space="0"/>
              <w:left w:val="single" w:color="auto" w:sz="4" w:space="0"/>
              <w:right w:val="single" w:color="auto" w:sz="4" w:space="0"/>
            </w:tcBorders>
            <w:vAlign w:val="center"/>
          </w:tcPr>
          <w:p>
            <w:pPr>
              <w:jc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时效指标</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eastAsia="方正仿宋_GBK" w:cs="方正仿宋_GBK"/>
                <w:i w:val="0"/>
                <w:iCs w:val="0"/>
                <w:color w:val="000000"/>
                <w:sz w:val="20"/>
                <w:szCs w:val="20"/>
                <w:u w:val="none"/>
                <w:lang w:val="en-US" w:eastAsia="zh-CN"/>
              </w:rPr>
              <w:t>项目监控到位率</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lang w:val="en-US" w:eastAsia="zh-CN"/>
              </w:rPr>
              <w:t>＝100%</w:t>
            </w:r>
          </w:p>
        </w:tc>
        <w:tc>
          <w:tcPr>
            <w:tcW w:w="1110" w:type="dxa"/>
            <w:tcBorders>
              <w:top w:val="single" w:color="auto"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1020" w:type="dxa"/>
            <w:tcBorders>
              <w:top w:val="single" w:color="auto"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100%</w:t>
            </w:r>
          </w:p>
        </w:tc>
        <w:tc>
          <w:tcPr>
            <w:tcW w:w="1050" w:type="dxa"/>
            <w:tcBorders>
              <w:top w:val="single" w:color="auto"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2</w:t>
            </w:r>
          </w:p>
        </w:tc>
      </w:tr>
      <w:tr>
        <w:tblPrEx>
          <w:tblLayout w:type="fixed"/>
          <w:tblCellMar>
            <w:top w:w="0" w:type="dxa"/>
            <w:left w:w="108" w:type="dxa"/>
            <w:bottom w:w="0" w:type="dxa"/>
            <w:right w:w="108" w:type="dxa"/>
          </w:tblCellMar>
        </w:tblPrEx>
        <w:trPr>
          <w:trHeight w:val="582" w:hRule="atLeast"/>
        </w:trPr>
        <w:tc>
          <w:tcPr>
            <w:tcW w:w="1266" w:type="dxa"/>
            <w:vMerge w:val="continue"/>
            <w:tcBorders>
              <w:left w:val="single" w:color="000000" w:sz="4" w:space="0"/>
              <w:bottom w:val="single" w:color="auto" w:sz="4" w:space="0"/>
              <w:right w:val="single" w:color="000000" w:sz="4" w:space="0"/>
            </w:tcBorders>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i w:val="0"/>
                <w:iCs w:val="0"/>
                <w:color w:val="000000"/>
                <w:sz w:val="20"/>
                <w:szCs w:val="20"/>
                <w:u w:val="none"/>
              </w:rPr>
            </w:pP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eastAsia="方正仿宋_GBK" w:cs="方正仿宋_GBK"/>
                <w:i w:val="0"/>
                <w:iCs w:val="0"/>
                <w:color w:val="000000"/>
                <w:sz w:val="20"/>
                <w:szCs w:val="20"/>
                <w:u w:val="none"/>
                <w:lang w:val="en-US" w:eastAsia="zh-CN"/>
              </w:rPr>
              <w:t>信息公开及时率</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lang w:val="en-US" w:eastAsia="zh-CN"/>
              </w:rPr>
              <w:t>＝100%</w:t>
            </w:r>
          </w:p>
        </w:tc>
        <w:tc>
          <w:tcPr>
            <w:tcW w:w="1110" w:type="dxa"/>
            <w:tcBorders>
              <w:top w:val="single" w:color="000000" w:sz="4" w:space="0"/>
              <w:left w:val="single" w:color="auto" w:sz="4" w:space="0"/>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1020" w:type="dxa"/>
            <w:tcBorders>
              <w:top w:val="single" w:color="000000"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100%</w:t>
            </w:r>
          </w:p>
        </w:tc>
        <w:tc>
          <w:tcPr>
            <w:tcW w:w="1050" w:type="dxa"/>
            <w:tcBorders>
              <w:top w:val="single" w:color="000000"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w:t>
            </w:r>
          </w:p>
        </w:tc>
      </w:tr>
      <w:tr>
        <w:tblPrEx>
          <w:tblLayout w:type="fixed"/>
          <w:tblCellMar>
            <w:top w:w="0" w:type="dxa"/>
            <w:left w:w="108" w:type="dxa"/>
            <w:bottom w:w="0" w:type="dxa"/>
            <w:right w:w="108" w:type="dxa"/>
          </w:tblCellMar>
        </w:tblPrEx>
        <w:trPr>
          <w:trHeight w:val="213" w:hRule="atLeast"/>
        </w:trPr>
        <w:tc>
          <w:tcPr>
            <w:tcW w:w="12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cs="方正仿宋_GBK"/>
                <w:b/>
                <w:bCs/>
                <w:i w:val="0"/>
                <w:iCs w:val="0"/>
                <w:color w:val="000000"/>
                <w:sz w:val="20"/>
                <w:szCs w:val="20"/>
                <w:u w:val="none"/>
                <w:lang w:val="en-US" w:eastAsia="zh-CN"/>
              </w:rPr>
            </w:pPr>
            <w:r>
              <w:rPr>
                <w:rFonts w:hint="eastAsia" w:ascii="方正仿宋_GBK" w:hAnsi="方正仿宋_GBK" w:cs="方正仿宋_GBK"/>
                <w:b/>
                <w:bCs/>
                <w:i w:val="0"/>
                <w:iCs w:val="0"/>
                <w:color w:val="000000"/>
                <w:sz w:val="20"/>
                <w:szCs w:val="20"/>
                <w:u w:val="none"/>
                <w:lang w:val="en-US" w:eastAsia="zh-CN"/>
              </w:rPr>
              <w:t>成本指标</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经济成本</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指标</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单位运行人均成本变化</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w:t>
            </w:r>
          </w:p>
        </w:tc>
        <w:tc>
          <w:tcPr>
            <w:tcW w:w="1110" w:type="dxa"/>
            <w:tcBorders>
              <w:top w:val="single" w:color="auto" w:sz="4" w:space="0"/>
              <w:left w:val="single" w:color="auto" w:sz="4" w:space="0"/>
              <w:bottom w:val="single" w:color="auto"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5</w:t>
            </w:r>
          </w:p>
        </w:tc>
        <w:tc>
          <w:tcPr>
            <w:tcW w:w="1020" w:type="dxa"/>
            <w:tcBorders>
              <w:top w:val="single" w:color="auto"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9%</w:t>
            </w:r>
          </w:p>
        </w:tc>
        <w:tc>
          <w:tcPr>
            <w:tcW w:w="1050" w:type="dxa"/>
            <w:tcBorders>
              <w:top w:val="single" w:color="auto"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5</w:t>
            </w:r>
          </w:p>
        </w:tc>
      </w:tr>
      <w:tr>
        <w:tblPrEx>
          <w:tblLayout w:type="fixed"/>
          <w:tblCellMar>
            <w:top w:w="0" w:type="dxa"/>
            <w:left w:w="108" w:type="dxa"/>
            <w:bottom w:w="0" w:type="dxa"/>
            <w:right w:w="108" w:type="dxa"/>
          </w:tblCellMar>
        </w:tblPrEx>
        <w:trPr>
          <w:trHeight w:val="109" w:hRule="atLeast"/>
        </w:trPr>
        <w:tc>
          <w:tcPr>
            <w:tcW w:w="1266" w:type="dxa"/>
            <w:vMerge w:val="restart"/>
            <w:tcBorders>
              <w:top w:val="single" w:color="auto" w:sz="4" w:space="0"/>
              <w:left w:val="single" w:color="auto" w:sz="4" w:space="0"/>
              <w:right w:val="single" w:color="auto" w:sz="4" w:space="0"/>
            </w:tcBorders>
            <w:vAlign w:val="center"/>
          </w:tcPr>
          <w:p>
            <w:pPr>
              <w:jc w:val="center"/>
              <w:rPr>
                <w:rFonts w:hint="eastAsia" w:ascii="方正仿宋_GBK" w:hAnsi="方正仿宋_GBK" w:cs="方正仿宋_GBK"/>
                <w:b/>
                <w:bCs/>
                <w:i w:val="0"/>
                <w:iCs w:val="0"/>
                <w:color w:val="000000"/>
                <w:sz w:val="20"/>
                <w:szCs w:val="20"/>
                <w:u w:val="none"/>
                <w:lang w:val="en-US" w:eastAsia="zh-CN"/>
              </w:rPr>
            </w:pPr>
            <w:r>
              <w:rPr>
                <w:rFonts w:hint="eastAsia" w:ascii="方正仿宋_GBK" w:hAnsi="方正仿宋_GBK" w:cs="方正仿宋_GBK"/>
                <w:b/>
                <w:bCs/>
                <w:i w:val="0"/>
                <w:iCs w:val="0"/>
                <w:color w:val="000000"/>
                <w:sz w:val="20"/>
                <w:szCs w:val="20"/>
                <w:u w:val="none"/>
                <w:lang w:val="en-US" w:eastAsia="zh-CN"/>
              </w:rPr>
              <w:t>社会效应</w:t>
            </w:r>
          </w:p>
        </w:tc>
        <w:tc>
          <w:tcPr>
            <w:tcW w:w="1215" w:type="dxa"/>
            <w:vMerge w:val="restart"/>
            <w:tcBorders>
              <w:top w:val="single" w:color="auto" w:sz="4" w:space="0"/>
              <w:left w:val="single" w:color="auto" w:sz="4" w:space="0"/>
              <w:right w:val="single" w:color="auto" w:sz="4" w:space="0"/>
            </w:tcBorders>
            <w:vAlign w:val="center"/>
          </w:tcPr>
          <w:p>
            <w:pPr>
              <w:jc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社会效益</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eastAsia="方正仿宋_GBK" w:cs="方正仿宋_GBK"/>
                <w:i w:val="0"/>
                <w:iCs w:val="0"/>
                <w:color w:val="000000"/>
                <w:sz w:val="20"/>
                <w:szCs w:val="20"/>
                <w:u w:val="none"/>
                <w:lang w:val="en-US" w:eastAsia="zh-CN"/>
              </w:rPr>
              <w:t>单位正常运转</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sz w:val="20"/>
                <w:szCs w:val="20"/>
                <w:u w:val="none"/>
                <w:lang w:val="en-US" w:eastAsia="zh-CN"/>
              </w:rPr>
              <w:t>优</w:t>
            </w:r>
          </w:p>
        </w:tc>
        <w:tc>
          <w:tcPr>
            <w:tcW w:w="1110" w:type="dxa"/>
            <w:tcBorders>
              <w:top w:val="single" w:color="auto" w:sz="4" w:space="0"/>
              <w:left w:val="single" w:color="auto"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sz w:val="20"/>
                <w:szCs w:val="20"/>
                <w:u w:val="none"/>
                <w:lang w:val="en-US" w:eastAsia="zh-CN"/>
              </w:rPr>
              <w:t>10</w:t>
            </w:r>
          </w:p>
        </w:tc>
        <w:tc>
          <w:tcPr>
            <w:tcW w:w="1020" w:type="dxa"/>
            <w:tcBorders>
              <w:top w:val="single" w:color="auto"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优</w:t>
            </w:r>
          </w:p>
        </w:tc>
        <w:tc>
          <w:tcPr>
            <w:tcW w:w="1050" w:type="dxa"/>
            <w:tcBorders>
              <w:top w:val="single" w:color="auto"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10</w:t>
            </w:r>
          </w:p>
        </w:tc>
      </w:tr>
      <w:tr>
        <w:tblPrEx>
          <w:tblLayout w:type="fixed"/>
          <w:tblCellMar>
            <w:top w:w="0" w:type="dxa"/>
            <w:left w:w="108" w:type="dxa"/>
            <w:bottom w:w="0" w:type="dxa"/>
            <w:right w:w="108" w:type="dxa"/>
          </w:tblCellMar>
        </w:tblPrEx>
        <w:trPr>
          <w:trHeight w:val="109" w:hRule="atLeast"/>
        </w:trPr>
        <w:tc>
          <w:tcPr>
            <w:tcW w:w="1266" w:type="dxa"/>
            <w:vMerge w:val="continue"/>
            <w:tcBorders>
              <w:left w:val="single" w:color="auto" w:sz="4" w:space="0"/>
              <w:bottom w:val="single" w:color="auto" w:sz="4" w:space="0"/>
              <w:right w:val="single" w:color="auto" w:sz="4" w:space="0"/>
            </w:tcBorders>
            <w:vAlign w:val="center"/>
          </w:tcPr>
          <w:p>
            <w:pPr>
              <w:jc w:val="center"/>
              <w:rPr>
                <w:rFonts w:hint="eastAsia" w:ascii="方正仿宋_GBK" w:hAnsi="方正仿宋_GBK" w:cs="方正仿宋_GBK"/>
                <w:b/>
                <w:bCs/>
                <w:i w:val="0"/>
                <w:iCs w:val="0"/>
                <w:color w:val="000000"/>
                <w:sz w:val="20"/>
                <w:szCs w:val="20"/>
                <w:u w:val="none"/>
                <w:lang w:val="en-US" w:eastAsia="zh-CN"/>
              </w:rPr>
            </w:pPr>
          </w:p>
        </w:tc>
        <w:tc>
          <w:tcPr>
            <w:tcW w:w="1215" w:type="dxa"/>
            <w:vMerge w:val="continue"/>
            <w:tcBorders>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维护社会稳定</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优</w:t>
            </w:r>
          </w:p>
        </w:tc>
        <w:tc>
          <w:tcPr>
            <w:tcW w:w="1110" w:type="dxa"/>
            <w:tcBorders>
              <w:top w:val="single" w:color="auto" w:sz="4" w:space="0"/>
              <w:left w:val="single" w:color="auto"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5</w:t>
            </w:r>
          </w:p>
        </w:tc>
        <w:tc>
          <w:tcPr>
            <w:tcW w:w="1020" w:type="dxa"/>
            <w:tcBorders>
              <w:top w:val="single" w:color="auto"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优</w:t>
            </w:r>
          </w:p>
        </w:tc>
        <w:tc>
          <w:tcPr>
            <w:tcW w:w="1050" w:type="dxa"/>
            <w:tcBorders>
              <w:top w:val="single" w:color="auto"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5</w:t>
            </w:r>
          </w:p>
        </w:tc>
      </w:tr>
      <w:tr>
        <w:tblPrEx>
          <w:tblLayout w:type="fixed"/>
          <w:tblCellMar>
            <w:top w:w="0" w:type="dxa"/>
            <w:left w:w="108" w:type="dxa"/>
            <w:bottom w:w="0" w:type="dxa"/>
            <w:right w:w="108" w:type="dxa"/>
          </w:tblCellMar>
        </w:tblPrEx>
        <w:trPr>
          <w:trHeight w:val="109" w:hRule="atLeast"/>
        </w:trPr>
        <w:tc>
          <w:tcPr>
            <w:tcW w:w="1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cs="方正仿宋_GBK"/>
                <w:b/>
                <w:bCs/>
                <w:i w:val="0"/>
                <w:iCs w:val="0"/>
                <w:color w:val="000000"/>
                <w:sz w:val="20"/>
                <w:szCs w:val="20"/>
                <w:u w:val="none"/>
                <w:lang w:val="en-US" w:eastAsia="zh-CN"/>
              </w:rPr>
            </w:pPr>
            <w:r>
              <w:rPr>
                <w:rFonts w:hint="eastAsia" w:ascii="方正仿宋_GBK" w:hAnsi="方正仿宋_GBK" w:cs="方正仿宋_GBK"/>
                <w:b/>
                <w:bCs/>
                <w:i w:val="0"/>
                <w:iCs w:val="0"/>
                <w:color w:val="000000"/>
                <w:sz w:val="20"/>
                <w:szCs w:val="20"/>
                <w:u w:val="none"/>
                <w:lang w:val="en-US" w:eastAsia="zh-CN"/>
              </w:rPr>
              <w:t>可持续发展能力</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可持续发展能力</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管理制度可持续性</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优</w:t>
            </w:r>
          </w:p>
        </w:tc>
        <w:tc>
          <w:tcPr>
            <w:tcW w:w="1110" w:type="dxa"/>
            <w:tcBorders>
              <w:top w:val="single" w:color="auto" w:sz="4" w:space="0"/>
              <w:left w:val="single" w:color="auto"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5</w:t>
            </w:r>
          </w:p>
        </w:tc>
        <w:tc>
          <w:tcPr>
            <w:tcW w:w="1020" w:type="dxa"/>
            <w:tcBorders>
              <w:top w:val="single" w:color="auto"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优</w:t>
            </w:r>
          </w:p>
        </w:tc>
        <w:tc>
          <w:tcPr>
            <w:tcW w:w="1050" w:type="dxa"/>
            <w:tcBorders>
              <w:top w:val="single" w:color="auto"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4</w:t>
            </w:r>
          </w:p>
        </w:tc>
      </w:tr>
      <w:tr>
        <w:tblPrEx>
          <w:tblLayout w:type="fixed"/>
          <w:tblCellMar>
            <w:top w:w="0" w:type="dxa"/>
            <w:left w:w="108" w:type="dxa"/>
            <w:bottom w:w="0" w:type="dxa"/>
            <w:right w:w="108" w:type="dxa"/>
          </w:tblCellMar>
        </w:tblPrEx>
        <w:trPr>
          <w:trHeight w:val="169" w:hRule="atLeast"/>
        </w:trPr>
        <w:tc>
          <w:tcPr>
            <w:tcW w:w="1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cs="方正仿宋_GBK"/>
                <w:b/>
                <w:bCs/>
                <w:i w:val="0"/>
                <w:iCs w:val="0"/>
                <w:color w:val="000000"/>
                <w:sz w:val="20"/>
                <w:szCs w:val="20"/>
                <w:u w:val="none"/>
                <w:lang w:val="en-US" w:eastAsia="zh-CN"/>
              </w:rPr>
            </w:pPr>
            <w:r>
              <w:rPr>
                <w:rFonts w:hint="eastAsia" w:ascii="方正仿宋_GBK" w:hAnsi="方正仿宋_GBK" w:cs="方正仿宋_GBK"/>
                <w:b/>
                <w:bCs/>
                <w:i w:val="0"/>
                <w:iCs w:val="0"/>
                <w:color w:val="000000"/>
                <w:sz w:val="20"/>
                <w:szCs w:val="20"/>
                <w:u w:val="none"/>
                <w:lang w:val="en-US" w:eastAsia="zh-CN"/>
              </w:rPr>
              <w:t>服务对象满意度</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rPr>
              <w:t>服务对象满意度</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社会公众满意度</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≥95%</w:t>
            </w:r>
          </w:p>
        </w:tc>
        <w:tc>
          <w:tcPr>
            <w:tcW w:w="1110" w:type="dxa"/>
            <w:tcBorders>
              <w:top w:val="single" w:color="000000" w:sz="4" w:space="0"/>
              <w:left w:val="single" w:color="auto" w:sz="4" w:space="0"/>
              <w:bottom w:val="single" w:color="auto" w:sz="4" w:space="0"/>
              <w:right w:val="single" w:color="000000" w:sz="4" w:space="0"/>
            </w:tcBorders>
            <w:vAlign w:val="center"/>
          </w:tcPr>
          <w:p>
            <w:pPr>
              <w:jc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10</w:t>
            </w:r>
          </w:p>
        </w:tc>
        <w:tc>
          <w:tcPr>
            <w:tcW w:w="1020" w:type="dxa"/>
            <w:tcBorders>
              <w:top w:val="single" w:color="000000"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97%</w:t>
            </w:r>
          </w:p>
        </w:tc>
        <w:tc>
          <w:tcPr>
            <w:tcW w:w="1050" w:type="dxa"/>
            <w:tcBorders>
              <w:top w:val="single" w:color="000000"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10</w:t>
            </w:r>
          </w:p>
        </w:tc>
      </w:tr>
      <w:tr>
        <w:tblPrEx>
          <w:tblLayout w:type="fixed"/>
          <w:tblCellMar>
            <w:top w:w="0" w:type="dxa"/>
            <w:left w:w="108" w:type="dxa"/>
            <w:bottom w:w="0" w:type="dxa"/>
            <w:right w:w="108" w:type="dxa"/>
          </w:tblCellMar>
        </w:tblPrEx>
        <w:trPr>
          <w:trHeight w:val="132" w:hRule="atLeast"/>
        </w:trPr>
        <w:tc>
          <w:tcPr>
            <w:tcW w:w="1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cs="方正仿宋_GBK"/>
                <w:b/>
                <w:bCs/>
                <w:i w:val="0"/>
                <w:iCs w:val="0"/>
                <w:color w:val="000000"/>
                <w:sz w:val="20"/>
                <w:szCs w:val="20"/>
                <w:u w:val="none"/>
                <w:lang w:val="en-US" w:eastAsia="zh-CN"/>
              </w:rPr>
            </w:pPr>
            <w:r>
              <w:rPr>
                <w:rFonts w:hint="eastAsia" w:ascii="方正仿宋_GBK" w:hAnsi="方正仿宋_GBK" w:cs="方正仿宋_GBK"/>
                <w:b/>
                <w:bCs/>
                <w:i w:val="0"/>
                <w:iCs w:val="0"/>
                <w:color w:val="000000"/>
                <w:sz w:val="20"/>
                <w:szCs w:val="20"/>
                <w:u w:val="none"/>
                <w:lang w:val="en-US" w:eastAsia="zh-CN"/>
              </w:rPr>
              <w:t>管理效率</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管理效率</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管理效率</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优</w:t>
            </w:r>
          </w:p>
        </w:tc>
        <w:tc>
          <w:tcPr>
            <w:tcW w:w="1110" w:type="dxa"/>
            <w:tcBorders>
              <w:top w:val="single" w:color="auto" w:sz="4" w:space="0"/>
              <w:left w:val="single" w:color="auto" w:sz="4" w:space="0"/>
              <w:bottom w:val="single" w:color="auto" w:sz="4" w:space="0"/>
              <w:right w:val="single" w:color="000000" w:sz="4" w:space="0"/>
            </w:tcBorders>
            <w:vAlign w:val="center"/>
          </w:tcPr>
          <w:p>
            <w:pPr>
              <w:jc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5</w:t>
            </w:r>
          </w:p>
        </w:tc>
        <w:tc>
          <w:tcPr>
            <w:tcW w:w="1020" w:type="dxa"/>
            <w:tcBorders>
              <w:top w:val="single" w:color="auto"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优</w:t>
            </w:r>
          </w:p>
        </w:tc>
        <w:tc>
          <w:tcPr>
            <w:tcW w:w="1050" w:type="dxa"/>
            <w:tcBorders>
              <w:top w:val="single" w:color="auto"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4.5</w:t>
            </w:r>
          </w:p>
        </w:tc>
      </w:tr>
      <w:tr>
        <w:tblPrEx>
          <w:tblLayout w:type="fixed"/>
          <w:tblCellMar>
            <w:top w:w="0" w:type="dxa"/>
            <w:left w:w="108" w:type="dxa"/>
            <w:bottom w:w="0" w:type="dxa"/>
            <w:right w:w="108" w:type="dxa"/>
          </w:tblCellMar>
        </w:tblPrEx>
        <w:trPr>
          <w:trHeight w:val="330" w:hRule="atLeast"/>
        </w:trPr>
        <w:tc>
          <w:tcPr>
            <w:tcW w:w="4296" w:type="dxa"/>
            <w:gridSpan w:val="3"/>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分值合计：</w:t>
            </w:r>
          </w:p>
        </w:tc>
        <w:tc>
          <w:tcPr>
            <w:tcW w:w="1080" w:type="dxa"/>
            <w:tcBorders>
              <w:top w:val="single" w:color="auto"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sz w:val="20"/>
                <w:szCs w:val="20"/>
                <w:u w:val="none"/>
                <w:lang w:val="en-US" w:eastAsia="zh-CN"/>
              </w:rPr>
              <w:t>100</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97</w:t>
            </w:r>
          </w:p>
        </w:tc>
      </w:tr>
      <w:tr>
        <w:tblPrEx>
          <w:tblLayout w:type="fixed"/>
          <w:tblCellMar>
            <w:top w:w="0" w:type="dxa"/>
            <w:left w:w="108" w:type="dxa"/>
            <w:bottom w:w="0" w:type="dxa"/>
            <w:right w:w="108" w:type="dxa"/>
          </w:tblCellMar>
        </w:tblPrEx>
        <w:trPr>
          <w:trHeight w:val="415" w:hRule="atLeast"/>
        </w:trPr>
        <w:tc>
          <w:tcPr>
            <w:tcW w:w="2481" w:type="dxa"/>
            <w:gridSpan w:val="2"/>
            <w:tcBorders>
              <w:top w:val="nil"/>
              <w:left w:val="nil"/>
              <w:bottom w:val="nil"/>
              <w:right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单位负责人：</w:t>
            </w:r>
            <w:r>
              <w:rPr>
                <w:rFonts w:hint="eastAsia" w:ascii="方正仿宋_GBK" w:hAnsi="方正仿宋_GBK" w:cs="方正仿宋_GBK"/>
                <w:i w:val="0"/>
                <w:iCs w:val="0"/>
                <w:color w:val="000000"/>
                <w:kern w:val="0"/>
                <w:sz w:val="21"/>
                <w:szCs w:val="21"/>
                <w:u w:val="none"/>
                <w:lang w:val="en-US" w:eastAsia="zh-CN" w:bidi="ar"/>
              </w:rPr>
              <w:t xml:space="preserve">              </w:t>
            </w:r>
          </w:p>
        </w:tc>
        <w:tc>
          <w:tcPr>
            <w:tcW w:w="1815" w:type="dxa"/>
            <w:tcBorders>
              <w:top w:val="nil"/>
              <w:left w:val="nil"/>
              <w:bottom w:val="nil"/>
              <w:right w:val="nil"/>
            </w:tcBorders>
            <w:vAlign w:val="center"/>
          </w:tcPr>
          <w:p>
            <w:pP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填表人：</w:t>
            </w:r>
          </w:p>
        </w:tc>
        <w:tc>
          <w:tcPr>
            <w:tcW w:w="1080" w:type="dxa"/>
            <w:tcBorders>
              <w:top w:val="nil"/>
              <w:left w:val="nil"/>
              <w:bottom w:val="nil"/>
              <w:right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1"/>
                <w:szCs w:val="21"/>
                <w:u w:val="none"/>
              </w:rPr>
            </w:pPr>
          </w:p>
        </w:tc>
        <w:tc>
          <w:tcPr>
            <w:tcW w:w="3180" w:type="dxa"/>
            <w:gridSpan w:val="3"/>
            <w:tcBorders>
              <w:top w:val="nil"/>
              <w:left w:val="nil"/>
              <w:bottom w:val="nil"/>
              <w:right w:val="nil"/>
            </w:tcBorders>
            <w:vAlign w:val="center"/>
          </w:tcPr>
          <w:p>
            <w:pP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填表日期：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Impact">
    <w:panose1 w:val="020B0806030902050204"/>
    <w:charset w:val="00"/>
    <w:family w:val="auto"/>
    <w:pitch w:val="default"/>
    <w:sig w:usb0="00000287" w:usb1="00000000" w:usb2="00000000" w:usb3="00000000" w:csb0="2000009F" w:csb1="DFD70000"/>
  </w:font>
  <w:font w:name="Arial Unicode MS">
    <w:altName w:val="宋体"/>
    <w:panose1 w:val="020B0604020202020204"/>
    <w:charset w:val="86"/>
    <w:family w:val="auto"/>
    <w:pitch w:val="default"/>
    <w:sig w:usb0="00000000" w:usb1="00000000" w:usb2="0000003F" w:usb3="00000000" w:csb0="603F01FF" w:csb1="FFFF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D5631E"/>
    <w:multiLevelType w:val="singleLevel"/>
    <w:tmpl w:val="EBD5631E"/>
    <w:lvl w:ilvl="0" w:tentative="0">
      <w:start w:val="2"/>
      <w:numFmt w:val="chineseCounting"/>
      <w:suff w:val="nothing"/>
      <w:lvlText w:val="（%1）"/>
      <w:lvlJc w:val="left"/>
      <w:rPr>
        <w:rFonts w:hint="eastAsia"/>
      </w:rPr>
    </w:lvl>
  </w:abstractNum>
  <w:abstractNum w:abstractNumId="1">
    <w:nsid w:val="F863CE5B"/>
    <w:multiLevelType w:val="singleLevel"/>
    <w:tmpl w:val="F863CE5B"/>
    <w:lvl w:ilvl="0" w:tentative="0">
      <w:start w:val="6"/>
      <w:numFmt w:val="chineseCounting"/>
      <w:suff w:val="nothing"/>
      <w:lvlText w:val="（%1）"/>
      <w:lvlJc w:val="left"/>
      <w:rPr>
        <w:rFonts w:hint="eastAsia"/>
      </w:rPr>
    </w:lvl>
  </w:abstractNum>
  <w:abstractNum w:abstractNumId="2">
    <w:nsid w:val="6F74EA2E"/>
    <w:multiLevelType w:val="singleLevel"/>
    <w:tmpl w:val="6F74EA2E"/>
    <w:lvl w:ilvl="0" w:tentative="0">
      <w:start w:val="4"/>
      <w:numFmt w:val="chineseCounting"/>
      <w:suff w:val="nothing"/>
      <w:lvlText w:val="%1、"/>
      <w:lvlJc w:val="left"/>
      <w:pPr>
        <w:ind w:left="640" w:firstLine="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191531"/>
    <w:rsid w:val="4219153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HAnsi" w:hAnsiTheme="minorHAnsi" w:cstheme="minorBidi"/>
      <w:kern w:val="2"/>
      <w:sz w:val="32"/>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方正仿宋_GBK" w:hAnsi="Times New Roman" w:eastAsia="方正仿宋_GBK" w:cs="Times New Roman"/>
      <w:color w:val="000000"/>
      <w:sz w:val="24"/>
      <w:szCs w:val="24"/>
      <w:lang w:val="en-US" w:eastAsia="zh-CN" w:bidi="ar-SA"/>
    </w:rPr>
  </w:style>
  <w:style w:type="paragraph" w:styleId="3">
    <w:name w:val="Body Text"/>
    <w:basedOn w:val="1"/>
    <w:uiPriority w:val="0"/>
    <w:pPr>
      <w:spacing w:after="120"/>
    </w:pPr>
    <w:rPr>
      <w:rFonts w:ascii="Times New Roman" w:hAnsi="Times New Roman" w:eastAsia="宋体" w:cs="Times New Roman"/>
      <w:szCs w:val="22"/>
    </w:rPr>
  </w:style>
  <w:style w:type="character" w:customStyle="1" w:styleId="6">
    <w:name w:val="font81"/>
    <w:basedOn w:val="4"/>
    <w:qFormat/>
    <w:uiPriority w:val="0"/>
    <w:rPr>
      <w:rFonts w:ascii="Calibri" w:hAnsi="Calibri" w:eastAsia="宋体" w:cs="Calibri"/>
      <w:color w:val="000000"/>
      <w:sz w:val="21"/>
      <w:szCs w:val="21"/>
      <w:u w:val="none"/>
    </w:rPr>
  </w:style>
  <w:style w:type="character" w:customStyle="1" w:styleId="7">
    <w:name w:val="font31"/>
    <w:basedOn w:val="4"/>
    <w:qFormat/>
    <w:uiPriority w:val="0"/>
    <w:rPr>
      <w:rFonts w:hint="eastAsia" w:ascii="宋体" w:hAnsi="宋体" w:eastAsia="宋体" w:cs="宋体"/>
      <w:color w:val="000000"/>
      <w:sz w:val="21"/>
      <w:szCs w:val="21"/>
      <w:u w:val="none"/>
    </w:rPr>
  </w:style>
  <w:style w:type="character" w:customStyle="1" w:styleId="8">
    <w:name w:val="font91"/>
    <w:basedOn w:val="4"/>
    <w:qFormat/>
    <w:uiPriority w:val="0"/>
    <w:rPr>
      <w:rFonts w:hint="eastAsia" w:ascii="方正仿宋_GBK" w:hAnsi="方正仿宋_GBK" w:eastAsia="方正仿宋_GBK" w:cs="方正仿宋_GBK"/>
      <w:color w:val="000000"/>
      <w:sz w:val="22"/>
      <w:szCs w:val="22"/>
      <w:u w:val="none"/>
    </w:rPr>
  </w:style>
  <w:style w:type="character" w:customStyle="1" w:styleId="9">
    <w:name w:val="font51"/>
    <w:basedOn w:val="4"/>
    <w:qFormat/>
    <w:uiPriority w:val="0"/>
    <w:rPr>
      <w:rFonts w:hint="eastAsia" w:ascii="方正仿宋_GBK" w:hAnsi="方正仿宋_GBK" w:eastAsia="方正仿宋_GBK" w:cs="方正仿宋_GBK"/>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2023-05-25T01:15:00Z</dcterms:created>
  <dc:creator>hp</dc:creator>
  <cp:lastModifiedBy>hp</cp:lastModifiedBy>
  <dcterms:modified xsi:type="dcterms:W3CDTF">2023-05-25T01:18:01Z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