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b w:val="0"/>
          <w:bCs w:val="0"/>
          <w:color w:val="auto"/>
          <w:sz w:val="44"/>
          <w:szCs w:val="44"/>
          <w:shd w:val="clear" w:color="auto" w:fill="FFFFFF"/>
          <w:lang w:val="en-US" w:eastAsia="zh-CN" w:bidi="ar"/>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b w:val="0"/>
          <w:bCs w:val="0"/>
          <w:color w:val="auto"/>
          <w:sz w:val="44"/>
          <w:szCs w:val="44"/>
          <w:shd w:val="clear" w:color="auto" w:fill="FFFFFF"/>
          <w:lang w:val="en-US" w:eastAsia="zh-CN" w:bidi="ar"/>
        </w:rPr>
      </w:pPr>
      <w:r>
        <w:rPr>
          <w:rFonts w:hint="eastAsia" w:ascii="方正小标宋_GBK" w:hAnsi="方正小标宋_GBK" w:eastAsia="方正小标宋_GBK" w:cs="方正小标宋_GBK"/>
          <w:b w:val="0"/>
          <w:bCs w:val="0"/>
          <w:color w:val="auto"/>
          <w:sz w:val="44"/>
          <w:szCs w:val="44"/>
          <w:shd w:val="clear" w:color="auto" w:fill="FFFFFF"/>
          <w:lang w:val="en-US" w:eastAsia="zh-CN" w:bidi="ar"/>
        </w:rPr>
        <w:t>奉节县机关事务管理服务中心</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b w:val="0"/>
          <w:bCs w:val="0"/>
          <w:i w:val="0"/>
          <w:iCs w:val="0"/>
          <w:caps w:val="0"/>
          <w:color w:val="auto"/>
          <w:spacing w:val="0"/>
          <w:kern w:val="0"/>
          <w:sz w:val="44"/>
          <w:szCs w:val="44"/>
          <w:u w:val="none"/>
          <w:shd w:val="clear" w:color="auto" w:fill="FFFFFF"/>
          <w:lang w:val="en-US" w:eastAsia="zh-CN" w:bidi="ar"/>
        </w:rPr>
      </w:pPr>
      <w:bookmarkStart w:id="0" w:name="_GoBack"/>
      <w:r>
        <w:rPr>
          <w:rFonts w:hint="eastAsia" w:ascii="方正小标宋_GBK" w:hAnsi="方正小标宋_GBK" w:eastAsia="方正小标宋_GBK" w:cs="方正小标宋_GBK"/>
          <w:b w:val="0"/>
          <w:bCs w:val="0"/>
          <w:i w:val="0"/>
          <w:iCs w:val="0"/>
          <w:caps w:val="0"/>
          <w:color w:val="auto"/>
          <w:spacing w:val="0"/>
          <w:kern w:val="0"/>
          <w:sz w:val="44"/>
          <w:szCs w:val="44"/>
          <w:u w:val="none"/>
          <w:shd w:val="clear" w:color="auto" w:fill="FFFFFF"/>
          <w:lang w:val="en-US" w:eastAsia="zh-CN" w:bidi="ar"/>
        </w:rPr>
        <w:t>2022年度整体支出预算绩效自评报告</w:t>
      </w:r>
    </w:p>
    <w:bookmarkEnd w:id="0"/>
    <w:p>
      <w:pPr>
        <w:pStyle w:val="8"/>
        <w:keepNext w:val="0"/>
        <w:keepLines w:val="0"/>
        <w:pageBreakBefore w:val="0"/>
        <w:widowControl w:val="0"/>
        <w:kinsoku/>
        <w:wordWrap/>
        <w:overflowPunct/>
        <w:topLinePunct w:val="0"/>
        <w:bidi w:val="0"/>
        <w:snapToGrid/>
        <w:spacing w:line="600" w:lineRule="exact"/>
        <w:ind w:left="0" w:firstLine="640"/>
        <w:textAlignment w:val="auto"/>
        <w:rPr>
          <w:rFonts w:hint="default"/>
          <w:lang w:val="en-US" w:eastAsia="zh-CN"/>
        </w:rPr>
      </w:pP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szCs w:val="32"/>
          <w:lang w:eastAsia="zh-CN"/>
        </w:rPr>
        <w:t>单位</w:t>
      </w:r>
      <w:r>
        <w:rPr>
          <w:rFonts w:hint="eastAsia" w:ascii="方正黑体_GBK" w:hAnsi="方正黑体_GBK" w:eastAsia="方正黑体_GBK" w:cs="方正黑体_GBK"/>
          <w:b w:val="0"/>
          <w:bCs w:val="0"/>
          <w:sz w:val="32"/>
          <w:szCs w:val="32"/>
        </w:rPr>
        <w:t>概况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（一）基本情况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年我</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预算编制范围包括</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val="en-US" w:eastAsia="zh-CN"/>
        </w:rPr>
        <w:t>县机关事务中心和县人民政府接待中心</w:t>
      </w:r>
      <w:r>
        <w:rPr>
          <w:rFonts w:hint="default" w:ascii="Times New Roman" w:hAnsi="Times New Roman" w:eastAsia="方正仿宋_GBK" w:cs="Times New Roman"/>
          <w:color w:val="auto"/>
          <w:sz w:val="32"/>
          <w:szCs w:val="32"/>
          <w:lang w:eastAsia="zh-CN"/>
        </w:rPr>
        <w:t>共计</w:t>
      </w:r>
      <w:r>
        <w:rPr>
          <w:rFonts w:hint="default" w:ascii="Times New Roman" w:hAnsi="Times New Roman" w:eastAsia="方正仿宋_GBK" w:cs="Times New Roman"/>
          <w:color w:val="auto"/>
          <w:sz w:val="32"/>
          <w:szCs w:val="32"/>
          <w:lang w:val="en-US" w:eastAsia="zh-CN"/>
        </w:rPr>
        <w:t>2个单位</w:t>
      </w:r>
      <w:r>
        <w:rPr>
          <w:rFonts w:hint="default" w:ascii="Times New Roman" w:hAnsi="Times New Roman" w:eastAsia="方正仿宋_GBK" w:cs="Times New Roman"/>
          <w:color w:val="0000FF"/>
          <w:sz w:val="32"/>
          <w:szCs w:val="32"/>
        </w:rPr>
        <w:t>。</w:t>
      </w:r>
      <w:r>
        <w:rPr>
          <w:rFonts w:hint="default" w:ascii="Times New Roman" w:hAnsi="Times New Roman" w:eastAsia="方正仿宋_GBK" w:cs="Times New Roman"/>
          <w:color w:val="auto"/>
          <w:sz w:val="32"/>
          <w:szCs w:val="32"/>
          <w:lang w:val="en-US" w:eastAsia="zh-CN"/>
        </w:rPr>
        <w:t>将县机关事务中心</w:t>
      </w:r>
      <w:r>
        <w:rPr>
          <w:rFonts w:hint="default" w:ascii="Times New Roman" w:hAnsi="Times New Roman" w:eastAsia="方正仿宋_GBK" w:cs="Times New Roman"/>
          <w:color w:val="auto"/>
          <w:sz w:val="32"/>
          <w:szCs w:val="32"/>
        </w:rPr>
        <w:t>作为一级预算单位，具体</w:t>
      </w:r>
      <w:r>
        <w:rPr>
          <w:rFonts w:hint="default" w:ascii="Times New Roman" w:hAnsi="Times New Roman" w:eastAsia="方正仿宋_GBK" w:cs="Times New Roman"/>
          <w:color w:val="auto"/>
          <w:sz w:val="32"/>
          <w:szCs w:val="32"/>
          <w:lang w:val="en-US" w:eastAsia="zh-CN"/>
        </w:rPr>
        <w:t>包括县机关事务中心和县人民政府接待中心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rPr>
        <w:t>我单位</w:t>
      </w:r>
      <w:r>
        <w:rPr>
          <w:rFonts w:hint="default" w:ascii="Times New Roman" w:hAnsi="Times New Roman" w:eastAsia="方正仿宋_GBK" w:cs="Times New Roman"/>
          <w:color w:val="auto"/>
          <w:sz w:val="32"/>
          <w:szCs w:val="32"/>
          <w:lang w:eastAsia="zh-CN"/>
        </w:rPr>
        <w:t>核定</w:t>
      </w:r>
      <w:r>
        <w:rPr>
          <w:rFonts w:hint="default" w:ascii="Times New Roman" w:hAnsi="Times New Roman" w:eastAsia="方正仿宋_GBK" w:cs="Times New Roman"/>
          <w:color w:val="auto"/>
          <w:sz w:val="32"/>
          <w:szCs w:val="32"/>
        </w:rPr>
        <w:t>人员编制数为</w:t>
      </w:r>
      <w:r>
        <w:rPr>
          <w:rFonts w:hint="default" w:ascii="Times New Roman" w:hAnsi="Times New Roman" w:eastAsia="方正仿宋_GBK" w:cs="Times New Roman"/>
          <w:color w:val="auto"/>
          <w:sz w:val="32"/>
          <w:szCs w:val="32"/>
          <w:lang w:val="en-US" w:eastAsia="zh-CN"/>
        </w:rPr>
        <w:t>16</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（其中</w:t>
      </w:r>
      <w:r>
        <w:rPr>
          <w:rFonts w:hint="default" w:ascii="Times New Roman" w:hAnsi="Times New Roman" w:eastAsia="方正仿宋_GBK" w:cs="Times New Roman"/>
          <w:color w:val="auto"/>
          <w:sz w:val="32"/>
          <w:szCs w:val="32"/>
          <w:lang w:val="en-US" w:eastAsia="zh-CN"/>
        </w:rPr>
        <w:t>参公事业</w:t>
      </w:r>
      <w:r>
        <w:rPr>
          <w:rFonts w:hint="default" w:ascii="Times New Roman" w:hAnsi="Times New Roman" w:eastAsia="方正仿宋_GBK" w:cs="Times New Roman"/>
          <w:color w:val="auto"/>
          <w:sz w:val="32"/>
          <w:szCs w:val="32"/>
          <w:lang w:eastAsia="zh-CN"/>
        </w:rPr>
        <w:t>编制</w:t>
      </w:r>
      <w:r>
        <w:rPr>
          <w:rFonts w:hint="default" w:ascii="Times New Roman" w:hAnsi="Times New Roman" w:eastAsia="方正仿宋_GBK" w:cs="Times New Roman"/>
          <w:color w:val="auto"/>
          <w:sz w:val="32"/>
          <w:szCs w:val="32"/>
          <w:lang w:val="en-US" w:eastAsia="zh-CN"/>
        </w:rPr>
        <w:t>6人，事业编制10人）</w:t>
      </w:r>
      <w:r>
        <w:rPr>
          <w:rFonts w:hint="default" w:ascii="Times New Roman" w:hAnsi="Times New Roman" w:eastAsia="方正仿宋_GBK" w:cs="Times New Roman"/>
          <w:color w:val="auto"/>
          <w:sz w:val="32"/>
          <w:szCs w:val="32"/>
        </w:rPr>
        <w:t>，实际在职在岗</w:t>
      </w:r>
      <w:r>
        <w:rPr>
          <w:rFonts w:hint="default"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遗属补助</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人。公务用车编制数</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台，实际</w:t>
      </w:r>
      <w:r>
        <w:rPr>
          <w:rFonts w:hint="default" w:ascii="Times New Roman" w:hAnsi="Times New Roman" w:eastAsia="方正仿宋_GBK" w:cs="Times New Roman"/>
          <w:color w:val="auto"/>
          <w:sz w:val="32"/>
          <w:szCs w:val="32"/>
          <w:lang w:val="en-US" w:eastAsia="zh-CN"/>
        </w:rPr>
        <w:t>14</w:t>
      </w:r>
      <w:r>
        <w:rPr>
          <w:rFonts w:hint="default" w:ascii="Times New Roman" w:hAnsi="Times New Roman" w:eastAsia="方正仿宋_GBK" w:cs="Times New Roman"/>
          <w:color w:val="auto"/>
          <w:sz w:val="32"/>
          <w:szCs w:val="32"/>
        </w:rPr>
        <w:t>台。房屋</w:t>
      </w:r>
      <w:r>
        <w:rPr>
          <w:rFonts w:hint="default" w:ascii="Times New Roman" w:hAnsi="Times New Roman" w:eastAsia="方正仿宋_GBK" w:cs="Times New Roman"/>
          <w:color w:val="auto"/>
          <w:sz w:val="32"/>
          <w:szCs w:val="32"/>
          <w:lang w:eastAsia="zh-CN"/>
        </w:rPr>
        <w:t>建筑</w:t>
      </w:r>
      <w:r>
        <w:rPr>
          <w:rFonts w:hint="default" w:ascii="Times New Roman" w:hAnsi="Times New Roman" w:eastAsia="方正仿宋_GBK" w:cs="Times New Roman"/>
          <w:color w:val="auto"/>
          <w:sz w:val="32"/>
          <w:szCs w:val="32"/>
        </w:rPr>
        <w:t>面积</w:t>
      </w:r>
      <w:r>
        <w:rPr>
          <w:rFonts w:hint="default" w:ascii="Times New Roman" w:hAnsi="Times New Roman" w:eastAsia="方正仿宋_GBK" w:cs="Times New Roman"/>
          <w:color w:val="auto"/>
          <w:sz w:val="32"/>
          <w:szCs w:val="32"/>
          <w:lang w:val="en-US" w:eastAsia="zh-CN"/>
        </w:rPr>
        <w:t>285.58</w:t>
      </w:r>
      <w:r>
        <w:rPr>
          <w:rFonts w:hint="default" w:ascii="Times New Roman" w:hAnsi="Times New Roman" w:eastAsia="方正仿宋_GBK" w:cs="Times New Roman"/>
          <w:color w:val="auto"/>
          <w:sz w:val="32"/>
          <w:szCs w:val="32"/>
        </w:rPr>
        <w:t>平方米</w:t>
      </w:r>
      <w:r>
        <w:rPr>
          <w:rFonts w:hint="default" w:ascii="Times New Roman" w:hAnsi="Times New Roman" w:eastAsia="方正仿宋_GBK" w:cs="Times New Roman"/>
          <w:color w:val="auto"/>
          <w:sz w:val="32"/>
          <w:szCs w:val="32"/>
          <w:lang w:eastAsia="zh-CN"/>
        </w:rPr>
        <w:t>，使用面积</w:t>
      </w:r>
      <w:r>
        <w:rPr>
          <w:rFonts w:hint="default" w:ascii="Times New Roman" w:hAnsi="Times New Roman" w:eastAsia="方正仿宋_GBK" w:cs="Times New Roman"/>
          <w:color w:val="auto"/>
          <w:sz w:val="32"/>
          <w:szCs w:val="32"/>
          <w:lang w:val="en-US" w:eastAsia="zh-CN"/>
        </w:rPr>
        <w:t>192平</w:t>
      </w:r>
      <w:r>
        <w:rPr>
          <w:rFonts w:hint="default" w:ascii="Times New Roman" w:hAnsi="Times New Roman" w:eastAsia="方正仿宋_GBK" w:cs="Times New Roman"/>
          <w:sz w:val="32"/>
          <w:szCs w:val="32"/>
          <w:lang w:val="en-US" w:eastAsia="zh-CN"/>
        </w:rPr>
        <w:t>方米</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bidi w:val="0"/>
        <w:snapToGrid/>
        <w:spacing w:line="600" w:lineRule="exact"/>
        <w:ind w:left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）基本职责</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31"/>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贯彻执行中央和市级有关机关行政事务管理的方针、政策，研究拟定县级机关行政事务管理的工作计划和规定，并组织实施；</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31"/>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负责全县重要政务以及县委、人大、政府、政协领导公务接待工作；负责全县重要会议、大型活动的筹备和服务工作；</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31"/>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负责县级公共机构节能监督管理工作；组织开展节能规划、能耗统计、监测、审计和评价考核工作；指导、协调、监督各单位公共机构节能工作；</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31"/>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负责县级机关公务用车的计划、配备、购置、更新、处置的审核及上报事项；负责县级机关公务车辆的牌证管理和政务用车紧急调度工作；负责全县未保留公务用车单位的部分用车保障工作；</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31"/>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负责县级机关的非经营性国有资产产权界定、清查登记、监督管理工作；负责县级机关办公用房的基建、投资、建设改造和使用调配工作；</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31"/>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组织开展全县各级政府机关后勤工作的业务交流、行业活动，推进全县机关后勤工作规范、有序地发展；</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承办县委、县人大、县政府、县政协交办的其他事项。</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（三）年度主要工作概述</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完成全县重要公务接待、全县重要会议、大型活动的筹备和服务工作；完成全县党政机关公务用车制度改革后未保留公务用车单位的部分用车保障工作；完成集中办公区的后勤保障工作；组织开展节能规划、能耗统计、监测、审计和评价考核工作；完成县级机关的非经营性国有资产的管理工作；完成周转房管理和服务工作。</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（四）绩效目标</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整体支出绩效目标申报及年中追加支出绩效目标情况：年初预算下达了整体支出绩效目标，由于年中追加了预算，对整体支出绩效目标进行了调整，我单位根据调整后的整体支出绩效目标开展了自评。</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（五）年度预决算</w:t>
      </w:r>
      <w:r>
        <w:rPr>
          <w:rFonts w:hint="eastAsia" w:ascii="方正楷体_GBK" w:hAnsi="方正楷体_GBK" w:eastAsia="方正楷体_GBK" w:cs="方正楷体_GBK"/>
          <w:sz w:val="32"/>
          <w:szCs w:val="32"/>
        </w:rPr>
        <w:t>情况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我单位</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初</w:t>
      </w:r>
      <w:r>
        <w:rPr>
          <w:rFonts w:hint="default" w:ascii="Times New Roman" w:hAnsi="Times New Roman" w:eastAsia="方正仿宋_GBK" w:cs="Times New Roman"/>
          <w:sz w:val="32"/>
          <w:szCs w:val="32"/>
        </w:rPr>
        <w:t>预算总</w:t>
      </w:r>
      <w:r>
        <w:rPr>
          <w:rFonts w:hint="default" w:ascii="Times New Roman" w:hAnsi="Times New Roman" w:eastAsia="方正仿宋_GBK" w:cs="Times New Roman"/>
          <w:sz w:val="32"/>
          <w:szCs w:val="32"/>
          <w:lang w:eastAsia="zh-CN"/>
        </w:rPr>
        <w:t>收入为</w:t>
      </w:r>
      <w:r>
        <w:rPr>
          <w:rFonts w:hint="default" w:ascii="Times New Roman" w:hAnsi="Times New Roman" w:eastAsia="方正仿宋_GBK" w:cs="Times New Roman"/>
          <w:sz w:val="32"/>
          <w:szCs w:val="32"/>
          <w:lang w:val="en-US" w:eastAsia="zh-CN"/>
        </w:rPr>
        <w:t>1370.47万元，年中追加收入434.23万元，全年总收入为1804.70万元；全年总</w:t>
      </w:r>
      <w:r>
        <w:rPr>
          <w:rFonts w:hint="default" w:ascii="Times New Roman" w:hAnsi="Times New Roman" w:eastAsia="方正仿宋_GBK" w:cs="Times New Roman"/>
          <w:sz w:val="32"/>
          <w:szCs w:val="32"/>
        </w:rPr>
        <w:t>支出为</w:t>
      </w:r>
      <w:r>
        <w:rPr>
          <w:rFonts w:hint="default" w:ascii="Times New Roman" w:hAnsi="Times New Roman" w:eastAsia="方正仿宋_GBK" w:cs="Times New Roman"/>
          <w:sz w:val="32"/>
          <w:szCs w:val="32"/>
          <w:lang w:val="en-US" w:eastAsia="zh-CN"/>
        </w:rPr>
        <w:t>1804.70</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基本支出</w:t>
      </w:r>
      <w:r>
        <w:rPr>
          <w:rFonts w:hint="default" w:ascii="Times New Roman" w:hAnsi="Times New Roman" w:eastAsia="方正仿宋_GBK" w:cs="Times New Roman"/>
          <w:sz w:val="32"/>
          <w:szCs w:val="32"/>
          <w:lang w:val="en-US" w:eastAsia="zh-CN"/>
        </w:rPr>
        <w:t>353.20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工资福利支出</w:t>
      </w:r>
      <w:r>
        <w:rPr>
          <w:rFonts w:hint="default" w:ascii="Times New Roman" w:hAnsi="Times New Roman" w:eastAsia="方正仿宋_GBK" w:cs="Times New Roman"/>
          <w:sz w:val="32"/>
          <w:szCs w:val="32"/>
          <w:lang w:val="en-US" w:eastAsia="zh-CN"/>
        </w:rPr>
        <w:t>233.41</w:t>
      </w:r>
      <w:r>
        <w:rPr>
          <w:rFonts w:hint="default" w:ascii="Times New Roman" w:hAnsi="Times New Roman" w:eastAsia="方正仿宋_GBK" w:cs="Times New Roman"/>
          <w:sz w:val="32"/>
          <w:szCs w:val="32"/>
        </w:rPr>
        <w:t>万元、商品和服务支出</w:t>
      </w:r>
      <w:r>
        <w:rPr>
          <w:rFonts w:hint="default" w:ascii="Times New Roman" w:hAnsi="Times New Roman" w:eastAsia="方正仿宋_GBK" w:cs="Times New Roman"/>
          <w:sz w:val="32"/>
          <w:szCs w:val="32"/>
          <w:lang w:val="en-US" w:eastAsia="zh-CN"/>
        </w:rPr>
        <w:t>119.79</w:t>
      </w:r>
      <w:r>
        <w:rPr>
          <w:rFonts w:hint="default" w:ascii="Times New Roman" w:hAnsi="Times New Roman" w:eastAsia="方正仿宋_GBK" w:cs="Times New Roman"/>
          <w:sz w:val="32"/>
          <w:szCs w:val="32"/>
        </w:rPr>
        <w:t>万元、对个人和家庭的补助</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），项目支出</w:t>
      </w:r>
      <w:r>
        <w:rPr>
          <w:rFonts w:hint="default" w:ascii="Times New Roman" w:hAnsi="Times New Roman" w:eastAsia="方正仿宋_GBK" w:cs="Times New Roman"/>
          <w:sz w:val="32"/>
          <w:szCs w:val="32"/>
          <w:lang w:val="en-US" w:eastAsia="zh-CN"/>
        </w:rPr>
        <w:t>1451.50万元。</w:t>
      </w:r>
    </w:p>
    <w:p>
      <w:pPr>
        <w:keepNext w:val="0"/>
        <w:keepLines w:val="0"/>
        <w:pageBreakBefore w:val="0"/>
        <w:widowControl w:val="0"/>
        <w:numPr>
          <w:ilvl w:val="0"/>
          <w:numId w:val="1"/>
        </w:numPr>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年初</w:t>
      </w:r>
      <w:r>
        <w:rPr>
          <w:rFonts w:hint="default" w:ascii="Times New Roman" w:hAnsi="Times New Roman" w:eastAsia="方正仿宋_GBK" w:cs="Times New Roman"/>
          <w:sz w:val="32"/>
          <w:szCs w:val="32"/>
        </w:rPr>
        <w:t>预算收入</w:t>
      </w:r>
      <w:r>
        <w:rPr>
          <w:rFonts w:hint="default" w:ascii="Times New Roman" w:hAnsi="Times New Roman" w:eastAsia="方正仿宋_GBK" w:cs="Times New Roman"/>
          <w:sz w:val="32"/>
          <w:szCs w:val="32"/>
          <w:lang w:val="en-US" w:eastAsia="zh-CN"/>
        </w:rPr>
        <w:t>1370.47</w:t>
      </w:r>
      <w:r>
        <w:rPr>
          <w:rFonts w:hint="default" w:ascii="Times New Roman" w:hAnsi="Times New Roman" w:eastAsia="方正仿宋_GBK" w:cs="Times New Roman"/>
          <w:sz w:val="32"/>
          <w:szCs w:val="32"/>
        </w:rPr>
        <w:t>万元，其中：财政拨款收入年初预算</w:t>
      </w:r>
      <w:r>
        <w:rPr>
          <w:rFonts w:hint="default" w:ascii="Times New Roman" w:hAnsi="Times New Roman" w:eastAsia="方正仿宋_GBK" w:cs="Times New Roman"/>
          <w:sz w:val="32"/>
          <w:szCs w:val="32"/>
          <w:lang w:val="en-US" w:eastAsia="zh-CN"/>
        </w:rPr>
        <w:t>1370.47</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（一般公共预算收入</w:t>
      </w:r>
      <w:r>
        <w:rPr>
          <w:rFonts w:hint="default" w:ascii="Times New Roman" w:hAnsi="Times New Roman" w:eastAsia="方正仿宋_GBK" w:cs="Times New Roman"/>
          <w:sz w:val="32"/>
          <w:szCs w:val="32"/>
          <w:lang w:val="en-US" w:eastAsia="zh-CN"/>
        </w:rPr>
        <w:t>1370.47万元，政府基金预算收入0万元，国有资本经营收入预算0万元，社保基金预算收入0万元，其他收入0万元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lang w:eastAsia="zh-CN"/>
        </w:rPr>
        <w:t>年中</w:t>
      </w:r>
      <w:r>
        <w:rPr>
          <w:rFonts w:hint="default" w:ascii="Times New Roman" w:hAnsi="Times New Roman" w:eastAsia="方正仿宋_GBK" w:cs="Times New Roman"/>
          <w:sz w:val="32"/>
          <w:szCs w:val="32"/>
          <w:lang w:eastAsia="zh-CN"/>
        </w:rPr>
        <w:t>追加</w:t>
      </w:r>
      <w:r>
        <w:rPr>
          <w:rFonts w:hint="default" w:ascii="Times New Roman" w:hAnsi="Times New Roman" w:eastAsia="方正仿宋_GBK" w:cs="Times New Roman"/>
          <w:sz w:val="32"/>
          <w:szCs w:val="32"/>
        </w:rPr>
        <w:t>专项资金</w:t>
      </w:r>
      <w:r>
        <w:rPr>
          <w:rFonts w:hint="default" w:ascii="Times New Roman" w:hAnsi="Times New Roman" w:eastAsia="方正仿宋_GBK" w:cs="Times New Roman"/>
          <w:sz w:val="32"/>
          <w:szCs w:val="32"/>
          <w:lang w:val="en-US" w:eastAsia="zh-CN"/>
        </w:rPr>
        <w:t>451.50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（一般公共预算收入</w:t>
      </w:r>
      <w:r>
        <w:rPr>
          <w:rFonts w:hint="default" w:ascii="Times New Roman" w:hAnsi="Times New Roman" w:eastAsia="方正仿宋_GBK" w:cs="Times New Roman"/>
          <w:sz w:val="32"/>
          <w:szCs w:val="32"/>
          <w:lang w:val="en-US" w:eastAsia="zh-CN"/>
        </w:rPr>
        <w:t>451.50万元，政府基金预算收入0万元，国有资本经营收入预算0万元，社保基金预算收入0万元，其他收入0万元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人员调动结算追减</w:t>
      </w:r>
      <w:r>
        <w:rPr>
          <w:rFonts w:hint="eastAsia" w:ascii="Times New Roman" w:hAnsi="Times New Roman" w:cs="Times New Roman"/>
          <w:sz w:val="32"/>
          <w:szCs w:val="32"/>
          <w:lang w:val="en-US" w:eastAsia="zh-CN"/>
        </w:rPr>
        <w:t>基本支出</w:t>
      </w:r>
      <w:r>
        <w:rPr>
          <w:rFonts w:hint="default" w:ascii="Times New Roman" w:hAnsi="Times New Roman" w:eastAsia="方正仿宋_GBK" w:cs="Times New Roman"/>
          <w:sz w:val="32"/>
          <w:szCs w:val="32"/>
          <w:lang w:val="en-US" w:eastAsia="zh-CN"/>
        </w:rPr>
        <w:t>17.27万元，</w:t>
      </w:r>
      <w:r>
        <w:rPr>
          <w:rFonts w:hint="default" w:ascii="Times New Roman" w:hAnsi="Times New Roman" w:eastAsia="方正仿宋_GBK" w:cs="Times New Roman"/>
          <w:sz w:val="32"/>
          <w:szCs w:val="32"/>
          <w:lang w:eastAsia="zh-CN"/>
        </w:rPr>
        <w:t>共计收入</w:t>
      </w:r>
      <w:r>
        <w:rPr>
          <w:rFonts w:hint="default" w:ascii="Times New Roman" w:hAnsi="Times New Roman" w:eastAsia="方正仿宋_GBK" w:cs="Times New Roman"/>
          <w:sz w:val="32"/>
          <w:szCs w:val="32"/>
          <w:lang w:val="en-US" w:eastAsia="zh-CN"/>
        </w:rPr>
        <w:t>1804.70万元</w:t>
      </w:r>
      <w:r>
        <w:rPr>
          <w:rFonts w:hint="default"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bidi w:val="0"/>
        <w:snapToGrid/>
        <w:spacing w:line="600" w:lineRule="exact"/>
        <w:ind w:left="0" w:leftChars="0" w:firstLine="632"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bCs/>
          <w:sz w:val="32"/>
          <w:szCs w:val="32"/>
          <w:lang w:eastAsia="zh-CN"/>
        </w:rPr>
        <w:t>年初</w:t>
      </w:r>
      <w:r>
        <w:rPr>
          <w:rFonts w:hint="default" w:ascii="Times New Roman" w:hAnsi="Times New Roman" w:eastAsia="方正仿宋_GBK" w:cs="Times New Roman"/>
          <w:sz w:val="32"/>
          <w:szCs w:val="32"/>
        </w:rPr>
        <w:t>预算支出</w:t>
      </w:r>
      <w:r>
        <w:rPr>
          <w:rFonts w:hint="default" w:ascii="Times New Roman" w:hAnsi="Times New Roman" w:eastAsia="方正仿宋_GBK" w:cs="Times New Roman"/>
          <w:sz w:val="32"/>
          <w:szCs w:val="32"/>
          <w:lang w:val="en-US" w:eastAsia="zh-CN"/>
        </w:rPr>
        <w:t>1370.47</w:t>
      </w:r>
      <w:r>
        <w:rPr>
          <w:rFonts w:hint="default" w:ascii="Times New Roman" w:hAnsi="Times New Roman" w:eastAsia="方正仿宋_GBK" w:cs="Times New Roman"/>
          <w:sz w:val="32"/>
          <w:szCs w:val="32"/>
        </w:rPr>
        <w:t>万元，基本支出</w:t>
      </w:r>
      <w:r>
        <w:rPr>
          <w:rFonts w:hint="default" w:ascii="Times New Roman" w:hAnsi="Times New Roman" w:eastAsia="方正仿宋_GBK" w:cs="Times New Roman"/>
          <w:sz w:val="32"/>
          <w:szCs w:val="32"/>
          <w:lang w:val="en-US" w:eastAsia="zh-CN"/>
        </w:rPr>
        <w:t>370.47</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rPr>
        <w:t>工资福利支出</w:t>
      </w:r>
      <w:r>
        <w:rPr>
          <w:rFonts w:hint="default" w:ascii="Times New Roman" w:hAnsi="Times New Roman" w:eastAsia="方正仿宋_GBK" w:cs="Times New Roman"/>
          <w:sz w:val="32"/>
          <w:szCs w:val="32"/>
          <w:lang w:val="en-US" w:eastAsia="zh-CN"/>
        </w:rPr>
        <w:t>232.81</w:t>
      </w:r>
      <w:r>
        <w:rPr>
          <w:rFonts w:hint="default" w:ascii="Times New Roman" w:hAnsi="Times New Roman" w:eastAsia="方正仿宋_GBK" w:cs="Times New Roman"/>
          <w:sz w:val="32"/>
          <w:szCs w:val="32"/>
        </w:rPr>
        <w:t>万元、商品和服务支出</w:t>
      </w:r>
      <w:r>
        <w:rPr>
          <w:rFonts w:hint="default" w:ascii="Times New Roman" w:hAnsi="Times New Roman" w:eastAsia="方正仿宋_GBK" w:cs="Times New Roman"/>
          <w:sz w:val="32"/>
          <w:szCs w:val="32"/>
          <w:lang w:val="en-US" w:eastAsia="zh-CN"/>
        </w:rPr>
        <w:t>137.66</w:t>
      </w:r>
      <w:r>
        <w:rPr>
          <w:rFonts w:hint="default" w:ascii="Times New Roman" w:hAnsi="Times New Roman" w:eastAsia="方正仿宋_GBK" w:cs="Times New Roman"/>
          <w:sz w:val="32"/>
          <w:szCs w:val="32"/>
        </w:rPr>
        <w:t>万元、对个人和家庭的补助</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val="en-US" w:eastAsia="zh-CN"/>
        </w:rPr>
        <w:t>1000万元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lang w:eastAsia="zh-CN"/>
        </w:rPr>
        <w:t>年中</w:t>
      </w:r>
      <w:r>
        <w:rPr>
          <w:rFonts w:hint="default" w:ascii="Times New Roman" w:hAnsi="Times New Roman" w:eastAsia="方正仿宋_GBK" w:cs="Times New Roman"/>
          <w:sz w:val="32"/>
          <w:szCs w:val="32"/>
          <w:lang w:eastAsia="zh-CN"/>
        </w:rPr>
        <w:t>追加</w:t>
      </w:r>
      <w:r>
        <w:rPr>
          <w:rFonts w:hint="default" w:ascii="Times New Roman" w:hAnsi="Times New Roman" w:eastAsia="方正仿宋_GBK" w:cs="Times New Roman"/>
          <w:color w:val="auto"/>
          <w:sz w:val="32"/>
          <w:szCs w:val="32"/>
          <w:lang w:val="en-US" w:eastAsia="zh-CN"/>
        </w:rPr>
        <w:t>（</w:t>
      </w:r>
      <w:r>
        <w:rPr>
          <w:rFonts w:hint="eastAsia"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个项目）</w:t>
      </w:r>
      <w:r>
        <w:rPr>
          <w:rFonts w:hint="default" w:ascii="Times New Roman" w:hAnsi="Times New Roman" w:eastAsia="方正仿宋_GBK" w:cs="Times New Roman"/>
          <w:color w:val="auto"/>
          <w:sz w:val="32"/>
          <w:szCs w:val="32"/>
          <w:lang w:eastAsia="zh-CN"/>
        </w:rPr>
        <w:t>专</w:t>
      </w:r>
      <w:r>
        <w:rPr>
          <w:rFonts w:hint="default" w:ascii="Times New Roman" w:hAnsi="Times New Roman" w:eastAsia="方正仿宋_GBK" w:cs="Times New Roman"/>
          <w:sz w:val="32"/>
          <w:szCs w:val="32"/>
          <w:lang w:eastAsia="zh-CN"/>
        </w:rPr>
        <w:t>项支出</w:t>
      </w:r>
      <w:r>
        <w:rPr>
          <w:rFonts w:hint="default" w:ascii="Times New Roman" w:hAnsi="Times New Roman" w:eastAsia="方正仿宋_GBK" w:cs="Times New Roman"/>
          <w:sz w:val="32"/>
          <w:szCs w:val="32"/>
          <w:lang w:val="en-US" w:eastAsia="zh-CN"/>
        </w:rPr>
        <w:t>451.5万元，人员调动结算追减</w:t>
      </w:r>
      <w:r>
        <w:rPr>
          <w:rFonts w:hint="eastAsia" w:ascii="Times New Roman" w:hAnsi="Times New Roman" w:cs="Times New Roman"/>
          <w:sz w:val="32"/>
          <w:szCs w:val="32"/>
          <w:lang w:val="en-US" w:eastAsia="zh-CN"/>
        </w:rPr>
        <w:t>基本支出</w:t>
      </w:r>
      <w:r>
        <w:rPr>
          <w:rFonts w:hint="default" w:ascii="Times New Roman" w:hAnsi="Times New Roman" w:eastAsia="方正仿宋_GBK" w:cs="Times New Roman"/>
          <w:sz w:val="32"/>
          <w:szCs w:val="32"/>
          <w:lang w:val="en-US" w:eastAsia="zh-CN"/>
        </w:rPr>
        <w:t>17.27万元，共计支出为1804.70万元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二、整体支出管理及使用情况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基本支出：</w:t>
      </w:r>
      <w:r>
        <w:rPr>
          <w:rFonts w:hint="default" w:ascii="Times New Roman" w:hAnsi="Times New Roman" w:cs="Times New Roman"/>
          <w:sz w:val="32"/>
          <w:szCs w:val="32"/>
          <w:lang w:val="en-US" w:eastAsia="zh-CN"/>
        </w:rPr>
        <w:t>2022</w:t>
      </w:r>
      <w:r>
        <w:rPr>
          <w:rFonts w:hint="default" w:ascii="Times New Roman" w:hAnsi="Times New Roman" w:eastAsia="方正仿宋_GBK" w:cs="Times New Roman"/>
          <w:sz w:val="32"/>
          <w:szCs w:val="32"/>
        </w:rPr>
        <w:t>年度我</w:t>
      </w:r>
      <w:r>
        <w:rPr>
          <w:rFonts w:hint="default" w:ascii="Times New Roman" w:hAnsi="Times New Roman" w:cs="Times New Roman"/>
          <w:sz w:val="32"/>
          <w:szCs w:val="32"/>
          <w:lang w:val="en-US" w:eastAsia="zh-CN"/>
        </w:rPr>
        <w:t>单位</w:t>
      </w:r>
      <w:r>
        <w:rPr>
          <w:rFonts w:hint="default" w:ascii="Times New Roman" w:hAnsi="Times New Roman" w:eastAsia="方正仿宋_GBK" w:cs="Times New Roman"/>
          <w:sz w:val="32"/>
          <w:szCs w:val="32"/>
        </w:rPr>
        <w:t>基本支出</w:t>
      </w:r>
      <w:r>
        <w:rPr>
          <w:rFonts w:hint="default" w:ascii="Times New Roman" w:hAnsi="Times New Roman" w:cs="Times New Roman"/>
          <w:sz w:val="32"/>
          <w:szCs w:val="32"/>
          <w:lang w:val="en-US" w:eastAsia="zh-CN"/>
        </w:rPr>
        <w:t>353.20</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人员支出</w:t>
      </w:r>
      <w:r>
        <w:rPr>
          <w:rFonts w:hint="default" w:ascii="Times New Roman" w:hAnsi="Times New Roman" w:cs="Times New Roman"/>
          <w:sz w:val="32"/>
          <w:szCs w:val="32"/>
          <w:lang w:val="en-US" w:eastAsia="zh-CN"/>
        </w:rPr>
        <w:t>233.41</w:t>
      </w:r>
      <w:r>
        <w:rPr>
          <w:rFonts w:hint="default" w:ascii="Times New Roman" w:hAnsi="Times New Roman" w:eastAsia="方正仿宋_GBK" w:cs="Times New Roman"/>
          <w:sz w:val="32"/>
          <w:szCs w:val="32"/>
        </w:rPr>
        <w:t>万元，公用支出</w:t>
      </w:r>
      <w:r>
        <w:rPr>
          <w:rFonts w:hint="default" w:ascii="Times New Roman" w:hAnsi="Times New Roman" w:cs="Times New Roman"/>
          <w:sz w:val="32"/>
          <w:szCs w:val="32"/>
          <w:lang w:val="en-US" w:eastAsia="zh-CN"/>
        </w:rPr>
        <w:t>119.79</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2022</w:t>
      </w:r>
      <w:r>
        <w:rPr>
          <w:rFonts w:hint="default" w:ascii="Times New Roman" w:hAnsi="Times New Roman" w:eastAsia="方正仿宋_GBK" w:cs="Times New Roman"/>
          <w:sz w:val="32"/>
          <w:szCs w:val="32"/>
        </w:rPr>
        <w:t>年三公经费支出</w:t>
      </w:r>
      <w:r>
        <w:rPr>
          <w:rFonts w:hint="default" w:ascii="Times New Roman" w:hAnsi="Times New Roman" w:cs="Times New Roman"/>
          <w:sz w:val="32"/>
          <w:szCs w:val="32"/>
          <w:lang w:val="en-US" w:eastAsia="zh-CN"/>
        </w:rPr>
        <w:t>209.36</w:t>
      </w:r>
      <w:r>
        <w:rPr>
          <w:rFonts w:hint="default" w:ascii="Times New Roman" w:hAnsi="Times New Roman" w:eastAsia="方正仿宋_GBK" w:cs="Times New Roman"/>
          <w:sz w:val="32"/>
          <w:szCs w:val="32"/>
        </w:rPr>
        <w:t>万元（预算为</w:t>
      </w:r>
      <w:r>
        <w:rPr>
          <w:rFonts w:hint="default" w:ascii="Times New Roman" w:hAnsi="Times New Roman" w:cs="Times New Roman"/>
          <w:sz w:val="32"/>
          <w:szCs w:val="32"/>
          <w:lang w:val="en-US" w:eastAsia="zh-CN"/>
        </w:rPr>
        <w:t>169.80</w:t>
      </w:r>
      <w:r>
        <w:rPr>
          <w:rFonts w:hint="default" w:ascii="Times New Roman" w:hAnsi="Times New Roman" w:eastAsia="方正仿宋_GBK" w:cs="Times New Roman"/>
          <w:sz w:val="32"/>
          <w:szCs w:val="32"/>
        </w:rPr>
        <w:t>万元），同比去年减少</w:t>
      </w:r>
      <w:r>
        <w:rPr>
          <w:rFonts w:hint="default" w:ascii="Times New Roman" w:hAnsi="Times New Roman" w:cs="Times New Roman"/>
          <w:sz w:val="32"/>
          <w:szCs w:val="32"/>
          <w:lang w:val="en-US" w:eastAsia="zh-CN"/>
        </w:rPr>
        <w:t>34.56</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公务接待费</w:t>
      </w:r>
      <w:r>
        <w:rPr>
          <w:rFonts w:hint="default" w:ascii="Times New Roman" w:hAnsi="Times New Roman" w:cs="Times New Roman"/>
          <w:sz w:val="32"/>
          <w:szCs w:val="32"/>
          <w:lang w:val="en-US" w:eastAsia="zh-CN"/>
        </w:rPr>
        <w:t>152.27</w:t>
      </w:r>
      <w:r>
        <w:rPr>
          <w:rFonts w:hint="default" w:ascii="Times New Roman" w:hAnsi="Times New Roman" w:eastAsia="方正仿宋_GBK" w:cs="Times New Roman"/>
          <w:sz w:val="32"/>
          <w:szCs w:val="32"/>
        </w:rPr>
        <w:t>万元（预算为</w:t>
      </w:r>
      <w:r>
        <w:rPr>
          <w:rFonts w:hint="default" w:ascii="Times New Roman" w:hAnsi="Times New Roman" w:cs="Times New Roman"/>
          <w:sz w:val="32"/>
          <w:szCs w:val="32"/>
          <w:lang w:val="en-US" w:eastAsia="zh-CN"/>
        </w:rPr>
        <w:t>85.80</w:t>
      </w:r>
      <w:r>
        <w:rPr>
          <w:rFonts w:hint="default" w:ascii="Times New Roman" w:hAnsi="Times New Roman" w:eastAsia="方正仿宋_GBK" w:cs="Times New Roman"/>
          <w:sz w:val="32"/>
          <w:szCs w:val="32"/>
        </w:rPr>
        <w:t>万元），同比去年减少</w:t>
      </w:r>
      <w:r>
        <w:rPr>
          <w:rFonts w:hint="default" w:ascii="Times New Roman" w:hAnsi="Times New Roman" w:cs="Times New Roman"/>
          <w:sz w:val="32"/>
          <w:szCs w:val="32"/>
          <w:lang w:val="en-US" w:eastAsia="zh-CN"/>
        </w:rPr>
        <w:t>44.24</w:t>
      </w:r>
      <w:r>
        <w:rPr>
          <w:rFonts w:hint="default" w:ascii="Times New Roman" w:hAnsi="Times New Roman" w:eastAsia="方正仿宋_GBK" w:cs="Times New Roman"/>
          <w:sz w:val="32"/>
          <w:szCs w:val="32"/>
        </w:rPr>
        <w:t>%，公务用车运行维护费</w:t>
      </w:r>
      <w:r>
        <w:rPr>
          <w:rFonts w:hint="default" w:ascii="Times New Roman" w:hAnsi="Times New Roman" w:cs="Times New Roman"/>
          <w:sz w:val="32"/>
          <w:szCs w:val="32"/>
          <w:lang w:val="en-US" w:eastAsia="zh-CN"/>
        </w:rPr>
        <w:t>57.08</w:t>
      </w:r>
      <w:r>
        <w:rPr>
          <w:rFonts w:hint="default" w:ascii="Times New Roman" w:hAnsi="Times New Roman" w:eastAsia="方正仿宋_GBK" w:cs="Times New Roman"/>
          <w:sz w:val="32"/>
          <w:szCs w:val="32"/>
        </w:rPr>
        <w:t>万元（预算为</w:t>
      </w:r>
      <w:r>
        <w:rPr>
          <w:rFonts w:hint="default" w:ascii="Times New Roman" w:hAnsi="Times New Roman" w:cs="Times New Roman"/>
          <w:sz w:val="32"/>
          <w:szCs w:val="32"/>
          <w:lang w:val="en-US" w:eastAsia="zh-CN"/>
        </w:rPr>
        <w:t>84.00</w:t>
      </w:r>
      <w:r>
        <w:rPr>
          <w:rFonts w:hint="default" w:ascii="Times New Roman" w:hAnsi="Times New Roman" w:eastAsia="方正仿宋_GBK" w:cs="Times New Roman"/>
          <w:sz w:val="32"/>
          <w:szCs w:val="32"/>
        </w:rPr>
        <w:t>万元），同比上年增加</w:t>
      </w:r>
      <w:r>
        <w:rPr>
          <w:rFonts w:hint="default" w:ascii="Times New Roman" w:hAnsi="Times New Roman" w:cs="Times New Roman"/>
          <w:sz w:val="32"/>
          <w:szCs w:val="32"/>
          <w:lang w:val="en-US" w:eastAsia="zh-CN"/>
        </w:rPr>
        <w:t>21.78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政府采购完成</w:t>
      </w:r>
      <w:r>
        <w:rPr>
          <w:rFonts w:hint="default" w:ascii="Times New Roman" w:hAnsi="Times New Roman" w:cs="Times New Roman"/>
          <w:sz w:val="32"/>
          <w:szCs w:val="32"/>
          <w:lang w:val="en-US" w:eastAsia="zh-CN"/>
        </w:rPr>
        <w:t>221.22</w:t>
      </w:r>
      <w:r>
        <w:rPr>
          <w:rFonts w:hint="default" w:ascii="Times New Roman" w:hAnsi="Times New Roman" w:eastAsia="方正仿宋_GBK" w:cs="Times New Roman"/>
          <w:sz w:val="32"/>
          <w:szCs w:val="32"/>
          <w:lang w:val="en-US" w:eastAsia="zh-CN"/>
        </w:rPr>
        <w:t>万元（预算为</w:t>
      </w:r>
      <w:r>
        <w:rPr>
          <w:rFonts w:hint="default" w:ascii="Times New Roman" w:hAnsi="Times New Roman" w:cs="Times New Roman"/>
          <w:sz w:val="32"/>
          <w:szCs w:val="32"/>
          <w:lang w:val="en-US" w:eastAsia="zh-CN"/>
        </w:rPr>
        <w:t>0</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rPr>
        <w:t>同比上年增加</w:t>
      </w:r>
      <w:r>
        <w:rPr>
          <w:rFonts w:hint="default" w:ascii="Times New Roman" w:hAnsi="Times New Roman" w:cs="Times New Roman"/>
          <w:sz w:val="32"/>
          <w:szCs w:val="32"/>
          <w:lang w:val="en-US" w:eastAsia="zh-CN"/>
        </w:rPr>
        <w:t>44.07</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项目支出：</w:t>
      </w:r>
      <w:r>
        <w:rPr>
          <w:rFonts w:hint="default" w:ascii="Times New Roman" w:hAnsi="Times New Roman" w:cs="Times New Roman"/>
          <w:sz w:val="32"/>
          <w:szCs w:val="32"/>
          <w:lang w:val="en-US" w:eastAsia="zh-CN"/>
        </w:rPr>
        <w:t>2022</w:t>
      </w:r>
      <w:r>
        <w:rPr>
          <w:rFonts w:hint="default" w:ascii="Times New Roman" w:hAnsi="Times New Roman" w:eastAsia="方正仿宋_GBK" w:cs="Times New Roman"/>
          <w:sz w:val="32"/>
          <w:szCs w:val="32"/>
        </w:rPr>
        <w:t>年财政拨款项目支出</w:t>
      </w:r>
      <w:r>
        <w:rPr>
          <w:rFonts w:hint="default" w:ascii="Times New Roman" w:hAnsi="Times New Roman" w:cs="Times New Roman"/>
          <w:sz w:val="32"/>
          <w:szCs w:val="32"/>
          <w:lang w:val="en-US" w:eastAsia="zh-CN"/>
        </w:rPr>
        <w:t>1451.50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，同比上年减少</w:t>
      </w:r>
      <w:r>
        <w:rPr>
          <w:rFonts w:hint="default" w:ascii="Times New Roman" w:hAnsi="Times New Roman" w:cs="Times New Roman"/>
          <w:sz w:val="32"/>
          <w:szCs w:val="32"/>
          <w:lang w:val="en-US" w:eastAsia="zh-CN"/>
        </w:rPr>
        <w:t>64.44</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（其中</w:t>
      </w:r>
      <w:r>
        <w:rPr>
          <w:rFonts w:hint="default" w:ascii="Times New Roman" w:hAnsi="Times New Roman" w:eastAsia="方正仿宋_GBK" w:cs="Times New Roman"/>
          <w:color w:val="auto"/>
          <w:sz w:val="32"/>
          <w:szCs w:val="32"/>
          <w:lang w:eastAsia="zh-CN"/>
        </w:rPr>
        <w:t>：</w:t>
      </w:r>
      <w:r>
        <w:rPr>
          <w:rFonts w:hint="default" w:ascii="Times New Roman" w:hAnsi="Times New Roman" w:cs="Times New Roman"/>
          <w:color w:val="auto"/>
          <w:sz w:val="32"/>
          <w:szCs w:val="32"/>
          <w:lang w:val="en-US" w:eastAsia="zh-CN"/>
        </w:rPr>
        <w:t>机关服务1407.75万元，干部教育43.75万元</w:t>
      </w:r>
      <w:r>
        <w:rPr>
          <w:rFonts w:hint="default" w:ascii="Times New Roman" w:hAnsi="Times New Roman" w:eastAsia="方正仿宋_GBK" w:cs="Times New Roman"/>
          <w:color w:val="auto"/>
          <w:sz w:val="32"/>
          <w:szCs w:val="32"/>
        </w:rPr>
        <w:t>）。 </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三、整体支出绩效情况</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财务管理制度建设情况：</w:t>
      </w:r>
      <w:r>
        <w:rPr>
          <w:rFonts w:hint="eastAsia" w:ascii="方正仿宋_GBK" w:hAnsi="方正仿宋_GBK" w:eastAsia="方正仿宋_GBK" w:cs="方正仿宋_GBK"/>
          <w:color w:val="auto"/>
          <w:sz w:val="32"/>
          <w:szCs w:val="32"/>
        </w:rPr>
        <w:t>资金拨付严格按程序申报、审批，合理合规使用资金，确保财政资金安全。</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sz w:val="32"/>
          <w:szCs w:val="32"/>
          <w:lang w:eastAsia="zh-CN"/>
        </w:rPr>
        <w:t>（二）资产管理：</w:t>
      </w:r>
      <w:r>
        <w:rPr>
          <w:rFonts w:hint="eastAsia" w:ascii="方正仿宋_GBK" w:hAnsi="方正仿宋_GBK" w:eastAsia="方正仿宋_GBK" w:cs="方正仿宋_GBK"/>
          <w:color w:val="auto"/>
          <w:sz w:val="32"/>
          <w:szCs w:val="32"/>
        </w:rPr>
        <w:t>按照要求</w:t>
      </w:r>
      <w:r>
        <w:rPr>
          <w:rFonts w:hint="eastAsia" w:ascii="方正仿宋_GBK" w:hAnsi="方正仿宋_GBK" w:eastAsia="方正仿宋_GBK" w:cs="方正仿宋_GBK"/>
          <w:color w:val="auto"/>
          <w:sz w:val="32"/>
          <w:szCs w:val="32"/>
          <w:lang w:eastAsia="zh-CN"/>
        </w:rPr>
        <w:t>及时</w:t>
      </w:r>
      <w:r>
        <w:rPr>
          <w:rFonts w:hint="eastAsia" w:ascii="方正仿宋_GBK" w:hAnsi="方正仿宋_GBK" w:eastAsia="方正仿宋_GBK" w:cs="方正仿宋_GBK"/>
          <w:color w:val="auto"/>
          <w:sz w:val="32"/>
          <w:szCs w:val="32"/>
        </w:rPr>
        <w:t>报送资产情况报表，确保各项资产核算准确、帐实相符、管理到位。</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sz w:val="32"/>
          <w:szCs w:val="32"/>
          <w:lang w:eastAsia="zh-CN"/>
        </w:rPr>
        <w:t>（三）预决算公开：</w:t>
      </w:r>
      <w:r>
        <w:rPr>
          <w:rFonts w:hint="eastAsia" w:ascii="方正仿宋_GBK" w:hAnsi="方正仿宋_GBK" w:eastAsia="方正仿宋_GBK" w:cs="方正仿宋_GBK"/>
          <w:color w:val="auto"/>
          <w:sz w:val="32"/>
          <w:szCs w:val="32"/>
        </w:rPr>
        <w:t>在县人民政府门户网站上</w:t>
      </w:r>
      <w:r>
        <w:rPr>
          <w:rFonts w:hint="eastAsia" w:ascii="方正仿宋_GBK" w:hAnsi="方正仿宋_GBK" w:eastAsia="方正仿宋_GBK" w:cs="方正仿宋_GBK"/>
          <w:color w:val="auto"/>
          <w:sz w:val="32"/>
          <w:szCs w:val="32"/>
          <w:lang w:eastAsia="zh-CN"/>
        </w:rPr>
        <w:t>按时</w:t>
      </w:r>
      <w:r>
        <w:rPr>
          <w:rFonts w:hint="eastAsia" w:ascii="方正仿宋_GBK" w:hAnsi="方正仿宋_GBK" w:eastAsia="方正仿宋_GBK" w:cs="方正仿宋_GBK"/>
          <w:color w:val="auto"/>
          <w:sz w:val="32"/>
          <w:szCs w:val="32"/>
        </w:rPr>
        <w:t>进行了预决算公开。</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eastAsia="zh-CN"/>
        </w:rPr>
        <w:t>（四）“三公经费”控制情况：</w:t>
      </w:r>
      <w:r>
        <w:rPr>
          <w:rFonts w:hint="eastAsia" w:ascii="方正仿宋_GBK" w:hAnsi="方正仿宋_GBK" w:eastAsia="方正仿宋_GBK" w:cs="方正仿宋_GBK"/>
          <w:color w:val="auto"/>
          <w:sz w:val="32"/>
          <w:szCs w:val="32"/>
        </w:rPr>
        <w:t>能严格遵守各项规章制度，严控“三公”经费支出，并及时在县人民政府门户网站上对“三公”经费情况进行公示</w:t>
      </w:r>
      <w:r>
        <w:rPr>
          <w:rFonts w:hint="eastAsia" w:ascii="方正仿宋_GBK" w:hAnsi="方正仿宋_GBK" w:cs="方正仿宋_GBK"/>
          <w:color w:val="auto"/>
          <w:sz w:val="32"/>
          <w:szCs w:val="32"/>
          <w:lang w:eastAsia="zh-CN"/>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（五）政府采购情况：</w:t>
      </w:r>
      <w:r>
        <w:rPr>
          <w:rFonts w:hint="eastAsia" w:ascii="方正仿宋_GBK" w:hAnsi="方正仿宋_GBK" w:cs="方正仿宋_GBK"/>
          <w:sz w:val="32"/>
          <w:szCs w:val="32"/>
          <w:lang w:val="en-US" w:eastAsia="zh-CN"/>
        </w:rPr>
        <w:t>严格按照政府采购目录要求进行采购，按规定流程进行采购。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3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六</w:t>
      </w:r>
      <w:r>
        <w:rPr>
          <w:rFonts w:hint="eastAsia" w:ascii="方正楷体_GBK" w:hAnsi="方正楷体_GBK" w:eastAsia="方正楷体_GBK" w:cs="方正楷体_GBK"/>
          <w:sz w:val="32"/>
          <w:szCs w:val="32"/>
          <w:lang w:eastAsia="zh-CN"/>
        </w:rPr>
        <w:t>）认真履行职责情况：</w:t>
      </w:r>
      <w:r>
        <w:rPr>
          <w:rFonts w:hint="eastAsia" w:ascii="方正仿宋_GBK" w:hAnsi="方正仿宋_GBK" w:cs="方正仿宋_GBK"/>
          <w:sz w:val="32"/>
          <w:szCs w:val="32"/>
          <w:lang w:val="en-US" w:eastAsia="zh-CN"/>
        </w:rPr>
        <w:t>根据单位职责职能，按时按质完成工作任务，认真履行职责职能。</w:t>
      </w:r>
    </w:p>
    <w:p>
      <w:pPr>
        <w:keepNext w:val="0"/>
        <w:keepLines w:val="0"/>
        <w:pageBreakBefore w:val="0"/>
        <w:widowControl w:val="0"/>
        <w:numPr>
          <w:ilvl w:val="0"/>
          <w:numId w:val="0"/>
        </w:numPr>
        <w:kinsoku/>
        <w:wordWrap/>
        <w:overflowPunct/>
        <w:topLinePunct w:val="0"/>
        <w:bidi w:val="0"/>
        <w:snapToGrid/>
        <w:spacing w:line="600" w:lineRule="exact"/>
        <w:ind w:leftChars="0" w:firstLine="632" w:firstLineChars="200"/>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lang w:val="en-US" w:eastAsia="zh-CN"/>
        </w:rPr>
        <w:t>四、</w:t>
      </w:r>
      <w:r>
        <w:rPr>
          <w:rFonts w:hint="eastAsia" w:ascii="方正黑体_GBK" w:hAnsi="方正黑体_GBK" w:eastAsia="方正黑体_GBK" w:cs="方正黑体_GBK"/>
          <w:i w:val="0"/>
          <w:iCs w:val="0"/>
          <w:caps w:val="0"/>
          <w:color w:val="000000"/>
          <w:spacing w:val="0"/>
          <w:sz w:val="32"/>
          <w:szCs w:val="32"/>
        </w:rPr>
        <w:t>评价结论</w:t>
      </w:r>
      <w:r>
        <w:rPr>
          <w:rFonts w:hint="eastAsia" w:ascii="方正黑体_GBK" w:hAnsi="方正黑体_GBK" w:eastAsia="方正黑体_GBK" w:cs="方正黑体_GBK"/>
          <w:i w:val="0"/>
          <w:iCs w:val="0"/>
          <w:caps w:val="0"/>
          <w:color w:val="000000"/>
          <w:spacing w:val="0"/>
          <w:sz w:val="32"/>
          <w:szCs w:val="32"/>
          <w:lang w:eastAsia="zh-CN"/>
        </w:rPr>
        <w:t>及分析</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000000"/>
          <w:spacing w:val="0"/>
          <w:sz w:val="32"/>
          <w:szCs w:val="32"/>
          <w:lang w:val="en-US" w:eastAsia="zh-CN"/>
        </w:rPr>
        <w:t>通过认真开展单位整体支出绩效目标自评，综合评分</w:t>
      </w:r>
      <w:r>
        <w:rPr>
          <w:rFonts w:hint="eastAsia" w:ascii="Times New Roman" w:hAnsi="Times New Roman" w:cs="Times New Roman"/>
          <w:i w:val="0"/>
          <w:iCs w:val="0"/>
          <w:caps w:val="0"/>
          <w:color w:val="000000"/>
          <w:spacing w:val="0"/>
          <w:sz w:val="32"/>
          <w:szCs w:val="32"/>
          <w:lang w:val="en-US" w:eastAsia="zh-CN"/>
        </w:rPr>
        <w:t>9</w:t>
      </w:r>
      <w:r>
        <w:rPr>
          <w:rFonts w:hint="eastAsia" w:cs="Times New Roman"/>
          <w:i w:val="0"/>
          <w:iCs w:val="0"/>
          <w:caps w:val="0"/>
          <w:color w:val="000000"/>
          <w:spacing w:val="0"/>
          <w:sz w:val="32"/>
          <w:szCs w:val="32"/>
          <w:lang w:val="en-US" w:eastAsia="zh-CN"/>
        </w:rPr>
        <w:t>5</w:t>
      </w:r>
      <w:r>
        <w:rPr>
          <w:rFonts w:hint="default" w:ascii="Times New Roman" w:hAnsi="Times New Roman" w:eastAsia="方正仿宋_GBK" w:cs="Times New Roman"/>
          <w:i w:val="0"/>
          <w:iCs w:val="0"/>
          <w:caps w:val="0"/>
          <w:color w:val="000000"/>
          <w:spacing w:val="0"/>
          <w:sz w:val="32"/>
          <w:szCs w:val="32"/>
          <w:lang w:val="en-US" w:eastAsia="zh-CN"/>
        </w:rPr>
        <w:t>分，评价结</w:t>
      </w:r>
      <w:r>
        <w:rPr>
          <w:rFonts w:hint="default" w:ascii="Times New Roman" w:hAnsi="Times New Roman" w:eastAsia="方正仿宋_GBK" w:cs="Times New Roman"/>
          <w:i w:val="0"/>
          <w:iCs w:val="0"/>
          <w:caps w:val="0"/>
          <w:color w:val="auto"/>
          <w:spacing w:val="0"/>
          <w:sz w:val="32"/>
          <w:szCs w:val="32"/>
          <w:lang w:val="en-US" w:eastAsia="zh-CN"/>
        </w:rPr>
        <w:t>果为优。</w:t>
      </w:r>
    </w:p>
    <w:p>
      <w:pPr>
        <w:keepNext w:val="0"/>
        <w:keepLines w:val="0"/>
        <w:pageBreakBefore w:val="0"/>
        <w:widowControl w:val="0"/>
        <w:numPr>
          <w:ilvl w:val="0"/>
          <w:numId w:val="0"/>
        </w:numPr>
        <w:kinsoku/>
        <w:wordWrap/>
        <w:overflowPunct/>
        <w:topLinePunct w:val="0"/>
        <w:bidi w:val="0"/>
        <w:snapToGrid/>
        <w:spacing w:line="600" w:lineRule="exact"/>
        <w:ind w:left="0" w:leftChars="0" w:firstLine="632" w:firstLineChars="200"/>
        <w:textAlignment w:val="auto"/>
        <w:rPr>
          <w:rFonts w:hint="eastAsia" w:ascii="方正楷体_GBK" w:hAnsi="方正楷体_GBK" w:eastAsia="方正楷体_GBK" w:cs="方正楷体_GBK"/>
          <w:i w:val="0"/>
          <w:iCs w:val="0"/>
          <w:caps w:val="0"/>
          <w:color w:val="000000"/>
          <w:spacing w:val="0"/>
          <w:sz w:val="32"/>
          <w:szCs w:val="32"/>
          <w:lang w:val="en-US" w:eastAsia="zh-CN"/>
        </w:rPr>
      </w:pPr>
      <w:r>
        <w:rPr>
          <w:rFonts w:hint="eastAsia" w:ascii="方正楷体_GBK" w:hAnsi="方正楷体_GBK" w:eastAsia="方正楷体_GBK" w:cs="方正楷体_GBK"/>
          <w:i w:val="0"/>
          <w:iCs w:val="0"/>
          <w:caps w:val="0"/>
          <w:color w:val="000000"/>
          <w:spacing w:val="0"/>
          <w:sz w:val="32"/>
          <w:szCs w:val="32"/>
          <w:lang w:val="en-US" w:eastAsia="zh-CN"/>
        </w:rPr>
        <w:t>（一）经济性分析</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执行绩效评价体系，从以下几个方面提升了我单位的绩效工作：</w:t>
      </w:r>
      <w:r>
        <w:rPr>
          <w:rFonts w:hint="eastAsia" w:ascii="方正仿宋_GBK" w:hAnsi="方正仿宋_GBK" w:eastAsia="方正仿宋_GBK" w:cs="方正仿宋_GBK"/>
          <w:i w:val="0"/>
          <w:iCs w:val="0"/>
          <w:caps w:val="0"/>
          <w:color w:val="auto"/>
          <w:spacing w:val="0"/>
          <w:sz w:val="32"/>
          <w:szCs w:val="32"/>
          <w:lang w:val="en-US" w:eastAsia="zh-CN"/>
        </w:rPr>
        <w:t>一是加大支出管理，严格执行公务接待、公车管理及差旅费等支出管理，坚持厉行节约，努力降低财政运行成本。二是严格预算约束做好增收节支，降低行政运行成本，严肃财经纪律，坚决反对铺张浪费。三是加强预算执行，建立健全财政资金使用管理办法，促进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楷体_GBK" w:hAnsi="方正楷体_GBK" w:eastAsia="方正楷体_GBK" w:cs="方正楷体_GBK"/>
          <w:i w:val="0"/>
          <w:iCs w:val="0"/>
          <w:caps w:val="0"/>
          <w:color w:val="000000"/>
          <w:spacing w:val="0"/>
          <w:sz w:val="32"/>
          <w:szCs w:val="32"/>
          <w:lang w:val="en-US" w:eastAsia="zh-CN"/>
        </w:rPr>
      </w:pPr>
      <w:r>
        <w:rPr>
          <w:rFonts w:hint="eastAsia" w:ascii="方正楷体_GBK" w:hAnsi="方正楷体_GBK" w:eastAsia="方正楷体_GBK" w:cs="方正楷体_GBK"/>
          <w:i w:val="0"/>
          <w:iCs w:val="0"/>
          <w:caps w:val="0"/>
          <w:color w:val="000000"/>
          <w:spacing w:val="0"/>
          <w:sz w:val="32"/>
          <w:szCs w:val="32"/>
          <w:lang w:val="en-US" w:eastAsia="zh-CN"/>
        </w:rPr>
        <w:t>（二）效率性分析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auto"/>
          <w:spacing w:val="0"/>
          <w:sz w:val="32"/>
          <w:szCs w:val="32"/>
          <w:lang w:val="en-US" w:eastAsia="zh-CN"/>
        </w:rPr>
        <w:t>2022年，我单位高质量完成年度</w:t>
      </w:r>
      <w:r>
        <w:rPr>
          <w:rFonts w:hint="eastAsia" w:ascii="Times New Roman" w:hAnsi="Times New Roman" w:cs="Times New Roman"/>
          <w:i w:val="0"/>
          <w:iCs w:val="0"/>
          <w:caps w:val="0"/>
          <w:color w:val="auto"/>
          <w:spacing w:val="0"/>
          <w:sz w:val="32"/>
          <w:szCs w:val="32"/>
          <w:lang w:val="en-US" w:eastAsia="zh-CN"/>
        </w:rPr>
        <w:t>各项</w:t>
      </w:r>
      <w:r>
        <w:rPr>
          <w:rFonts w:hint="default" w:ascii="Times New Roman" w:hAnsi="Times New Roman" w:eastAsia="方正仿宋_GBK" w:cs="Times New Roman"/>
          <w:i w:val="0"/>
          <w:iCs w:val="0"/>
          <w:caps w:val="0"/>
          <w:color w:val="auto"/>
          <w:spacing w:val="0"/>
          <w:sz w:val="32"/>
          <w:szCs w:val="32"/>
          <w:lang w:val="en-US" w:eastAsia="zh-CN"/>
        </w:rPr>
        <w:t>工作，取得了较好的成绩</w:t>
      </w:r>
      <w:r>
        <w:rPr>
          <w:rFonts w:hint="eastAsia" w:ascii="Times New Roman" w:hAnsi="Times New Roman" w:cs="Times New Roman"/>
          <w:i w:val="0"/>
          <w:iCs w:val="0"/>
          <w:caps w:val="0"/>
          <w:color w:val="auto"/>
          <w:spacing w:val="0"/>
          <w:sz w:val="32"/>
          <w:szCs w:val="32"/>
          <w:lang w:val="en-US" w:eastAsia="zh-CN"/>
        </w:rPr>
        <w:t>。印发《机关管理制度》等，建立健全管理制度体系，</w:t>
      </w:r>
      <w:r>
        <w:rPr>
          <w:rFonts w:hint="default" w:ascii="Times New Roman" w:hAnsi="Times New Roman" w:eastAsia="方正仿宋_GBK" w:cs="Times New Roman"/>
          <w:i w:val="0"/>
          <w:iCs w:val="0"/>
          <w:caps w:val="0"/>
          <w:color w:val="auto"/>
          <w:spacing w:val="0"/>
          <w:sz w:val="32"/>
          <w:szCs w:val="32"/>
          <w:lang w:val="en-US" w:eastAsia="zh-CN"/>
        </w:rPr>
        <w:t>提高了工作效率。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楷体_GBK" w:hAnsi="方正楷体_GBK" w:eastAsia="方正楷体_GBK" w:cs="方正楷体_GBK"/>
          <w:i w:val="0"/>
          <w:iCs w:val="0"/>
          <w:caps w:val="0"/>
          <w:color w:val="000000"/>
          <w:spacing w:val="0"/>
          <w:sz w:val="32"/>
          <w:szCs w:val="32"/>
          <w:lang w:val="en-US" w:eastAsia="zh-CN"/>
        </w:rPr>
      </w:pPr>
      <w:r>
        <w:rPr>
          <w:rFonts w:hint="eastAsia" w:ascii="方正楷体_GBK" w:hAnsi="方正楷体_GBK" w:eastAsia="方正楷体_GBK" w:cs="方正楷体_GBK"/>
          <w:i w:val="0"/>
          <w:iCs w:val="0"/>
          <w:caps w:val="0"/>
          <w:color w:val="000000"/>
          <w:spacing w:val="0"/>
          <w:sz w:val="32"/>
          <w:szCs w:val="32"/>
          <w:lang w:val="en-US" w:eastAsia="zh-CN"/>
        </w:rPr>
        <w:t>（三）效益性分析</w:t>
      </w:r>
    </w:p>
    <w:p>
      <w:pPr>
        <w:keepNext w:val="0"/>
        <w:keepLines w:val="0"/>
        <w:pageBreakBefore w:val="0"/>
        <w:widowControl w:val="0"/>
        <w:numPr>
          <w:ilvl w:val="0"/>
          <w:numId w:val="0"/>
        </w:numPr>
        <w:kinsoku/>
        <w:wordWrap/>
        <w:overflowPunct/>
        <w:topLinePunct w:val="0"/>
        <w:bidi w:val="0"/>
        <w:snapToGrid/>
        <w:spacing w:line="600" w:lineRule="exact"/>
        <w:ind w:left="0" w:firstLine="632" w:firstLineChars="200"/>
        <w:textAlignment w:val="auto"/>
        <w:rPr>
          <w:rFonts w:hint="default" w:ascii="Times New Roman" w:hAnsi="Times New Roman" w:eastAsia="方正仿宋_GBK" w:cs="Times New Roman"/>
          <w:i w:val="0"/>
          <w:iCs w:val="0"/>
          <w:caps w:val="0"/>
          <w:color w:val="auto"/>
          <w:spacing w:val="0"/>
          <w:sz w:val="32"/>
          <w:szCs w:val="32"/>
          <w:lang w:val="en-US" w:eastAsia="zh-CN"/>
        </w:rPr>
      </w:pPr>
      <w:r>
        <w:rPr>
          <w:rFonts w:hint="default" w:ascii="Times New Roman" w:hAnsi="Times New Roman" w:eastAsia="方正仿宋_GBK" w:cs="Times New Roman"/>
          <w:i w:val="0"/>
          <w:iCs w:val="0"/>
          <w:caps w:val="0"/>
          <w:color w:val="auto"/>
          <w:spacing w:val="0"/>
          <w:sz w:val="32"/>
          <w:szCs w:val="32"/>
          <w:lang w:val="en-US" w:eastAsia="zh-CN"/>
        </w:rPr>
        <w:t>2022年，我单位的绩效评价工作在县委县政府的坚强领导下，在县财政局的监督指导下，在社会各界的大力支持下，深入挖掘增收潜力，坚持稳增长、调结构、促改革、惠民生、防风险，各项支出得到较好保障，为建设</w:t>
      </w:r>
      <w:r>
        <w:rPr>
          <w:rFonts w:hint="eastAsia" w:ascii="Times New Roman" w:hAnsi="Times New Roman" w:cs="Times New Roman"/>
          <w:i w:val="0"/>
          <w:iCs w:val="0"/>
          <w:caps w:val="0"/>
          <w:color w:val="auto"/>
          <w:spacing w:val="0"/>
          <w:sz w:val="32"/>
          <w:szCs w:val="32"/>
          <w:lang w:val="en-US" w:eastAsia="zh-CN"/>
        </w:rPr>
        <w:t>“</w:t>
      </w:r>
      <w:r>
        <w:rPr>
          <w:rFonts w:hint="default" w:ascii="Times New Roman" w:hAnsi="Times New Roman" w:eastAsia="方正仿宋_GBK" w:cs="Times New Roman"/>
          <w:i w:val="0"/>
          <w:iCs w:val="0"/>
          <w:caps w:val="0"/>
          <w:color w:val="auto"/>
          <w:spacing w:val="0"/>
          <w:sz w:val="32"/>
          <w:szCs w:val="32"/>
          <w:lang w:val="en-US" w:eastAsia="zh-CN"/>
        </w:rPr>
        <w:t>兴业兴城，强县富民</w:t>
      </w:r>
      <w:r>
        <w:rPr>
          <w:rFonts w:hint="eastAsia" w:ascii="Times New Roman" w:hAnsi="Times New Roman" w:cs="Times New Roman"/>
          <w:i w:val="0"/>
          <w:iCs w:val="0"/>
          <w:caps w:val="0"/>
          <w:color w:val="auto"/>
          <w:spacing w:val="0"/>
          <w:sz w:val="32"/>
          <w:szCs w:val="32"/>
          <w:lang w:val="en-US" w:eastAsia="zh-CN"/>
        </w:rPr>
        <w:t>”</w:t>
      </w:r>
      <w:r>
        <w:rPr>
          <w:rFonts w:hint="default" w:ascii="Times New Roman" w:hAnsi="Times New Roman" w:eastAsia="方正仿宋_GBK" w:cs="Times New Roman"/>
          <w:i w:val="0"/>
          <w:iCs w:val="0"/>
          <w:caps w:val="0"/>
          <w:color w:val="auto"/>
          <w:spacing w:val="0"/>
          <w:sz w:val="32"/>
          <w:szCs w:val="32"/>
          <w:lang w:val="en-US" w:eastAsia="zh-CN"/>
        </w:rPr>
        <w:t>提供了坚强保障。</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、存在的问题</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lang w:val="en-US" w:eastAsia="zh-CN"/>
        </w:rPr>
        <w:t>单位职工使用公务卡刷卡的意识不够</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随着对预、决算编制工作水平要求越来越高，数据编制要求越来越精准、规范；时间紧、任务大。</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、改进措施和有关建议</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加强单位财务管理，健全单位财务管理制度体系，规范单位财务行为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倡导单位职工多使用公务卡支付</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细化预算编制工作，进一步加强内设机构的预算管理意识，严格按照预算编制的相关制度和要求进行预算编制。</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color w:val="auto"/>
          <w:lang w:eastAsia="zh-CN"/>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增加业务知识培训，加强决算工作与账务处理工作衔接。        </w:t>
      </w:r>
    </w:p>
    <w:p>
      <w:pPr>
        <w:keepNext w:val="0"/>
        <w:keepLines w:val="0"/>
        <w:pageBreakBefore w:val="0"/>
        <w:widowControl w:val="0"/>
        <w:kinsoku/>
        <w:wordWrap/>
        <w:overflowPunct/>
        <w:topLinePunct w:val="0"/>
        <w:bidi w:val="0"/>
        <w:snapToGrid/>
        <w:spacing w:line="600" w:lineRule="exact"/>
        <w:ind w:left="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附</w:t>
      </w:r>
      <w:r>
        <w:rPr>
          <w:rFonts w:hint="eastAsia" w:ascii="方正仿宋_GBK" w:hAnsi="方正仿宋_GBK" w:eastAsia="方正仿宋_GBK" w:cs="方正仿宋_GBK"/>
          <w:sz w:val="32"/>
          <w:szCs w:val="32"/>
          <w:lang w:val="en-US" w:eastAsia="zh-CN"/>
        </w:rPr>
        <w:t>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部门（单位）</w:t>
      </w:r>
      <w:r>
        <w:rPr>
          <w:rFonts w:hint="eastAsia" w:ascii="方正仿宋_GBK" w:hAnsi="方正仿宋_GBK" w:eastAsia="方正仿宋_GBK" w:cs="方正仿宋_GBK"/>
          <w:sz w:val="32"/>
          <w:szCs w:val="32"/>
        </w:rPr>
        <w:t>整体支出</w:t>
      </w:r>
      <w:r>
        <w:rPr>
          <w:rFonts w:hint="eastAsia" w:ascii="方正仿宋_GBK" w:hAnsi="方正仿宋_GBK" w:eastAsia="方正仿宋_GBK" w:cs="方正仿宋_GBK"/>
          <w:sz w:val="32"/>
          <w:szCs w:val="32"/>
          <w:lang w:eastAsia="zh-CN"/>
        </w:rPr>
        <w:t>预算</w:t>
      </w:r>
      <w:r>
        <w:rPr>
          <w:rFonts w:hint="eastAsia" w:ascii="方正仿宋_GBK" w:hAnsi="方正仿宋_GBK" w:eastAsia="方正仿宋_GBK" w:cs="方正仿宋_GBK"/>
          <w:sz w:val="32"/>
          <w:szCs w:val="32"/>
        </w:rPr>
        <w:t>绩效自评表</w:t>
      </w:r>
    </w:p>
    <w:p>
      <w:pPr>
        <w:keepNext w:val="0"/>
        <w:keepLines w:val="0"/>
        <w:pageBreakBefore w:val="0"/>
        <w:widowControl w:val="0"/>
        <w:kinsoku/>
        <w:wordWrap/>
        <w:overflowPunct/>
        <w:topLinePunct w:val="0"/>
        <w:bidi w:val="0"/>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bidi w:val="0"/>
        <w:snapToGrid/>
        <w:spacing w:line="600" w:lineRule="exact"/>
        <w:ind w:left="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4424" w:firstLineChars="1400"/>
        <w:textAlignment w:val="auto"/>
        <w:rPr>
          <w:rFonts w:eastAsia="方正仿宋_GBK"/>
          <w:sz w:val="32"/>
          <w:szCs w:val="32"/>
        </w:rPr>
      </w:pPr>
      <w:r>
        <w:rPr>
          <w:rFonts w:hint="eastAsia" w:eastAsia="方正仿宋_GBK"/>
          <w:sz w:val="32"/>
          <w:szCs w:val="32"/>
        </w:rPr>
        <w:t xml:space="preserve">奉节县机关事务管理服务中心 </w:t>
      </w:r>
    </w:p>
    <w:p>
      <w:pPr>
        <w:pStyle w:val="8"/>
        <w:keepNext w:val="0"/>
        <w:keepLines w:val="0"/>
        <w:pageBreakBefore w:val="0"/>
        <w:widowControl w:val="0"/>
        <w:kinsoku/>
        <w:wordWrap/>
        <w:overflowPunct/>
        <w:topLinePunct w:val="0"/>
        <w:bidi w:val="0"/>
        <w:snapToGrid/>
        <w:spacing w:line="600" w:lineRule="exact"/>
        <w:ind w:left="0"/>
        <w:textAlignment w:val="auto"/>
        <w:rPr>
          <w:rFonts w:hint="default" w:ascii="Times New Roman" w:hAnsi="Times New Roman" w:eastAsia="方正仿宋_GBK" w:cs="Times New Roman"/>
          <w:sz w:val="32"/>
          <w:szCs w:val="32"/>
        </w:rPr>
      </w:pPr>
      <w:r>
        <w:rPr>
          <w:rFonts w:hint="eastAsia"/>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cs="Times New Roman"/>
          <w:sz w:val="32"/>
          <w:szCs w:val="32"/>
          <w:lang w:val="en-US" w:eastAsia="zh-CN"/>
        </w:rPr>
        <w:t>17</w:t>
      </w:r>
      <w:r>
        <w:rPr>
          <w:rFonts w:hint="default" w:ascii="Times New Roman" w:hAnsi="Times New Roman" w:eastAsia="方正仿宋_GBK" w:cs="Times New Roman"/>
          <w:sz w:val="32"/>
          <w:szCs w:val="32"/>
        </w:rPr>
        <w:t>日</w:t>
      </w: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eastAsia" w:ascii="Times New Roman" w:hAnsi="Times New Roman" w:eastAsia="方正仿宋_GBK" w:cs="Times New Roman"/>
          <w:sz w:val="32"/>
          <w:szCs w:val="32"/>
          <w:lang w:eastAsia="zh-CN"/>
        </w:rPr>
      </w:pPr>
    </w:p>
    <w:tbl>
      <w:tblPr>
        <w:tblStyle w:val="5"/>
        <w:tblW w:w="8556" w:type="dxa"/>
        <w:jc w:val="center"/>
        <w:tblInd w:w="93" w:type="dxa"/>
        <w:tblLayout w:type="fixed"/>
        <w:tblCellMar>
          <w:top w:w="0" w:type="dxa"/>
          <w:left w:w="108" w:type="dxa"/>
          <w:bottom w:w="0" w:type="dxa"/>
          <w:right w:w="108" w:type="dxa"/>
        </w:tblCellMar>
      </w:tblPr>
      <w:tblGrid>
        <w:gridCol w:w="1266"/>
        <w:gridCol w:w="1215"/>
        <w:gridCol w:w="1815"/>
        <w:gridCol w:w="1080"/>
        <w:gridCol w:w="1110"/>
        <w:gridCol w:w="1020"/>
        <w:gridCol w:w="1050"/>
      </w:tblGrid>
      <w:tr>
        <w:tblPrEx>
          <w:tblLayout w:type="fixed"/>
          <w:tblCellMar>
            <w:top w:w="0" w:type="dxa"/>
            <w:left w:w="108" w:type="dxa"/>
            <w:bottom w:w="0" w:type="dxa"/>
            <w:right w:w="108" w:type="dxa"/>
          </w:tblCellMar>
        </w:tblPrEx>
        <w:trPr>
          <w:trHeight w:val="927" w:hRule="atLeast"/>
          <w:jc w:val="center"/>
        </w:trPr>
        <w:tc>
          <w:tcPr>
            <w:tcW w:w="8556"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部门（单位）整体支出</w:t>
            </w:r>
            <w:r>
              <w:rPr>
                <w:rFonts w:hint="eastAsia" w:ascii="宋体" w:hAnsi="宋体" w:cs="宋体"/>
                <w:b/>
                <w:bCs/>
                <w:i w:val="0"/>
                <w:iCs w:val="0"/>
                <w:color w:val="000000"/>
                <w:kern w:val="0"/>
                <w:sz w:val="32"/>
                <w:szCs w:val="32"/>
                <w:u w:val="none"/>
                <w:lang w:val="en-US" w:eastAsia="zh-CN" w:bidi="ar"/>
              </w:rPr>
              <w:t>预算</w:t>
            </w:r>
            <w:r>
              <w:rPr>
                <w:rFonts w:hint="eastAsia" w:ascii="宋体" w:hAnsi="宋体" w:eastAsia="宋体" w:cs="宋体"/>
                <w:b/>
                <w:bCs/>
                <w:i w:val="0"/>
                <w:iCs w:val="0"/>
                <w:color w:val="000000"/>
                <w:kern w:val="0"/>
                <w:sz w:val="32"/>
                <w:szCs w:val="32"/>
                <w:u w:val="none"/>
                <w:lang w:val="en-US" w:eastAsia="zh-CN" w:bidi="ar"/>
              </w:rPr>
              <w:t>绩效自评表</w:t>
            </w:r>
          </w:p>
        </w:tc>
      </w:tr>
      <w:tr>
        <w:tblPrEx>
          <w:tblLayout w:type="fixed"/>
          <w:tblCellMar>
            <w:top w:w="0" w:type="dxa"/>
            <w:left w:w="108" w:type="dxa"/>
            <w:bottom w:w="0" w:type="dxa"/>
            <w:right w:w="108" w:type="dxa"/>
          </w:tblCellMar>
        </w:tblPrEx>
        <w:trPr>
          <w:trHeight w:val="315" w:hRule="atLeast"/>
          <w:jc w:val="center"/>
        </w:trPr>
        <w:tc>
          <w:tcPr>
            <w:tcW w:w="8556"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r>
              <w:rPr>
                <w:rStyle w:val="9"/>
                <w:rFonts w:eastAsia="宋体"/>
                <w:lang w:val="en-US" w:eastAsia="zh-CN" w:bidi="ar"/>
              </w:rPr>
              <w:t xml:space="preserve"> </w:t>
            </w:r>
            <w:r>
              <w:rPr>
                <w:rStyle w:val="9"/>
                <w:rFonts w:hint="default" w:ascii="Times New Roman" w:hAnsi="Times New Roman" w:eastAsia="方正楷体_GBK" w:cs="Times New Roman"/>
                <w:lang w:val="en-US" w:eastAsia="zh-CN" w:bidi="ar"/>
              </w:rPr>
              <w:t>2022</w:t>
            </w:r>
            <w:r>
              <w:rPr>
                <w:rStyle w:val="10"/>
                <w:rFonts w:hint="default" w:ascii="Times New Roman" w:hAnsi="Times New Roman" w:eastAsia="方正楷体_GBK" w:cs="Times New Roman"/>
                <w:lang w:val="en-US" w:eastAsia="zh-CN" w:bidi="ar"/>
              </w:rPr>
              <w:t>年度</w:t>
            </w:r>
            <w:r>
              <w:rPr>
                <w:rStyle w:val="10"/>
                <w:lang w:val="en-US" w:eastAsia="zh-CN" w:bidi="ar"/>
              </w:rPr>
              <w:t>）</w:t>
            </w:r>
          </w:p>
        </w:tc>
      </w:tr>
      <w:tr>
        <w:tblPrEx>
          <w:tblLayout w:type="fixed"/>
          <w:tblCellMar>
            <w:top w:w="0" w:type="dxa"/>
            <w:left w:w="108" w:type="dxa"/>
            <w:bottom w:w="0" w:type="dxa"/>
            <w:right w:w="108" w:type="dxa"/>
          </w:tblCellMar>
        </w:tblPrEx>
        <w:trPr>
          <w:trHeight w:val="560" w:hRule="atLeast"/>
          <w:jc w:val="center"/>
        </w:trPr>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部门名称</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奉节县机关事务管理服务中心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内设机构个数</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职工实有人数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15</w:t>
            </w:r>
          </w:p>
        </w:tc>
      </w:tr>
      <w:tr>
        <w:tblPrEx>
          <w:tblLayout w:type="fixed"/>
          <w:tblCellMar>
            <w:top w:w="0" w:type="dxa"/>
            <w:left w:w="108" w:type="dxa"/>
            <w:bottom w:w="0" w:type="dxa"/>
            <w:right w:w="108" w:type="dxa"/>
          </w:tblCellMar>
        </w:tblPrEx>
        <w:trPr>
          <w:trHeight w:val="560" w:hRule="atLeast"/>
          <w:jc w:val="center"/>
        </w:trPr>
        <w:tc>
          <w:tcPr>
            <w:tcW w:w="126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项目负责人</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张棱</w:t>
            </w:r>
          </w:p>
        </w:tc>
        <w:tc>
          <w:tcPr>
            <w:tcW w:w="2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联系电话</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13594891758</w:t>
            </w:r>
          </w:p>
        </w:tc>
      </w:tr>
      <w:tr>
        <w:tblPrEx>
          <w:tblLayout w:type="fixed"/>
          <w:tblCellMar>
            <w:top w:w="0" w:type="dxa"/>
            <w:left w:w="108" w:type="dxa"/>
            <w:bottom w:w="0" w:type="dxa"/>
            <w:right w:w="108" w:type="dxa"/>
          </w:tblCellMar>
        </w:tblPrEx>
        <w:trPr>
          <w:trHeight w:val="570" w:hRule="atLeast"/>
          <w:jc w:val="center"/>
        </w:trPr>
        <w:tc>
          <w:tcPr>
            <w:tcW w:w="1266"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预算及执行整体规模（万元）</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资金来源与结构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年初预算</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追加预算</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预算执行</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执行率%</w:t>
            </w:r>
          </w:p>
        </w:tc>
      </w:tr>
      <w:tr>
        <w:tblPrEx>
          <w:tblLayout w:type="fixed"/>
          <w:tblCellMar>
            <w:top w:w="0" w:type="dxa"/>
            <w:left w:w="108" w:type="dxa"/>
            <w:bottom w:w="0" w:type="dxa"/>
            <w:right w:w="108" w:type="dxa"/>
          </w:tblCellMar>
        </w:tblPrEx>
        <w:trPr>
          <w:trHeight w:val="585" w:hRule="atLeast"/>
          <w:jc w:val="center"/>
        </w:trPr>
        <w:tc>
          <w:tcPr>
            <w:tcW w:w="1266" w:type="dxa"/>
            <w:vMerge w:val="continue"/>
            <w:tcBorders>
              <w:top w:val="single" w:color="000000" w:sz="4" w:space="0"/>
              <w:left w:val="single" w:color="000000" w:sz="4" w:space="0"/>
              <w:bottom w:val="nil"/>
              <w:right w:val="single" w:color="000000" w:sz="4" w:space="0"/>
            </w:tcBorders>
            <w:noWrap w:val="0"/>
            <w:vAlign w:val="center"/>
          </w:tcPr>
          <w:p>
            <w:pPr>
              <w:jc w:val="center"/>
              <w:rPr>
                <w:rFonts w:hint="default" w:ascii="Times New Roman" w:hAnsi="Times New Roman" w:eastAsia="方正仿宋_GBK" w:cs="Times New Roman"/>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资金来源：（</w:t>
            </w:r>
            <w:r>
              <w:rPr>
                <w:rStyle w:val="11"/>
                <w:rFonts w:hint="default" w:ascii="Times New Roman" w:hAnsi="Times New Roman" w:eastAsia="方正仿宋_GBK" w:cs="Times New Roman"/>
                <w:sz w:val="20"/>
                <w:szCs w:val="20"/>
                <w:lang w:val="en-US" w:eastAsia="zh-CN" w:bidi="ar"/>
              </w:rPr>
              <w:t>1</w:t>
            </w:r>
            <w:r>
              <w:rPr>
                <w:rStyle w:val="12"/>
                <w:rFonts w:hint="default" w:ascii="Times New Roman" w:hAnsi="Times New Roman" w:eastAsia="方正仿宋_GBK" w:cs="Times New Roman"/>
                <w:sz w:val="20"/>
                <w:szCs w:val="20"/>
                <w:lang w:val="en-US" w:eastAsia="zh-CN" w:bidi="ar"/>
              </w:rPr>
              <w:t>）财政拨款</w:t>
            </w:r>
          </w:p>
        </w:tc>
        <w:tc>
          <w:tcPr>
            <w:tcW w:w="1080"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r>
              <w:rPr>
                <w:rFonts w:hint="default" w:ascii="Times New Roman" w:hAnsi="Times New Roman" w:eastAsia="方正仿宋_GBK" w:cs="Times New Roman"/>
                <w:i w:val="0"/>
                <w:iCs w:val="0"/>
                <w:color w:val="000000"/>
                <w:sz w:val="20"/>
                <w:szCs w:val="20"/>
                <w:u w:val="none"/>
              </w:rPr>
              <w:t>370.4</w:t>
            </w:r>
            <w:r>
              <w:rPr>
                <w:rFonts w:hint="default" w:ascii="Times New Roman" w:hAnsi="Times New Roman" w:cs="Times New Roman"/>
                <w:i w:val="0"/>
                <w:iCs w:val="0"/>
                <w:color w:val="000000"/>
                <w:sz w:val="20"/>
                <w:szCs w:val="20"/>
                <w:u w:val="none"/>
                <w:lang w:val="en-US" w:eastAsia="zh-CN"/>
              </w:rPr>
              <w:t>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434.23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1804.70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r>
      <w:tr>
        <w:tblPrEx>
          <w:tblLayout w:type="fixed"/>
          <w:tblCellMar>
            <w:top w:w="0" w:type="dxa"/>
            <w:left w:w="108" w:type="dxa"/>
            <w:bottom w:w="0" w:type="dxa"/>
            <w:right w:w="108" w:type="dxa"/>
          </w:tblCellMar>
        </w:tblPrEx>
        <w:trPr>
          <w:trHeight w:val="585" w:hRule="atLeast"/>
          <w:jc w:val="center"/>
        </w:trPr>
        <w:tc>
          <w:tcPr>
            <w:tcW w:w="1266" w:type="dxa"/>
            <w:vMerge w:val="continue"/>
            <w:tcBorders>
              <w:top w:val="single" w:color="000000" w:sz="4" w:space="0"/>
              <w:left w:val="single" w:color="000000" w:sz="4" w:space="0"/>
              <w:bottom w:val="nil"/>
              <w:right w:val="single" w:color="000000" w:sz="4" w:space="0"/>
            </w:tcBorders>
            <w:noWrap w:val="0"/>
            <w:vAlign w:val="center"/>
          </w:tcPr>
          <w:p>
            <w:pPr>
              <w:jc w:val="center"/>
              <w:rPr>
                <w:rFonts w:hint="default" w:ascii="Times New Roman" w:hAnsi="Times New Roman" w:eastAsia="方正仿宋_GBK" w:cs="Times New Roman"/>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（2）其他资金</w:t>
            </w:r>
          </w:p>
        </w:tc>
        <w:tc>
          <w:tcPr>
            <w:tcW w:w="1080"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85" w:hRule="atLeast"/>
          <w:jc w:val="center"/>
        </w:trPr>
        <w:tc>
          <w:tcPr>
            <w:tcW w:w="1266" w:type="dxa"/>
            <w:vMerge w:val="continue"/>
            <w:tcBorders>
              <w:top w:val="single" w:color="000000" w:sz="4" w:space="0"/>
              <w:left w:val="single" w:color="000000" w:sz="4" w:space="0"/>
              <w:bottom w:val="nil"/>
              <w:right w:val="single" w:color="000000" w:sz="4" w:space="0"/>
            </w:tcBorders>
            <w:noWrap w:val="0"/>
            <w:vAlign w:val="center"/>
          </w:tcPr>
          <w:p>
            <w:pPr>
              <w:jc w:val="center"/>
              <w:rPr>
                <w:rFonts w:hint="default" w:ascii="Times New Roman" w:hAnsi="Times New Roman" w:eastAsia="方正仿宋_GBK" w:cs="Times New Roman"/>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资金结构：（</w:t>
            </w:r>
            <w:r>
              <w:rPr>
                <w:rStyle w:val="11"/>
                <w:rFonts w:hint="default" w:ascii="Times New Roman" w:hAnsi="Times New Roman" w:eastAsia="方正仿宋_GBK" w:cs="Times New Roman"/>
                <w:sz w:val="20"/>
                <w:szCs w:val="20"/>
                <w:lang w:val="en-US" w:eastAsia="zh-CN" w:bidi="ar"/>
              </w:rPr>
              <w:t>1</w:t>
            </w:r>
            <w:r>
              <w:rPr>
                <w:rStyle w:val="12"/>
                <w:rFonts w:hint="default" w:ascii="Times New Roman" w:hAnsi="Times New Roman" w:eastAsia="方正仿宋_GBK" w:cs="Times New Roman"/>
                <w:sz w:val="20"/>
                <w:szCs w:val="20"/>
                <w:lang w:val="en-US" w:eastAsia="zh-CN" w:bidi="ar"/>
              </w:rPr>
              <w:t>）基本支出</w:t>
            </w:r>
          </w:p>
        </w:tc>
        <w:tc>
          <w:tcPr>
            <w:tcW w:w="1080"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370.47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-17.27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353.20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r>
      <w:tr>
        <w:tblPrEx>
          <w:tblLayout w:type="fixed"/>
          <w:tblCellMar>
            <w:top w:w="0" w:type="dxa"/>
            <w:left w:w="108" w:type="dxa"/>
            <w:bottom w:w="0" w:type="dxa"/>
            <w:right w:w="108" w:type="dxa"/>
          </w:tblCellMar>
        </w:tblPrEx>
        <w:trPr>
          <w:trHeight w:val="585" w:hRule="atLeast"/>
          <w:jc w:val="center"/>
        </w:trPr>
        <w:tc>
          <w:tcPr>
            <w:tcW w:w="1266" w:type="dxa"/>
            <w:vMerge w:val="continue"/>
            <w:tcBorders>
              <w:top w:val="single" w:color="000000" w:sz="4" w:space="0"/>
              <w:left w:val="single" w:color="000000" w:sz="4" w:space="0"/>
              <w:bottom w:val="nil"/>
              <w:right w:val="single" w:color="000000" w:sz="4" w:space="0"/>
            </w:tcBorders>
            <w:noWrap w:val="0"/>
            <w:vAlign w:val="center"/>
          </w:tcPr>
          <w:p>
            <w:pPr>
              <w:jc w:val="center"/>
              <w:rPr>
                <w:rFonts w:hint="default" w:ascii="Times New Roman" w:hAnsi="Times New Roman" w:eastAsia="方正仿宋_GBK" w:cs="Times New Roman"/>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（2）项目支出</w:t>
            </w:r>
          </w:p>
        </w:tc>
        <w:tc>
          <w:tcPr>
            <w:tcW w:w="1080"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451.50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1451.50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r>
      <w:tr>
        <w:tblPrEx>
          <w:tblLayout w:type="fixed"/>
          <w:tblCellMar>
            <w:top w:w="0" w:type="dxa"/>
            <w:left w:w="108" w:type="dxa"/>
            <w:bottom w:w="0" w:type="dxa"/>
            <w:right w:w="108" w:type="dxa"/>
          </w:tblCellMar>
        </w:tblPrEx>
        <w:trPr>
          <w:trHeight w:val="925" w:hRule="atLeast"/>
          <w:jc w:val="center"/>
        </w:trPr>
        <w:tc>
          <w:tcPr>
            <w:tcW w:w="12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年度总</w:t>
            </w:r>
            <w:r>
              <w:rPr>
                <w:rFonts w:hint="default" w:ascii="Times New Roman" w:hAnsi="Times New Roman" w:eastAsia="方正仿宋_GBK" w:cs="Times New Roman"/>
                <w:b/>
                <w:bCs/>
                <w:i w:val="0"/>
                <w:iCs w:val="0"/>
                <w:color w:val="000000"/>
                <w:kern w:val="0"/>
                <w:sz w:val="20"/>
                <w:szCs w:val="20"/>
                <w:u w:val="none"/>
                <w:lang w:val="en-US" w:eastAsia="zh-CN" w:bidi="ar"/>
              </w:rPr>
              <w:br w:type="textWrapping"/>
            </w:r>
            <w:r>
              <w:rPr>
                <w:rFonts w:hint="default" w:ascii="Times New Roman" w:hAnsi="Times New Roman" w:eastAsia="方正仿宋_GBK" w:cs="Times New Roman"/>
                <w:b/>
                <w:bCs/>
                <w:i w:val="0"/>
                <w:iCs w:val="0"/>
                <w:color w:val="000000"/>
                <w:kern w:val="0"/>
                <w:sz w:val="20"/>
                <w:szCs w:val="20"/>
                <w:u w:val="none"/>
                <w:lang w:val="en-US" w:eastAsia="zh-CN" w:bidi="ar"/>
              </w:rPr>
              <w:t>体目标      及完成情况</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年初工作 计划综述</w:t>
            </w:r>
          </w:p>
        </w:tc>
        <w:tc>
          <w:tcPr>
            <w:tcW w:w="60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 负责</w:t>
            </w:r>
            <w:r>
              <w:rPr>
                <w:rFonts w:hint="default" w:ascii="Times New Roman" w:hAnsi="Times New Roman" w:eastAsia="方正仿宋_GBK" w:cs="Times New Roman"/>
                <w:i w:val="0"/>
                <w:iCs w:val="0"/>
                <w:color w:val="000000"/>
                <w:sz w:val="20"/>
                <w:szCs w:val="20"/>
                <w:u w:val="none"/>
              </w:rPr>
              <w:t>全县重要公务接待、全县重要会议、大型活动的筹备和服务工作；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2. 负责</w:t>
            </w:r>
            <w:r>
              <w:rPr>
                <w:rFonts w:hint="default" w:ascii="Times New Roman" w:hAnsi="Times New Roman" w:eastAsia="方正仿宋_GBK" w:cs="Times New Roman"/>
                <w:i w:val="0"/>
                <w:iCs w:val="0"/>
                <w:color w:val="000000"/>
                <w:sz w:val="20"/>
                <w:szCs w:val="20"/>
                <w:u w:val="none"/>
              </w:rPr>
              <w:t>全县党政机关公务用车制度改革后未保留公务用车单位的部分用车保障工作；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3. 负责</w:t>
            </w:r>
            <w:r>
              <w:rPr>
                <w:rFonts w:hint="default" w:ascii="Times New Roman" w:hAnsi="Times New Roman" w:eastAsia="方正仿宋_GBK" w:cs="Times New Roman"/>
                <w:i w:val="0"/>
                <w:iCs w:val="0"/>
                <w:color w:val="000000"/>
                <w:sz w:val="20"/>
                <w:szCs w:val="20"/>
                <w:u w:val="none"/>
              </w:rPr>
              <w:t>集中办公区的后勤保障工作；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4. 负责</w:t>
            </w:r>
            <w:r>
              <w:rPr>
                <w:rFonts w:hint="default" w:ascii="Times New Roman" w:hAnsi="Times New Roman" w:eastAsia="方正仿宋_GBK" w:cs="Times New Roman"/>
                <w:i w:val="0"/>
                <w:iCs w:val="0"/>
                <w:color w:val="000000"/>
                <w:sz w:val="20"/>
                <w:szCs w:val="20"/>
                <w:u w:val="none"/>
              </w:rPr>
              <w:t>组织开展节能规划、能耗统计、监测、审计和评价考核工作；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 负责</w:t>
            </w:r>
            <w:r>
              <w:rPr>
                <w:rFonts w:hint="default" w:ascii="Times New Roman" w:hAnsi="Times New Roman" w:eastAsia="方正仿宋_GBK" w:cs="Times New Roman"/>
                <w:i w:val="0"/>
                <w:iCs w:val="0"/>
                <w:color w:val="000000"/>
                <w:sz w:val="20"/>
                <w:szCs w:val="20"/>
                <w:u w:val="none"/>
              </w:rPr>
              <w:t>县级机关的非经营性国有资产的管理工作；</w:t>
            </w:r>
          </w:p>
          <w:p>
            <w:pPr>
              <w:pStyle w:val="2"/>
              <w:keepNext w:val="0"/>
              <w:keepLines w:val="0"/>
              <w:pageBreakBefore w:val="0"/>
              <w:widowControl w:val="0"/>
              <w:kinsoku/>
              <w:wordWrap/>
              <w:overflowPunct/>
              <w:topLinePunct w:val="0"/>
              <w:autoSpaceDE/>
              <w:autoSpaceDN/>
              <w:bidi w:val="0"/>
              <w:adjustRightInd/>
              <w:snapToGrid/>
              <w:spacing w:after="0" w:line="380" w:lineRule="exac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6. 负责</w:t>
            </w:r>
            <w:r>
              <w:rPr>
                <w:rFonts w:hint="default" w:ascii="Times New Roman" w:hAnsi="Times New Roman" w:eastAsia="方正仿宋_GBK" w:cs="Times New Roman"/>
                <w:i w:val="0"/>
                <w:iCs w:val="0"/>
                <w:color w:val="000000"/>
                <w:sz w:val="20"/>
                <w:szCs w:val="20"/>
                <w:u w:val="none"/>
              </w:rPr>
              <w:t>周转房管理和服务工作。</w:t>
            </w:r>
          </w:p>
        </w:tc>
      </w:tr>
      <w:tr>
        <w:tblPrEx>
          <w:tblLayout w:type="fixed"/>
          <w:tblCellMar>
            <w:top w:w="0" w:type="dxa"/>
            <w:left w:w="108" w:type="dxa"/>
            <w:bottom w:w="0" w:type="dxa"/>
            <w:right w:w="108" w:type="dxa"/>
          </w:tblCellMar>
        </w:tblPrEx>
        <w:trPr>
          <w:trHeight w:val="1240" w:hRule="atLeast"/>
          <w:jc w:val="center"/>
        </w:trPr>
        <w:tc>
          <w:tcPr>
            <w:tcW w:w="1266"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b/>
                <w:bCs/>
                <w:i w:val="0"/>
                <w:iCs w:val="0"/>
                <w:color w:val="000000"/>
                <w:sz w:val="20"/>
                <w:szCs w:val="20"/>
                <w:u w:val="none"/>
              </w:rPr>
            </w:pPr>
          </w:p>
        </w:tc>
        <w:tc>
          <w:tcPr>
            <w:tcW w:w="121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全年完成 情况综述</w:t>
            </w:r>
          </w:p>
        </w:tc>
        <w:tc>
          <w:tcPr>
            <w:tcW w:w="6075" w:type="dxa"/>
            <w:gridSpan w:val="5"/>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完成全县重要公务接待、全县重要会议、大型活动的筹备和服务工作；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完成全县党政机关公务用车制度改革后未保留公务用车单位的部分用车保障工作；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完成集中办公区的后勤保障工作；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组织开展节能规划、能耗统计、监测、审计和评价考核工作；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完成县级机关的非经营性国有资产的管理工作；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完成周转房管理和服务工作。</w:t>
            </w:r>
          </w:p>
        </w:tc>
      </w:tr>
      <w:tr>
        <w:tblPrEx>
          <w:tblLayout w:type="fixed"/>
          <w:tblCellMar>
            <w:top w:w="0" w:type="dxa"/>
            <w:left w:w="108" w:type="dxa"/>
            <w:bottom w:w="0" w:type="dxa"/>
            <w:right w:w="108" w:type="dxa"/>
          </w:tblCellMar>
        </w:tblPrEx>
        <w:trPr>
          <w:trHeight w:val="460" w:hRule="atLeast"/>
          <w:jc w:val="center"/>
        </w:trPr>
        <w:tc>
          <w:tcPr>
            <w:tcW w:w="8556" w:type="dxa"/>
            <w:gridSpan w:val="7"/>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分解目标自评</w:t>
            </w:r>
          </w:p>
        </w:tc>
      </w:tr>
      <w:tr>
        <w:tblPrEx>
          <w:tblLayout w:type="fixed"/>
          <w:tblCellMar>
            <w:top w:w="0" w:type="dxa"/>
            <w:left w:w="108" w:type="dxa"/>
            <w:bottom w:w="0" w:type="dxa"/>
            <w:right w:w="108" w:type="dxa"/>
          </w:tblCellMar>
        </w:tblPrEx>
        <w:trPr>
          <w:trHeight w:val="470" w:hRule="atLeast"/>
          <w:jc w:val="center"/>
        </w:trPr>
        <w:tc>
          <w:tcPr>
            <w:tcW w:w="126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一级指标</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二级指标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指标值</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分值</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完成值</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自评得分</w:t>
            </w:r>
          </w:p>
        </w:tc>
      </w:tr>
      <w:tr>
        <w:tblPrEx>
          <w:tblLayout w:type="fixed"/>
          <w:tblCellMar>
            <w:top w:w="0" w:type="dxa"/>
            <w:left w:w="108" w:type="dxa"/>
            <w:bottom w:w="0" w:type="dxa"/>
            <w:right w:w="108" w:type="dxa"/>
          </w:tblCellMar>
        </w:tblPrEx>
        <w:trPr>
          <w:trHeight w:val="90" w:hRule="atLeast"/>
          <w:jc w:val="center"/>
        </w:trPr>
        <w:tc>
          <w:tcPr>
            <w:tcW w:w="1266" w:type="dxa"/>
            <w:vMerge w:val="restart"/>
            <w:tcBorders>
              <w:top w:val="single" w:color="000000" w:sz="4" w:space="0"/>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val="0"/>
                <w:bCs w:val="0"/>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产出指标</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数量指标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实际完成率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41个</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41个</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7</w:t>
            </w:r>
          </w:p>
        </w:tc>
      </w:tr>
      <w:tr>
        <w:tblPrEx>
          <w:tblLayout w:type="fixed"/>
          <w:tblCellMar>
            <w:top w:w="0" w:type="dxa"/>
            <w:left w:w="108" w:type="dxa"/>
            <w:bottom w:w="0" w:type="dxa"/>
            <w:right w:w="108" w:type="dxa"/>
          </w:tblCellMar>
        </w:tblPrEx>
        <w:trPr>
          <w:trHeight w:val="300" w:hRule="atLeast"/>
          <w:jc w:val="center"/>
        </w:trPr>
        <w:tc>
          <w:tcPr>
            <w:tcW w:w="1266" w:type="dxa"/>
            <w:vMerge w:val="continue"/>
            <w:tcBorders>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质量指标</w:t>
            </w:r>
          </w:p>
        </w:tc>
        <w:tc>
          <w:tcPr>
            <w:tcW w:w="181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质量达标率</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6</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6</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top w:val="single" w:color="auto" w:sz="4" w:space="0"/>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时效指标</w:t>
            </w:r>
          </w:p>
        </w:tc>
        <w:tc>
          <w:tcPr>
            <w:tcW w:w="181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完成及时率</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6</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6</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成本指标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成本节约率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32%</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3</w:t>
            </w:r>
          </w:p>
        </w:tc>
      </w:tr>
      <w:tr>
        <w:tblPrEx>
          <w:tblLayout w:type="fixed"/>
          <w:tblCellMar>
            <w:top w:w="0" w:type="dxa"/>
            <w:left w:w="108" w:type="dxa"/>
            <w:bottom w:w="0" w:type="dxa"/>
            <w:right w:w="108" w:type="dxa"/>
          </w:tblCellMar>
        </w:tblPrEx>
        <w:trPr>
          <w:trHeight w:val="90" w:hRule="atLeast"/>
          <w:jc w:val="center"/>
        </w:trPr>
        <w:tc>
          <w:tcPr>
            <w:tcW w:w="1266" w:type="dxa"/>
            <w:vMerge w:val="restart"/>
            <w:tcBorders>
              <w:top w:val="single" w:color="auto" w:sz="4" w:space="0"/>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履职效能</w:t>
            </w:r>
          </w:p>
        </w:tc>
        <w:tc>
          <w:tcPr>
            <w:tcW w:w="1215" w:type="dxa"/>
            <w:vMerge w:val="restart"/>
            <w:tcBorders>
              <w:top w:val="single" w:color="auto" w:sz="4" w:space="0"/>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数量指标</w:t>
            </w: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个性指标完成率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公务卡刷卡率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80%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0.78%</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0</w:t>
            </w:r>
          </w:p>
        </w:tc>
      </w:tr>
      <w:tr>
        <w:tblPrEx>
          <w:tblLayout w:type="fixed"/>
          <w:tblCellMar>
            <w:top w:w="0" w:type="dxa"/>
            <w:left w:w="108" w:type="dxa"/>
            <w:bottom w:w="0" w:type="dxa"/>
            <w:right w:w="108" w:type="dxa"/>
          </w:tblCellMar>
        </w:tblPrEx>
        <w:trPr>
          <w:trHeight w:val="320"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公用经费控制率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65"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共性指标完成率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固定资产利用率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95%</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三公经费控制率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项目开工率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2.5</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项目评价完成率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2.5</w:t>
            </w:r>
          </w:p>
        </w:tc>
      </w:tr>
      <w:tr>
        <w:tblPrEx>
          <w:tblLayout w:type="fixed"/>
          <w:tblCellMar>
            <w:top w:w="0" w:type="dxa"/>
            <w:left w:w="108" w:type="dxa"/>
            <w:bottom w:w="0" w:type="dxa"/>
            <w:right w:w="108" w:type="dxa"/>
          </w:tblCellMar>
        </w:tblPrEx>
        <w:trPr>
          <w:trHeight w:val="364"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项目完工率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2.5</w:t>
            </w:r>
          </w:p>
        </w:tc>
      </w:tr>
      <w:tr>
        <w:tblPrEx>
          <w:tblLayout w:type="fixed"/>
          <w:tblCellMar>
            <w:top w:w="0" w:type="dxa"/>
            <w:left w:w="108" w:type="dxa"/>
            <w:bottom w:w="0" w:type="dxa"/>
            <w:right w:w="108" w:type="dxa"/>
          </w:tblCellMar>
        </w:tblPrEx>
        <w:trPr>
          <w:trHeight w:val="365"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在职人员控制率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90%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left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资金结转结余率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restart"/>
            <w:tcBorders>
              <w:top w:val="single" w:color="000000"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质量指标</w:t>
            </w: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管理制度健全性</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90%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绩效目标合格率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nil"/>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项目监控到位率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2.5</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信息公开完整率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预算编制完整率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315"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预算编制准确率</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136"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资金使用合规性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219"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时效指标</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信息公开及时率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103"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kern w:val="0"/>
                <w:sz w:val="20"/>
                <w:szCs w:val="20"/>
                <w:u w:val="none"/>
                <w:lang w:val="en-US" w:eastAsia="zh-CN" w:bidi="ar"/>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预算执行率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160" w:hRule="atLeast"/>
          <w:jc w:val="center"/>
        </w:trPr>
        <w:tc>
          <w:tcPr>
            <w:tcW w:w="1266"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政府采购执行率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90%</w:t>
            </w:r>
          </w:p>
        </w:tc>
        <w:tc>
          <w:tcPr>
            <w:tcW w:w="1110"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w:t>
            </w:r>
          </w:p>
        </w:tc>
      </w:tr>
      <w:tr>
        <w:tblPrEx>
          <w:tblLayout w:type="fixed"/>
          <w:tblCellMar>
            <w:top w:w="0" w:type="dxa"/>
            <w:left w:w="108" w:type="dxa"/>
            <w:bottom w:w="0" w:type="dxa"/>
            <w:right w:w="108" w:type="dxa"/>
          </w:tblCellMar>
        </w:tblPrEx>
        <w:trPr>
          <w:trHeight w:val="213"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成本指标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经济成本指标</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单位运行人均成本变化</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110"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5.12%</w:t>
            </w:r>
          </w:p>
        </w:tc>
        <w:tc>
          <w:tcPr>
            <w:tcW w:w="1050"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4</w:t>
            </w:r>
          </w:p>
        </w:tc>
      </w:tr>
      <w:tr>
        <w:tblPrEx>
          <w:tblLayout w:type="fixed"/>
          <w:tblCellMar>
            <w:top w:w="0" w:type="dxa"/>
            <w:left w:w="108" w:type="dxa"/>
            <w:bottom w:w="0" w:type="dxa"/>
            <w:right w:w="108" w:type="dxa"/>
          </w:tblCellMar>
        </w:tblPrEx>
        <w:trPr>
          <w:trHeight w:val="109" w:hRule="atLeast"/>
          <w:jc w:val="center"/>
        </w:trPr>
        <w:tc>
          <w:tcPr>
            <w:tcW w:w="1266" w:type="dxa"/>
            <w:vMerge w:val="restart"/>
            <w:tcBorders>
              <w:top w:val="single" w:color="auto" w:sz="4" w:space="0"/>
              <w:left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社会效应</w:t>
            </w:r>
          </w:p>
        </w:tc>
        <w:tc>
          <w:tcPr>
            <w:tcW w:w="1215"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社会效益</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单位正常运转</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109" w:hRule="atLeast"/>
          <w:jc w:val="center"/>
        </w:trPr>
        <w:tc>
          <w:tcPr>
            <w:tcW w:w="1266" w:type="dxa"/>
            <w:vMerge w:val="continue"/>
            <w:tcBorders>
              <w:left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提升单位形象</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95%</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95%</w:t>
            </w:r>
          </w:p>
        </w:tc>
        <w:tc>
          <w:tcPr>
            <w:tcW w:w="105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109" w:hRule="atLeast"/>
          <w:jc w:val="center"/>
        </w:trPr>
        <w:tc>
          <w:tcPr>
            <w:tcW w:w="1266" w:type="dxa"/>
            <w:vMerge w:val="continue"/>
            <w:tcBorders>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生态效益</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单位节能减排</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169"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可持续发展能力</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可持续发展能力</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rPr>
              <w:t>管理制度可持续性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110"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132"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服务对象满意度</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服务对象满意度</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社会公众满意度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95%</w:t>
            </w:r>
          </w:p>
        </w:tc>
        <w:tc>
          <w:tcPr>
            <w:tcW w:w="1110"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w:t>
            </w:r>
          </w:p>
        </w:tc>
        <w:tc>
          <w:tcPr>
            <w:tcW w:w="102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9</w:t>
            </w:r>
            <w:r>
              <w:rPr>
                <w:rFonts w:hint="eastAsia" w:cs="Times New Roman"/>
                <w:i w:val="0"/>
                <w:iCs w:val="0"/>
                <w:color w:val="000000"/>
                <w:sz w:val="20"/>
                <w:szCs w:val="20"/>
                <w:u w:val="none"/>
                <w:lang w:val="en-US" w:eastAsia="zh-CN"/>
              </w:rPr>
              <w:t>8</w:t>
            </w:r>
            <w:r>
              <w:rPr>
                <w:rFonts w:hint="default" w:ascii="Times New Roman" w:hAnsi="Times New Roman" w:cs="Times New Roman"/>
                <w:i w:val="0"/>
                <w:iCs w:val="0"/>
                <w:color w:val="000000"/>
                <w:sz w:val="20"/>
                <w:szCs w:val="20"/>
                <w:u w:val="none"/>
                <w:lang w:val="en-US" w:eastAsia="zh-CN"/>
              </w:rPr>
              <w:t>%</w:t>
            </w:r>
          </w:p>
        </w:tc>
        <w:tc>
          <w:tcPr>
            <w:tcW w:w="1050"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w:t>
            </w:r>
          </w:p>
        </w:tc>
      </w:tr>
      <w:tr>
        <w:tblPrEx>
          <w:tblLayout w:type="fixed"/>
          <w:tblCellMar>
            <w:top w:w="0" w:type="dxa"/>
            <w:left w:w="108" w:type="dxa"/>
            <w:bottom w:w="0" w:type="dxa"/>
            <w:right w:w="108" w:type="dxa"/>
          </w:tblCellMar>
        </w:tblPrEx>
        <w:trPr>
          <w:trHeight w:val="190"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sz w:val="20"/>
                <w:szCs w:val="20"/>
                <w:u w:val="none"/>
              </w:rPr>
              <w:t>管理效率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管理效率</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管理效率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优</w:t>
            </w:r>
          </w:p>
        </w:tc>
        <w:tc>
          <w:tcPr>
            <w:tcW w:w="1110"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5</w:t>
            </w:r>
          </w:p>
        </w:tc>
        <w:tc>
          <w:tcPr>
            <w:tcW w:w="10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优</w:t>
            </w:r>
          </w:p>
        </w:tc>
        <w:tc>
          <w:tcPr>
            <w:tcW w:w="105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Layout w:type="fixed"/>
          <w:tblCellMar>
            <w:top w:w="0" w:type="dxa"/>
            <w:left w:w="108" w:type="dxa"/>
            <w:bottom w:w="0" w:type="dxa"/>
            <w:right w:w="108" w:type="dxa"/>
          </w:tblCellMar>
        </w:tblPrEx>
        <w:trPr>
          <w:trHeight w:val="330" w:hRule="atLeast"/>
          <w:jc w:val="center"/>
        </w:trPr>
        <w:tc>
          <w:tcPr>
            <w:tcW w:w="429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分值合计：</w:t>
            </w:r>
          </w:p>
        </w:tc>
        <w:tc>
          <w:tcPr>
            <w:tcW w:w="108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11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100</w:t>
            </w:r>
          </w:p>
        </w:tc>
        <w:tc>
          <w:tcPr>
            <w:tcW w:w="102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0"/>
                <w:szCs w:val="20"/>
                <w:u w:val="none"/>
              </w:rPr>
            </w:pPr>
          </w:p>
        </w:tc>
        <w:tc>
          <w:tcPr>
            <w:tcW w:w="105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95</w:t>
            </w:r>
          </w:p>
        </w:tc>
      </w:tr>
      <w:tr>
        <w:tblPrEx>
          <w:tblLayout w:type="fixed"/>
          <w:tblCellMar>
            <w:top w:w="0" w:type="dxa"/>
            <w:left w:w="108" w:type="dxa"/>
            <w:bottom w:w="0" w:type="dxa"/>
            <w:right w:w="108" w:type="dxa"/>
          </w:tblCellMar>
        </w:tblPrEx>
        <w:trPr>
          <w:trHeight w:val="415" w:hRule="atLeast"/>
          <w:jc w:val="center"/>
        </w:trPr>
        <w:tc>
          <w:tcPr>
            <w:tcW w:w="2481" w:type="dxa"/>
            <w:gridSpan w:val="2"/>
            <w:tcBorders>
              <w:top w:val="single" w:color="auto" w:sz="4" w:space="0"/>
              <w:left w:val="nil"/>
              <w:bottom w:val="nil"/>
              <w:right w:val="nil"/>
            </w:tcBorders>
            <w:noWrap w:val="0"/>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单位负责人：</w:t>
            </w:r>
            <w:r>
              <w:rPr>
                <w:rFonts w:hint="eastAsia" w:ascii="方正仿宋_GBK" w:hAnsi="方正仿宋_GBK" w:cs="方正仿宋_GBK"/>
                <w:i w:val="0"/>
                <w:iCs w:val="0"/>
                <w:color w:val="000000"/>
                <w:kern w:val="0"/>
                <w:sz w:val="20"/>
                <w:szCs w:val="20"/>
                <w:u w:val="none"/>
                <w:lang w:val="en-US" w:eastAsia="zh-CN" w:bidi="ar"/>
              </w:rPr>
              <w:t>张棱</w:t>
            </w:r>
          </w:p>
        </w:tc>
        <w:tc>
          <w:tcPr>
            <w:tcW w:w="1815" w:type="dxa"/>
            <w:tcBorders>
              <w:top w:val="single" w:color="auto" w:sz="4" w:space="0"/>
              <w:left w:val="nil"/>
              <w:bottom w:val="nil"/>
              <w:right w:val="nil"/>
            </w:tcBorders>
            <w:noWrap w:val="0"/>
            <w:vAlign w:val="center"/>
          </w:tcPr>
          <w:p>
            <w:pP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填表人：</w:t>
            </w:r>
            <w:r>
              <w:rPr>
                <w:rFonts w:hint="eastAsia" w:ascii="方正仿宋_GBK" w:hAnsi="方正仿宋_GBK" w:cs="方正仿宋_GBK"/>
                <w:i w:val="0"/>
                <w:iCs w:val="0"/>
                <w:color w:val="000000"/>
                <w:kern w:val="0"/>
                <w:sz w:val="20"/>
                <w:szCs w:val="20"/>
                <w:u w:val="none"/>
                <w:lang w:val="en-US" w:eastAsia="zh-CN" w:bidi="ar"/>
              </w:rPr>
              <w:t>刘晴</w:t>
            </w:r>
          </w:p>
        </w:tc>
        <w:tc>
          <w:tcPr>
            <w:tcW w:w="1080" w:type="dxa"/>
            <w:tcBorders>
              <w:top w:val="single" w:color="auto" w:sz="4" w:space="0"/>
              <w:left w:val="nil"/>
              <w:bottom w:val="nil"/>
              <w:right w:val="nil"/>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p>
        </w:tc>
        <w:tc>
          <w:tcPr>
            <w:tcW w:w="3180" w:type="dxa"/>
            <w:gridSpan w:val="3"/>
            <w:tcBorders>
              <w:top w:val="single" w:color="auto" w:sz="4" w:space="0"/>
              <w:left w:val="nil"/>
              <w:bottom w:val="nil"/>
              <w:right w:val="nil"/>
            </w:tcBorders>
            <w:noWrap w:val="0"/>
            <w:vAlign w:val="center"/>
          </w:tcPr>
          <w:p>
            <w:pP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填表日期：</w:t>
            </w:r>
            <w:r>
              <w:rPr>
                <w:rFonts w:hint="default" w:ascii="Times New Roman" w:hAnsi="Times New Roman" w:cs="Times New Roman"/>
                <w:i w:val="0"/>
                <w:iCs w:val="0"/>
                <w:color w:val="000000"/>
                <w:kern w:val="0"/>
                <w:sz w:val="20"/>
                <w:szCs w:val="20"/>
                <w:u w:val="none"/>
                <w:lang w:val="en-US" w:eastAsia="zh-CN" w:bidi="ar"/>
              </w:rPr>
              <w:t>2023年2月17日</w:t>
            </w:r>
          </w:p>
        </w:tc>
      </w:tr>
    </w:tbl>
    <w:p>
      <w:pPr>
        <w:rPr>
          <w:rFonts w:hint="eastAsia"/>
        </w:rPr>
      </w:pPr>
    </w:p>
    <w:p/>
    <w:sectPr>
      <w:headerReference r:id="rId3" w:type="default"/>
      <w:footerReference r:id="rId5" w:type="default"/>
      <w:headerReference r:id="rId4" w:type="even"/>
      <w:footerReference r:id="rId6" w:type="even"/>
      <w:pgSz w:w="11906" w:h="16838"/>
      <w:pgMar w:top="2098" w:right="1474" w:bottom="1984" w:left="1587" w:header="851" w:footer="1474"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360" w:firstLine="360"/>
                            <w:jc w:val="right"/>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7"/>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ind w:right="360" w:firstLine="360"/>
                      <w:jc w:val="right"/>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7"/>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7"/>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8D4"/>
    <w:multiLevelType w:val="singleLevel"/>
    <w:tmpl w:val="0D0828D4"/>
    <w:lvl w:ilvl="0" w:tentative="0">
      <w:start w:val="1"/>
      <w:numFmt w:val="decimal"/>
      <w:suff w:val="space"/>
      <w:lvlText w:val="%1."/>
      <w:lvlJc w:val="left"/>
    </w:lvl>
  </w:abstractNum>
  <w:abstractNum w:abstractNumId="1">
    <w:nsid w:val="7A1B7A93"/>
    <w:multiLevelType w:val="singleLevel"/>
    <w:tmpl w:val="7A1B7A9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B1582"/>
    <w:rsid w:val="0035760E"/>
    <w:rsid w:val="00595B94"/>
    <w:rsid w:val="00B74E1B"/>
    <w:rsid w:val="00D92854"/>
    <w:rsid w:val="01232C2F"/>
    <w:rsid w:val="02B70863"/>
    <w:rsid w:val="031C551B"/>
    <w:rsid w:val="037212C0"/>
    <w:rsid w:val="03902C0F"/>
    <w:rsid w:val="039C06FE"/>
    <w:rsid w:val="042B69F4"/>
    <w:rsid w:val="05410B6B"/>
    <w:rsid w:val="05497136"/>
    <w:rsid w:val="055C6977"/>
    <w:rsid w:val="05640280"/>
    <w:rsid w:val="0596302A"/>
    <w:rsid w:val="05D4566F"/>
    <w:rsid w:val="06514181"/>
    <w:rsid w:val="06EF33BA"/>
    <w:rsid w:val="08671A26"/>
    <w:rsid w:val="087E193D"/>
    <w:rsid w:val="096724EB"/>
    <w:rsid w:val="09C27382"/>
    <w:rsid w:val="09C70E7B"/>
    <w:rsid w:val="0A7536B1"/>
    <w:rsid w:val="0B3C249F"/>
    <w:rsid w:val="0CCE45B1"/>
    <w:rsid w:val="0CD220F8"/>
    <w:rsid w:val="0DA40276"/>
    <w:rsid w:val="0EA61F7D"/>
    <w:rsid w:val="0EF33A03"/>
    <w:rsid w:val="0F2A650F"/>
    <w:rsid w:val="0FF2428A"/>
    <w:rsid w:val="10685690"/>
    <w:rsid w:val="11191D58"/>
    <w:rsid w:val="11475332"/>
    <w:rsid w:val="12640391"/>
    <w:rsid w:val="12845EDD"/>
    <w:rsid w:val="12D90CFF"/>
    <w:rsid w:val="13091242"/>
    <w:rsid w:val="14BA70F1"/>
    <w:rsid w:val="14DC383A"/>
    <w:rsid w:val="14E10EDB"/>
    <w:rsid w:val="15487C16"/>
    <w:rsid w:val="15C4041A"/>
    <w:rsid w:val="15ED1C7E"/>
    <w:rsid w:val="16627EF4"/>
    <w:rsid w:val="16810A1E"/>
    <w:rsid w:val="1905795C"/>
    <w:rsid w:val="19493B00"/>
    <w:rsid w:val="19D11C2A"/>
    <w:rsid w:val="1B501796"/>
    <w:rsid w:val="1C1C0359"/>
    <w:rsid w:val="1C2D7D55"/>
    <w:rsid w:val="1D4E1FD7"/>
    <w:rsid w:val="1D852DE6"/>
    <w:rsid w:val="1D9C78F2"/>
    <w:rsid w:val="1DAC37DB"/>
    <w:rsid w:val="1E510A30"/>
    <w:rsid w:val="1F972B52"/>
    <w:rsid w:val="1FD77E03"/>
    <w:rsid w:val="201A22E7"/>
    <w:rsid w:val="20D01AFE"/>
    <w:rsid w:val="21002B21"/>
    <w:rsid w:val="218B04DB"/>
    <w:rsid w:val="21E5216A"/>
    <w:rsid w:val="2299158F"/>
    <w:rsid w:val="232928BB"/>
    <w:rsid w:val="23A05DF4"/>
    <w:rsid w:val="23F864E8"/>
    <w:rsid w:val="244C311A"/>
    <w:rsid w:val="249C6446"/>
    <w:rsid w:val="24B4427F"/>
    <w:rsid w:val="252328E6"/>
    <w:rsid w:val="25C323DE"/>
    <w:rsid w:val="25F42C67"/>
    <w:rsid w:val="26AE5AB2"/>
    <w:rsid w:val="26BF1E0B"/>
    <w:rsid w:val="27391CD1"/>
    <w:rsid w:val="285A702B"/>
    <w:rsid w:val="288C347F"/>
    <w:rsid w:val="28E60FC6"/>
    <w:rsid w:val="299261A4"/>
    <w:rsid w:val="29A00E94"/>
    <w:rsid w:val="29B1085F"/>
    <w:rsid w:val="2A0C443B"/>
    <w:rsid w:val="2AF000CC"/>
    <w:rsid w:val="2B050C87"/>
    <w:rsid w:val="2B2E073A"/>
    <w:rsid w:val="2BAF7793"/>
    <w:rsid w:val="2C9429C6"/>
    <w:rsid w:val="2C982FA6"/>
    <w:rsid w:val="2CFD4AE6"/>
    <w:rsid w:val="2D9C0D1B"/>
    <w:rsid w:val="2DBF690A"/>
    <w:rsid w:val="2FC6760C"/>
    <w:rsid w:val="30B17F0E"/>
    <w:rsid w:val="31352871"/>
    <w:rsid w:val="31467404"/>
    <w:rsid w:val="319D3400"/>
    <w:rsid w:val="31C17546"/>
    <w:rsid w:val="32CE6270"/>
    <w:rsid w:val="333648FF"/>
    <w:rsid w:val="33EE127D"/>
    <w:rsid w:val="343420AC"/>
    <w:rsid w:val="343C3D98"/>
    <w:rsid w:val="346939B2"/>
    <w:rsid w:val="346E034A"/>
    <w:rsid w:val="34B160F0"/>
    <w:rsid w:val="34C665DB"/>
    <w:rsid w:val="351840E8"/>
    <w:rsid w:val="353E1DA0"/>
    <w:rsid w:val="35530797"/>
    <w:rsid w:val="359E103B"/>
    <w:rsid w:val="3617731C"/>
    <w:rsid w:val="369F3725"/>
    <w:rsid w:val="397C1BEA"/>
    <w:rsid w:val="39CD22D4"/>
    <w:rsid w:val="3A9F652F"/>
    <w:rsid w:val="3ABC590D"/>
    <w:rsid w:val="3AE671CD"/>
    <w:rsid w:val="3B4446FB"/>
    <w:rsid w:val="3B7C451E"/>
    <w:rsid w:val="3BF52891"/>
    <w:rsid w:val="3D125F5A"/>
    <w:rsid w:val="3D376C03"/>
    <w:rsid w:val="3D74278E"/>
    <w:rsid w:val="3E9B11BE"/>
    <w:rsid w:val="3EEF347F"/>
    <w:rsid w:val="3F17493A"/>
    <w:rsid w:val="3F213FBC"/>
    <w:rsid w:val="3FB34DBB"/>
    <w:rsid w:val="40180F5A"/>
    <w:rsid w:val="4032358F"/>
    <w:rsid w:val="41011E80"/>
    <w:rsid w:val="411B5AFD"/>
    <w:rsid w:val="41941A9D"/>
    <w:rsid w:val="419A22E2"/>
    <w:rsid w:val="41CB0948"/>
    <w:rsid w:val="42AA1874"/>
    <w:rsid w:val="42E13997"/>
    <w:rsid w:val="43543DF5"/>
    <w:rsid w:val="443D6C39"/>
    <w:rsid w:val="443F3279"/>
    <w:rsid w:val="445D3C8D"/>
    <w:rsid w:val="450A7838"/>
    <w:rsid w:val="454852A9"/>
    <w:rsid w:val="4558075E"/>
    <w:rsid w:val="45B86F6B"/>
    <w:rsid w:val="464702D4"/>
    <w:rsid w:val="46830524"/>
    <w:rsid w:val="46CC420F"/>
    <w:rsid w:val="46E341AE"/>
    <w:rsid w:val="48540D91"/>
    <w:rsid w:val="495C7970"/>
    <w:rsid w:val="499B21DB"/>
    <w:rsid w:val="49AF6695"/>
    <w:rsid w:val="4A271B43"/>
    <w:rsid w:val="4A455B70"/>
    <w:rsid w:val="4A516106"/>
    <w:rsid w:val="4B127E50"/>
    <w:rsid w:val="4C470975"/>
    <w:rsid w:val="4C7B2D7B"/>
    <w:rsid w:val="4D3B44F2"/>
    <w:rsid w:val="4E0F1E7F"/>
    <w:rsid w:val="4E1163B7"/>
    <w:rsid w:val="4E1C0CBC"/>
    <w:rsid w:val="4E4223DC"/>
    <w:rsid w:val="4E9D04F4"/>
    <w:rsid w:val="4EA35DE4"/>
    <w:rsid w:val="4EB505E0"/>
    <w:rsid w:val="4EFA7D79"/>
    <w:rsid w:val="4EFB71BB"/>
    <w:rsid w:val="4F2E0961"/>
    <w:rsid w:val="4F6975A7"/>
    <w:rsid w:val="507657BE"/>
    <w:rsid w:val="51E45B02"/>
    <w:rsid w:val="52DE07D3"/>
    <w:rsid w:val="538C68FA"/>
    <w:rsid w:val="550733E7"/>
    <w:rsid w:val="559B1AEF"/>
    <w:rsid w:val="562B1582"/>
    <w:rsid w:val="56B11111"/>
    <w:rsid w:val="57B50F1C"/>
    <w:rsid w:val="57E42A79"/>
    <w:rsid w:val="57FF08D8"/>
    <w:rsid w:val="580C212B"/>
    <w:rsid w:val="588F0CF8"/>
    <w:rsid w:val="59F8680E"/>
    <w:rsid w:val="5A423DCF"/>
    <w:rsid w:val="5AA42E5D"/>
    <w:rsid w:val="5AFB2133"/>
    <w:rsid w:val="5B2270A9"/>
    <w:rsid w:val="5B4420E0"/>
    <w:rsid w:val="5C246149"/>
    <w:rsid w:val="5C5530FF"/>
    <w:rsid w:val="5C85218E"/>
    <w:rsid w:val="5CF561CE"/>
    <w:rsid w:val="5D7B5009"/>
    <w:rsid w:val="5F560CBE"/>
    <w:rsid w:val="5F5A150F"/>
    <w:rsid w:val="60700AC6"/>
    <w:rsid w:val="60C703A9"/>
    <w:rsid w:val="629033A7"/>
    <w:rsid w:val="62DC0D02"/>
    <w:rsid w:val="633D1A43"/>
    <w:rsid w:val="6393194D"/>
    <w:rsid w:val="63DA4489"/>
    <w:rsid w:val="63E5430F"/>
    <w:rsid w:val="65081548"/>
    <w:rsid w:val="662E5057"/>
    <w:rsid w:val="66B3027A"/>
    <w:rsid w:val="66F41E88"/>
    <w:rsid w:val="673E18CB"/>
    <w:rsid w:val="68054FEE"/>
    <w:rsid w:val="682B4C50"/>
    <w:rsid w:val="68697BE6"/>
    <w:rsid w:val="68D4272F"/>
    <w:rsid w:val="6B4E5C51"/>
    <w:rsid w:val="6BD87CCE"/>
    <w:rsid w:val="6C0B117A"/>
    <w:rsid w:val="6CCE3525"/>
    <w:rsid w:val="6CEB7BAA"/>
    <w:rsid w:val="6D7764F6"/>
    <w:rsid w:val="6DCC3258"/>
    <w:rsid w:val="6E566F3B"/>
    <w:rsid w:val="6EF15F2A"/>
    <w:rsid w:val="6F0E708C"/>
    <w:rsid w:val="6FA17007"/>
    <w:rsid w:val="6FB52AAA"/>
    <w:rsid w:val="6FEE1AA0"/>
    <w:rsid w:val="706062E4"/>
    <w:rsid w:val="70A7132C"/>
    <w:rsid w:val="70D45BE6"/>
    <w:rsid w:val="710A2978"/>
    <w:rsid w:val="7184079E"/>
    <w:rsid w:val="71C77CE1"/>
    <w:rsid w:val="724731CF"/>
    <w:rsid w:val="72C30028"/>
    <w:rsid w:val="72D74870"/>
    <w:rsid w:val="73573580"/>
    <w:rsid w:val="738B40A6"/>
    <w:rsid w:val="7473656D"/>
    <w:rsid w:val="755C4309"/>
    <w:rsid w:val="763E1A4F"/>
    <w:rsid w:val="76843C91"/>
    <w:rsid w:val="77663E5D"/>
    <w:rsid w:val="77D82228"/>
    <w:rsid w:val="783D3F78"/>
    <w:rsid w:val="793F7A1E"/>
    <w:rsid w:val="79740ADE"/>
    <w:rsid w:val="7A9D1E01"/>
    <w:rsid w:val="7B1A30BE"/>
    <w:rsid w:val="7B6067D5"/>
    <w:rsid w:val="7BD33A53"/>
    <w:rsid w:val="7CDB174A"/>
    <w:rsid w:val="7D9E1501"/>
    <w:rsid w:val="7DD77EB6"/>
    <w:rsid w:val="7DDC5683"/>
    <w:rsid w:val="7E23469F"/>
    <w:rsid w:val="7EC9683C"/>
    <w:rsid w:val="7EDE1698"/>
    <w:rsid w:val="7EE3752A"/>
    <w:rsid w:val="7F38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eastAsia="宋体" w:cs="Times New Roman"/>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paragraph" w:customStyle="1" w:styleId="8">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9">
    <w:name w:val="font81"/>
    <w:basedOn w:val="6"/>
    <w:qFormat/>
    <w:uiPriority w:val="0"/>
    <w:rPr>
      <w:rFonts w:ascii="Calibri" w:hAnsi="Calibri" w:eastAsia="宋体" w:cs="Calibri"/>
      <w:color w:val="000000"/>
      <w:sz w:val="21"/>
      <w:szCs w:val="21"/>
      <w:u w:val="none"/>
    </w:rPr>
  </w:style>
  <w:style w:type="character" w:customStyle="1" w:styleId="10">
    <w:name w:val="font31"/>
    <w:basedOn w:val="6"/>
    <w:qFormat/>
    <w:uiPriority w:val="0"/>
    <w:rPr>
      <w:rFonts w:hint="eastAsia" w:ascii="宋体" w:hAnsi="宋体" w:eastAsia="宋体" w:cs="宋体"/>
      <w:color w:val="000000"/>
      <w:sz w:val="21"/>
      <w:szCs w:val="21"/>
      <w:u w:val="none"/>
    </w:rPr>
  </w:style>
  <w:style w:type="character" w:customStyle="1" w:styleId="11">
    <w:name w:val="font91"/>
    <w:basedOn w:val="6"/>
    <w:qFormat/>
    <w:uiPriority w:val="0"/>
    <w:rPr>
      <w:rFonts w:hint="eastAsia" w:ascii="方正仿宋_GBK" w:hAnsi="方正仿宋_GBK" w:eastAsia="方正仿宋_GBK" w:cs="方正仿宋_GBK"/>
      <w:color w:val="000000"/>
      <w:sz w:val="22"/>
      <w:szCs w:val="22"/>
      <w:u w:val="none"/>
    </w:rPr>
  </w:style>
  <w:style w:type="character" w:customStyle="1" w:styleId="12">
    <w:name w:val="font51"/>
    <w:basedOn w:val="6"/>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2023-01-03T15:04:00Z</dcterms:created>
  <dc:creator>奉节办公室</dc:creator>
  <cp:lastModifiedBy>Administrator</cp:lastModifiedBy>
  <dcterms:modified xsi:type="dcterms:W3CDTF">2023-05-25T01:41:04Z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