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pacing w:line="600" w:lineRule="exact"/>
        <w:jc w:val="center"/>
        <w:rPr>
          <w:rFonts w:hint="eastAsia" w:ascii="方正小标宋_GBK" w:hAnsi="方正小标宋_GBK" w:eastAsia="方正小标宋_GBK" w:cs="方正小标宋_GBK"/>
          <w:b w:val="0"/>
          <w:bCs w:val="0"/>
          <w:color w:val="auto"/>
          <w:sz w:val="44"/>
          <w:szCs w:val="44"/>
          <w:shd w:val="clear" w:color="auto" w:fill="FFFFFF"/>
        </w:rPr>
      </w:pPr>
      <w:r>
        <w:rPr>
          <w:rFonts w:hint="eastAsia" w:ascii="方正小标宋_GBK" w:hAnsi="方正小标宋_GBK" w:eastAsia="方正小标宋_GBK" w:cs="方正小标宋_GBK"/>
          <w:b w:val="0"/>
          <w:bCs w:val="0"/>
          <w:color w:val="auto"/>
          <w:sz w:val="44"/>
          <w:szCs w:val="44"/>
          <w:shd w:val="clear" w:color="auto" w:fill="FFFFFF"/>
        </w:rPr>
        <w:t>奉节县融媒体中心</w:t>
      </w:r>
    </w:p>
    <w:p>
      <w:pPr>
        <w:keepNext w:val="0"/>
        <w:keepLines w:val="0"/>
        <w:pageBreakBefore w:val="0"/>
        <w:kinsoku/>
        <w:wordWrap/>
        <w:overflowPunct/>
        <w:topLinePunct w:val="0"/>
        <w:bidi w:val="0"/>
        <w:spacing w:line="600" w:lineRule="exact"/>
        <w:jc w:val="center"/>
        <w:rPr>
          <w:rFonts w:hint="eastAsia" w:ascii="方正小标宋_GBK" w:hAnsi="方正小标宋_GBK" w:eastAsia="方正小标宋_GBK" w:cs="方正小标宋_GBK"/>
          <w:b w:val="0"/>
          <w:bCs w:val="0"/>
          <w:kern w:val="0"/>
          <w:sz w:val="44"/>
          <w:szCs w:val="44"/>
          <w:shd w:val="clear" w:color="auto" w:fill="FFFFFF"/>
        </w:rPr>
      </w:pPr>
      <w:r>
        <w:rPr>
          <w:rFonts w:hint="eastAsia" w:ascii="方正小标宋_GBK" w:hAnsi="方正小标宋_GBK" w:eastAsia="方正小标宋_GBK" w:cs="方正小标宋_GBK"/>
          <w:b w:val="0"/>
          <w:bCs w:val="0"/>
          <w:kern w:val="0"/>
          <w:sz w:val="44"/>
          <w:szCs w:val="44"/>
          <w:shd w:val="clear" w:color="auto" w:fill="FFFFFF"/>
        </w:rPr>
        <w:t>2022年度部门整体支出预算绩效</w:t>
      </w:r>
    </w:p>
    <w:p>
      <w:pPr>
        <w:keepNext w:val="0"/>
        <w:keepLines w:val="0"/>
        <w:pageBreakBefore w:val="0"/>
        <w:kinsoku/>
        <w:wordWrap/>
        <w:overflowPunct/>
        <w:topLinePunct w:val="0"/>
        <w:bidi w:val="0"/>
        <w:spacing w:line="600" w:lineRule="exact"/>
        <w:jc w:val="center"/>
        <w:rPr>
          <w:rFonts w:hint="eastAsia" w:ascii="方正小标宋_GBK" w:hAnsi="方正小标宋_GBK" w:eastAsia="方正小标宋_GBK" w:cs="方正小标宋_GBK"/>
          <w:b w:val="0"/>
          <w:bCs w:val="0"/>
          <w:kern w:val="0"/>
          <w:sz w:val="44"/>
          <w:szCs w:val="44"/>
          <w:shd w:val="clear" w:color="auto" w:fill="FFFFFF"/>
        </w:rPr>
      </w:pPr>
      <w:r>
        <w:rPr>
          <w:rFonts w:hint="eastAsia" w:ascii="方正小标宋_GBK" w:hAnsi="方正小标宋_GBK" w:eastAsia="方正小标宋_GBK" w:cs="方正小标宋_GBK"/>
          <w:b w:val="0"/>
          <w:bCs w:val="0"/>
          <w:kern w:val="0"/>
          <w:sz w:val="44"/>
          <w:szCs w:val="44"/>
          <w:shd w:val="clear" w:color="auto" w:fill="FFFFFF"/>
        </w:rPr>
        <w:t>的自评报告</w:t>
      </w:r>
    </w:p>
    <w:p>
      <w:pPr>
        <w:pStyle w:val="2"/>
        <w:keepNext w:val="0"/>
        <w:keepLines w:val="0"/>
        <w:pageBreakBefore w:val="0"/>
        <w:kinsoku/>
        <w:wordWrap/>
        <w:overflowPunct/>
        <w:topLinePunct w:val="0"/>
        <w:bidi w:val="0"/>
        <w:spacing w:line="600" w:lineRule="exact"/>
        <w:ind w:firstLine="640"/>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632"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一、单位概况</w:t>
      </w:r>
    </w:p>
    <w:p>
      <w:pPr>
        <w:keepNext w:val="0"/>
        <w:keepLines w:val="0"/>
        <w:pageBreakBefore w:val="0"/>
        <w:kinsoku/>
        <w:wordWrap/>
        <w:overflowPunct/>
        <w:topLinePunct w:val="0"/>
        <w:bidi w:val="0"/>
        <w:spacing w:line="600" w:lineRule="exact"/>
        <w:ind w:firstLine="632" w:firstLineChars="20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（一）基本情况</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2022年我单位预算编制范围包括：融媒体中心本级 1个单位。我单位核定人员编制数为58人（事业编制58人），实际在职在岗42人，遗属补助1人。公务用车编制数3台，实际3台。房屋建筑面积800平方米，使用面积640平方米。</w:t>
      </w:r>
    </w:p>
    <w:p>
      <w:pPr>
        <w:keepNext w:val="0"/>
        <w:keepLines w:val="0"/>
        <w:pageBreakBefore w:val="0"/>
        <w:kinsoku/>
        <w:wordWrap/>
        <w:overflowPunct/>
        <w:topLinePunct w:val="0"/>
        <w:bidi w:val="0"/>
        <w:spacing w:line="600" w:lineRule="exact"/>
        <w:ind w:firstLine="632" w:firstLineChars="20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（二）</w:t>
      </w:r>
      <w:r>
        <w:rPr>
          <w:rFonts w:hint="eastAsia" w:ascii="方正楷体_GB2312" w:hAnsi="方正楷体_GB2312" w:eastAsia="方正楷体_GB2312" w:cs="方正楷体_GB2312"/>
          <w:sz w:val="32"/>
          <w:szCs w:val="32"/>
        </w:rPr>
        <w:t>基本职责</w:t>
      </w:r>
    </w:p>
    <w:p>
      <w:pPr>
        <w:pStyle w:val="12"/>
        <w:keepNext w:val="0"/>
        <w:keepLines w:val="0"/>
        <w:pageBreakBefore w:val="0"/>
        <w:kinsoku/>
        <w:wordWrap/>
        <w:overflowPunct/>
        <w:topLinePunct w:val="0"/>
        <w:bidi w:val="0"/>
        <w:adjustRightInd w:val="0"/>
        <w:snapToGrid w:val="0"/>
        <w:spacing w:line="600" w:lineRule="exact"/>
        <w:ind w:left="420" w:firstLine="316"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奉节县融媒体中心主要职责是：</w:t>
      </w:r>
    </w:p>
    <w:p>
      <w:pPr>
        <w:pStyle w:val="12"/>
        <w:keepNext w:val="0"/>
        <w:keepLines w:val="0"/>
        <w:pageBreakBefore w:val="0"/>
        <w:kinsoku/>
        <w:wordWrap/>
        <w:overflowPunct/>
        <w:topLinePunct w:val="0"/>
        <w:bidi w:val="0"/>
        <w:adjustRightInd w:val="0"/>
        <w:snapToGrid w:val="0"/>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（1）贯彻执行党和国家有关宣传、文化工作的路线、方针、政策和法律法规。</w:t>
      </w:r>
    </w:p>
    <w:p>
      <w:pPr>
        <w:pStyle w:val="12"/>
        <w:keepNext w:val="0"/>
        <w:keepLines w:val="0"/>
        <w:pageBreakBefore w:val="0"/>
        <w:kinsoku/>
        <w:wordWrap/>
        <w:overflowPunct/>
        <w:topLinePunct w:val="0"/>
        <w:bidi w:val="0"/>
        <w:adjustRightInd w:val="0"/>
        <w:snapToGrid w:val="0"/>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（2）负责中心所属的广播、电视、报（期）刊、网站、手机客户端等平台的新闻采访、编辑、制作和播出工作。</w:t>
      </w:r>
    </w:p>
    <w:p>
      <w:pPr>
        <w:pStyle w:val="12"/>
        <w:keepNext w:val="0"/>
        <w:keepLines w:val="0"/>
        <w:pageBreakBefore w:val="0"/>
        <w:kinsoku/>
        <w:wordWrap/>
        <w:overflowPunct/>
        <w:topLinePunct w:val="0"/>
        <w:bidi w:val="0"/>
        <w:adjustRightInd w:val="0"/>
        <w:snapToGrid w:val="0"/>
        <w:spacing w:line="600" w:lineRule="exact"/>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（3）负责策划、协调、组织大型新闻行动，负责品牌形象包装、推广及管理、运营工作。</w:t>
      </w:r>
    </w:p>
    <w:p>
      <w:pPr>
        <w:pStyle w:val="12"/>
        <w:keepNext w:val="0"/>
        <w:keepLines w:val="0"/>
        <w:pageBreakBefore w:val="0"/>
        <w:numPr>
          <w:ilvl w:val="0"/>
          <w:numId w:val="0"/>
        </w:numPr>
        <w:kinsoku/>
        <w:wordWrap/>
        <w:overflowPunct/>
        <w:topLinePunct w:val="0"/>
        <w:bidi w:val="0"/>
        <w:adjustRightInd w:val="0"/>
        <w:snapToGrid w:val="0"/>
        <w:spacing w:line="600" w:lineRule="exact"/>
        <w:ind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4</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负责开展对外宣传工作。</w:t>
      </w:r>
    </w:p>
    <w:p>
      <w:pPr>
        <w:pStyle w:val="12"/>
        <w:keepNext w:val="0"/>
        <w:keepLines w:val="0"/>
        <w:pageBreakBefore w:val="0"/>
        <w:numPr>
          <w:ilvl w:val="0"/>
          <w:numId w:val="0"/>
        </w:numPr>
        <w:kinsoku/>
        <w:wordWrap/>
        <w:overflowPunct/>
        <w:topLinePunct w:val="0"/>
        <w:bidi w:val="0"/>
        <w:adjustRightInd w:val="0"/>
        <w:snapToGrid w:val="0"/>
        <w:spacing w:line="600" w:lineRule="exact"/>
        <w:ind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5</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负责发布公益广告。</w:t>
      </w:r>
    </w:p>
    <w:p>
      <w:pPr>
        <w:pStyle w:val="12"/>
        <w:keepNext w:val="0"/>
        <w:keepLines w:val="0"/>
        <w:pageBreakBefore w:val="0"/>
        <w:numPr>
          <w:ilvl w:val="0"/>
          <w:numId w:val="0"/>
        </w:numPr>
        <w:kinsoku/>
        <w:wordWrap/>
        <w:overflowPunct/>
        <w:topLinePunct w:val="0"/>
        <w:bidi w:val="0"/>
        <w:adjustRightInd w:val="0"/>
        <w:snapToGrid w:val="0"/>
        <w:spacing w:line="600" w:lineRule="exact"/>
        <w:ind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6</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负责开展新闻业务交流、培训工作。</w:t>
      </w:r>
    </w:p>
    <w:p>
      <w:pPr>
        <w:pStyle w:val="12"/>
        <w:keepNext w:val="0"/>
        <w:keepLines w:val="0"/>
        <w:pageBreakBefore w:val="0"/>
        <w:numPr>
          <w:ilvl w:val="0"/>
          <w:numId w:val="0"/>
        </w:numPr>
        <w:kinsoku/>
        <w:wordWrap/>
        <w:overflowPunct/>
        <w:topLinePunct w:val="0"/>
        <w:bidi w:val="0"/>
        <w:adjustRightInd w:val="0"/>
        <w:snapToGrid w:val="0"/>
        <w:spacing w:line="600" w:lineRule="exact"/>
        <w:ind w:left="474" w:leftChars="0"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7</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负责县域内网络、广播电视节目、新媒体编播发信息系统安全工作。</w:t>
      </w:r>
    </w:p>
    <w:p>
      <w:pPr>
        <w:pStyle w:val="12"/>
        <w:keepNext w:val="0"/>
        <w:keepLines w:val="0"/>
        <w:pageBreakBefore w:val="0"/>
        <w:numPr>
          <w:ilvl w:val="0"/>
          <w:numId w:val="0"/>
        </w:numPr>
        <w:kinsoku/>
        <w:wordWrap/>
        <w:overflowPunct/>
        <w:topLinePunct w:val="0"/>
        <w:bidi w:val="0"/>
        <w:adjustRightInd w:val="0"/>
        <w:snapToGrid w:val="0"/>
        <w:spacing w:line="600" w:lineRule="exact"/>
        <w:ind w:left="474" w:leftChars="0"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8</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负责大型活动、专题片等文化创意产业发展。</w:t>
      </w:r>
    </w:p>
    <w:p>
      <w:pPr>
        <w:pStyle w:val="12"/>
        <w:keepNext w:val="0"/>
        <w:keepLines w:val="0"/>
        <w:pageBreakBefore w:val="0"/>
        <w:numPr>
          <w:ilvl w:val="0"/>
          <w:numId w:val="0"/>
        </w:numPr>
        <w:kinsoku/>
        <w:wordWrap/>
        <w:overflowPunct/>
        <w:topLinePunct w:val="0"/>
        <w:bidi w:val="0"/>
        <w:adjustRightInd w:val="0"/>
        <w:snapToGrid w:val="0"/>
        <w:spacing w:line="600" w:lineRule="exact"/>
        <w:ind w:left="474" w:leftChars="0"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9</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参与智慧城市建设等信息技术产业发展。</w:t>
      </w:r>
    </w:p>
    <w:p>
      <w:pPr>
        <w:pStyle w:val="12"/>
        <w:keepNext w:val="0"/>
        <w:keepLines w:val="0"/>
        <w:pageBreakBefore w:val="0"/>
        <w:numPr>
          <w:ilvl w:val="0"/>
          <w:numId w:val="0"/>
        </w:numPr>
        <w:kinsoku/>
        <w:wordWrap/>
        <w:overflowPunct/>
        <w:topLinePunct w:val="0"/>
        <w:bidi w:val="0"/>
        <w:adjustRightInd w:val="0"/>
        <w:snapToGrid w:val="0"/>
        <w:spacing w:line="600" w:lineRule="exact"/>
        <w:ind w:left="474" w:leftChars="0" w:firstLine="632" w:firstLineChars="200"/>
        <w:contextualSpacing/>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10</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完成县委宣传部交办的其他任务。</w:t>
      </w:r>
    </w:p>
    <w:p>
      <w:pPr>
        <w:keepNext w:val="0"/>
        <w:keepLines w:val="0"/>
        <w:pageBreakBefore w:val="0"/>
        <w:kinsoku/>
        <w:wordWrap/>
        <w:overflowPunct/>
        <w:topLinePunct w:val="0"/>
        <w:bidi w:val="0"/>
        <w:spacing w:line="600" w:lineRule="exact"/>
        <w:ind w:firstLine="632" w:firstLineChars="20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（三）年度主要工作概述</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县融媒体中心在县委、县政府的坚强领导下，坚持以习近平新时代中国特色社会主义思想为指导，紧紧围绕全县中心工作开展全方位的宣传，突出抓好主题宣传、媒体融合、机制创新、经营创收等重点工作，取得了显著成效，为全县加快推进高质量发展提供了有力的舆论支持。</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党建引领，各项工作全面提升</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（1）压实党建责任，抓好党建“主业”</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（2）防范意识形态领域风险</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（3）筑牢拒腐防变思想防线</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围绕中心，舆论引导精准有力</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（1）内宣有声有色。</w:t>
      </w:r>
      <w:r>
        <w:rPr>
          <w:rFonts w:hint="eastAsia" w:ascii="方正仿宋_GBK" w:hAnsi="方正仿宋_GBK" w:eastAsia="方正仿宋_GBK" w:cs="方正仿宋_GBK"/>
          <w:sz w:val="32"/>
          <w:szCs w:val="32"/>
        </w:rPr>
        <w:t>围绕县委县政府中心工作，统筹做好各平台发布，实现“统筹策划、一次采集、多种生成”目标。</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（2）外宣再创佳绩。</w:t>
      </w:r>
      <w:r>
        <w:rPr>
          <w:rFonts w:hint="eastAsia" w:ascii="方正仿宋_GBK" w:hAnsi="方正仿宋_GBK" w:eastAsia="方正仿宋_GBK" w:cs="方正仿宋_GBK"/>
          <w:sz w:val="32"/>
          <w:szCs w:val="32"/>
        </w:rPr>
        <w:t>高效整合媒体资源，“声频报网端”齐上阵，融媒产品在量与质上显著提升，传播力和影响力继续增强。</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（3）是安全播发得保障。</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加强学习，提升全媒体采编技能</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（1）充实人才队伍。</w:t>
      </w:r>
    </w:p>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（2）加大技能培训。</w:t>
      </w:r>
    </w:p>
    <w:p>
      <w:pPr>
        <w:pStyle w:val="2"/>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hAnsi="方正仿宋_GBK" w:cs="方正仿宋_GBK"/>
          <w:sz w:val="32"/>
          <w:szCs w:val="32"/>
          <w:lang w:val="en-US" w:eastAsia="zh-CN"/>
        </w:rPr>
        <w:t>.</w:t>
      </w:r>
      <w:r>
        <w:rPr>
          <w:rFonts w:hint="eastAsia" w:ascii="方正仿宋_GBK" w:hAnsi="方正仿宋_GBK" w:eastAsia="方正仿宋_GBK" w:cs="方正仿宋_GBK"/>
          <w:sz w:val="32"/>
          <w:szCs w:val="32"/>
        </w:rPr>
        <w:t>发挥优势，提高自身“造血”能力</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10月，县融媒体中心经县政府批准，注册成立国有企业——重庆早发文化传媒有限公司，公司实行企业化运营，在内容、渠道、平台、经营、管理等方面进行制度化的再造，由县融媒体中心管理，利润全部交融媒体中心，用于事业发展以及职工绩效工资、日常运转费用等。</w:t>
      </w:r>
    </w:p>
    <w:p>
      <w:pPr>
        <w:keepNext w:val="0"/>
        <w:keepLines w:val="0"/>
        <w:pageBreakBefore w:val="0"/>
        <w:kinsoku/>
        <w:wordWrap/>
        <w:overflowPunct/>
        <w:topLinePunct w:val="0"/>
        <w:bidi w:val="0"/>
        <w:spacing w:line="600" w:lineRule="exact"/>
        <w:ind w:firstLine="632" w:firstLineChars="20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（四）绩效目标</w:t>
      </w:r>
    </w:p>
    <w:p>
      <w:pPr>
        <w:pStyle w:val="2"/>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rPr>
        <w:t>2022年我单位年初预算项目支出801.08万元，年中追加中央补助地方公共文化服务体系建设中央广播电视节目无线覆盖运行维护专项资金32万元，追加山东对口支援巩固脱贫衔接乡村振兴—奉节县电视网络直播推广项目25万元。</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由于年中追加了预算，对整体支出绩效目标进行了调整，我单位根据调整后的整体支出绩效目标开展了自评。</w:t>
      </w:r>
    </w:p>
    <w:p>
      <w:pPr>
        <w:keepNext w:val="0"/>
        <w:keepLines w:val="0"/>
        <w:pageBreakBefore w:val="0"/>
        <w:kinsoku/>
        <w:wordWrap/>
        <w:overflowPunct/>
        <w:topLinePunct w:val="0"/>
        <w:bidi w:val="0"/>
        <w:spacing w:line="600" w:lineRule="exact"/>
        <w:ind w:firstLine="632" w:firstLineChars="20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（五）年度预决算情况</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2022年初预算总收入为1667.63万元，年中追加收入57万元，全年总收入为1661.28万元；全年总支出为1661.28万元，其中：基本支出804.28万元（工资福利支出577.74万元、商品和服务支出176.44万元、对个人和家庭的补助50.1万元），项目支出857万元。</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b/>
          <w:bCs/>
          <w:sz w:val="32"/>
          <w:szCs w:val="32"/>
        </w:rPr>
        <w:t>年初</w:t>
      </w:r>
      <w:r>
        <w:rPr>
          <w:rFonts w:hint="eastAsia" w:ascii="方正仿宋_GBK" w:hAnsi="方正仿宋_GBK" w:eastAsia="方正仿宋_GBK" w:cs="方正仿宋_GBK"/>
          <w:sz w:val="32"/>
          <w:szCs w:val="32"/>
        </w:rPr>
        <w:t>预算收入1667.63万元，其中：财政拨款收入年初预算1667.63万元（一般公共预算收入1667.63万元，政府基金预算收入0万元，国有资本经营收入预算0万元，社保基金预算收入0万元，其他收入0万元），</w:t>
      </w:r>
      <w:r>
        <w:rPr>
          <w:rFonts w:hint="eastAsia" w:ascii="方正仿宋_GBK" w:hAnsi="方正仿宋_GBK" w:eastAsia="方正仿宋_GBK" w:cs="方正仿宋_GBK"/>
          <w:b/>
          <w:bCs/>
          <w:sz w:val="32"/>
          <w:szCs w:val="32"/>
        </w:rPr>
        <w:t>年中</w:t>
      </w:r>
      <w:r>
        <w:rPr>
          <w:rFonts w:hint="eastAsia" w:ascii="方正仿宋_GBK" w:hAnsi="方正仿宋_GBK" w:eastAsia="方正仿宋_GBK" w:cs="方正仿宋_GBK"/>
          <w:sz w:val="32"/>
          <w:szCs w:val="32"/>
        </w:rPr>
        <w:t>追加专项资金57万元（一般公共预算收入57万元，政府基金预算收入0万元，国有资本经营收入预算0万元，社保基金预算收入0万元，其他收入0万元），共计收入1661.28万元。</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年初预算支出1667.63万元，基本支出866.55万元（工资福利支出678.08万元、商品和服务支出143.25万元、对个人和家庭的补助45.22万元），项目支出801.08万元；年中追加（2个项目）专项支出57万元，共计支出为1661.28万元。</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b w:val="0"/>
          <w:bCs w:val="0"/>
          <w:sz w:val="32"/>
          <w:szCs w:val="32"/>
        </w:rPr>
        <w:t>二、整体支出管理及使用情况</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（一）基本支出：</w:t>
      </w:r>
      <w:r>
        <w:rPr>
          <w:rFonts w:hint="eastAsia" w:ascii="方正仿宋_GBK" w:hAnsi="方正仿宋_GBK" w:eastAsia="方正仿宋_GBK" w:cs="方正仿宋_GBK"/>
          <w:sz w:val="32"/>
          <w:szCs w:val="32"/>
        </w:rPr>
        <w:t>2022年度我单位基本支出804.28万元，其中：人员支出627.84万元，公用支出176.44万元。</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三公经费支出15.93万元（预算为16万元），同比去年持平。其中：公务接待费3.95万元（预算为4万元），同比去年持平，公务用车运行维护费11.99万元（预算为12万元），同比上年持平，政府采购完成0万元（预算为0万元），同比上持平。</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（二）项目支出：</w:t>
      </w:r>
      <w:r>
        <w:rPr>
          <w:rFonts w:hint="eastAsia" w:ascii="方正仿宋_GBK" w:hAnsi="方正仿宋_GBK" w:eastAsia="方正仿宋_GBK" w:cs="方正仿宋_GBK"/>
          <w:sz w:val="32"/>
          <w:szCs w:val="32"/>
        </w:rPr>
        <w:t>2022年财政拨款项目支出857万元，同比上年583万元增加47%（其中：一般公共预算收入2021年项目经费300万元纳入2022年使用）。 </w:t>
      </w:r>
    </w:p>
    <w:p>
      <w:pPr>
        <w:keepNext w:val="0"/>
        <w:keepLines w:val="0"/>
        <w:pageBreakBefore w:val="0"/>
        <w:kinsoku/>
        <w:wordWrap/>
        <w:overflowPunct/>
        <w:topLinePunct w:val="0"/>
        <w:bidi w:val="0"/>
        <w:spacing w:line="600" w:lineRule="exact"/>
        <w:ind w:firstLine="632"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三、整体支出绩效情况</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（一）财务管理制度建设情况：</w:t>
      </w:r>
      <w:r>
        <w:rPr>
          <w:rFonts w:hint="eastAsia" w:ascii="方正仿宋_GBK" w:hAnsi="方正仿宋_GBK" w:eastAsia="方正仿宋_GBK" w:cs="方正仿宋_GBK"/>
          <w:sz w:val="32"/>
          <w:szCs w:val="32"/>
        </w:rPr>
        <w:t>资金拨付严格按程序申报、审批，合理合规使用资金，确保财政资金安全。</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（二）资产管理：</w:t>
      </w:r>
      <w:r>
        <w:rPr>
          <w:rFonts w:hint="eastAsia" w:ascii="方正仿宋_GBK" w:hAnsi="方正仿宋_GBK" w:eastAsia="方正仿宋_GBK" w:cs="方正仿宋_GBK"/>
          <w:sz w:val="32"/>
          <w:szCs w:val="32"/>
        </w:rPr>
        <w:t>按照要求及时报送资产情况报表，确保各项资产核算准确、帐实相符、管理到位。</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（三）预决算公开：</w:t>
      </w:r>
      <w:r>
        <w:rPr>
          <w:rFonts w:hint="eastAsia" w:ascii="方正仿宋_GBK" w:hAnsi="方正仿宋_GBK" w:eastAsia="方正仿宋_GBK" w:cs="方正仿宋_GBK"/>
          <w:sz w:val="32"/>
          <w:szCs w:val="32"/>
        </w:rPr>
        <w:t>在县人民政府门户网站上按时进行了预决算公开。</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（四）“三公经费”控制情况：</w:t>
      </w:r>
      <w:r>
        <w:rPr>
          <w:rFonts w:hint="eastAsia" w:ascii="方正仿宋_GBK" w:hAnsi="方正仿宋_GBK" w:eastAsia="方正仿宋_GBK" w:cs="方正仿宋_GBK"/>
          <w:sz w:val="32"/>
          <w:szCs w:val="32"/>
        </w:rPr>
        <w:t>能严格遵守各项规章制度，严控“三公”经费支出，并及时在县人民政府门户网站上对“三公”经费情况进行公示。</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（五）政府采购情况：</w:t>
      </w:r>
      <w:r>
        <w:rPr>
          <w:rFonts w:hint="eastAsia" w:ascii="方正仿宋_GBK" w:hAnsi="方正仿宋_GBK" w:eastAsia="方正仿宋_GBK" w:cs="方正仿宋_GBK"/>
          <w:sz w:val="32"/>
          <w:szCs w:val="32"/>
        </w:rPr>
        <w:t>2022年我单位无政府采购。</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楷体_GB2312" w:hAnsi="方正楷体_GB2312" w:eastAsia="方正楷体_GB2312" w:cs="方正楷体_GB2312"/>
          <w:sz w:val="32"/>
          <w:szCs w:val="32"/>
        </w:rPr>
        <w:t>（六）认真履行职责情况：</w:t>
      </w:r>
      <w:r>
        <w:rPr>
          <w:rFonts w:hint="eastAsia" w:ascii="方正仿宋_GBK" w:hAnsi="方正仿宋_GBK" w:eastAsia="方正仿宋_GBK" w:cs="方正仿宋_GBK"/>
          <w:sz w:val="32"/>
          <w:szCs w:val="32"/>
        </w:rPr>
        <w:t>我单位按照三定方案,认真履行职能职责。积极配合县委县政府抓好意识形态相关工作，高度重视网络舆情监测、研判、处置等工作。</w:t>
      </w:r>
    </w:p>
    <w:p>
      <w:pPr>
        <w:keepNext w:val="0"/>
        <w:keepLines w:val="0"/>
        <w:pageBreakBefore w:val="0"/>
        <w:numPr>
          <w:ilvl w:val="0"/>
          <w:numId w:val="0"/>
        </w:numPr>
        <w:kinsoku/>
        <w:wordWrap/>
        <w:overflowPunct/>
        <w:topLinePunct w:val="0"/>
        <w:bidi w:val="0"/>
        <w:spacing w:line="600" w:lineRule="exact"/>
        <w:ind w:left="640" w:leftChars="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四、</w:t>
      </w:r>
      <w:r>
        <w:rPr>
          <w:rFonts w:hint="eastAsia" w:ascii="方正黑体_GBK" w:hAnsi="方正黑体_GBK" w:eastAsia="方正黑体_GBK" w:cs="方正黑体_GBK"/>
          <w:color w:val="000000"/>
          <w:sz w:val="32"/>
          <w:szCs w:val="32"/>
        </w:rPr>
        <w:t>评价结论及分析</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通过认真开展单位整体支出绩效目标自评，综合评分99分，评价结果为（</w:t>
      </w:r>
      <w:r>
        <w:rPr>
          <w:rFonts w:hint="eastAsia" w:ascii="方正仿宋_GBK" w:hAnsi="方正仿宋_GBK" w:eastAsia="方正仿宋_GBK" w:cs="方正仿宋_GBK"/>
          <w:sz w:val="32"/>
          <w:szCs w:val="32"/>
        </w:rPr>
        <w:t>优</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bidi w:val="0"/>
        <w:spacing w:line="600" w:lineRule="exact"/>
        <w:ind w:left="640"/>
        <w:rPr>
          <w:rFonts w:hint="eastAsia" w:ascii="方正楷体_GB2312" w:hAnsi="方正楷体_GB2312" w:eastAsia="方正楷体_GB2312" w:cs="方正楷体_GB2312"/>
          <w:color w:val="000000"/>
          <w:sz w:val="32"/>
          <w:szCs w:val="32"/>
        </w:rPr>
      </w:pPr>
      <w:r>
        <w:rPr>
          <w:rFonts w:hint="eastAsia" w:ascii="方正楷体_GB2312" w:hAnsi="方正楷体_GB2312" w:eastAsia="方正楷体_GB2312" w:cs="方正楷体_GB2312"/>
          <w:color w:val="000000"/>
          <w:sz w:val="32"/>
          <w:szCs w:val="32"/>
        </w:rPr>
        <w:t>（一）经济性分析</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执行绩效评价体系，从以下几个方面提升了我单位的绩效工作：</w:t>
      </w:r>
      <w:r>
        <w:rPr>
          <w:rFonts w:hint="eastAsia" w:ascii="方正仿宋_GBK" w:hAnsi="方正仿宋_GBK" w:eastAsia="方正仿宋_GBK" w:cs="方正仿宋_GBK"/>
          <w:sz w:val="32"/>
          <w:szCs w:val="32"/>
        </w:rPr>
        <w:t>一是要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keepNext w:val="0"/>
        <w:keepLines w:val="0"/>
        <w:pageBreakBefore w:val="0"/>
        <w:kinsoku/>
        <w:wordWrap/>
        <w:overflowPunct/>
        <w:topLinePunct w:val="0"/>
        <w:bidi w:val="0"/>
        <w:spacing w:line="600" w:lineRule="exact"/>
        <w:ind w:left="640"/>
        <w:rPr>
          <w:rFonts w:hint="eastAsia" w:ascii="方正楷体_GB2312" w:hAnsi="方正楷体_GB2312" w:eastAsia="方正楷体_GB2312" w:cs="方正楷体_GB2312"/>
          <w:color w:val="000000"/>
          <w:sz w:val="32"/>
          <w:szCs w:val="32"/>
        </w:rPr>
      </w:pPr>
      <w:r>
        <w:rPr>
          <w:rFonts w:hint="eastAsia" w:ascii="方正楷体_GB2312" w:hAnsi="方正楷体_GB2312" w:eastAsia="方正楷体_GB2312" w:cs="方正楷体_GB2312"/>
          <w:color w:val="000000"/>
          <w:sz w:val="32"/>
          <w:szCs w:val="32"/>
        </w:rPr>
        <w:t>（二）效率性分析</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2022年，融媒体中心取得了良好成绩，提高了财政资金使用效率。</w:t>
      </w:r>
    </w:p>
    <w:p>
      <w:pPr>
        <w:keepNext w:val="0"/>
        <w:keepLines w:val="0"/>
        <w:pageBreakBefore w:val="0"/>
        <w:kinsoku/>
        <w:wordWrap/>
        <w:overflowPunct/>
        <w:topLinePunct w:val="0"/>
        <w:bidi w:val="0"/>
        <w:spacing w:line="600" w:lineRule="exact"/>
        <w:ind w:left="640"/>
        <w:rPr>
          <w:rFonts w:hint="eastAsia" w:ascii="方正楷体_GB2312" w:hAnsi="方正楷体_GB2312" w:eastAsia="方正楷体_GB2312" w:cs="方正楷体_GB2312"/>
          <w:color w:val="000000"/>
          <w:sz w:val="32"/>
          <w:szCs w:val="32"/>
        </w:rPr>
      </w:pPr>
      <w:r>
        <w:rPr>
          <w:rFonts w:hint="eastAsia" w:ascii="方正楷体_GB2312" w:hAnsi="方正楷体_GB2312" w:eastAsia="方正楷体_GB2312" w:cs="方正楷体_GB2312"/>
          <w:color w:val="000000"/>
          <w:sz w:val="32"/>
          <w:szCs w:val="32"/>
        </w:rPr>
        <w:t>（三）效益性分析</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2022年，我单位的绩效评价工作在县委</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县</w:t>
      </w:r>
      <w:r>
        <w:rPr>
          <w:rFonts w:hint="eastAsia" w:ascii="方正仿宋_GBK" w:hAnsi="方正仿宋_GBK" w:cs="方正仿宋_GBK"/>
          <w:sz w:val="32"/>
          <w:szCs w:val="32"/>
          <w:lang w:eastAsia="zh-CN"/>
        </w:rPr>
        <w:t>政</w:t>
      </w:r>
      <w:bookmarkStart w:id="0" w:name="_GoBack"/>
      <w:bookmarkEnd w:id="0"/>
      <w:r>
        <w:rPr>
          <w:rFonts w:hint="eastAsia" w:ascii="方正仿宋_GBK" w:hAnsi="方正仿宋_GBK" w:eastAsia="方正仿宋_GBK" w:cs="方正仿宋_GBK"/>
          <w:sz w:val="32"/>
          <w:szCs w:val="32"/>
        </w:rPr>
        <w:t>府的坚强领导下，在主管部门的监督指导下，在社会各界的大力支持下，深入挖掘增收潜力，坚持稳增长、调结构、促改革、惠民生、防风险，各项支出得到较好保障，为建设融媒体中心提供了坚强保障。</w:t>
      </w:r>
    </w:p>
    <w:p>
      <w:pPr>
        <w:keepNext w:val="0"/>
        <w:keepLines w:val="0"/>
        <w:pageBreakBefore w:val="0"/>
        <w:kinsoku/>
        <w:wordWrap/>
        <w:overflowPunct/>
        <w:topLinePunct w:val="0"/>
        <w:bidi w:val="0"/>
        <w:spacing w:line="600" w:lineRule="exact"/>
        <w:ind w:firstLine="632"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五、存在的问题</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（一）因业务水平有限，年初预算的编制支出类别上理解不够，比如基本支出和项目支出，在日常业务操作时容易出错。</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（二）预决算项目支出编制需进一步明确、精细化。同时项目执行率需进一步提高。</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pStyle w:val="2"/>
        <w:rPr>
          <w:rFonts w:hint="default" w:eastAsia="方正仿宋_GBK"/>
          <w:lang w:val="en-US" w:eastAsia="zh-CN"/>
        </w:rPr>
      </w:pPr>
      <w:r>
        <w:rPr>
          <w:rFonts w:hint="eastAsia" w:hAnsi="方正仿宋_GBK" w:cs="方正仿宋_GBK"/>
          <w:sz w:val="32"/>
          <w:szCs w:val="32"/>
          <w:lang w:val="en-US" w:eastAsia="zh-CN"/>
        </w:rPr>
        <w:t>（四）本年公务卡刷卡率未完成年初设定的目标，扣分1分。</w:t>
      </w:r>
    </w:p>
    <w:p>
      <w:pPr>
        <w:keepNext w:val="0"/>
        <w:keepLines w:val="0"/>
        <w:pageBreakBefore w:val="0"/>
        <w:kinsoku/>
        <w:wordWrap/>
        <w:overflowPunct/>
        <w:topLinePunct w:val="0"/>
        <w:bidi w:val="0"/>
        <w:spacing w:line="600" w:lineRule="exact"/>
        <w:ind w:firstLine="632"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六、改进措施和有关建议</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（一）细化预算编制工作，进一步加强内设机构的预算管理意识，严格按照预算编制的相关制度和要求进行预算编制。</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加强财务管理，严格财务审核。加强单位财务管理，健全单位财务管理制度体系，规范单位财务行为。在费用报账支付时，按照预算规定的费用项目和用途进行资金使用审核、财务严格核算，杜绝超支现象的发生</w:t>
      </w:r>
      <w:r>
        <w:rPr>
          <w:rFonts w:hint="eastAsia" w:ascii="方正仿宋_GBK" w:hAnsi="方正仿宋_GBK" w:cs="方正仿宋_GBK"/>
          <w:sz w:val="32"/>
          <w:szCs w:val="32"/>
          <w:lang w:eastAsia="zh-CN"/>
        </w:rPr>
        <w:t>，提高公务卡刷卡率。</w:t>
      </w: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（三）合理安排会计岗位，适当增加会计人员，增加业务知识培训，加强决算工作与账务处理工作衔接。        </w:t>
      </w:r>
    </w:p>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附件：部门（单位）整体支出预算绩效自评表</w:t>
      </w:r>
    </w:p>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5056" w:firstLineChars="1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奉节县融媒体中心</w:t>
      </w:r>
    </w:p>
    <w:p>
      <w:pPr>
        <w:keepNext w:val="0"/>
        <w:keepLines w:val="0"/>
        <w:pageBreakBefore w:val="0"/>
        <w:kinsoku/>
        <w:wordWrap/>
        <w:overflowPunct/>
        <w:topLinePunct w:val="0"/>
        <w:bidi w:val="0"/>
        <w:spacing w:line="600" w:lineRule="exact"/>
        <w:ind w:firstLine="5037" w:firstLineChars="1594"/>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2023年1月29日</w:t>
      </w:r>
    </w:p>
    <w:p>
      <w:pPr>
        <w:pStyle w:val="2"/>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tbl>
      <w:tblPr>
        <w:tblStyle w:val="7"/>
        <w:tblW w:w="8556" w:type="dxa"/>
        <w:tblInd w:w="93" w:type="dxa"/>
        <w:tblLayout w:type="fixed"/>
        <w:tblCellMar>
          <w:top w:w="0" w:type="dxa"/>
          <w:left w:w="108" w:type="dxa"/>
          <w:bottom w:w="0" w:type="dxa"/>
          <w:right w:w="108" w:type="dxa"/>
        </w:tblCellMar>
      </w:tblPr>
      <w:tblGrid>
        <w:gridCol w:w="1266"/>
        <w:gridCol w:w="1215"/>
        <w:gridCol w:w="1815"/>
        <w:gridCol w:w="1066"/>
        <w:gridCol w:w="1124"/>
        <w:gridCol w:w="1020"/>
        <w:gridCol w:w="1050"/>
      </w:tblGrid>
      <w:tr>
        <w:tblPrEx>
          <w:tblLayout w:type="fixed"/>
          <w:tblCellMar>
            <w:top w:w="0" w:type="dxa"/>
            <w:left w:w="108" w:type="dxa"/>
            <w:bottom w:w="0" w:type="dxa"/>
            <w:right w:w="108" w:type="dxa"/>
          </w:tblCellMar>
        </w:tblPrEx>
        <w:trPr>
          <w:trHeight w:val="927" w:hRule="atLeast"/>
        </w:trPr>
        <w:tc>
          <w:tcPr>
            <w:tcW w:w="8556" w:type="dxa"/>
            <w:gridSpan w:val="7"/>
            <w:tcBorders>
              <w:top w:val="nil"/>
              <w:left w:val="nil"/>
              <w:bottom w:val="nil"/>
              <w:right w:val="nil"/>
            </w:tcBorders>
            <w:vAlign w:val="center"/>
          </w:tcPr>
          <w:p>
            <w:pPr>
              <w:pStyle w:val="2"/>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部门（单位）整体支出预算绩效自评表</w:t>
            </w:r>
          </w:p>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p>
        </w:tc>
      </w:tr>
      <w:tr>
        <w:tblPrEx>
          <w:tblLayout w:type="fixed"/>
          <w:tblCellMar>
            <w:top w:w="0" w:type="dxa"/>
            <w:left w:w="108" w:type="dxa"/>
            <w:bottom w:w="0" w:type="dxa"/>
            <w:right w:w="108" w:type="dxa"/>
          </w:tblCellMar>
        </w:tblPrEx>
        <w:trPr>
          <w:trHeight w:val="315" w:hRule="atLeast"/>
        </w:trPr>
        <w:tc>
          <w:tcPr>
            <w:tcW w:w="8556" w:type="dxa"/>
            <w:gridSpan w:val="7"/>
            <w:tcBorders>
              <w:top w:val="nil"/>
              <w:left w:val="nil"/>
              <w:bottom w:val="nil"/>
              <w:right w:val="nil"/>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w:t>
            </w:r>
            <w:r>
              <w:rPr>
                <w:rStyle w:val="8"/>
                <w:rFonts w:hint="eastAsia" w:ascii="方正仿宋_GBK" w:hAnsi="方正仿宋_GBK" w:eastAsia="方正仿宋_GBK" w:cs="方正仿宋_GBK"/>
                <w:sz w:val="32"/>
                <w:szCs w:val="32"/>
              </w:rPr>
              <w:t>2022</w:t>
            </w:r>
            <w:r>
              <w:rPr>
                <w:rStyle w:val="9"/>
                <w:rFonts w:hint="eastAsia" w:ascii="方正仿宋_GBK" w:hAnsi="方正仿宋_GBK" w:eastAsia="方正仿宋_GBK" w:cs="方正仿宋_GBK"/>
                <w:sz w:val="32"/>
                <w:szCs w:val="32"/>
              </w:rPr>
              <w:t>年度）</w:t>
            </w:r>
          </w:p>
        </w:tc>
      </w:tr>
      <w:tr>
        <w:tblPrEx>
          <w:tblLayout w:type="fixed"/>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部门名称</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奉节县融媒体中心</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内设机构个数</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职工实有人数</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105</w:t>
            </w:r>
          </w:p>
        </w:tc>
      </w:tr>
      <w:tr>
        <w:tblPrEx>
          <w:tblLayout w:type="fixed"/>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项目负责人</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骆奎廷</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联系电话</w:t>
            </w:r>
          </w:p>
        </w:tc>
        <w:tc>
          <w:tcPr>
            <w:tcW w:w="20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13996685811</w:t>
            </w:r>
          </w:p>
        </w:tc>
      </w:tr>
      <w:tr>
        <w:tblPrEx>
          <w:tblLayout w:type="fixed"/>
          <w:tblCellMar>
            <w:top w:w="0" w:type="dxa"/>
            <w:left w:w="108" w:type="dxa"/>
            <w:bottom w:w="0" w:type="dxa"/>
            <w:right w:w="108" w:type="dxa"/>
          </w:tblCellMar>
        </w:tblPrEx>
        <w:trPr>
          <w:trHeight w:val="570" w:hRule="atLeast"/>
        </w:trPr>
        <w:tc>
          <w:tcPr>
            <w:tcW w:w="1266" w:type="dxa"/>
            <w:vMerge w:val="restart"/>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预算及执行整体规模（万元）</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资金来源与结构</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年初预算</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追加预算</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预算执行</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执行率%</w:t>
            </w: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right"/>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资金来源：（</w:t>
            </w:r>
            <w:r>
              <w:rPr>
                <w:rStyle w:val="10"/>
                <w:rFonts w:hint="eastAsia" w:ascii="方正仿宋_GBK" w:hAnsi="方正仿宋_GBK" w:eastAsia="方正仿宋_GBK" w:cs="方正仿宋_GBK"/>
                <w:sz w:val="32"/>
                <w:szCs w:val="32"/>
              </w:rPr>
              <w:t>1</w:t>
            </w:r>
            <w:r>
              <w:rPr>
                <w:rStyle w:val="11"/>
                <w:rFonts w:hint="eastAsia" w:ascii="方正仿宋_GBK" w:hAnsi="方正仿宋_GBK" w:eastAsia="方正仿宋_GBK" w:cs="方正仿宋_GBK"/>
                <w:sz w:val="32"/>
                <w:szCs w:val="32"/>
              </w:rPr>
              <w:t>）财政拨款</w:t>
            </w:r>
          </w:p>
        </w:tc>
        <w:tc>
          <w:tcPr>
            <w:tcW w:w="106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1667.63</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1661.28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99.62</w:t>
            </w: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right"/>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（2）其他资金</w:t>
            </w:r>
          </w:p>
        </w:tc>
        <w:tc>
          <w:tcPr>
            <w:tcW w:w="106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right"/>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资金结构：（</w:t>
            </w:r>
            <w:r>
              <w:rPr>
                <w:rStyle w:val="10"/>
                <w:rFonts w:hint="eastAsia" w:ascii="方正仿宋_GBK" w:hAnsi="方正仿宋_GBK" w:eastAsia="方正仿宋_GBK" w:cs="方正仿宋_GBK"/>
                <w:sz w:val="32"/>
                <w:szCs w:val="32"/>
              </w:rPr>
              <w:t>1</w:t>
            </w:r>
            <w:r>
              <w:rPr>
                <w:rStyle w:val="11"/>
                <w:rFonts w:hint="eastAsia" w:ascii="方正仿宋_GBK" w:hAnsi="方正仿宋_GBK" w:eastAsia="方正仿宋_GBK" w:cs="方正仿宋_GBK"/>
                <w:sz w:val="32"/>
                <w:szCs w:val="32"/>
              </w:rPr>
              <w:t>）基本支出</w:t>
            </w:r>
          </w:p>
        </w:tc>
        <w:tc>
          <w:tcPr>
            <w:tcW w:w="106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866.55</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-62.27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804.28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92.81</w:t>
            </w:r>
          </w:p>
        </w:tc>
      </w:tr>
      <w:tr>
        <w:tblPrEx>
          <w:tblLayout w:type="fixed"/>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right"/>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（2）项目支出</w:t>
            </w:r>
          </w:p>
        </w:tc>
        <w:tc>
          <w:tcPr>
            <w:tcW w:w="106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801.08</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857</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106.98</w:t>
            </w:r>
          </w:p>
        </w:tc>
      </w:tr>
      <w:tr>
        <w:tblPrEx>
          <w:tblLayout w:type="fixed"/>
          <w:tblCellMar>
            <w:top w:w="0" w:type="dxa"/>
            <w:left w:w="108" w:type="dxa"/>
            <w:bottom w:w="0" w:type="dxa"/>
            <w:right w:w="108" w:type="dxa"/>
          </w:tblCellMar>
        </w:tblPrEx>
        <w:trPr>
          <w:trHeight w:val="925" w:hRule="atLeast"/>
        </w:trPr>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年度总</w:t>
            </w:r>
            <w:r>
              <w:rPr>
                <w:rFonts w:hint="eastAsia" w:ascii="方正仿宋_GBK" w:hAnsi="方正仿宋_GBK" w:eastAsia="方正仿宋_GBK" w:cs="方正仿宋_GBK"/>
                <w:b/>
                <w:bCs/>
                <w:color w:val="000000"/>
                <w:kern w:val="0"/>
                <w:sz w:val="32"/>
                <w:szCs w:val="32"/>
              </w:rPr>
              <w:br w:type="textWrapping"/>
            </w:r>
            <w:r>
              <w:rPr>
                <w:rFonts w:hint="eastAsia" w:ascii="方正仿宋_GBK" w:hAnsi="方正仿宋_GBK" w:eastAsia="方正仿宋_GBK" w:cs="方正仿宋_GBK"/>
                <w:b/>
                <w:bCs/>
                <w:color w:val="000000"/>
                <w:kern w:val="0"/>
                <w:sz w:val="32"/>
                <w:szCs w:val="32"/>
              </w:rPr>
              <w:t>体目标      及完成情况</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年初工作 计划综述</w:t>
            </w:r>
          </w:p>
        </w:tc>
        <w:tc>
          <w:tcPr>
            <w:tcW w:w="60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一、“筑”牢根基，以党建统揽全局   </w:t>
            </w:r>
          </w:p>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（一）加强理论学习，提升政治意识和政治素养。（二）防范风险隐患，巩固意识形态主阵地。二、“全”链传播，构建多渠道宣传态势</w:t>
            </w:r>
          </w:p>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（一）抓主业内强宣传。（二）抓创新促进发展。（三）抓重点外展形象。（四）抓关键发挥优势。三、“慎”终如始，确保安全播出零事故</w:t>
            </w:r>
          </w:p>
        </w:tc>
      </w:tr>
      <w:tr>
        <w:tblPrEx>
          <w:tblLayout w:type="fixed"/>
          <w:tblCellMar>
            <w:top w:w="0" w:type="dxa"/>
            <w:left w:w="108" w:type="dxa"/>
            <w:bottom w:w="0" w:type="dxa"/>
            <w:right w:w="108" w:type="dxa"/>
          </w:tblCellMar>
        </w:tblPrEx>
        <w:trPr>
          <w:trHeight w:val="1240" w:hRule="atLeast"/>
        </w:trPr>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全年完成 情况综述</w:t>
            </w:r>
          </w:p>
        </w:tc>
        <w:tc>
          <w:tcPr>
            <w:tcW w:w="60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600" w:lineRule="exact"/>
              <w:ind w:firstLine="632"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2022年，县融媒体中心在县委、县政府的坚强领导下，坚持以习近平新时代中国特色社会主义思想为指导，紧紧围绕全县中心工作开展全方位的宣传，突出抓好主题宣传、媒体融合、机制创新、经营创收等重点工作，取得了显著成效，为全县加快推进高质量发展提供了有力的舆论支持。</w:t>
            </w:r>
          </w:p>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r>
      <w:tr>
        <w:tblPrEx>
          <w:tblLayout w:type="fixed"/>
          <w:tblCellMar>
            <w:top w:w="0" w:type="dxa"/>
            <w:left w:w="108" w:type="dxa"/>
            <w:bottom w:w="0" w:type="dxa"/>
            <w:right w:w="108" w:type="dxa"/>
          </w:tblCellMar>
        </w:tblPrEx>
        <w:trPr>
          <w:trHeight w:val="460" w:hRule="atLeast"/>
        </w:trPr>
        <w:tc>
          <w:tcPr>
            <w:tcW w:w="8556" w:type="dxa"/>
            <w:gridSpan w:val="7"/>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分解目标自评</w:t>
            </w:r>
          </w:p>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p>
        </w:tc>
      </w:tr>
      <w:tr>
        <w:tblPrEx>
          <w:tblLayout w:type="fixed"/>
          <w:tblCellMar>
            <w:top w:w="0" w:type="dxa"/>
            <w:left w:w="108" w:type="dxa"/>
            <w:bottom w:w="0" w:type="dxa"/>
            <w:right w:w="108" w:type="dxa"/>
          </w:tblCellMar>
        </w:tblPrEx>
        <w:trPr>
          <w:trHeight w:val="47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一级指标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二级指标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三级指标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指标值</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分值</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完成值</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自评得分</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tbl>
            <w:tblPr>
              <w:tblStyle w:val="7"/>
              <w:tblW w:w="6960" w:type="dxa"/>
              <w:tblInd w:w="0" w:type="dxa"/>
              <w:tblLayout w:type="fixed"/>
              <w:tblCellMar>
                <w:top w:w="0" w:type="dxa"/>
                <w:left w:w="108" w:type="dxa"/>
                <w:bottom w:w="0" w:type="dxa"/>
                <w:right w:w="108" w:type="dxa"/>
              </w:tblCellMar>
            </w:tblPr>
            <w:tblGrid>
              <w:gridCol w:w="1600"/>
              <w:gridCol w:w="1500"/>
              <w:gridCol w:w="3860"/>
            </w:tblGrid>
            <w:tr>
              <w:tblPrEx>
                <w:tblLayout w:type="fixed"/>
                <w:tblCellMar>
                  <w:top w:w="0" w:type="dxa"/>
                  <w:left w:w="108" w:type="dxa"/>
                  <w:bottom w:w="0" w:type="dxa"/>
                  <w:right w:w="108" w:type="dxa"/>
                </w:tblCellMar>
              </w:tblPrEx>
              <w:trPr>
                <w:trHeight w:val="600" w:hRule="atLeast"/>
              </w:trPr>
              <w:tc>
                <w:tcPr>
                  <w:tcW w:w="1600"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bidi w:val="0"/>
                    <w:spacing w:line="600" w:lineRule="exact"/>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数量指标</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600" w:lineRule="exact"/>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tc>
              <w:tc>
                <w:tcPr>
                  <w:tcW w:w="38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600" w:lineRule="exact"/>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实际完成率</w:t>
                  </w:r>
                </w:p>
              </w:tc>
            </w:tr>
          </w:tbl>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实际完成率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p>
        </w:tc>
      </w:tr>
      <w:tr>
        <w:tblPrEx>
          <w:tblLayout w:type="fixed"/>
          <w:tblCellMar>
            <w:top w:w="0" w:type="dxa"/>
            <w:left w:w="108" w:type="dxa"/>
            <w:bottom w:w="0" w:type="dxa"/>
            <w:right w:w="108" w:type="dxa"/>
          </w:tblCellMar>
        </w:tblPrEx>
        <w:trPr>
          <w:trHeight w:val="30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质量达标率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完成及时率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成本指标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成本节约率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w:t>
            </w:r>
          </w:p>
        </w:tc>
      </w:tr>
      <w:tr>
        <w:tblPrEx>
          <w:tblLayout w:type="fixed"/>
          <w:tblCellMar>
            <w:top w:w="0" w:type="dxa"/>
            <w:left w:w="108" w:type="dxa"/>
            <w:bottom w:w="0" w:type="dxa"/>
            <w:right w:w="108" w:type="dxa"/>
          </w:tblCellMar>
        </w:tblPrEx>
        <w:trPr>
          <w:trHeight w:val="9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项目评价完成率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p>
        </w:tc>
      </w:tr>
      <w:tr>
        <w:tblPrEx>
          <w:tblLayout w:type="fixed"/>
          <w:tblCellMar>
            <w:top w:w="0" w:type="dxa"/>
            <w:left w:w="108" w:type="dxa"/>
            <w:bottom w:w="0" w:type="dxa"/>
            <w:right w:w="108" w:type="dxa"/>
          </w:tblCellMar>
        </w:tblPrEx>
        <w:trPr>
          <w:trHeight w:val="651"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个性指标完成率</w:t>
            </w:r>
          </w:p>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32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公务卡刷卡率</w:t>
            </w:r>
          </w:p>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0</w:t>
            </w:r>
          </w:p>
        </w:tc>
      </w:tr>
      <w:tr>
        <w:tblPrEx>
          <w:tblLayout w:type="fixed"/>
          <w:tblCellMar>
            <w:top w:w="0" w:type="dxa"/>
            <w:left w:w="108" w:type="dxa"/>
            <w:bottom w:w="0" w:type="dxa"/>
            <w:right w:w="108" w:type="dxa"/>
          </w:tblCellMar>
        </w:tblPrEx>
        <w:trPr>
          <w:trHeight w:val="36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公用经费控制率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共性指标完成率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固定资产利用率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95%</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管理制度健全性</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绩效目标合格率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64"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三公经费控制率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6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项目监控到位率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项目完成率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信息公开完整率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预算编制完整率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预算编制准确率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预算执行力</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在职人员控制率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64.5%</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72.4%</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政府采购执行率</w:t>
            </w:r>
          </w:p>
        </w:tc>
        <w:tc>
          <w:tcPr>
            <w:tcW w:w="10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136"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资金结转结余率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0%</w:t>
            </w:r>
          </w:p>
        </w:tc>
        <w:tc>
          <w:tcPr>
            <w:tcW w:w="1124"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0%</w:t>
            </w:r>
          </w:p>
        </w:tc>
        <w:tc>
          <w:tcPr>
            <w:tcW w:w="10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21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z w:val="32"/>
                <w:szCs w:val="32"/>
              </w:rPr>
              <w:t>质量指标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资金使用合规性</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103"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时效指标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项目实施率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p>
        </w:tc>
      </w:tr>
      <w:tr>
        <w:tblPrEx>
          <w:tblLayout w:type="fixed"/>
          <w:tblCellMar>
            <w:top w:w="0" w:type="dxa"/>
            <w:left w:w="108" w:type="dxa"/>
            <w:bottom w:w="0" w:type="dxa"/>
            <w:right w:w="108" w:type="dxa"/>
          </w:tblCellMar>
        </w:tblPrEx>
        <w:trPr>
          <w:trHeight w:val="160"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时效指标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信息公开及时率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0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r>
      <w:tr>
        <w:tblPrEx>
          <w:tblLayout w:type="fixed"/>
          <w:tblCellMar>
            <w:top w:w="0" w:type="dxa"/>
            <w:left w:w="108" w:type="dxa"/>
            <w:bottom w:w="0" w:type="dxa"/>
            <w:right w:w="108" w:type="dxa"/>
          </w:tblCellMar>
        </w:tblPrEx>
        <w:trPr>
          <w:trHeight w:val="213"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成本指标</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经济成本指标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单位运行人均成本变化</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81%</w:t>
            </w:r>
          </w:p>
        </w:tc>
        <w:tc>
          <w:tcPr>
            <w:tcW w:w="112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81%</w:t>
            </w:r>
          </w:p>
        </w:tc>
        <w:tc>
          <w:tcPr>
            <w:tcW w:w="105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带动经济发展</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明显改善</w:t>
            </w:r>
          </w:p>
        </w:tc>
        <w:tc>
          <w:tcPr>
            <w:tcW w:w="1124"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明显改善</w:t>
            </w: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单位正常运转</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ind w:firstLine="158" w:firstLineChars="5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维护社会稳定</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169"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可持续发展能力</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可持续发展能力</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管理制度可持续性</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124"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132"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服务对象满意度</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sz w:val="32"/>
                <w:szCs w:val="32"/>
              </w:rPr>
              <w:t>服务对象满意度</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社会公众满意度</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90%</w:t>
            </w:r>
          </w:p>
        </w:tc>
        <w:tc>
          <w:tcPr>
            <w:tcW w:w="112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w:t>
            </w:r>
          </w:p>
        </w:tc>
        <w:tc>
          <w:tcPr>
            <w:tcW w:w="10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90%</w:t>
            </w:r>
          </w:p>
        </w:tc>
        <w:tc>
          <w:tcPr>
            <w:tcW w:w="105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w:t>
            </w:r>
          </w:p>
        </w:tc>
      </w:tr>
      <w:tr>
        <w:tblPrEx>
          <w:tblLayout w:type="fixed"/>
          <w:tblCellMar>
            <w:top w:w="0" w:type="dxa"/>
            <w:left w:w="108" w:type="dxa"/>
            <w:bottom w:w="0" w:type="dxa"/>
            <w:right w:w="108" w:type="dxa"/>
          </w:tblCellMar>
        </w:tblPrEx>
        <w:trPr>
          <w:trHeight w:val="190"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管理效率</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sz w:val="32"/>
                <w:szCs w:val="32"/>
              </w:rPr>
              <w:t>管理效率</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sz w:val="32"/>
                <w:szCs w:val="32"/>
              </w:rPr>
              <w:t>管理效率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95%</w:t>
            </w:r>
          </w:p>
        </w:tc>
        <w:tc>
          <w:tcPr>
            <w:tcW w:w="1124"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95%</w:t>
            </w: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p>
        </w:tc>
      </w:tr>
      <w:tr>
        <w:tblPrEx>
          <w:tblLayout w:type="fixed"/>
          <w:tblCellMar>
            <w:top w:w="0" w:type="dxa"/>
            <w:left w:w="108" w:type="dxa"/>
            <w:bottom w:w="0" w:type="dxa"/>
            <w:right w:w="108" w:type="dxa"/>
          </w:tblCellMar>
        </w:tblPrEx>
        <w:trPr>
          <w:trHeight w:val="178"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124"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99</w:t>
            </w:r>
          </w:p>
        </w:tc>
      </w:tr>
      <w:tr>
        <w:tblPrEx>
          <w:tblLayout w:type="fixed"/>
          <w:tblCellMar>
            <w:top w:w="0" w:type="dxa"/>
            <w:left w:w="108" w:type="dxa"/>
            <w:bottom w:w="0" w:type="dxa"/>
            <w:right w:w="108" w:type="dxa"/>
          </w:tblCellMar>
        </w:tblPrEx>
        <w:trPr>
          <w:trHeight w:val="186"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12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5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r>
      <w:tr>
        <w:tblPrEx>
          <w:tblLayout w:type="fixed"/>
          <w:tblCellMar>
            <w:top w:w="0" w:type="dxa"/>
            <w:left w:w="108" w:type="dxa"/>
            <w:bottom w:w="0" w:type="dxa"/>
            <w:right w:w="108" w:type="dxa"/>
          </w:tblCellMar>
        </w:tblPrEx>
        <w:trPr>
          <w:trHeight w:val="136"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kern w:val="0"/>
                <w:sz w:val="32"/>
                <w:szCs w:val="32"/>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124"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r>
      <w:tr>
        <w:tblPrEx>
          <w:tblLayout w:type="fixed"/>
          <w:tblCellMar>
            <w:top w:w="0" w:type="dxa"/>
            <w:left w:w="108" w:type="dxa"/>
            <w:bottom w:w="0" w:type="dxa"/>
            <w:right w:w="108" w:type="dxa"/>
          </w:tblCellMar>
        </w:tblPrEx>
        <w:trPr>
          <w:trHeight w:val="380" w:hRule="atLeast"/>
        </w:trPr>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b/>
                <w:bCs/>
                <w:color w:val="000000"/>
                <w:sz w:val="32"/>
                <w:szCs w:val="32"/>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c>
          <w:tcPr>
            <w:tcW w:w="112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sz w:val="32"/>
                <w:szCs w:val="32"/>
              </w:rPr>
            </w:pPr>
          </w:p>
        </w:tc>
      </w:tr>
      <w:tr>
        <w:tblPrEx>
          <w:tblLayout w:type="fixed"/>
          <w:tblCellMar>
            <w:top w:w="0" w:type="dxa"/>
            <w:left w:w="108" w:type="dxa"/>
            <w:bottom w:w="0" w:type="dxa"/>
            <w:right w:w="108" w:type="dxa"/>
          </w:tblCellMar>
        </w:tblPrEx>
        <w:trPr>
          <w:trHeight w:val="330" w:hRule="atLeast"/>
        </w:trPr>
        <w:tc>
          <w:tcPr>
            <w:tcW w:w="4296"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kern w:val="0"/>
                <w:sz w:val="32"/>
                <w:szCs w:val="32"/>
              </w:rPr>
              <w:t>分值合计：</w:t>
            </w:r>
          </w:p>
        </w:tc>
        <w:tc>
          <w:tcPr>
            <w:tcW w:w="106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9</w:t>
            </w:r>
            <w:r>
              <w:rPr>
                <w:rFonts w:hint="eastAsia" w:ascii="方正仿宋_GBK" w:hAnsi="方正仿宋_GBK" w:cs="方正仿宋_GBK"/>
                <w:color w:val="000000"/>
                <w:sz w:val="32"/>
                <w:szCs w:val="32"/>
                <w:lang w:val="en-US" w:eastAsia="zh-CN"/>
              </w:rPr>
              <w:t>9</w:t>
            </w:r>
          </w:p>
        </w:tc>
      </w:tr>
      <w:tr>
        <w:tblPrEx>
          <w:tblLayout w:type="fixed"/>
          <w:tblCellMar>
            <w:top w:w="0" w:type="dxa"/>
            <w:left w:w="108" w:type="dxa"/>
            <w:bottom w:w="0" w:type="dxa"/>
            <w:right w:w="108" w:type="dxa"/>
          </w:tblCellMar>
        </w:tblPrEx>
        <w:trPr>
          <w:trHeight w:val="415" w:hRule="atLeast"/>
        </w:trPr>
        <w:tc>
          <w:tcPr>
            <w:tcW w:w="2481" w:type="dxa"/>
            <w:gridSpan w:val="2"/>
            <w:tcBorders>
              <w:top w:val="nil"/>
              <w:left w:val="nil"/>
              <w:bottom w:val="nil"/>
              <w:right w:val="nil"/>
            </w:tcBorders>
            <w:vAlign w:val="center"/>
          </w:tcPr>
          <w:p>
            <w:pPr>
              <w:keepNext w:val="0"/>
              <w:keepLines w:val="0"/>
              <w:pageBreakBefore w:val="0"/>
              <w:widowControl/>
              <w:kinsoku/>
              <w:wordWrap/>
              <w:overflowPunct/>
              <w:topLinePunct w:val="0"/>
              <w:bidi w:val="0"/>
              <w:spacing w:line="600" w:lineRule="exact"/>
              <w:jc w:val="left"/>
              <w:textAlignment w:val="center"/>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kern w:val="0"/>
                <w:sz w:val="32"/>
                <w:szCs w:val="32"/>
              </w:rPr>
              <w:t>单位负责人：</w:t>
            </w:r>
            <w:r>
              <w:rPr>
                <w:rFonts w:hint="eastAsia" w:ascii="方正仿宋_GBK" w:hAnsi="方正仿宋_GBK" w:cs="方正仿宋_GBK"/>
                <w:color w:val="000000"/>
                <w:kern w:val="0"/>
                <w:sz w:val="32"/>
                <w:szCs w:val="32"/>
                <w:lang w:eastAsia="zh-CN"/>
              </w:rPr>
              <w:t>吴勇</w:t>
            </w:r>
          </w:p>
        </w:tc>
        <w:tc>
          <w:tcPr>
            <w:tcW w:w="1815" w:type="dxa"/>
            <w:tcBorders>
              <w:top w:val="nil"/>
              <w:left w:val="nil"/>
              <w:bottom w:val="nil"/>
              <w:right w:val="nil"/>
            </w:tcBorders>
            <w:vAlign w:val="center"/>
          </w:tcPr>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kern w:val="0"/>
                <w:sz w:val="32"/>
                <w:szCs w:val="32"/>
              </w:rPr>
              <w:t>填表人：</w:t>
            </w:r>
            <w:r>
              <w:rPr>
                <w:rFonts w:hint="eastAsia" w:ascii="方正仿宋_GBK" w:hAnsi="方正仿宋_GBK" w:cs="方正仿宋_GBK"/>
                <w:color w:val="000000"/>
                <w:kern w:val="0"/>
                <w:sz w:val="32"/>
                <w:szCs w:val="32"/>
                <w:lang w:eastAsia="zh-CN"/>
              </w:rPr>
              <w:t>李玉梅</w:t>
            </w:r>
          </w:p>
        </w:tc>
        <w:tc>
          <w:tcPr>
            <w:tcW w:w="1066" w:type="dxa"/>
            <w:tcBorders>
              <w:top w:val="nil"/>
              <w:left w:val="nil"/>
              <w:bottom w:val="nil"/>
              <w:right w:val="nil"/>
            </w:tcBorders>
            <w:vAlign w:val="center"/>
          </w:tcPr>
          <w:p>
            <w:pPr>
              <w:keepNext w:val="0"/>
              <w:keepLines w:val="0"/>
              <w:pageBreakBefore w:val="0"/>
              <w:widowControl/>
              <w:kinsoku/>
              <w:wordWrap/>
              <w:overflowPunct/>
              <w:topLinePunct w:val="0"/>
              <w:bidi w:val="0"/>
              <w:spacing w:line="600" w:lineRule="exact"/>
              <w:jc w:val="left"/>
              <w:textAlignment w:val="center"/>
              <w:rPr>
                <w:rFonts w:hint="eastAsia" w:ascii="方正仿宋_GBK" w:hAnsi="方正仿宋_GBK" w:eastAsia="方正仿宋_GBK" w:cs="方正仿宋_GBK"/>
                <w:color w:val="000000"/>
                <w:sz w:val="32"/>
                <w:szCs w:val="32"/>
              </w:rPr>
            </w:pPr>
          </w:p>
        </w:tc>
        <w:tc>
          <w:tcPr>
            <w:tcW w:w="3194" w:type="dxa"/>
            <w:gridSpan w:val="3"/>
            <w:tcBorders>
              <w:top w:val="nil"/>
              <w:left w:val="nil"/>
              <w:bottom w:val="nil"/>
              <w:right w:val="nil"/>
            </w:tcBorders>
            <w:vAlign w:val="center"/>
          </w:tcPr>
          <w:p>
            <w:pPr>
              <w:keepNext w:val="0"/>
              <w:keepLines w:val="0"/>
              <w:pageBreakBefore w:val="0"/>
              <w:kinsoku/>
              <w:wordWrap/>
              <w:overflowPunct/>
              <w:topLinePunct w:val="0"/>
              <w:bidi w:val="0"/>
              <w:spacing w:line="600" w:lineRule="exact"/>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填表日期：</w:t>
            </w:r>
            <w:r>
              <w:rPr>
                <w:rFonts w:hint="eastAsia" w:ascii="方正仿宋_GBK" w:hAnsi="方正仿宋_GBK" w:cs="方正仿宋_GBK"/>
                <w:color w:val="000000"/>
                <w:kern w:val="0"/>
                <w:sz w:val="32"/>
                <w:szCs w:val="32"/>
                <w:lang w:val="en-US" w:eastAsia="zh-CN"/>
              </w:rPr>
              <w:t>2023年1月29日</w:t>
            </w:r>
          </w:p>
        </w:tc>
      </w:tr>
    </w:tbl>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pacing w:line="600" w:lineRule="exact"/>
        <w:jc w:val="both"/>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rPr>
          <w:rFonts w:hint="eastAsia" w:ascii="方正仿宋_GBK" w:hAnsi="方正仿宋_GBK" w:eastAsia="方正仿宋_GBK" w:cs="方正仿宋_GBK"/>
          <w:sz w:val="32"/>
          <w:szCs w:val="32"/>
        </w:rPr>
      </w:pPr>
    </w:p>
    <w:sectPr>
      <w:headerReference r:id="rId3" w:type="default"/>
      <w:footerReference r:id="rId5" w:type="default"/>
      <w:headerReference r:id="rId4" w:type="even"/>
      <w:footerReference r:id="rId6"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6"/>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rStyle w:val="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6"/>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rStyle w:val="6"/>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MzJlMWNhZDFlYjc3ZDI3ZGZiNTI1YTU3MmNlYzkifQ=="/>
  </w:docVars>
  <w:rsids>
    <w:rsidRoot w:val="562B1582"/>
    <w:rsid w:val="000428D7"/>
    <w:rsid w:val="000D1AE6"/>
    <w:rsid w:val="000F3EBB"/>
    <w:rsid w:val="001D1DA9"/>
    <w:rsid w:val="001E1584"/>
    <w:rsid w:val="002131D8"/>
    <w:rsid w:val="0031545A"/>
    <w:rsid w:val="003726AC"/>
    <w:rsid w:val="003748B7"/>
    <w:rsid w:val="0037625E"/>
    <w:rsid w:val="00381647"/>
    <w:rsid w:val="003A0172"/>
    <w:rsid w:val="003B582C"/>
    <w:rsid w:val="00402978"/>
    <w:rsid w:val="0046330D"/>
    <w:rsid w:val="0048578A"/>
    <w:rsid w:val="004A3C03"/>
    <w:rsid w:val="00554DD5"/>
    <w:rsid w:val="005661C2"/>
    <w:rsid w:val="0056732C"/>
    <w:rsid w:val="0057626F"/>
    <w:rsid w:val="005C6943"/>
    <w:rsid w:val="006224DC"/>
    <w:rsid w:val="00625C01"/>
    <w:rsid w:val="006458FF"/>
    <w:rsid w:val="006553C4"/>
    <w:rsid w:val="00822034"/>
    <w:rsid w:val="00826C93"/>
    <w:rsid w:val="00927723"/>
    <w:rsid w:val="00937FE0"/>
    <w:rsid w:val="009960EE"/>
    <w:rsid w:val="009B00E4"/>
    <w:rsid w:val="00A21E7D"/>
    <w:rsid w:val="00A418DF"/>
    <w:rsid w:val="00A5737B"/>
    <w:rsid w:val="00A87F52"/>
    <w:rsid w:val="00C01534"/>
    <w:rsid w:val="00C12A03"/>
    <w:rsid w:val="00C16B48"/>
    <w:rsid w:val="00C332BB"/>
    <w:rsid w:val="00C739DC"/>
    <w:rsid w:val="00C90094"/>
    <w:rsid w:val="00C91602"/>
    <w:rsid w:val="00CB1381"/>
    <w:rsid w:val="00CD6195"/>
    <w:rsid w:val="00CE51E2"/>
    <w:rsid w:val="00D203B8"/>
    <w:rsid w:val="00D31ED5"/>
    <w:rsid w:val="00D85CF7"/>
    <w:rsid w:val="00E12BA4"/>
    <w:rsid w:val="00E85CCE"/>
    <w:rsid w:val="00E96B66"/>
    <w:rsid w:val="00EE2387"/>
    <w:rsid w:val="00EE767F"/>
    <w:rsid w:val="00EF7677"/>
    <w:rsid w:val="00F423D2"/>
    <w:rsid w:val="00F55688"/>
    <w:rsid w:val="00F877FC"/>
    <w:rsid w:val="00FB24B9"/>
    <w:rsid w:val="00FE0B88"/>
    <w:rsid w:val="00FE7C8F"/>
    <w:rsid w:val="16885074"/>
    <w:rsid w:val="2F0959F8"/>
    <w:rsid w:val="49B90057"/>
    <w:rsid w:val="562B1582"/>
    <w:rsid w:val="568D4344"/>
    <w:rsid w:val="6AB337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customStyle="1" w:styleId="8">
    <w:name w:val="font81"/>
    <w:basedOn w:val="5"/>
    <w:qFormat/>
    <w:uiPriority w:val="0"/>
    <w:rPr>
      <w:rFonts w:ascii="Calibri" w:hAnsi="Calibri" w:eastAsia="宋体" w:cs="Calibri"/>
      <w:color w:val="000000"/>
      <w:sz w:val="21"/>
      <w:szCs w:val="21"/>
      <w:u w:val="none"/>
    </w:rPr>
  </w:style>
  <w:style w:type="character" w:customStyle="1" w:styleId="9">
    <w:name w:val="font31"/>
    <w:basedOn w:val="5"/>
    <w:qFormat/>
    <w:uiPriority w:val="0"/>
    <w:rPr>
      <w:rFonts w:hint="eastAsia" w:ascii="宋体" w:hAnsi="宋体" w:eastAsia="宋体" w:cs="宋体"/>
      <w:color w:val="000000"/>
      <w:sz w:val="21"/>
      <w:szCs w:val="21"/>
      <w:u w:val="none"/>
    </w:rPr>
  </w:style>
  <w:style w:type="character" w:customStyle="1" w:styleId="10">
    <w:name w:val="font91"/>
    <w:basedOn w:val="5"/>
    <w:qFormat/>
    <w:uiPriority w:val="0"/>
    <w:rPr>
      <w:rFonts w:hint="eastAsia" w:ascii="方正仿宋_GBK" w:hAnsi="方正仿宋_GBK" w:eastAsia="方正仿宋_GBK" w:cs="方正仿宋_GBK"/>
      <w:color w:val="000000"/>
      <w:sz w:val="22"/>
      <w:szCs w:val="22"/>
      <w:u w:val="none"/>
    </w:rPr>
  </w:style>
  <w:style w:type="character" w:customStyle="1" w:styleId="11">
    <w:name w:val="font51"/>
    <w:basedOn w:val="5"/>
    <w:qFormat/>
    <w:uiPriority w:val="0"/>
    <w:rPr>
      <w:rFonts w:hint="eastAsia" w:ascii="方正仿宋_GBK" w:hAnsi="方正仿宋_GBK" w:eastAsia="方正仿宋_GBK" w:cs="方正仿宋_GBK"/>
      <w:color w:val="000000"/>
      <w:sz w:val="22"/>
      <w:szCs w:val="22"/>
      <w:u w:val="none"/>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3883</Words>
  <Characters>4335</Characters>
  <Lines>34</Lines>
  <Paragraphs>9</Paragraphs>
  <TotalTime>0</TotalTime>
  <ScaleCrop>false</ScaleCrop>
  <LinksUpToDate>false</LinksUpToDate>
  <CharactersWithSpaces>4356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2023-01-03T07:04:00Z</dcterms:created>
  <dc:creator>奉节办公室</dc:creator>
  <cp:lastModifiedBy>杨帆</cp:lastModifiedBy>
  <cp:lastPrinted>2023-02-10T09:22:00Z</cp:lastPrinted>
  <dcterms:modified xsi:type="dcterms:W3CDTF">2023-08-23T09:46:36Z</dcterms:modified>
  <dc:title>奉节县融媒体中心</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4609C88BA68E4E08A92D0316E09BA691</vt:lpwstr>
  </property>
</Properties>
</file>