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2127"/>
          <w:tab w:val="left" w:pos="7513"/>
          <w:tab w:val="left" w:pos="7938"/>
        </w:tabs>
        <w:adjustRightInd w:val="0"/>
        <w:snapToGrid w:val="0"/>
        <w:spacing w:line="560" w:lineRule="exact"/>
        <w:rPr>
          <w:rFonts w:hint="default" w:ascii="Times New Roman" w:hAnsi="Times New Roman" w:eastAsia="仿宋_GB2312" w:cs="Times New Roman"/>
          <w:color w:val="auto"/>
          <w:lang w:val="en-US" w:eastAsia="zh-CN"/>
        </w:rPr>
      </w:pPr>
    </w:p>
    <w:p>
      <w:pPr>
        <w:adjustRightInd w:val="0"/>
        <w:snapToGrid w:val="0"/>
        <w:spacing w:line="560" w:lineRule="exact"/>
        <w:rPr>
          <w:rFonts w:hint="default" w:ascii="Times New Roman" w:hAnsi="Times New Roman" w:cs="Times New Roman"/>
          <w:color w:val="auto"/>
        </w:rPr>
      </w:pPr>
    </w:p>
    <w:p>
      <w:pPr>
        <w:adjustRightInd w:val="0"/>
        <w:snapToGrid w:val="0"/>
        <w:spacing w:line="560" w:lineRule="exact"/>
        <w:rPr>
          <w:rFonts w:hint="default" w:ascii="Times New Roman" w:hAnsi="Times New Roman" w:cs="Times New Roman"/>
          <w:color w:val="auto"/>
        </w:rPr>
      </w:pPr>
    </w:p>
    <w:p>
      <w:pPr>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color w:val="auto"/>
        </w:rPr>
        <w:pict>
          <v:shape id="_x0000_s1026" o:spid="_x0000_s1026" o:spt="136" type="#_x0000_t136" style="position:absolute;left:0pt;margin-left:92.5pt;margin-top:85.25pt;height:53.85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奉节县迎峰度夏电力保供工作小组办公室" style="font-family:方正小标宋_GBK;font-size:36pt;font-weight:bold;v-text-align:center;"/>
          </v:shape>
        </w:pict>
      </w:r>
    </w:p>
    <w:p>
      <w:pPr>
        <w:tabs>
          <w:tab w:val="left" w:pos="1701"/>
        </w:tabs>
        <w:adjustRightInd w:val="0"/>
        <w:snapToGrid w:val="0"/>
        <w:spacing w:line="560" w:lineRule="exact"/>
        <w:rPr>
          <w:rFonts w:hint="default" w:ascii="Times New Roman" w:hAnsi="Times New Roman" w:cs="Times New Roman"/>
          <w:color w:val="auto"/>
        </w:rPr>
      </w:pPr>
    </w:p>
    <w:p>
      <w:pPr>
        <w:adjustRightInd w:val="0"/>
        <w:snapToGrid w:val="0"/>
        <w:spacing w:line="560" w:lineRule="exact"/>
        <w:rPr>
          <w:rFonts w:hint="default" w:ascii="Times New Roman" w:hAnsi="Times New Roman" w:cs="Times New Roman"/>
          <w:color w:val="auto"/>
        </w:rPr>
      </w:pPr>
    </w:p>
    <w:p>
      <w:pPr>
        <w:adjustRightInd w:val="0"/>
        <w:snapToGrid w:val="0"/>
        <w:spacing w:line="560" w:lineRule="exact"/>
        <w:rPr>
          <w:rFonts w:hint="default" w:ascii="Times New Roman" w:hAnsi="Times New Roman" w:cs="Times New Roman"/>
          <w:color w:val="auto"/>
        </w:rPr>
      </w:pPr>
    </w:p>
    <w:p>
      <w:pPr>
        <w:snapToGrid w:val="0"/>
        <w:spacing w:line="560" w:lineRule="exact"/>
        <w:jc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奉节</w:t>
      </w:r>
      <w:r>
        <w:rPr>
          <w:rFonts w:hint="default" w:ascii="Times New Roman" w:hAnsi="Times New Roman" w:eastAsia="方正仿宋_GBK" w:cs="Times New Roman"/>
          <w:color w:val="auto"/>
          <w:sz w:val="32"/>
          <w:lang w:eastAsia="zh-CN"/>
        </w:rPr>
        <w:t>经信</w:t>
      </w:r>
      <w:r>
        <w:rPr>
          <w:rFonts w:hint="default" w:ascii="Times New Roman" w:hAnsi="Times New Roman" w:eastAsia="方正仿宋_GBK" w:cs="Times New Roman"/>
          <w:color w:val="auto"/>
          <w:sz w:val="32"/>
        </w:rPr>
        <w:t>发〔</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2023</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29</w:t>
      </w:r>
      <w:r>
        <w:rPr>
          <w:rFonts w:hint="default" w:ascii="Times New Roman" w:hAnsi="Times New Roman" w:eastAsia="方正仿宋_GBK" w:cs="Times New Roman"/>
          <w:color w:val="auto"/>
          <w:sz w:val="32"/>
        </w:rPr>
        <w:t>号</w:t>
      </w:r>
    </w:p>
    <w:p>
      <w:pPr>
        <w:keepNext w:val="0"/>
        <w:keepLines w:val="0"/>
        <w:pageBreakBefore w:val="0"/>
        <w:widowControl w:val="0"/>
        <w:tabs>
          <w:tab w:val="left" w:pos="2552"/>
          <w:tab w:val="left" w:pos="6096"/>
        </w:tabs>
        <w:kinsoku/>
        <w:wordWrap/>
        <w:overflowPunct/>
        <w:topLinePunct w:val="0"/>
        <w:bidi w:val="0"/>
        <w:snapToGrid w:val="0"/>
        <w:spacing w:line="600" w:lineRule="exact"/>
        <w:textAlignment w:val="auto"/>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61312" behindDoc="0" locked="0" layoutInCell="1" allowOverlap="1">
                <wp:simplePos x="0" y="0"/>
                <wp:positionH relativeFrom="page">
                  <wp:posOffset>974725</wp:posOffset>
                </wp:positionH>
                <wp:positionV relativeFrom="margin">
                  <wp:posOffset>2949575</wp:posOffset>
                </wp:positionV>
                <wp:extent cx="5615940" cy="0"/>
                <wp:effectExtent l="0" t="10795" r="7620" b="1206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6.75pt;margin-top:232.25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EsOBhDZAAAADAEAAA8AAABkcnMvZG93bnJldi54bWxNj81OwzAQhO9IvIO1&#10;SNyoXdqmJcTpAQkkfqW0PICTLElUex1iNy08PVsJCW47u6PZb7L10Vkx4hA6TxqmEwUCqfJ1R42G&#10;9+391QpEiIZqYz2hhi8MsM7PzzKT1v5ABY6b2AgOoZAaDW2MfSplqFp0Jkx8j8S3Dz84E1kOjawH&#10;c+BwZ+W1Uol0piP+0Joe71qsdpu945RxuXt5fv0uPp86/1g8JG9lY1Hry4upugUR8Rj/zHDCZ3TI&#10;man0e6qDsKwXswVbNcyTOQ8nh5otb0CUvyuZZ/J/ifwHUEsDBBQAAAAIAIdO4kC2z3kx3QEAAJoD&#10;AAAOAAAAZHJzL2Uyb0RvYy54bWytU0uOEzEQ3SNxB8t70p2IjKCVziwmhA2CSMABKra725J/cjnp&#10;5BJcAIkdrFiy5zYMx6DsZDJ8NgjhRXXZVX5V77l6cX2whu1VRO1dy6eTmjPlhJfa9S1/+2b96Aln&#10;mMBJMN6plh8V8uvlwweLMTRq5gdvpIqMQBw2Y2j5kFJoqgrFoCzgxAflKNj5aCHRNvaVjDASujXV&#10;rK6vqtFHGaIXCpFOV6cgXxb8rlMiveo6VImZllNvqdhY7DbbarmApo8QBi3ObcA/dGFBOyp6gVpB&#10;AraL+g8oq0X06Ls0Ed5Wvuu0UIUDsZnWv7F5PUBQhQuJg+EiE/4/WPFyv4lMS3o7zhxYeqLb91++&#10;vfv4/esHsrefP7FpFmkM2FDujdvE8w7DJmbGhy7a/CUu7FCEPV6EVYfEBB3Or6bzp49Jf3EXq+4v&#10;hojpufKWZaflRrvMGRrYv8BExSj1LiUfG8fGls9ozQkPaGY6A4lcG4gFur5cRm+0XGtj8hWM/fbG&#10;RLYHmoL1uqaVORHwL2m5ygpwOOWV0Gk+BgXymZMsHQPp42iQee7BKsmZUTT32SNAaBJo8zeZVNo4&#10;6iDLehIye1svj/QauxB1P5AUKe5UaTQHaQBKy+dhzRP2876A3f9S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LDgYQ2QAAAAwBAAAPAAAAAAAAAAEAIAAAADgAAABkcnMvZG93bnJldi54bWxQSwEC&#10;FAAUAAAACACHTuJAts95Md0BAACaAwAADgAAAAAAAAABACAAAAA+AQAAZHJzL2Uyb0RvYy54bWxQ&#10;SwUGAAAAAAYABgBZAQAAjQUAAAAA&#10;">
                <v:fill on="f" focussize="0,0"/>
                <v:stroke weight="1.75pt" color="#FF0000" joinstyle="round"/>
                <v:imagedata o:title=""/>
                <o:lock v:ext="edit" aspectratio="f"/>
              </v:line>
            </w:pict>
          </mc:Fallback>
        </mc:AlternateContent>
      </w:r>
    </w:p>
    <w:p>
      <w:pPr>
        <w:pStyle w:val="15"/>
        <w:rPr>
          <w:rFonts w:hint="default" w:ascii="Times New Roman" w:hAnsi="Times New Roman" w:eastAsia="方正小标宋_GBK" w:cs="Times New Roman"/>
          <w:color w:val="auto"/>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奉节县迎峰度夏电力保供工作小组办公室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关于鼓励工业企业采用柴油发电机组在迎峰度夏用电高峰期间自发电保生产的通知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小标宋_GBK"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各乡镇人民政府、街道办事处，县政府有关部门，有关单位</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认真落实县委、县政府迎峰度夏电力保供工作部署，千方百计挖掘电力供应潜力，降低极端情况对我县工业企业用电的影响，最大限度保障工业企业生产用电需求。经研究，按照企业自愿的原则，适度鼓励全县工业企业租赁(购置)柴油发电机组，在迎峰度夏用电高峰期自发电保生产，积极应对电力供需紧张形势，确保全县产业链供应链稳定，助力全县经济社会稳定发展。现就有关事宜通知如下：</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一、工作安排</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(一)细化清单(6月10日前)。</w:t>
      </w:r>
      <w:r>
        <w:rPr>
          <w:rFonts w:hint="default" w:ascii="Times New Roman" w:hAnsi="Times New Roman" w:eastAsia="方正仿宋_GBK" w:cs="Times New Roman"/>
          <w:sz w:val="32"/>
          <w:szCs w:val="32"/>
          <w:lang w:val="en-US" w:eastAsia="zh-CN"/>
        </w:rPr>
        <w:t>各乡镇街道、生态工业园区联合辖区供电所，向工业企业宣传柴油发电保供的相关支持政策和实施过程，鼓励工业企业自愿租赁(购置)柴油发电机组在度夏用电高峰期间自发电保障生产。建立辖区工业企业租赁(购置)柴油发电机组需求清单，收集汇总后报县迎峰度夏电力保供工作小组。</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(二)供需对接(6月15日前)。</w:t>
      </w:r>
      <w:r>
        <w:rPr>
          <w:rFonts w:hint="default" w:ascii="Times New Roman" w:hAnsi="Times New Roman" w:eastAsia="方正仿宋_GBK" w:cs="Times New Roman"/>
          <w:sz w:val="32"/>
          <w:szCs w:val="32"/>
          <w:lang w:val="en-US" w:eastAsia="zh-CN"/>
        </w:rPr>
        <w:t>各乡镇街道、生态工业园区根据实际情况，采取宣讲会等方式，组织柴油发电机组租赁企业和工业企业进行对接，商洽柴油发电机组租赁容量、方式、价格、时限等，及时签订租赁合同。各乡镇街道、生态工业园区及时收集工业企业的柴油发电机组租赁合同，若发现柴油发电机组租赁企业恶意哄抬租赁价格或租赁价格高于承诺价格时，及时将有关情况报送县迎峰度夏电力保供工作小组。县迎峰度夏电力保供工作小组办公室在对柴油发电机租赁企业摸底的基础上，加强租赁服务监督指导工作。</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(三)设备安装(6月底前)。</w:t>
      </w:r>
      <w:r>
        <w:rPr>
          <w:rFonts w:hint="default" w:ascii="Times New Roman" w:hAnsi="Times New Roman" w:eastAsia="方正仿宋_GBK" w:cs="Times New Roman"/>
          <w:sz w:val="32"/>
          <w:szCs w:val="32"/>
          <w:lang w:val="en-US" w:eastAsia="zh-CN"/>
        </w:rPr>
        <w:t>各乡镇街道、生态工业园区按照“现场勘查、运输、安装、试运”一体化动态同步实施的原则，实行“一企业一专班”，优化工业企业租赁(购置)柴油发电机组的实施计划，加快工作进度，确保相关工业企业在迎峰度夏用电高峰来临前完成柴油发电机组的安装调试工作并具备运行带负荷的条件。</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二、支持政策</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(一)补贴对象：</w:t>
      </w:r>
      <w:r>
        <w:rPr>
          <w:rFonts w:hint="default" w:ascii="Times New Roman" w:hAnsi="Times New Roman" w:eastAsia="方正仿宋_GBK" w:cs="Times New Roman"/>
          <w:sz w:val="32"/>
          <w:szCs w:val="32"/>
          <w:lang w:val="en-US" w:eastAsia="zh-CN"/>
        </w:rPr>
        <w:t>2023年迎峰度夏期间，自愿租赁(购置)柴油发电机组用于自发电保生产的工业企业用户(含工业园区转供电用户、以制造业为主的楼宇产业园用户，以下简称工业用户)，企业租赁(购置)柴油发电机组自发电保生产而减少的市电下网负荷可以按规定参加全市需求响应。对国家产业政策中属于淘汰类、禁止类企业不列入补贴对象。</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(二)补贴期限：</w:t>
      </w:r>
      <w:r>
        <w:rPr>
          <w:rFonts w:hint="default" w:ascii="Times New Roman" w:hAnsi="Times New Roman" w:eastAsia="方正仿宋_GBK" w:cs="Times New Roman"/>
          <w:sz w:val="32"/>
          <w:szCs w:val="32"/>
          <w:lang w:val="en-US" w:eastAsia="zh-CN"/>
        </w:rPr>
        <w:t>2023年7月1日至2023年8月31日期间租赁柴油发电机组的工业用户；2023年1月1日至2023年7月31日期间，购置柴油发电机组的工业用户。</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(三)补贴标准：</w:t>
      </w:r>
      <w:r>
        <w:rPr>
          <w:rFonts w:hint="default" w:ascii="Times New Roman" w:hAnsi="Times New Roman" w:eastAsia="方正仿宋_GBK" w:cs="Times New Roman"/>
          <w:sz w:val="32"/>
          <w:szCs w:val="32"/>
          <w:lang w:val="en-US" w:eastAsia="zh-CN"/>
        </w:rPr>
        <w:t>在市级补贴政策基础上，参照市级标准配套我县补贴政策，对租赁单机容量100千瓦及以上的柴油发电机组，县级按照实际租金的30%且不超30元/千瓦/月的标准给予一次性租赁费补贴；对购置单机容量100千瓦及以上的柴油发电机组，县级按照60元/千瓦的标准给予一次性购置费补贴。</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(四)申报程序：</w:t>
      </w:r>
      <w:r>
        <w:rPr>
          <w:rFonts w:hint="default" w:ascii="Times New Roman" w:hAnsi="Times New Roman" w:eastAsia="方正仿宋_GBK" w:cs="Times New Roman"/>
          <w:sz w:val="32"/>
          <w:szCs w:val="32"/>
          <w:lang w:val="en-US" w:eastAsia="zh-CN"/>
        </w:rPr>
        <w:t>由工业用户向县经济信息委申报，须提供包含但不限于柴油发电机组的租赁(购置)合同、付款凭证、发票、佐证图片资料等材料；县经济信息委会同生态工业园区、供电公司对企业申报材料进行初审、核实后，汇总报送至县迎峰度夏电力保供工作小组；县迎峰度夏电力保供工作小组审核后予以补贴。</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三、工作要求</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(一)属地总责。</w:t>
      </w:r>
      <w:r>
        <w:rPr>
          <w:rFonts w:hint="default" w:ascii="Times New Roman" w:hAnsi="Times New Roman" w:eastAsia="方正仿宋_GBK" w:cs="Times New Roman"/>
          <w:sz w:val="32"/>
          <w:szCs w:val="32"/>
          <w:lang w:val="en-US" w:eastAsia="zh-CN"/>
        </w:rPr>
        <w:t>各乡镇街道、生态工业园区要按照属地原则，组织辖区供电所成立工作专班，建立“一企业一专班”机制，统筹开展需求排查、供需对接、组织实施等各项工作，帮助辖区内工业用户协调解决租赁(购置)、安装、使用柴油发电机组保生产遇到的相关问题，确保各项工作有序推进。</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(二)企业自愿。</w:t>
      </w:r>
      <w:r>
        <w:rPr>
          <w:rFonts w:hint="default" w:ascii="Times New Roman" w:hAnsi="Times New Roman" w:eastAsia="方正仿宋_GBK" w:cs="Times New Roman"/>
          <w:sz w:val="32"/>
          <w:szCs w:val="32"/>
          <w:lang w:val="en-US" w:eastAsia="zh-CN"/>
        </w:rPr>
        <w:t>各工业用户结合2023年迎峰度夏电力供需形势和生产计划安排，按照自愿原则租赁(购置)柴油发电机组在迎峰度夏用电高峰期间自发电保生产，避免电力供应短缺对自身生产经营的不利影响。在全市发布需求响应、负荷管理等指令时，根据统一安排，及时调整生产方式或启动柴油发电机组自发电保生产。</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(三)风险可控。</w:t>
      </w:r>
      <w:r>
        <w:rPr>
          <w:rFonts w:hint="default" w:ascii="Times New Roman" w:hAnsi="Times New Roman" w:eastAsia="方正仿宋_GBK" w:cs="Times New Roman"/>
          <w:sz w:val="32"/>
          <w:szCs w:val="32"/>
          <w:lang w:val="en-US" w:eastAsia="zh-CN"/>
        </w:rPr>
        <w:t>使用柴油发电机组自发电保生产的工业用户，要结合自身用电特点和要求合理确定柴发租赁(购置)规模和使用场景。所配备的柴油发电机组原则上应配置自动保护设施，避免电力系统波动损坏柴油发电机组和引发安全事故，并与供电公司电源之间装设可靠的电气或机械闭锁装置，确保柴油发电机组所发电能不会反送至电网，杜绝柴油发电产生谐波或冲击负荷干扰电力系统安全运行，确保电网安全稳定运行；确需柴油发电机组并网运行的，县经济信息委和供电公司应主动服务对接，加强协调配合，在确保安全的前提下有序组织实施。</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(四)保障安全。</w:t>
      </w:r>
      <w:r>
        <w:rPr>
          <w:rFonts w:hint="default" w:ascii="Times New Roman" w:hAnsi="Times New Roman" w:eastAsia="方正仿宋_GBK" w:cs="Times New Roman"/>
          <w:sz w:val="32"/>
          <w:szCs w:val="32"/>
          <w:lang w:val="en-US" w:eastAsia="zh-CN"/>
        </w:rPr>
        <w:t>各乡镇街道、生态工业园区加强柴油采购、运输、储存、使用等方面安全管理，确保柴油安全稳定供应，加大舆论宣传引导。各工业用户要落实主体责任，租赁(购置)噪音低、性能稳、效率高的柴油发电机组，加强安装、试运和使用等全过程的安全管控，使用期间采取可靠的管理措施及技术措施，确保安全环保稳定运行。</w:t>
      </w:r>
    </w:p>
    <w:p>
      <w:pPr>
        <w:keepNext w:val="0"/>
        <w:keepLines w:val="0"/>
        <w:pageBreakBefore w:val="0"/>
        <w:widowControl w:val="0"/>
        <w:numPr>
          <w:ilvl w:val="0"/>
          <w:numId w:val="0"/>
        </w:numPr>
        <w:shd w:val="clear" w:color="auto"/>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(五)严肃纪律。</w:t>
      </w:r>
      <w:r>
        <w:rPr>
          <w:rFonts w:hint="default" w:ascii="Times New Roman" w:hAnsi="Times New Roman" w:eastAsia="方正仿宋_GBK" w:cs="Times New Roman"/>
          <w:sz w:val="32"/>
          <w:szCs w:val="32"/>
          <w:lang w:val="en-US" w:eastAsia="zh-CN"/>
        </w:rPr>
        <w:t>各工业用户须严格按要求申报补贴，县经济信息委要加大核实力度，严禁弄虚作假。如发现企业存在故意利用“阴阳合同、重复申报、虚假申报、提供虚假票据、篡改原始单据”等弄虚作假手段骗取补贴资金的行为，将取消该企业及其主要出资方享受在工业方面补贴政策的资格，情节严重的将按照有关法律法规移送相关部门追究单位和个人责任。</w:t>
      </w:r>
    </w:p>
    <w:p>
      <w:pPr>
        <w:pStyle w:val="2"/>
        <w:keepNext w:val="0"/>
        <w:keepLines w:val="0"/>
        <w:pageBreakBefore w:val="0"/>
        <w:widowControl w:val="0"/>
        <w:shd w:val="clear"/>
        <w:kinsoku/>
        <w:wordWrap/>
        <w:overflowPunct/>
        <w:topLinePunct w:val="0"/>
        <w:autoSpaceDE/>
        <w:autoSpaceDN/>
        <w:bidi w:val="0"/>
        <w:adjustRightInd/>
        <w:snapToGrid/>
        <w:spacing w:after="0" w:line="500" w:lineRule="exact"/>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shd w:val="clear"/>
        <w:kinsoku/>
        <w:wordWrap/>
        <w:overflowPunct/>
        <w:topLinePunct w:val="0"/>
        <w:autoSpaceDE/>
        <w:autoSpaceDN/>
        <w:bidi w:val="0"/>
        <w:adjustRightInd/>
        <w:snapToGrid/>
        <w:spacing w:after="0" w:line="50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shd w:val="clear"/>
        <w:kinsoku/>
        <w:wordWrap w:val="0"/>
        <w:overflowPunct/>
        <w:topLinePunct w:val="0"/>
        <w:autoSpaceDE/>
        <w:autoSpaceDN/>
        <w:bidi w:val="0"/>
        <w:adjustRightInd w:val="0"/>
        <w:snapToGrid w:val="0"/>
        <w:spacing w:line="500" w:lineRule="exact"/>
        <w:ind w:left="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奉节县迎峰度夏电力保供工作小组办公室</w:t>
      </w:r>
      <w:r>
        <w:rPr>
          <w:rFonts w:hint="default" w:ascii="Times New Roman" w:hAnsi="Times New Roman" w:eastAsia="方正仿宋_GBK" w:cs="Times New Roman"/>
          <w:sz w:val="32"/>
          <w:szCs w:val="32"/>
          <w:lang w:val="en-US" w:eastAsia="zh-CN"/>
        </w:rPr>
        <w:t xml:space="preserve">    </w:t>
      </w:r>
    </w:p>
    <w:p>
      <w:pPr>
        <w:pStyle w:val="2"/>
        <w:keepNext w:val="0"/>
        <w:keepLines w:val="0"/>
        <w:pageBreakBefore w:val="0"/>
        <w:widowControl w:val="0"/>
        <w:shd w:val="clear"/>
        <w:kinsoku/>
        <w:wordWrap w:val="0"/>
        <w:overflowPunct/>
        <w:topLinePunct w:val="0"/>
        <w:autoSpaceDE/>
        <w:autoSpaceDN/>
        <w:bidi w:val="0"/>
        <w:spacing w:line="500" w:lineRule="exact"/>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（奉节县经济和信息化委员会代章）    </w:t>
      </w:r>
    </w:p>
    <w:p>
      <w:pPr>
        <w:keepNext w:val="0"/>
        <w:keepLines w:val="0"/>
        <w:pageBreakBefore w:val="0"/>
        <w:widowControl w:val="0"/>
        <w:shd w:val="clear"/>
        <w:kinsoku/>
        <w:wordWrap w:val="0"/>
        <w:overflowPunct/>
        <w:topLinePunct w:val="0"/>
        <w:autoSpaceDE/>
        <w:autoSpaceDN/>
        <w:bidi w:val="0"/>
        <w:adjustRightInd w:val="0"/>
        <w:snapToGrid w:val="0"/>
        <w:spacing w:line="500" w:lineRule="exact"/>
        <w:ind w:left="0" w:firstLine="0" w:firstLineChars="0"/>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shd w:val="clear"/>
        <w:rPr>
          <w:rFonts w:hint="default" w:ascii="Times New Roman" w:hAnsi="Times New Roman" w:eastAsia="方正仿宋_GBK" w:cs="Times New Roman"/>
          <w:color w:val="auto"/>
          <w:sz w:val="32"/>
          <w:szCs w:val="32"/>
        </w:rPr>
      </w:pPr>
    </w:p>
    <w:p>
      <w:pPr>
        <w:pStyle w:val="2"/>
        <w:shd w:val="clear"/>
        <w:rPr>
          <w:rFonts w:hint="default" w:ascii="Times New Roman" w:hAnsi="Times New Roman" w:eastAsia="方正仿宋_GBK" w:cs="Times New Roman"/>
          <w:color w:val="auto"/>
          <w:sz w:val="32"/>
          <w:szCs w:val="32"/>
        </w:rPr>
      </w:pPr>
    </w:p>
    <w:p>
      <w:pPr>
        <w:shd w:val="clear"/>
        <w:rPr>
          <w:rFonts w:hint="default" w:ascii="Times New Roman" w:hAnsi="Times New Roman" w:eastAsia="方正仿宋_GBK" w:cs="Times New Roman"/>
          <w:color w:val="auto"/>
          <w:sz w:val="32"/>
          <w:szCs w:val="32"/>
        </w:rPr>
      </w:pPr>
    </w:p>
    <w:p>
      <w:pPr>
        <w:shd w:val="clear"/>
        <w:rPr>
          <w:rFonts w:hint="default" w:ascii="Times New Roman" w:hAnsi="Times New Roman" w:eastAsia="方正仿宋_GBK" w:cs="Times New Roman"/>
          <w:color w:val="auto"/>
          <w:sz w:val="32"/>
          <w:szCs w:val="32"/>
        </w:rPr>
      </w:pPr>
    </w:p>
    <w:p>
      <w:pPr>
        <w:pStyle w:val="2"/>
        <w:shd w:val="clear"/>
        <w:rPr>
          <w:rFonts w:hint="default" w:ascii="Times New Roman" w:hAnsi="Times New Roman" w:eastAsia="方正仿宋_GBK" w:cs="Times New Roman"/>
          <w:color w:val="auto"/>
          <w:sz w:val="32"/>
          <w:szCs w:val="32"/>
        </w:rPr>
      </w:pPr>
    </w:p>
    <w:p>
      <w:pPr>
        <w:shd w:val="clear"/>
        <w:rPr>
          <w:rFonts w:hint="default" w:ascii="Times New Roman" w:hAnsi="Times New Roman" w:eastAsia="方正仿宋_GBK" w:cs="Times New Roman"/>
          <w:color w:val="auto"/>
          <w:sz w:val="32"/>
          <w:szCs w:val="32"/>
        </w:rPr>
      </w:pPr>
    </w:p>
    <w:p>
      <w:pPr>
        <w:pStyle w:val="2"/>
        <w:shd w:val="clear"/>
        <w:rPr>
          <w:rFonts w:hint="default" w:ascii="Times New Roman" w:hAnsi="Times New Roman" w:eastAsia="方正仿宋_GBK" w:cs="Times New Roman"/>
          <w:color w:val="auto"/>
          <w:sz w:val="32"/>
          <w:szCs w:val="32"/>
        </w:rPr>
      </w:pPr>
    </w:p>
    <w:p>
      <w:pPr>
        <w:shd w:val="clear"/>
        <w:rPr>
          <w:rFonts w:hint="default" w:ascii="Times New Roman" w:hAnsi="Times New Roman" w:eastAsia="方正仿宋_GBK" w:cs="Times New Roman"/>
          <w:color w:val="auto"/>
          <w:sz w:val="32"/>
          <w:szCs w:val="32"/>
        </w:rPr>
      </w:pPr>
    </w:p>
    <w:p>
      <w:pPr>
        <w:pStyle w:val="2"/>
        <w:shd w:val="clear"/>
        <w:rPr>
          <w:rFonts w:hint="default" w:ascii="Times New Roman" w:hAnsi="Times New Roman" w:eastAsia="方正仿宋_GBK" w:cs="Times New Roman"/>
          <w:color w:val="auto"/>
          <w:sz w:val="32"/>
          <w:szCs w:val="32"/>
        </w:rPr>
      </w:pPr>
    </w:p>
    <w:p>
      <w:pPr>
        <w:shd w:val="clear"/>
        <w:rPr>
          <w:rFonts w:hint="default" w:ascii="Times New Roman" w:hAnsi="Times New Roman" w:eastAsia="方正仿宋_GBK" w:cs="Times New Roman"/>
          <w:color w:val="auto"/>
          <w:sz w:val="32"/>
          <w:szCs w:val="32"/>
        </w:rPr>
      </w:pPr>
    </w:p>
    <w:p>
      <w:pPr>
        <w:shd w:val="clear"/>
        <w:rPr>
          <w:rFonts w:hint="default" w:ascii="Times New Roman" w:hAnsi="Times New Roman" w:eastAsia="方正仿宋_GBK" w:cs="Times New Roman"/>
          <w:color w:val="auto"/>
          <w:sz w:val="32"/>
          <w:szCs w:val="32"/>
        </w:rPr>
      </w:pPr>
      <w:bookmarkStart w:id="0" w:name="_GoBack"/>
      <w:bookmarkEnd w:id="0"/>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cs="Times New Roman"/>
        </w:rPr>
      </w:pPr>
    </w:p>
    <w:p>
      <w:pPr>
        <w:pStyle w:val="2"/>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rPr>
      </w:pPr>
    </w:p>
    <w:p>
      <w:pPr>
        <w:pBdr>
          <w:top w:val="single" w:color="auto" w:sz="4" w:space="1"/>
          <w:bottom w:val="single" w:color="auto" w:sz="8" w:space="1"/>
        </w:pBdr>
        <w:tabs>
          <w:tab w:val="left" w:pos="790"/>
          <w:tab w:val="left" w:pos="7371"/>
        </w:tabs>
        <w:snapToGrid w:val="0"/>
        <w:spacing w:line="400" w:lineRule="exact"/>
        <w:ind w:firstLine="280" w:firstLineChars="100"/>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28"/>
          <w:szCs w:val="28"/>
        </w:rPr>
        <w:t>奉节县</w:t>
      </w:r>
      <w:r>
        <w:rPr>
          <w:rFonts w:hint="default" w:ascii="Times New Roman" w:hAnsi="Times New Roman" w:eastAsia="方正仿宋_GBK" w:cs="Times New Roman"/>
          <w:color w:val="auto"/>
          <w:sz w:val="28"/>
          <w:szCs w:val="28"/>
          <w:lang w:eastAsia="zh-CN"/>
        </w:rPr>
        <w:t>经济和信息化</w:t>
      </w:r>
      <w:r>
        <w:rPr>
          <w:rFonts w:hint="default" w:ascii="Times New Roman" w:hAnsi="Times New Roman" w:eastAsia="方正仿宋_GBK" w:cs="Times New Roman"/>
          <w:color w:val="auto"/>
          <w:sz w:val="28"/>
          <w:szCs w:val="28"/>
        </w:rPr>
        <w:t>委员会</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2023</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15</w:t>
      </w:r>
      <w:r>
        <w:rPr>
          <w:rFonts w:hint="default" w:ascii="Times New Roman" w:hAnsi="Times New Roman" w:eastAsia="方正仿宋_GBK" w:cs="Times New Roman"/>
          <w:color w:val="auto"/>
          <w:sz w:val="28"/>
          <w:szCs w:val="28"/>
        </w:rPr>
        <w:t>日印发</w:t>
      </w:r>
    </w:p>
    <w:p>
      <w:pPr>
        <w:pStyle w:val="15"/>
        <w:keepNext w:val="0"/>
        <w:keepLines w:val="0"/>
        <w:pageBreakBefore w:val="0"/>
        <w:widowControl w:val="0"/>
        <w:kinsoku/>
        <w:wordWrap/>
        <w:overflowPunct/>
        <w:topLinePunct w:val="0"/>
        <w:autoSpaceDE w:val="0"/>
        <w:autoSpaceDN w:val="0"/>
        <w:bidi w:val="0"/>
        <w:adjustRightInd w:val="0"/>
        <w:snapToGrid/>
        <w:spacing w:line="20" w:lineRule="exact"/>
        <w:textAlignment w:val="auto"/>
        <w:rPr>
          <w:rFonts w:hint="default" w:ascii="Times New Roman" w:hAnsi="Times New Roman" w:cs="Times New Roman"/>
          <w:color w:val="auto"/>
          <w:lang w:val="en-US" w:eastAsia="zh-CN"/>
        </w:rPr>
      </w:pPr>
    </w:p>
    <w:sectPr>
      <w:footerReference r:id="rId3" w:type="default"/>
      <w:pgSz w:w="11906" w:h="16838"/>
      <w:pgMar w:top="2098" w:right="1531" w:bottom="1984" w:left="1531"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-339090</wp:posOffset>
              </wp:positionV>
              <wp:extent cx="775335" cy="24511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75335" cy="2451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26.7pt;height:19.3pt;width:61.05pt;mso-position-horizontal:outside;mso-position-horizontal-relative:margin;z-index:251659264;mso-width-relative:page;mso-height-relative:page;" filled="f" stroked="f" coordsize="21600,21600" o:gfxdata="UEsFBgAAAAAAAAAAAAAAAAAAAAAAAFBLAwQKAAAAAACHTuJAAAAAAAAAAAAAAAAABAAAAGRycy9Q&#10;SwMEFAAAAAgAh07iQE5SXq/XAAAACAEAAA8AAABkcnMvZG93bnJldi54bWxNj0tPwzAQhO9I/Adr&#10;kbi1tkNBVYjTA48bj1JAgpsTL0mEH5G9Scu/xz3BcXZWM99Um4OzbMaYhuAVyKUAhr4NZvCdgrfX&#10;+8UaWCLtjbbBo4IfTLCpT08qXZqw9y8476hjOcSnUivoicaS89T26HRahhF99r5CdJqyjB03Ue9z&#10;uLO8EOKKOz343NDrEW96bL93k1NgP1J8aAR9zrfdI22f+fR+J5+UOj+T4hoY4YH+nuGIn9GhzkxN&#10;mLxJzCrIQ0jB4vJiBexoF4UE1uSLXK2B1xX/P6D+BVBLAwQUAAAACACHTuJAT8H9ByICAAApBAAA&#10;DgAAAGRycy9lMm9Eb2MueG1srVNLjhMxEN0jcQfLe9L5kBkUpTMKMwpCipiRAmLtuO20JdtlbCfd&#10;4QBwA1azYc+55hyUne4EASvExi67fn6vnuc3rdHkIHxQYEs6GgwpEZZDpeyupB/er168oiREZium&#10;wYqSHkWgN4vnz+aNm4kx1KAr4QkWsWHWuJLWMbpZUQReC8PCAJyw6JTgDYt49Lui8qzB6kYX4+Hw&#10;qmjAV84DFyHg7d3JSRe5vpSCx3spg4hElxTfFvPq87pNa7GYs9nOM1cr3j2D/cMrDFMWm55L3bHI&#10;yN6rP0oZxT0EkHHAwRQgpeIiY0A0o+FvaDY1cyJjQXKCO9MU/l9Z/u7w4ImqSjqmxDKDI3r69vXp&#10;8cfT9y9knOhpXJhh1MZhXGxfQ1vS6PeidwW8T8Bb6U3aERLBEOT6eOZXtJFwvLy+nk4mU0o4usYv&#10;p6NR5r+4JDsf4hsBhiSjpB7Hl1llh3WI+BYM7UNSLwsrpXUeobakKenVZDrMCWcPZmiLiQnF6anJ&#10;iu227aBtoToiMg8naQTHVwqbr1mID8yjFhAJ6jve4yI1YBPoLEpq8J//dp/icUTopaRBbZU0fNoz&#10;LyjRby0OLwmxN3xvbHvD7s0toFxH+HMczyYm+Kh7U3owH1H2y9RFMh2wMLMc++FoevM24qlz4vfh&#10;Yrk8n/fOq119SUYpOhbXduN4N9wTu8t9BKky8Ym1E1UdmajHPI/u7yTB/3rOUZcfv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TlJer9cAAAAIAQAADwAAAAAAAAABACAAAAA4AAAAZHJzL2Rvd25y&#10;ZXYueG1sUEsBAhQAFAAAAAgAh07iQE/B/QciAgAAKQQAAA4AAAAAAAAAAQAgAAAAPAEAAGRycy9l&#10;Mm9Eb2MueG1sUEsFBgAAAAAGAAYAWQEAANAFA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embedSystemFonts/>
  <w:bordersDoNotSurroundHeader w:val="true"/>
  <w:bordersDoNotSurroundFooter w:val="true"/>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GU3Zjc1MDk0OGZjOWI5YTFiNTg4MDFmZjg5YTAifQ=="/>
  </w:docVars>
  <w:rsids>
    <w:rsidRoot w:val="00000000"/>
    <w:rsid w:val="027A2783"/>
    <w:rsid w:val="04D30A20"/>
    <w:rsid w:val="05790936"/>
    <w:rsid w:val="07540BFD"/>
    <w:rsid w:val="09D517A2"/>
    <w:rsid w:val="0B09257D"/>
    <w:rsid w:val="0E76345F"/>
    <w:rsid w:val="10BC64A9"/>
    <w:rsid w:val="1299771C"/>
    <w:rsid w:val="12E369C4"/>
    <w:rsid w:val="13EA0C74"/>
    <w:rsid w:val="142E4EBE"/>
    <w:rsid w:val="19695477"/>
    <w:rsid w:val="1CAC1A03"/>
    <w:rsid w:val="1DD12E43"/>
    <w:rsid w:val="1E1A0F4C"/>
    <w:rsid w:val="1E345B52"/>
    <w:rsid w:val="21941578"/>
    <w:rsid w:val="25EB7A4C"/>
    <w:rsid w:val="2A345023"/>
    <w:rsid w:val="2AD16E7C"/>
    <w:rsid w:val="2C3F433C"/>
    <w:rsid w:val="37887C3C"/>
    <w:rsid w:val="3A153DA8"/>
    <w:rsid w:val="3B7E295A"/>
    <w:rsid w:val="4010738F"/>
    <w:rsid w:val="409726CC"/>
    <w:rsid w:val="41E8625C"/>
    <w:rsid w:val="448A4DFC"/>
    <w:rsid w:val="4F8B7E11"/>
    <w:rsid w:val="515E1367"/>
    <w:rsid w:val="52A82A88"/>
    <w:rsid w:val="54DB4052"/>
    <w:rsid w:val="55B94715"/>
    <w:rsid w:val="5CB42027"/>
    <w:rsid w:val="5DF10D8D"/>
    <w:rsid w:val="5E434EAB"/>
    <w:rsid w:val="5F3E48C1"/>
    <w:rsid w:val="626F711E"/>
    <w:rsid w:val="642240B9"/>
    <w:rsid w:val="66FB4B73"/>
    <w:rsid w:val="68591F0C"/>
    <w:rsid w:val="6A5167DD"/>
    <w:rsid w:val="6A81588F"/>
    <w:rsid w:val="6C0F54CE"/>
    <w:rsid w:val="6FA51C81"/>
    <w:rsid w:val="72D3252A"/>
    <w:rsid w:val="733E2226"/>
    <w:rsid w:val="738D38A8"/>
    <w:rsid w:val="73EA4857"/>
    <w:rsid w:val="781145BD"/>
    <w:rsid w:val="784D3E68"/>
    <w:rsid w:val="78517493"/>
    <w:rsid w:val="7B184B3C"/>
    <w:rsid w:val="7D0F605D"/>
    <w:rsid w:val="7EF31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spacing w:after="120"/>
      <w:ind w:left="420" w:leftChars="200"/>
    </w:pPr>
  </w:style>
  <w:style w:type="paragraph" w:styleId="5">
    <w:name w:val="Date"/>
    <w:basedOn w:val="1"/>
    <w:next w:val="1"/>
    <w:qFormat/>
    <w:uiPriority w:val="0"/>
    <w:rPr>
      <w:rFonts w:ascii="楷体_GB2312" w:eastAsia="楷体_GB2312"/>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列出段落1"/>
    <w:basedOn w:val="1"/>
    <w:qFormat/>
    <w:uiPriority w:val="0"/>
    <w:pPr>
      <w:ind w:firstLine="420" w:firstLineChars="200"/>
    </w:pPr>
    <w:rPr>
      <w:rFonts w:ascii="Calibri" w:hAnsi="Calibri"/>
      <w:szCs w:val="22"/>
    </w:rPr>
  </w:style>
  <w:style w:type="character" w:customStyle="1" w:styleId="17">
    <w:name w:val="NormalCharacter"/>
    <w:link w:val="18"/>
    <w:qFormat/>
    <w:uiPriority w:val="0"/>
    <w:rPr>
      <w:rFonts w:ascii="Verdana" w:hAnsi="Verdana" w:eastAsia="宋体"/>
      <w:kern w:val="0"/>
      <w:sz w:val="20"/>
      <w:lang w:val="en-US" w:eastAsia="en-US" w:bidi="ar-SA"/>
    </w:rPr>
  </w:style>
  <w:style w:type="paragraph" w:customStyle="1" w:styleId="18">
    <w:name w:val="UserStyle_1"/>
    <w:basedOn w:val="1"/>
    <w:link w:val="17"/>
    <w:qFormat/>
    <w:uiPriority w:val="0"/>
    <w:pPr>
      <w:widowControl/>
      <w:spacing w:after="160" w:line="240" w:lineRule="exact"/>
      <w:jc w:val="left"/>
      <w:textAlignment w:val="baseline"/>
    </w:pPr>
    <w:rPr>
      <w:rFonts w:ascii="Verdana" w:hAnsi="Verdana" w:eastAsia="宋体"/>
      <w:kern w:val="0"/>
      <w:sz w:val="20"/>
      <w:lang w:val="en-US" w:eastAsia="en-US" w:bidi="ar-SA"/>
    </w:rPr>
  </w:style>
  <w:style w:type="paragraph" w:customStyle="1" w:styleId="19">
    <w:name w:val="样式 2 三号"/>
    <w:qFormat/>
    <w:uiPriority w:val="0"/>
    <w:pPr>
      <w:widowControl w:val="0"/>
      <w:jc w:val="both"/>
    </w:pPr>
    <w:rPr>
      <w:rFonts w:ascii="Calibri" w:hAnsi="Calibri" w:eastAsia="方正仿宋_GBK"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2190</Words>
  <Characters>2233</Characters>
  <Lines>0</Lines>
  <Paragraphs>0</Paragraphs>
  <TotalTime>26</TotalTime>
  <ScaleCrop>false</ScaleCrop>
  <LinksUpToDate>false</LinksUpToDate>
  <CharactersWithSpaces>2268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2022-06-23T16:23:00Z</dcterms:created>
  <dc:creator>ghfh</dc:creator>
  <cp:lastModifiedBy>guest</cp:lastModifiedBy>
  <cp:lastPrinted>2023-07-03T15:53:00Z</cp:lastPrinted>
  <dcterms:modified xsi:type="dcterms:W3CDTF">2023-11-06T10:59:45Z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0825220C4D48413790B8F189BF3169A2</vt:lpwstr>
  </property>
</Properties>
</file>