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eastAsia" w:ascii="方正仿宋_GBK" w:hAnsi="方正仿宋_GBK" w:eastAsia="方正仿宋_GBK" w:cs="方正仿宋_GBK"/>
          <w:b/>
          <w:color w:val="auto"/>
          <w:sz w:val="40"/>
          <w:szCs w:val="40"/>
        </w:rPr>
      </w:pPr>
      <w:r>
        <w:rPr>
          <w:rFonts w:hint="eastAsia" w:ascii="方正仿宋_GBK" w:hAnsi="方正仿宋_GBK" w:eastAsia="方正仿宋_GBK" w:cs="方正仿宋_GBK"/>
          <w:b/>
          <w:color w:val="auto"/>
          <w:sz w:val="40"/>
          <w:szCs w:val="40"/>
          <w:lang w:val="en-US" w:eastAsia="zh-CN"/>
        </w:rPr>
        <w:t>农机购置补贴项目支出</w:t>
      </w:r>
      <w:r>
        <w:rPr>
          <w:rFonts w:hint="eastAsia" w:ascii="方正仿宋_GBK" w:hAnsi="方正仿宋_GBK" w:eastAsia="方正仿宋_GBK" w:cs="方正仿宋_GBK"/>
          <w:b/>
          <w:color w:val="auto"/>
          <w:sz w:val="40"/>
          <w:szCs w:val="40"/>
        </w:rPr>
        <w:t>自评报告</w:t>
      </w:r>
    </w:p>
    <w:p>
      <w:pPr>
        <w:spacing w:line="600" w:lineRule="exact"/>
        <w:ind w:firstLine="600" w:firstLineChars="200"/>
        <w:rPr>
          <w:rFonts w:hint="eastAsia" w:ascii="方正仿宋_GBK" w:hAnsi="方正仿宋_GBK" w:eastAsia="方正仿宋_GBK" w:cs="方正仿宋_GBK"/>
          <w:color w:val="auto"/>
          <w:sz w:val="30"/>
          <w:szCs w:val="30"/>
        </w:rPr>
      </w:pPr>
    </w:p>
    <w:p>
      <w:pPr>
        <w:spacing w:line="600" w:lineRule="exact"/>
        <w:ind w:firstLine="600" w:firstLineChars="200"/>
        <w:rPr>
          <w:rFonts w:hint="eastAsia" w:ascii="方正黑体_GBK" w:hAnsi="方正黑体_GBK" w:eastAsia="方正黑体_GBK" w:cs="方正黑体_GBK"/>
          <w:bCs/>
          <w:color w:val="auto"/>
          <w:sz w:val="30"/>
          <w:szCs w:val="30"/>
        </w:rPr>
      </w:pPr>
      <w:r>
        <w:rPr>
          <w:rFonts w:hint="eastAsia" w:ascii="方正黑体_GBK" w:hAnsi="方正黑体_GBK" w:eastAsia="方正黑体_GBK" w:cs="方正黑体_GBK"/>
          <w:bCs/>
          <w:color w:val="auto"/>
          <w:sz w:val="30"/>
          <w:szCs w:val="30"/>
        </w:rPr>
        <w:t>一、绩效目标分解下达情况</w:t>
      </w:r>
    </w:p>
    <w:p>
      <w:pPr>
        <w:spacing w:line="600" w:lineRule="exact"/>
        <w:ind w:firstLine="600" w:firstLineChars="200"/>
        <w:outlineLvl w:val="0"/>
        <w:rPr>
          <w:rFonts w:hint="eastAsia" w:ascii="方正楷体_GBK" w:hAnsi="方正楷体_GBK" w:eastAsia="方正楷体_GBK" w:cs="方正楷体_GBK"/>
          <w:color w:val="auto"/>
          <w:sz w:val="30"/>
          <w:szCs w:val="30"/>
        </w:rPr>
      </w:pPr>
      <w:r>
        <w:rPr>
          <w:rFonts w:hint="eastAsia" w:ascii="方正楷体_GBK" w:hAnsi="方正楷体_GBK" w:eastAsia="方正楷体_GBK" w:cs="方正楷体_GBK"/>
          <w:color w:val="auto"/>
          <w:sz w:val="30"/>
          <w:szCs w:val="30"/>
        </w:rPr>
        <w:t>（一）县财政下达</w:t>
      </w:r>
      <w:r>
        <w:rPr>
          <w:rFonts w:hint="eastAsia" w:ascii="方正楷体_GBK" w:hAnsi="方正楷体_GBK" w:eastAsia="方正楷体_GBK" w:cs="方正楷体_GBK"/>
          <w:color w:val="auto"/>
          <w:sz w:val="30"/>
          <w:szCs w:val="30"/>
          <w:lang w:eastAsia="zh-CN"/>
        </w:rPr>
        <w:t>项目</w:t>
      </w:r>
      <w:r>
        <w:rPr>
          <w:rFonts w:hint="eastAsia" w:ascii="方正楷体_GBK" w:hAnsi="方正楷体_GBK" w:eastAsia="方正楷体_GBK" w:cs="方正楷体_GBK"/>
          <w:color w:val="auto"/>
          <w:sz w:val="30"/>
          <w:szCs w:val="30"/>
        </w:rPr>
        <w:t>绩效目标情况。</w:t>
      </w:r>
    </w:p>
    <w:p>
      <w:pPr>
        <w:spacing w:line="600" w:lineRule="exact"/>
        <w:ind w:firstLine="600" w:firstLineChars="200"/>
        <w:outlineLvl w:val="0"/>
        <w:rPr>
          <w:rFonts w:hint="eastAsia"/>
          <w:color w:val="auto"/>
        </w:rPr>
      </w:pPr>
      <w:r>
        <w:rPr>
          <w:rFonts w:hint="eastAsia" w:ascii="方正仿宋_GBK" w:hAnsi="方正仿宋_GBK" w:eastAsia="方正仿宋_GBK" w:cs="方正仿宋_GBK"/>
          <w:color w:val="auto"/>
          <w:sz w:val="30"/>
          <w:szCs w:val="30"/>
          <w:lang w:val="en-US" w:eastAsia="zh-CN"/>
        </w:rPr>
        <w:t>农机购置补贴，是国家对从事农业生产的个人和农业生产经营组织，其中农业生产经营组织包括农村集体经济组织、农民专业合作经济组织、农业企业和其他从事农业生产经营的组织，购置和更新农业生产所需的农机具给予的补贴。根据《重庆市农业农村委员会 重庆市财政局关于做好2019年市级农业产业发展资金有关项目管理工作的通知》(渝农发〔2019〕40号)和（渝财农〔2018〕222号）以及《重庆市农业委员会 重庆市财政局 关于印发重庆市2021—2023年农机购置补贴实施方案的通知》 （</w:t>
      </w:r>
      <w:r>
        <w:rPr>
          <w:rFonts w:hint="eastAsia" w:ascii="方正仿宋_GBK" w:hAnsi="方正仿宋_GBK" w:eastAsia="方正仿宋_GBK" w:cs="方正仿宋_GBK"/>
          <w:color w:val="auto"/>
          <w:sz w:val="30"/>
          <w:szCs w:val="30"/>
          <w:lang w:eastAsia="zh-CN"/>
        </w:rPr>
        <w:t>渝农规〔2021〕7号</w:t>
      </w:r>
      <w:r>
        <w:rPr>
          <w:rFonts w:hint="eastAsia" w:ascii="方正仿宋_GBK" w:hAnsi="方正仿宋_GBK" w:eastAsia="方正仿宋_GBK" w:cs="方正仿宋_GBK"/>
          <w:color w:val="auto"/>
          <w:sz w:val="30"/>
          <w:szCs w:val="30"/>
          <w:lang w:val="en-US" w:eastAsia="zh-CN"/>
        </w:rPr>
        <w:t>）文件实施此项目。在奉节县各乡镇实施，在此次绩效评价中共涉及16个批次，共计155.117万元。</w:t>
      </w:r>
    </w:p>
    <w:p>
      <w:pPr>
        <w:numPr>
          <w:ilvl w:val="0"/>
          <w:numId w:val="1"/>
        </w:numPr>
        <w:tabs>
          <w:tab w:val="left" w:pos="7080"/>
        </w:tabs>
        <w:spacing w:line="600" w:lineRule="exact"/>
        <w:ind w:firstLine="600" w:firstLineChars="200"/>
        <w:outlineLvl w:val="0"/>
        <w:rPr>
          <w:rFonts w:hint="eastAsia" w:ascii="方正楷体_GBK" w:hAnsi="方正楷体_GBK" w:eastAsia="方正楷体_GBK" w:cs="方正楷体_GBK"/>
          <w:color w:val="auto"/>
          <w:sz w:val="30"/>
          <w:szCs w:val="30"/>
        </w:rPr>
      </w:pPr>
      <w:r>
        <w:rPr>
          <w:rFonts w:hint="eastAsia" w:ascii="方正楷体_GBK" w:hAnsi="方正楷体_GBK" w:eastAsia="方正楷体_GBK" w:cs="方正楷体_GBK"/>
          <w:color w:val="auto"/>
          <w:sz w:val="30"/>
          <w:szCs w:val="30"/>
        </w:rPr>
        <w:t>部门资金安排、分解下达预算和绩效目标情况。</w:t>
      </w:r>
    </w:p>
    <w:p>
      <w:pPr>
        <w:spacing w:line="600" w:lineRule="exact"/>
        <w:ind w:firstLine="600" w:firstLineChars="200"/>
        <w:outlineLvl w:val="0"/>
        <w:rPr>
          <w:rFonts w:hint="eastAsia" w:ascii="方正仿宋_GBK" w:hAnsi="方正仿宋_GBK" w:eastAsia="方正仿宋_GBK" w:cs="方正仿宋_GBK"/>
          <w:color w:val="auto"/>
          <w:sz w:val="30"/>
          <w:szCs w:val="30"/>
          <w:lang w:eastAsia="zh-CN"/>
        </w:rPr>
      </w:pPr>
      <w:r>
        <w:rPr>
          <w:rFonts w:hint="eastAsia" w:ascii="方正仿宋_GBK" w:hAnsi="方正仿宋_GBK" w:eastAsia="方正仿宋_GBK" w:cs="方正仿宋_GBK"/>
          <w:color w:val="auto"/>
          <w:sz w:val="30"/>
          <w:szCs w:val="30"/>
          <w:lang w:eastAsia="zh-CN"/>
        </w:rPr>
        <w:t>奉节县财政局《关于拨付2021年第</w:t>
      </w:r>
      <w:r>
        <w:rPr>
          <w:rFonts w:hint="eastAsia" w:ascii="方正仿宋_GBK" w:hAnsi="方正仿宋_GBK" w:eastAsia="方正仿宋_GBK" w:cs="方正仿宋_GBK"/>
          <w:color w:val="auto"/>
          <w:sz w:val="30"/>
          <w:szCs w:val="30"/>
          <w:lang w:val="en-US" w:eastAsia="zh-CN"/>
        </w:rPr>
        <w:t>10-12</w:t>
      </w:r>
      <w:r>
        <w:rPr>
          <w:rFonts w:hint="eastAsia" w:ascii="方正仿宋_GBK" w:hAnsi="方正仿宋_GBK" w:eastAsia="方正仿宋_GBK" w:cs="方正仿宋_GBK"/>
          <w:color w:val="auto"/>
          <w:sz w:val="30"/>
          <w:szCs w:val="30"/>
          <w:lang w:eastAsia="zh-CN"/>
        </w:rPr>
        <w:t>批</w:t>
      </w:r>
      <w:r>
        <w:rPr>
          <w:rFonts w:hint="eastAsia" w:ascii="方正仿宋_GBK" w:hAnsi="方正仿宋_GBK" w:eastAsia="方正仿宋_GBK" w:cs="方正仿宋_GBK"/>
          <w:color w:val="auto"/>
          <w:sz w:val="30"/>
          <w:szCs w:val="30"/>
          <w:lang w:val="en-US" w:eastAsia="zh-CN"/>
        </w:rPr>
        <w:t>,2022年1-22批</w:t>
      </w:r>
      <w:r>
        <w:rPr>
          <w:rFonts w:hint="eastAsia" w:ascii="方正仿宋_GBK" w:hAnsi="方正仿宋_GBK" w:eastAsia="方正仿宋_GBK" w:cs="方正仿宋_GBK"/>
          <w:color w:val="auto"/>
          <w:sz w:val="30"/>
          <w:szCs w:val="30"/>
          <w:lang w:eastAsia="zh-CN"/>
        </w:rPr>
        <w:t>农机具购置补贴资金的通知》（奉节财</w:t>
      </w:r>
      <w:r>
        <w:rPr>
          <w:rFonts w:hint="eastAsia" w:ascii="方正仿宋_GBK" w:hAnsi="方正仿宋_GBK" w:eastAsia="方正仿宋_GBK" w:cs="方正仿宋_GBK"/>
          <w:color w:val="auto"/>
          <w:sz w:val="30"/>
          <w:szCs w:val="30"/>
          <w:lang w:val="en-US" w:eastAsia="zh-CN"/>
        </w:rPr>
        <w:t>农〔2022〕39、88、110、127、138、148、163、171、188、191、212、223、236、240、247、262号</w:t>
      </w:r>
      <w:r>
        <w:rPr>
          <w:rFonts w:hint="eastAsia" w:ascii="方正仿宋_GBK" w:hAnsi="方正仿宋_GBK" w:eastAsia="方正仿宋_GBK" w:cs="方正仿宋_GBK"/>
          <w:color w:val="auto"/>
          <w:sz w:val="30"/>
          <w:szCs w:val="30"/>
          <w:lang w:eastAsia="zh-CN"/>
        </w:rPr>
        <w:t>），在下达资金预算时同步下达了绩效目标。</w:t>
      </w:r>
    </w:p>
    <w:p>
      <w:pPr>
        <w:spacing w:line="600" w:lineRule="exact"/>
        <w:ind w:firstLine="600" w:firstLineChars="200"/>
        <w:rPr>
          <w:rFonts w:hint="eastAsia" w:ascii="方正黑体_GBK" w:hAnsi="方正黑体_GBK" w:eastAsia="方正黑体_GBK" w:cs="方正黑体_GBK"/>
          <w:bCs/>
          <w:color w:val="auto"/>
          <w:sz w:val="30"/>
          <w:szCs w:val="30"/>
        </w:rPr>
      </w:pPr>
      <w:r>
        <w:rPr>
          <w:rFonts w:hint="eastAsia" w:ascii="方正黑体_GBK" w:hAnsi="方正黑体_GBK" w:eastAsia="方正黑体_GBK" w:cs="方正黑体_GBK"/>
          <w:bCs/>
          <w:color w:val="auto"/>
          <w:sz w:val="30"/>
          <w:szCs w:val="30"/>
        </w:rPr>
        <w:t>二、绩效目标完成情况分析</w:t>
      </w:r>
    </w:p>
    <w:p>
      <w:pPr>
        <w:spacing w:line="600" w:lineRule="exact"/>
        <w:ind w:firstLine="600" w:firstLineChars="200"/>
        <w:outlineLvl w:val="0"/>
        <w:rPr>
          <w:rFonts w:hint="eastAsia" w:ascii="方正楷体_GBK" w:hAnsi="方正楷体_GBK" w:eastAsia="方正楷体_GBK" w:cs="方正楷体_GBK"/>
          <w:bCs/>
          <w:color w:val="auto"/>
          <w:sz w:val="30"/>
          <w:szCs w:val="30"/>
        </w:rPr>
      </w:pPr>
      <w:r>
        <w:rPr>
          <w:rFonts w:hint="eastAsia" w:ascii="方正楷体_GBK" w:hAnsi="方正楷体_GBK" w:eastAsia="方正楷体_GBK" w:cs="方正楷体_GBK"/>
          <w:bCs/>
          <w:color w:val="auto"/>
          <w:sz w:val="30"/>
          <w:szCs w:val="30"/>
        </w:rPr>
        <w:t>（一）资金投入情况分析。</w:t>
      </w:r>
    </w:p>
    <w:p>
      <w:pPr>
        <w:spacing w:line="600" w:lineRule="exact"/>
        <w:ind w:firstLine="600" w:firstLineChars="200"/>
        <w:outlineLvl w:val="0"/>
        <w:rPr>
          <w:rFonts w:hint="eastAsia" w:ascii="方正仿宋_GBK" w:hAnsi="方正仿宋_GBK" w:eastAsia="方正仿宋_GBK" w:cs="方正仿宋_GBK"/>
          <w:color w:val="auto"/>
          <w:sz w:val="30"/>
          <w:szCs w:val="30"/>
          <w:lang w:eastAsia="zh-CN"/>
        </w:rPr>
      </w:pPr>
      <w:r>
        <w:rPr>
          <w:rFonts w:hint="eastAsia" w:ascii="方正仿宋_GBK" w:hAnsi="方正仿宋_GBK" w:eastAsia="方正仿宋_GBK" w:cs="方正仿宋_GBK"/>
          <w:color w:val="auto"/>
          <w:sz w:val="30"/>
          <w:szCs w:val="30"/>
          <w:lang w:eastAsia="zh-CN"/>
        </w:rPr>
        <w:t>项目资金到位情况：奉节县财政局《关于拨付2021年第</w:t>
      </w:r>
      <w:r>
        <w:rPr>
          <w:rFonts w:hint="eastAsia" w:ascii="方正仿宋_GBK" w:hAnsi="方正仿宋_GBK" w:eastAsia="方正仿宋_GBK" w:cs="方正仿宋_GBK"/>
          <w:color w:val="auto"/>
          <w:sz w:val="30"/>
          <w:szCs w:val="30"/>
          <w:lang w:val="en-US" w:eastAsia="zh-CN"/>
        </w:rPr>
        <w:t>10-12</w:t>
      </w:r>
      <w:r>
        <w:rPr>
          <w:rFonts w:hint="eastAsia" w:ascii="方正仿宋_GBK" w:hAnsi="方正仿宋_GBK" w:eastAsia="方正仿宋_GBK" w:cs="方正仿宋_GBK"/>
          <w:color w:val="auto"/>
          <w:sz w:val="30"/>
          <w:szCs w:val="30"/>
          <w:lang w:eastAsia="zh-CN"/>
        </w:rPr>
        <w:t>批</w:t>
      </w:r>
      <w:r>
        <w:rPr>
          <w:rFonts w:hint="eastAsia" w:ascii="方正仿宋_GBK" w:hAnsi="方正仿宋_GBK" w:eastAsia="方正仿宋_GBK" w:cs="方正仿宋_GBK"/>
          <w:color w:val="auto"/>
          <w:sz w:val="30"/>
          <w:szCs w:val="30"/>
          <w:lang w:val="en-US" w:eastAsia="zh-CN"/>
        </w:rPr>
        <w:t>,2022年1-22批</w:t>
      </w:r>
      <w:r>
        <w:rPr>
          <w:rFonts w:hint="eastAsia" w:ascii="方正仿宋_GBK" w:hAnsi="方正仿宋_GBK" w:eastAsia="方正仿宋_GBK" w:cs="方正仿宋_GBK"/>
          <w:color w:val="auto"/>
          <w:sz w:val="30"/>
          <w:szCs w:val="30"/>
          <w:lang w:eastAsia="zh-CN"/>
        </w:rPr>
        <w:t>农机具购置补贴资金的通知》（奉节财</w:t>
      </w:r>
      <w:r>
        <w:rPr>
          <w:rFonts w:hint="eastAsia" w:ascii="方正仿宋_GBK" w:hAnsi="方正仿宋_GBK" w:eastAsia="方正仿宋_GBK" w:cs="方正仿宋_GBK"/>
          <w:color w:val="auto"/>
          <w:sz w:val="30"/>
          <w:szCs w:val="30"/>
          <w:lang w:val="en-US" w:eastAsia="zh-CN"/>
        </w:rPr>
        <w:t>农〔2022〕39、88、110、127、138、148、163、171、188、191、212、223、236、240、247、262号</w:t>
      </w:r>
      <w:r>
        <w:rPr>
          <w:rFonts w:hint="eastAsia" w:ascii="方正仿宋_GBK" w:hAnsi="方正仿宋_GBK" w:eastAsia="方正仿宋_GBK" w:cs="方正仿宋_GBK"/>
          <w:color w:val="auto"/>
          <w:sz w:val="30"/>
          <w:szCs w:val="30"/>
          <w:lang w:eastAsia="zh-CN"/>
        </w:rPr>
        <w:t>），在此次绩效评价中共</w:t>
      </w:r>
      <w:r>
        <w:rPr>
          <w:rFonts w:hint="eastAsia" w:ascii="方正仿宋_GBK" w:hAnsi="方正仿宋_GBK" w:eastAsia="方正仿宋_GBK" w:cs="方正仿宋_GBK"/>
          <w:color w:val="auto"/>
          <w:sz w:val="30"/>
          <w:szCs w:val="30"/>
          <w:lang w:val="en-US" w:eastAsia="zh-CN"/>
        </w:rPr>
        <w:t>涉及16个批次，共计155.117万元</w:t>
      </w:r>
      <w:r>
        <w:rPr>
          <w:rFonts w:hint="eastAsia" w:ascii="方正仿宋_GBK" w:hAnsi="方正仿宋_GBK" w:eastAsia="方正仿宋_GBK" w:cs="方正仿宋_GBK"/>
          <w:color w:val="auto"/>
          <w:sz w:val="30"/>
          <w:szCs w:val="30"/>
          <w:lang w:eastAsia="zh-CN"/>
        </w:rPr>
        <w:t>。其中：2021年第10-12批农、金额4.3600  万元，2022年第1—4批、金额19.7270 万元，2022年第5-9批、金额42.4550 万元，2022年第10批、金额10.0250 万元，2022年第11批、金额5.7000 万元，2022年第12批、金额9.1050 万元，2022年第13批、金额3.9700 万元，2022年第14批、金额6.4440 万元，2022年第15批、金额</w:t>
      </w:r>
      <w:r>
        <w:rPr>
          <w:rFonts w:hint="eastAsia" w:ascii="方正仿宋_GBK" w:hAnsi="方正仿宋_GBK" w:eastAsia="方正仿宋_GBK" w:cs="方正仿宋_GBK"/>
          <w:color w:val="auto"/>
          <w:sz w:val="30"/>
          <w:szCs w:val="30"/>
          <w:lang w:val="en-US" w:eastAsia="zh-CN"/>
        </w:rPr>
        <w:t xml:space="preserve">4.3830 </w:t>
      </w:r>
      <w:r>
        <w:rPr>
          <w:rFonts w:hint="eastAsia" w:ascii="方正仿宋_GBK" w:hAnsi="方正仿宋_GBK" w:eastAsia="方正仿宋_GBK" w:cs="方正仿宋_GBK"/>
          <w:color w:val="auto"/>
          <w:sz w:val="30"/>
          <w:szCs w:val="30"/>
          <w:lang w:eastAsia="zh-CN"/>
        </w:rPr>
        <w:t>万元，2022年第16批、金额6.7800 万元，2022年第1</w:t>
      </w:r>
      <w:r>
        <w:rPr>
          <w:rFonts w:hint="eastAsia" w:ascii="方正仿宋_GBK" w:hAnsi="方正仿宋_GBK" w:eastAsia="方正仿宋_GBK" w:cs="方正仿宋_GBK"/>
          <w:color w:val="auto"/>
          <w:sz w:val="30"/>
          <w:szCs w:val="30"/>
          <w:lang w:val="en-US" w:eastAsia="zh-CN"/>
        </w:rPr>
        <w:t>7</w:t>
      </w:r>
      <w:r>
        <w:rPr>
          <w:rFonts w:hint="eastAsia" w:ascii="方正仿宋_GBK" w:hAnsi="方正仿宋_GBK" w:eastAsia="方正仿宋_GBK" w:cs="方正仿宋_GBK"/>
          <w:color w:val="auto"/>
          <w:sz w:val="30"/>
          <w:szCs w:val="30"/>
          <w:lang w:eastAsia="zh-CN"/>
        </w:rPr>
        <w:t>批、金额2.8160  万元，2022年第1</w:t>
      </w:r>
      <w:r>
        <w:rPr>
          <w:rFonts w:hint="eastAsia" w:ascii="方正仿宋_GBK" w:hAnsi="方正仿宋_GBK" w:eastAsia="方正仿宋_GBK" w:cs="方正仿宋_GBK"/>
          <w:color w:val="auto"/>
          <w:sz w:val="30"/>
          <w:szCs w:val="30"/>
          <w:lang w:val="en-US" w:eastAsia="zh-CN"/>
        </w:rPr>
        <w:t>8</w:t>
      </w:r>
      <w:r>
        <w:rPr>
          <w:rFonts w:hint="eastAsia" w:ascii="方正仿宋_GBK" w:hAnsi="方正仿宋_GBK" w:eastAsia="方正仿宋_GBK" w:cs="方正仿宋_GBK"/>
          <w:color w:val="auto"/>
          <w:sz w:val="30"/>
          <w:szCs w:val="30"/>
          <w:lang w:eastAsia="zh-CN"/>
        </w:rPr>
        <w:t>批、金额7.2370 万元，2022年第1</w:t>
      </w:r>
      <w:r>
        <w:rPr>
          <w:rFonts w:hint="eastAsia" w:ascii="方正仿宋_GBK" w:hAnsi="方正仿宋_GBK" w:eastAsia="方正仿宋_GBK" w:cs="方正仿宋_GBK"/>
          <w:color w:val="auto"/>
          <w:sz w:val="30"/>
          <w:szCs w:val="30"/>
          <w:lang w:val="en-US" w:eastAsia="zh-CN"/>
        </w:rPr>
        <w:t>9</w:t>
      </w:r>
      <w:r>
        <w:rPr>
          <w:rFonts w:hint="eastAsia" w:ascii="方正仿宋_GBK" w:hAnsi="方正仿宋_GBK" w:eastAsia="方正仿宋_GBK" w:cs="方正仿宋_GBK"/>
          <w:color w:val="auto"/>
          <w:sz w:val="30"/>
          <w:szCs w:val="30"/>
          <w:lang w:eastAsia="zh-CN"/>
        </w:rPr>
        <w:t>批、金额1.2200  万元，2022年第</w:t>
      </w:r>
      <w:r>
        <w:rPr>
          <w:rFonts w:hint="eastAsia" w:ascii="方正仿宋_GBK" w:hAnsi="方正仿宋_GBK" w:eastAsia="方正仿宋_GBK" w:cs="方正仿宋_GBK"/>
          <w:color w:val="auto"/>
          <w:sz w:val="30"/>
          <w:szCs w:val="30"/>
          <w:lang w:val="en-US" w:eastAsia="zh-CN"/>
        </w:rPr>
        <w:t>20</w:t>
      </w:r>
      <w:r>
        <w:rPr>
          <w:rFonts w:hint="eastAsia" w:ascii="方正仿宋_GBK" w:hAnsi="方正仿宋_GBK" w:eastAsia="方正仿宋_GBK" w:cs="方正仿宋_GBK"/>
          <w:color w:val="auto"/>
          <w:sz w:val="30"/>
          <w:szCs w:val="30"/>
          <w:lang w:eastAsia="zh-CN"/>
        </w:rPr>
        <w:t>批、金额4.5950 万元，2022年第</w:t>
      </w:r>
      <w:r>
        <w:rPr>
          <w:rFonts w:hint="eastAsia" w:ascii="方正仿宋_GBK" w:hAnsi="方正仿宋_GBK" w:eastAsia="方正仿宋_GBK" w:cs="方正仿宋_GBK"/>
          <w:color w:val="auto"/>
          <w:sz w:val="30"/>
          <w:szCs w:val="30"/>
          <w:lang w:val="en-US" w:eastAsia="zh-CN"/>
        </w:rPr>
        <w:t>21</w:t>
      </w:r>
      <w:r>
        <w:rPr>
          <w:rFonts w:hint="eastAsia" w:ascii="方正仿宋_GBK" w:hAnsi="方正仿宋_GBK" w:eastAsia="方正仿宋_GBK" w:cs="方正仿宋_GBK"/>
          <w:color w:val="auto"/>
          <w:sz w:val="30"/>
          <w:szCs w:val="30"/>
          <w:lang w:eastAsia="zh-CN"/>
        </w:rPr>
        <w:t>批、金额20.4000万元，，2022年第</w:t>
      </w:r>
      <w:r>
        <w:rPr>
          <w:rFonts w:hint="eastAsia" w:ascii="方正仿宋_GBK" w:hAnsi="方正仿宋_GBK" w:eastAsia="方正仿宋_GBK" w:cs="方正仿宋_GBK"/>
          <w:color w:val="auto"/>
          <w:sz w:val="30"/>
          <w:szCs w:val="30"/>
          <w:lang w:val="en-US" w:eastAsia="zh-CN"/>
        </w:rPr>
        <w:t>22</w:t>
      </w:r>
      <w:r>
        <w:rPr>
          <w:rFonts w:hint="eastAsia" w:ascii="方正仿宋_GBK" w:hAnsi="方正仿宋_GBK" w:eastAsia="方正仿宋_GBK" w:cs="方正仿宋_GBK"/>
          <w:color w:val="auto"/>
          <w:sz w:val="30"/>
          <w:szCs w:val="30"/>
          <w:lang w:eastAsia="zh-CN"/>
        </w:rPr>
        <w:t>批、金额5.9000 6.7800 万元</w:t>
      </w:r>
      <w:bookmarkStart w:id="0" w:name="_GoBack"/>
      <w:r>
        <w:rPr>
          <w:rFonts w:hint="eastAsia" w:ascii="方正仿宋_GBK" w:hAnsi="方正仿宋_GBK" w:eastAsia="方正仿宋_GBK" w:cs="方正仿宋_GBK"/>
          <w:color w:val="FF0000"/>
          <w:sz w:val="30"/>
          <w:szCs w:val="30"/>
          <w:u w:val="single"/>
          <w:lang w:eastAsia="zh-CN"/>
        </w:rPr>
        <w:t>（</w:t>
      </w:r>
      <w:r>
        <w:rPr>
          <w:rFonts w:hint="eastAsia" w:ascii="方正仿宋_GBK" w:hAnsi="方正仿宋_GBK" w:eastAsia="方正仿宋_GBK" w:cs="方正仿宋_GBK"/>
          <w:color w:val="FF0000"/>
          <w:sz w:val="30"/>
          <w:szCs w:val="30"/>
          <w:u w:val="single"/>
          <w:lang w:val="en-US" w:eastAsia="zh-CN"/>
        </w:rPr>
        <w:t>22批已入库未下达计划打款</w:t>
      </w:r>
      <w:r>
        <w:rPr>
          <w:rFonts w:hint="eastAsia" w:ascii="方正仿宋_GBK" w:hAnsi="方正仿宋_GBK" w:eastAsia="方正仿宋_GBK" w:cs="方正仿宋_GBK"/>
          <w:color w:val="FF0000"/>
          <w:sz w:val="30"/>
          <w:szCs w:val="30"/>
          <w:u w:val="single"/>
          <w:lang w:eastAsia="zh-CN"/>
        </w:rPr>
        <w:t>）</w:t>
      </w:r>
      <w:bookmarkEnd w:id="0"/>
      <w:r>
        <w:rPr>
          <w:rFonts w:hint="eastAsia" w:ascii="方正仿宋_GBK" w:hAnsi="方正仿宋_GBK" w:eastAsia="方正仿宋_GBK" w:cs="方正仿宋_GBK"/>
          <w:color w:val="auto"/>
          <w:sz w:val="30"/>
          <w:szCs w:val="30"/>
          <w:lang w:eastAsia="zh-CN"/>
        </w:rPr>
        <w:t>；</w:t>
      </w:r>
    </w:p>
    <w:p>
      <w:pPr>
        <w:spacing w:line="560" w:lineRule="exact"/>
        <w:ind w:firstLine="600" w:firstLineChars="200"/>
        <w:rPr>
          <w:rFonts w:hint="eastAsia" w:ascii="方正仿宋_GBK" w:hAnsi="方正仿宋_GBK" w:eastAsia="方正仿宋_GBK" w:cs="方正仿宋_GBK"/>
          <w:color w:val="auto"/>
          <w:sz w:val="30"/>
          <w:szCs w:val="30"/>
          <w:lang w:eastAsia="zh-CN"/>
        </w:rPr>
      </w:pPr>
      <w:r>
        <w:rPr>
          <w:rFonts w:hint="eastAsia" w:ascii="方正仿宋_GBK" w:hAnsi="方正仿宋_GBK" w:eastAsia="方正仿宋_GBK" w:cs="方正仿宋_GBK"/>
          <w:color w:val="auto"/>
          <w:sz w:val="30"/>
          <w:szCs w:val="30"/>
        </w:rPr>
        <w:t>项目资金执行情况</w:t>
      </w:r>
      <w:r>
        <w:rPr>
          <w:rFonts w:hint="eastAsia" w:ascii="方正仿宋_GBK" w:hAnsi="方正仿宋_GBK" w:eastAsia="方正仿宋_GBK" w:cs="方正仿宋_GBK"/>
          <w:color w:val="auto"/>
          <w:sz w:val="30"/>
          <w:szCs w:val="30"/>
          <w:lang w:eastAsia="zh-CN"/>
        </w:rPr>
        <w:t>：从事农业生产的个人或组织“自主购机、定额补贴、先购后补、县级结算、直补到卡（户）”。凡申请补贴者，按规定程序，及时补贴；全面完成了项目规定的任务，由奉节县农业农村委员会按批次函请县财政抽查核实并预以补贴，由县财政委托重庆农村商业银行代发，一卡通惠农系统运行后由县农委委托重庆农村商业银行代发。</w:t>
      </w:r>
    </w:p>
    <w:p>
      <w:pPr>
        <w:spacing w:line="600" w:lineRule="exact"/>
        <w:ind w:firstLine="600" w:firstLineChars="200"/>
        <w:rPr>
          <w:rFonts w:hint="default" w:ascii="方正仿宋_GBK" w:hAnsi="方正仿宋_GBK" w:eastAsia="方正仿宋_GBK" w:cs="方正仿宋_GBK"/>
          <w:color w:val="auto"/>
          <w:sz w:val="30"/>
          <w:szCs w:val="30"/>
          <w:lang w:val="en-US" w:eastAsia="zh-CN"/>
        </w:rPr>
      </w:pPr>
      <w:r>
        <w:rPr>
          <w:rFonts w:hint="eastAsia" w:ascii="方正仿宋_GBK" w:hAnsi="方正仿宋_GBK" w:eastAsia="方正仿宋_GBK" w:cs="方正仿宋_GBK"/>
          <w:color w:val="auto"/>
          <w:sz w:val="30"/>
          <w:szCs w:val="30"/>
          <w:lang w:eastAsia="zh-CN"/>
        </w:rPr>
        <w:t>项目资金管理情况：</w:t>
      </w:r>
      <w:r>
        <w:rPr>
          <w:rFonts w:hint="eastAsia" w:ascii="方正仿宋_GBK" w:hAnsi="方正仿宋_GBK" w:eastAsia="方正仿宋_GBK" w:cs="方正仿宋_GBK"/>
          <w:color w:val="auto"/>
          <w:sz w:val="30"/>
          <w:szCs w:val="30"/>
          <w:lang w:val="en-US" w:eastAsia="zh-CN"/>
        </w:rPr>
        <w:t>按照《重庆市2021-2023年农机购置补贴实施方案》，补贴流程是按照</w:t>
      </w:r>
      <w:r>
        <w:rPr>
          <w:rFonts w:hint="eastAsia" w:ascii="方正仿宋_GBK" w:hAnsi="方正仿宋_GBK" w:eastAsia="方正仿宋_GBK" w:cs="方正仿宋_GBK"/>
          <w:color w:val="auto"/>
          <w:sz w:val="30"/>
          <w:szCs w:val="30"/>
          <w:lang w:eastAsia="zh-CN"/>
        </w:rPr>
        <w:t>“自主购机、定额补贴、先购后补、县级结算、直补到卡（户）”</w:t>
      </w:r>
      <w:r>
        <w:rPr>
          <w:rFonts w:hint="eastAsia" w:ascii="方正仿宋_GBK" w:hAnsi="方正仿宋_GBK" w:eastAsia="方正仿宋_GBK" w:cs="方正仿宋_GBK"/>
          <w:color w:val="auto"/>
          <w:sz w:val="30"/>
          <w:szCs w:val="30"/>
          <w:lang w:val="en-US" w:eastAsia="zh-CN"/>
        </w:rPr>
        <w:t>的方式实施，由乡镇街道农业服务中心在《重庆市农机购置补贴辅助管理系统 (2021-2023)》中受理购机者的申请，对补贴机具进行核验核实，公示，由县农业农村委抽查核实后汇总，向县财政局申请补贴资金，由县财政局通过一卡通惠农系统拨款到重庆农村商业银行，由银行直接兑现到农户。</w:t>
      </w:r>
    </w:p>
    <w:p>
      <w:pPr>
        <w:spacing w:line="600" w:lineRule="exact"/>
        <w:ind w:firstLine="600" w:firstLineChars="200"/>
        <w:outlineLvl w:val="0"/>
        <w:rPr>
          <w:rFonts w:hint="eastAsia" w:ascii="方正仿宋_GBK" w:hAnsi="方正仿宋_GBK" w:eastAsia="方正仿宋_GBK" w:cs="方正仿宋_GBK"/>
          <w:color w:val="auto"/>
          <w:sz w:val="30"/>
          <w:szCs w:val="30"/>
          <w:lang w:eastAsia="zh-CN"/>
        </w:rPr>
      </w:pPr>
      <w:r>
        <w:rPr>
          <w:rFonts w:hint="eastAsia" w:ascii="方正楷体_GBK" w:hAnsi="方正楷体_GBK" w:eastAsia="方正楷体_GBK" w:cs="方正楷体_GBK"/>
          <w:bCs/>
          <w:color w:val="auto"/>
          <w:sz w:val="30"/>
          <w:szCs w:val="30"/>
        </w:rPr>
        <w:t>（二）总体绩效目标完成情况分析。</w:t>
      </w:r>
      <w:r>
        <w:rPr>
          <w:rFonts w:hint="eastAsia" w:ascii="方正仿宋_GBK" w:hAnsi="方正仿宋_GBK" w:eastAsia="方正仿宋_GBK" w:cs="方正仿宋_GBK"/>
          <w:color w:val="auto"/>
          <w:sz w:val="30"/>
          <w:szCs w:val="30"/>
          <w:lang w:eastAsia="zh-CN"/>
        </w:rPr>
        <w:t>全面完成了项目规定的任务，由奉节县农业农村委员会按批次函请县财政抽查核实并预以补贴，由县财政委托重庆农村商业银行代发。在此次绩效评价中共</w:t>
      </w:r>
      <w:r>
        <w:rPr>
          <w:rFonts w:hint="eastAsia" w:ascii="方正仿宋_GBK" w:hAnsi="方正仿宋_GBK" w:eastAsia="方正仿宋_GBK" w:cs="方正仿宋_GBK"/>
          <w:color w:val="auto"/>
          <w:sz w:val="30"/>
          <w:szCs w:val="30"/>
          <w:lang w:val="en-US" w:eastAsia="zh-CN"/>
        </w:rPr>
        <w:t>涉及16个批次，共计155.117万元</w:t>
      </w:r>
      <w:r>
        <w:rPr>
          <w:rFonts w:hint="eastAsia" w:ascii="方正仿宋_GBK" w:hAnsi="方正仿宋_GBK" w:eastAsia="方正仿宋_GBK" w:cs="方正仿宋_GBK"/>
          <w:color w:val="auto"/>
          <w:sz w:val="30"/>
          <w:szCs w:val="30"/>
          <w:lang w:eastAsia="zh-CN"/>
        </w:rPr>
        <w:t>。</w:t>
      </w:r>
    </w:p>
    <w:p>
      <w:pPr>
        <w:spacing w:line="600" w:lineRule="exact"/>
        <w:ind w:firstLine="600" w:firstLineChars="200"/>
        <w:outlineLvl w:val="0"/>
        <w:rPr>
          <w:rFonts w:hint="eastAsia" w:ascii="方正仿宋_GBK" w:hAnsi="方正仿宋_GBK" w:eastAsia="方正仿宋_GBK" w:cs="方正仿宋_GBK"/>
          <w:color w:val="auto"/>
          <w:sz w:val="30"/>
          <w:szCs w:val="30"/>
        </w:rPr>
      </w:pPr>
      <w:r>
        <w:rPr>
          <w:rFonts w:hint="eastAsia" w:ascii="方正楷体_GBK" w:hAnsi="方正楷体_GBK" w:eastAsia="方正楷体_GBK" w:cs="方正楷体_GBK"/>
          <w:bCs/>
          <w:color w:val="auto"/>
          <w:sz w:val="30"/>
          <w:szCs w:val="30"/>
        </w:rPr>
        <w:t>（三）绩效目标完成情况分析。</w:t>
      </w:r>
    </w:p>
    <w:p>
      <w:pPr>
        <w:spacing w:line="600" w:lineRule="exact"/>
        <w:ind w:firstLine="600" w:firstLineChars="200"/>
        <w:rPr>
          <w:rFonts w:hint="eastAsia"/>
          <w:color w:val="auto"/>
        </w:rPr>
      </w:pPr>
      <w:r>
        <w:rPr>
          <w:rFonts w:hint="eastAsia" w:ascii="方正仿宋_GBK" w:hAnsi="方正仿宋_GBK" w:eastAsia="方正仿宋_GBK" w:cs="方正仿宋_GBK"/>
          <w:color w:val="auto"/>
          <w:sz w:val="30"/>
          <w:szCs w:val="30"/>
        </w:rPr>
        <w:t>1.产出指标完成情况分析。</w:t>
      </w:r>
    </w:p>
    <w:p>
      <w:pPr>
        <w:spacing w:line="600" w:lineRule="exact"/>
        <w:ind w:firstLine="600" w:firstLineChars="200"/>
        <w:rPr>
          <w:rFonts w:hint="default" w:ascii="方正仿宋_GBK" w:hAnsi="方正仿宋_GBK" w:eastAsia="方正仿宋_GBK" w:cs="方正仿宋_GBK"/>
          <w:color w:val="auto"/>
          <w:sz w:val="30"/>
          <w:szCs w:val="30"/>
          <w:lang w:val="en-US" w:eastAsia="zh-CN"/>
        </w:rPr>
      </w:pPr>
      <w:r>
        <w:rPr>
          <w:rFonts w:hint="eastAsia" w:ascii="方正仿宋_GBK" w:hAnsi="方正仿宋_GBK" w:eastAsia="方正仿宋_GBK" w:cs="方正仿宋_GBK"/>
          <w:color w:val="auto"/>
          <w:sz w:val="30"/>
          <w:szCs w:val="30"/>
        </w:rPr>
        <w:t>（1）数量指标。</w:t>
      </w:r>
      <w:r>
        <w:rPr>
          <w:rFonts w:hint="eastAsia" w:ascii="方正仿宋_GBK" w:hAnsi="方正仿宋_GBK" w:eastAsia="方正仿宋_GBK" w:cs="方正仿宋_GBK"/>
          <w:color w:val="auto"/>
          <w:sz w:val="30"/>
          <w:szCs w:val="30"/>
          <w:lang w:val="en-US" w:eastAsia="zh-CN"/>
        </w:rPr>
        <w:t>补助机具1818台，受益户1768户，</w:t>
      </w:r>
      <w:r>
        <w:rPr>
          <w:rFonts w:hint="eastAsia" w:ascii="方正仿宋_GBK" w:hAnsi="方正仿宋_GBK" w:eastAsia="方正仿宋_GBK" w:cs="方正仿宋_GBK"/>
          <w:color w:val="auto"/>
          <w:sz w:val="30"/>
          <w:szCs w:val="30"/>
          <w:lang w:eastAsia="zh-CN"/>
        </w:rPr>
        <w:t>涉及</w:t>
      </w:r>
      <w:r>
        <w:rPr>
          <w:rFonts w:hint="eastAsia" w:ascii="方正仿宋_GBK" w:hAnsi="方正仿宋_GBK" w:eastAsia="方正仿宋_GBK" w:cs="方正仿宋_GBK"/>
          <w:color w:val="auto"/>
          <w:sz w:val="30"/>
          <w:szCs w:val="30"/>
          <w:lang w:val="en-US" w:eastAsia="zh-CN"/>
        </w:rPr>
        <w:t>16个批次，共计155.117万元；</w:t>
      </w:r>
    </w:p>
    <w:p>
      <w:pPr>
        <w:spacing w:line="600" w:lineRule="exact"/>
        <w:ind w:firstLine="600" w:firstLineChars="200"/>
        <w:rPr>
          <w:rFonts w:hint="eastAsia" w:ascii="方正仿宋_GBK" w:hAnsi="方正仿宋_GBK" w:eastAsia="方正仿宋_GBK" w:cs="方正仿宋_GBK"/>
          <w:color w:val="auto"/>
          <w:sz w:val="30"/>
          <w:szCs w:val="30"/>
          <w:lang w:eastAsia="zh-CN"/>
        </w:rPr>
      </w:pPr>
      <w:r>
        <w:rPr>
          <w:rFonts w:hint="eastAsia" w:ascii="方正仿宋_GBK" w:hAnsi="方正仿宋_GBK" w:eastAsia="方正仿宋_GBK" w:cs="方正仿宋_GBK"/>
          <w:color w:val="auto"/>
          <w:sz w:val="30"/>
          <w:szCs w:val="30"/>
        </w:rPr>
        <w:t>（2）质量指标。补助合格率100%</w:t>
      </w:r>
      <w:r>
        <w:rPr>
          <w:rFonts w:hint="eastAsia" w:ascii="方正仿宋_GBK" w:hAnsi="方正仿宋_GBK" w:eastAsia="方正仿宋_GBK" w:cs="方正仿宋_GBK"/>
          <w:color w:val="auto"/>
          <w:sz w:val="30"/>
          <w:szCs w:val="30"/>
          <w:lang w:eastAsia="zh-CN"/>
        </w:rPr>
        <w:t>；</w:t>
      </w:r>
    </w:p>
    <w:p>
      <w:pPr>
        <w:spacing w:line="600" w:lineRule="exact"/>
        <w:ind w:firstLine="600" w:firstLineChars="200"/>
        <w:rPr>
          <w:rFonts w:hint="eastAsia" w:ascii="方正仿宋_GBK" w:hAnsi="方正仿宋_GBK" w:eastAsia="方正仿宋_GBK" w:cs="方正仿宋_GBK"/>
          <w:color w:val="auto"/>
          <w:sz w:val="30"/>
          <w:szCs w:val="30"/>
          <w:lang w:eastAsia="zh-CN"/>
        </w:rPr>
      </w:pPr>
      <w:r>
        <w:rPr>
          <w:rFonts w:hint="eastAsia" w:ascii="方正仿宋_GBK" w:hAnsi="方正仿宋_GBK" w:eastAsia="方正仿宋_GBK" w:cs="方正仿宋_GBK"/>
          <w:color w:val="auto"/>
          <w:sz w:val="30"/>
          <w:szCs w:val="30"/>
        </w:rPr>
        <w:t>（3）时效指标。补助资金按时到位率100%</w:t>
      </w:r>
      <w:r>
        <w:rPr>
          <w:rFonts w:hint="eastAsia" w:ascii="方正仿宋_GBK" w:hAnsi="方正仿宋_GBK" w:eastAsia="方正仿宋_GBK" w:cs="方正仿宋_GBK"/>
          <w:color w:val="auto"/>
          <w:sz w:val="30"/>
          <w:szCs w:val="30"/>
          <w:lang w:eastAsia="zh-CN"/>
        </w:rPr>
        <w:t>；</w:t>
      </w:r>
    </w:p>
    <w:p>
      <w:pPr>
        <w:spacing w:line="600" w:lineRule="exact"/>
        <w:ind w:firstLine="600" w:firstLineChars="200"/>
        <w:rPr>
          <w:rFonts w:hint="eastAsia" w:ascii="方正仿宋_GBK" w:hAnsi="方正仿宋_GBK" w:eastAsia="方正仿宋_GBK" w:cs="方正仿宋_GBK"/>
          <w:color w:val="auto"/>
          <w:sz w:val="30"/>
          <w:szCs w:val="30"/>
        </w:rPr>
      </w:pPr>
      <w:r>
        <w:rPr>
          <w:rFonts w:hint="eastAsia" w:ascii="方正仿宋_GBK" w:hAnsi="方正仿宋_GBK" w:eastAsia="方正仿宋_GBK" w:cs="方正仿宋_GBK"/>
          <w:color w:val="auto"/>
          <w:sz w:val="30"/>
          <w:szCs w:val="30"/>
        </w:rPr>
        <w:t>2.效益指标完成情况分析。</w:t>
      </w:r>
    </w:p>
    <w:p>
      <w:pPr>
        <w:spacing w:line="600" w:lineRule="exact"/>
        <w:ind w:firstLine="600" w:firstLineChars="200"/>
        <w:rPr>
          <w:rFonts w:hint="eastAsia" w:ascii="方正仿宋_GBK" w:hAnsi="方正仿宋_GBK" w:eastAsia="方正仿宋_GBK" w:cs="方正仿宋_GBK"/>
          <w:color w:val="auto"/>
          <w:sz w:val="30"/>
          <w:szCs w:val="30"/>
          <w:lang w:eastAsia="zh-CN"/>
        </w:rPr>
      </w:pPr>
      <w:r>
        <w:rPr>
          <w:rFonts w:hint="eastAsia" w:ascii="方正仿宋_GBK" w:hAnsi="方正仿宋_GBK" w:eastAsia="方正仿宋_GBK" w:cs="方正仿宋_GBK"/>
          <w:color w:val="auto"/>
          <w:sz w:val="30"/>
          <w:szCs w:val="30"/>
        </w:rPr>
        <w:t>（1）经济效益。补</w:t>
      </w:r>
      <w:r>
        <w:rPr>
          <w:rFonts w:hint="eastAsia" w:ascii="方正仿宋_GBK" w:hAnsi="方正仿宋_GBK" w:eastAsia="方正仿宋_GBK" w:cs="方正仿宋_GBK"/>
          <w:color w:val="auto"/>
          <w:sz w:val="30"/>
          <w:szCs w:val="30"/>
          <w:lang w:eastAsia="zh-CN"/>
        </w:rPr>
        <w:t>助标准定额补贴、先购后补、县级结算、直补到卡；</w:t>
      </w:r>
    </w:p>
    <w:p>
      <w:pPr>
        <w:adjustRightInd w:val="0"/>
        <w:snapToGrid w:val="0"/>
        <w:spacing w:line="560" w:lineRule="exact"/>
        <w:ind w:firstLine="600" w:firstLineChars="200"/>
        <w:jc w:val="left"/>
        <w:rPr>
          <w:rFonts w:hint="eastAsia" w:ascii="方正仿宋_GBK" w:hAnsi="方正仿宋_GBK" w:eastAsia="方正仿宋_GBK" w:cs="方正仿宋_GBK"/>
          <w:color w:val="auto"/>
          <w:sz w:val="30"/>
          <w:szCs w:val="30"/>
          <w:lang w:val="en-US" w:eastAsia="zh-CN"/>
        </w:rPr>
      </w:pPr>
      <w:r>
        <w:rPr>
          <w:rFonts w:hint="eastAsia" w:ascii="方正仿宋_GBK" w:hAnsi="方正仿宋_GBK" w:eastAsia="方正仿宋_GBK" w:cs="方正仿宋_GBK"/>
          <w:color w:val="auto"/>
          <w:sz w:val="30"/>
          <w:szCs w:val="30"/>
        </w:rPr>
        <w:t>（2）社会效益。</w:t>
      </w:r>
      <w:r>
        <w:rPr>
          <w:rFonts w:hint="eastAsia" w:ascii="方正仿宋_GBK" w:eastAsia="方正仿宋_GBK"/>
          <w:color w:val="auto"/>
          <w:sz w:val="32"/>
          <w:szCs w:val="32"/>
        </w:rPr>
        <w:t>做到农机购置补贴公平、公正、合法、合规</w:t>
      </w:r>
      <w:r>
        <w:rPr>
          <w:rFonts w:hint="eastAsia" w:ascii="宋体" w:hAnsi="宋体"/>
          <w:color w:val="auto"/>
          <w:sz w:val="32"/>
          <w:szCs w:val="32"/>
        </w:rPr>
        <w:t>。</w:t>
      </w:r>
      <w:r>
        <w:rPr>
          <w:rFonts w:hint="eastAsia" w:ascii="方正仿宋_GBK" w:hAnsi="方正仿宋_GBK" w:eastAsia="方正仿宋_GBK" w:cs="方正仿宋_GBK"/>
          <w:color w:val="auto"/>
          <w:sz w:val="30"/>
          <w:szCs w:val="30"/>
          <w:lang w:val="en-US" w:eastAsia="zh-CN"/>
        </w:rPr>
        <w:t>1.补助政策知晓率</w:t>
      </w:r>
      <w:r>
        <w:rPr>
          <w:rFonts w:hint="eastAsia" w:ascii="方正仿宋_GBK" w:hAnsi="方正仿宋_GBK" w:eastAsia="方正仿宋_GBK" w:cs="方正仿宋_GBK"/>
          <w:color w:val="auto"/>
          <w:sz w:val="30"/>
          <w:szCs w:val="30"/>
        </w:rPr>
        <w:t>100%</w:t>
      </w:r>
      <w:r>
        <w:rPr>
          <w:rFonts w:hint="eastAsia" w:ascii="方正仿宋_GBK" w:hAnsi="方正仿宋_GBK" w:eastAsia="方正仿宋_GBK" w:cs="方正仿宋_GBK"/>
          <w:color w:val="auto"/>
          <w:sz w:val="30"/>
          <w:szCs w:val="30"/>
          <w:lang w:eastAsia="zh-CN"/>
        </w:rPr>
        <w:t>；</w:t>
      </w:r>
      <w:r>
        <w:rPr>
          <w:rFonts w:hint="eastAsia" w:ascii="方正仿宋_GBK" w:hAnsi="方正仿宋_GBK" w:eastAsia="方正仿宋_GBK" w:cs="方正仿宋_GBK"/>
          <w:color w:val="auto"/>
          <w:sz w:val="30"/>
          <w:szCs w:val="30"/>
          <w:lang w:val="en-US" w:eastAsia="zh-CN"/>
        </w:rPr>
        <w:t>2.补助事项公示率</w:t>
      </w:r>
      <w:r>
        <w:rPr>
          <w:rFonts w:hint="eastAsia" w:ascii="方正仿宋_GBK" w:hAnsi="方正仿宋_GBK" w:eastAsia="方正仿宋_GBK" w:cs="方正仿宋_GBK"/>
          <w:color w:val="auto"/>
          <w:sz w:val="30"/>
          <w:szCs w:val="30"/>
        </w:rPr>
        <w:t>100%</w:t>
      </w:r>
      <w:r>
        <w:rPr>
          <w:rFonts w:hint="eastAsia" w:ascii="方正仿宋_GBK" w:hAnsi="方正仿宋_GBK" w:eastAsia="方正仿宋_GBK" w:cs="方正仿宋_GBK"/>
          <w:color w:val="auto"/>
          <w:sz w:val="30"/>
          <w:szCs w:val="30"/>
          <w:lang w:eastAsia="zh-CN"/>
        </w:rPr>
        <w:t>；</w:t>
      </w:r>
    </w:p>
    <w:p>
      <w:pPr>
        <w:adjustRightInd w:val="0"/>
        <w:snapToGrid w:val="0"/>
        <w:spacing w:line="560" w:lineRule="exact"/>
        <w:ind w:firstLine="600" w:firstLineChars="200"/>
        <w:jc w:val="left"/>
        <w:rPr>
          <w:rFonts w:hint="eastAsia" w:ascii="方正仿宋_GBK" w:hAnsi="方正仿宋_GBK" w:eastAsia="方正仿宋_GBK" w:cs="方正仿宋_GBK"/>
          <w:color w:val="auto"/>
          <w:sz w:val="30"/>
          <w:szCs w:val="30"/>
          <w:lang w:eastAsia="zh-CN"/>
        </w:rPr>
      </w:pPr>
      <w:r>
        <w:rPr>
          <w:rFonts w:hint="eastAsia" w:ascii="方正仿宋_GBK" w:hAnsi="方正仿宋_GBK" w:eastAsia="方正仿宋_GBK" w:cs="方正仿宋_GBK"/>
          <w:color w:val="auto"/>
          <w:sz w:val="30"/>
          <w:szCs w:val="30"/>
        </w:rPr>
        <w:t>（3）生态效益。补助事项公示率100%</w:t>
      </w:r>
      <w:r>
        <w:rPr>
          <w:rFonts w:hint="eastAsia" w:ascii="方正仿宋_GBK" w:hAnsi="方正仿宋_GBK" w:eastAsia="方正仿宋_GBK" w:cs="方正仿宋_GBK"/>
          <w:color w:val="auto"/>
          <w:sz w:val="30"/>
          <w:szCs w:val="30"/>
          <w:lang w:eastAsia="zh-CN"/>
        </w:rPr>
        <w:t>，</w:t>
      </w:r>
      <w:r>
        <w:rPr>
          <w:rFonts w:hint="eastAsia" w:ascii="方正仿宋_GBK" w:eastAsia="方正仿宋_GBK"/>
          <w:color w:val="auto"/>
          <w:sz w:val="32"/>
          <w:szCs w:val="32"/>
        </w:rPr>
        <w:t>严格按照重庆市20</w:t>
      </w:r>
      <w:r>
        <w:rPr>
          <w:rFonts w:hint="eastAsia" w:ascii="方正仿宋_GBK" w:eastAsia="方正仿宋_GBK"/>
          <w:color w:val="auto"/>
          <w:sz w:val="32"/>
          <w:szCs w:val="32"/>
          <w:lang w:val="en-US" w:eastAsia="zh-CN"/>
        </w:rPr>
        <w:t>21</w:t>
      </w:r>
      <w:r>
        <w:rPr>
          <w:rFonts w:hint="eastAsia" w:ascii="方正仿宋_GBK" w:eastAsia="方正仿宋_GBK"/>
          <w:color w:val="auto"/>
          <w:sz w:val="32"/>
          <w:szCs w:val="32"/>
        </w:rPr>
        <w:t>－202</w:t>
      </w:r>
      <w:r>
        <w:rPr>
          <w:rFonts w:hint="eastAsia" w:ascii="方正仿宋_GBK" w:eastAsia="方正仿宋_GBK"/>
          <w:color w:val="auto"/>
          <w:sz w:val="32"/>
          <w:szCs w:val="32"/>
          <w:lang w:val="en-US" w:eastAsia="zh-CN"/>
        </w:rPr>
        <w:t>3</w:t>
      </w:r>
      <w:r>
        <w:rPr>
          <w:rFonts w:hint="eastAsia" w:ascii="方正仿宋_GBK" w:eastAsia="方正仿宋_GBK"/>
          <w:color w:val="auto"/>
          <w:sz w:val="32"/>
          <w:szCs w:val="32"/>
        </w:rPr>
        <w:t>年农机购置补贴实施方案执行，杜绝环保不合格产品，对环保不达标产品不给国家补贴</w:t>
      </w:r>
      <w:r>
        <w:rPr>
          <w:rFonts w:hint="eastAsia" w:ascii="方正仿宋_GBK" w:hAnsi="方正仿宋_GBK" w:eastAsia="方正仿宋_GBK" w:cs="方正仿宋_GBK"/>
          <w:color w:val="auto"/>
          <w:sz w:val="30"/>
          <w:szCs w:val="30"/>
          <w:lang w:eastAsia="zh-CN"/>
        </w:rPr>
        <w:t>；</w:t>
      </w:r>
    </w:p>
    <w:p>
      <w:pPr>
        <w:spacing w:line="600" w:lineRule="exact"/>
        <w:ind w:firstLine="600" w:firstLineChars="200"/>
        <w:rPr>
          <w:rFonts w:hint="eastAsia" w:ascii="方正仿宋_GBK" w:hAnsi="方正仿宋_GBK" w:eastAsia="方正仿宋_GBK" w:cs="方正仿宋_GBK"/>
          <w:color w:val="auto"/>
          <w:sz w:val="30"/>
          <w:szCs w:val="30"/>
          <w:lang w:eastAsia="zh-CN"/>
        </w:rPr>
      </w:pPr>
      <w:r>
        <w:rPr>
          <w:rFonts w:hint="eastAsia" w:ascii="方正仿宋_GBK" w:hAnsi="方正仿宋_GBK" w:eastAsia="方正仿宋_GBK" w:cs="方正仿宋_GBK"/>
          <w:color w:val="auto"/>
          <w:sz w:val="30"/>
          <w:szCs w:val="30"/>
        </w:rPr>
        <w:t>3.满意度指标完成情况分析。受益群众满意度95%</w:t>
      </w:r>
      <w:r>
        <w:rPr>
          <w:rFonts w:hint="eastAsia" w:ascii="方正仿宋_GBK" w:hAnsi="方正仿宋_GBK" w:eastAsia="方正仿宋_GBK" w:cs="方正仿宋_GBK"/>
          <w:color w:val="auto"/>
          <w:sz w:val="30"/>
          <w:szCs w:val="30"/>
          <w:lang w:eastAsia="zh-CN"/>
        </w:rPr>
        <w:t>；</w:t>
      </w:r>
    </w:p>
    <w:p>
      <w:pPr>
        <w:numPr>
          <w:ilvl w:val="0"/>
          <w:numId w:val="0"/>
        </w:numPr>
        <w:spacing w:line="600" w:lineRule="exact"/>
        <w:ind w:left="640" w:leftChars="0"/>
        <w:rPr>
          <w:rFonts w:hint="eastAsia" w:ascii="方正黑体_GBK" w:hAnsi="方正黑体_GBK" w:eastAsia="方正黑体_GBK" w:cs="方正黑体_GBK"/>
          <w:bCs/>
          <w:color w:val="auto"/>
          <w:sz w:val="30"/>
          <w:szCs w:val="30"/>
        </w:rPr>
      </w:pPr>
      <w:r>
        <w:rPr>
          <w:rFonts w:hint="eastAsia" w:ascii="方正黑体_GBK" w:hAnsi="方正黑体_GBK" w:eastAsia="方正黑体_GBK" w:cs="方正黑体_GBK"/>
          <w:bCs/>
          <w:color w:val="auto"/>
          <w:sz w:val="30"/>
          <w:szCs w:val="30"/>
        </w:rPr>
        <w:t>三、绩效自评结果情况</w:t>
      </w:r>
    </w:p>
    <w:p>
      <w:pPr>
        <w:numPr>
          <w:ilvl w:val="0"/>
          <w:numId w:val="0"/>
        </w:numPr>
        <w:ind w:firstLine="600" w:firstLineChars="200"/>
        <w:rPr>
          <w:rFonts w:hint="eastAsia" w:ascii="方正仿宋_GBK" w:hAnsi="方正仿宋_GBK" w:eastAsia="方正仿宋_GBK" w:cs="方正仿宋_GBK"/>
          <w:color w:val="auto"/>
          <w:sz w:val="30"/>
          <w:szCs w:val="30"/>
        </w:rPr>
      </w:pP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auto"/>
          <w:spacing w:val="0"/>
          <w:sz w:val="30"/>
          <w:szCs w:val="30"/>
          <w:lang w:val="en-US" w:eastAsia="zh-CN"/>
        </w:rPr>
        <w:t>通过认真开展单位项目支出绩效目标自评，综合评分99分，评价结果为优。</w:t>
      </w:r>
    </w:p>
    <w:p>
      <w:pPr>
        <w:spacing w:line="600" w:lineRule="exact"/>
        <w:ind w:firstLine="600" w:firstLineChars="200"/>
        <w:rPr>
          <w:rFonts w:hint="eastAsia" w:ascii="方正黑体_GBK" w:hAnsi="方正黑体_GBK" w:eastAsia="方正黑体_GBK" w:cs="方正黑体_GBK"/>
          <w:bCs/>
          <w:color w:val="auto"/>
          <w:sz w:val="30"/>
          <w:szCs w:val="30"/>
        </w:rPr>
      </w:pPr>
      <w:r>
        <w:rPr>
          <w:rFonts w:hint="eastAsia" w:ascii="方正黑体_GBK" w:hAnsi="方正黑体_GBK" w:eastAsia="方正黑体_GBK" w:cs="方正黑体_GBK"/>
          <w:bCs/>
          <w:color w:val="auto"/>
          <w:sz w:val="30"/>
          <w:szCs w:val="30"/>
          <w:lang w:eastAsia="zh-CN"/>
        </w:rPr>
        <w:t>四、</w:t>
      </w:r>
      <w:r>
        <w:rPr>
          <w:rFonts w:hint="eastAsia" w:ascii="方正黑体_GBK" w:hAnsi="方正黑体_GBK" w:eastAsia="方正黑体_GBK" w:cs="方正黑体_GBK"/>
          <w:bCs/>
          <w:color w:val="auto"/>
          <w:sz w:val="30"/>
          <w:szCs w:val="30"/>
        </w:rPr>
        <w:t>偏离绩效目标的原因和下一步改进措施</w:t>
      </w:r>
    </w:p>
    <w:p>
      <w:pPr>
        <w:spacing w:line="600" w:lineRule="exact"/>
        <w:ind w:firstLine="600" w:firstLineChars="200"/>
        <w:rPr>
          <w:rFonts w:hint="default" w:ascii="方正仿宋_GBK" w:hAnsi="方正仿宋_GBK" w:eastAsia="方正仿宋_GBK" w:cs="方正仿宋_GBK"/>
          <w:color w:val="auto"/>
          <w:sz w:val="30"/>
          <w:szCs w:val="30"/>
          <w:lang w:val="en-US" w:eastAsia="zh-CN"/>
        </w:rPr>
      </w:pPr>
      <w:r>
        <w:rPr>
          <w:rFonts w:hint="eastAsia" w:ascii="方正仿宋_GBK" w:hAnsi="方正仿宋_GBK" w:eastAsia="方正仿宋_GBK" w:cs="方正仿宋_GBK"/>
          <w:color w:val="auto"/>
          <w:sz w:val="30"/>
          <w:szCs w:val="30"/>
          <w:lang w:eastAsia="zh-CN"/>
        </w:rPr>
        <w:t>绩效指标未完成原因：</w:t>
      </w:r>
      <w:r>
        <w:rPr>
          <w:rFonts w:hint="eastAsia" w:ascii="方正仿宋_GBK" w:hAnsi="方正仿宋_GBK" w:eastAsia="方正仿宋_GBK" w:cs="方正仿宋_GBK"/>
          <w:color w:val="auto"/>
          <w:sz w:val="30"/>
          <w:szCs w:val="30"/>
          <w:lang w:val="en-US" w:eastAsia="zh-CN"/>
        </w:rPr>
        <w:t>农机购置补贴资金额度是市农业农村委根据我们县的大概需求下达，要求购机者购买农机后，自愿申请，应补尽补，而且所补机具只能是重庆市农机购置补贴机具一览表中的机具，因此当年的补贴资金没有得到完全使用。其他绩效指标全部完成。</w:t>
      </w:r>
    </w:p>
    <w:p>
      <w:pPr>
        <w:ind w:firstLine="600" w:firstLineChars="200"/>
        <w:rPr>
          <w:rFonts w:hint="eastAsia" w:ascii="方正仿宋_GBK" w:hAnsi="方正仿宋_GBK" w:eastAsia="方正仿宋_GBK" w:cs="方正仿宋_GBK"/>
          <w:color w:val="auto"/>
          <w:sz w:val="30"/>
          <w:szCs w:val="30"/>
        </w:rPr>
      </w:pPr>
      <w:r>
        <w:rPr>
          <w:rFonts w:hint="eastAsia" w:ascii="方正仿宋_GBK" w:hAnsi="方正仿宋_GBK" w:eastAsia="方正仿宋_GBK" w:cs="方正仿宋_GBK"/>
          <w:color w:val="auto"/>
          <w:sz w:val="30"/>
          <w:szCs w:val="30"/>
        </w:rPr>
        <w:t>改进措施</w:t>
      </w:r>
      <w:r>
        <w:rPr>
          <w:rFonts w:hint="eastAsia" w:ascii="方正仿宋_GBK" w:hAnsi="方正仿宋_GBK" w:eastAsia="方正仿宋_GBK" w:cs="方正仿宋_GBK"/>
          <w:color w:val="auto"/>
          <w:sz w:val="30"/>
          <w:szCs w:val="30"/>
          <w:lang w:eastAsia="zh-CN"/>
        </w:rPr>
        <w:t>：</w:t>
      </w:r>
      <w:r>
        <w:rPr>
          <w:rFonts w:hint="eastAsia" w:ascii="方正仿宋_GBK" w:eastAsia="方正仿宋_GBK"/>
          <w:color w:val="auto"/>
          <w:sz w:val="32"/>
          <w:szCs w:val="32"/>
          <w:lang w:val="en-US" w:eastAsia="zh-CN"/>
        </w:rPr>
        <w:t>加强农机购置补贴政策宣传，加大农业机械化技术推广力度，</w:t>
      </w:r>
      <w:r>
        <w:rPr>
          <w:rFonts w:hint="eastAsia" w:ascii="方正仿宋_GBK" w:eastAsia="方正仿宋_GBK"/>
          <w:color w:val="auto"/>
          <w:sz w:val="32"/>
          <w:szCs w:val="32"/>
        </w:rPr>
        <w:t>加强农机购置补贴监管及操作人员的培训</w:t>
      </w:r>
      <w:r>
        <w:rPr>
          <w:rFonts w:hint="eastAsia" w:ascii="方正仿宋_GBK" w:hAnsi="方正仿宋_GBK" w:eastAsia="方正仿宋_GBK" w:cs="方正仿宋_GBK"/>
          <w:color w:val="auto"/>
          <w:sz w:val="30"/>
          <w:szCs w:val="30"/>
        </w:rPr>
        <w:t>。</w:t>
      </w:r>
    </w:p>
    <w:p>
      <w:pPr>
        <w:spacing w:line="600" w:lineRule="exact"/>
        <w:ind w:firstLine="600" w:firstLineChars="200"/>
        <w:rPr>
          <w:rFonts w:hint="eastAsia" w:ascii="方正黑体_GBK" w:hAnsi="方正黑体_GBK" w:eastAsia="方正黑体_GBK" w:cs="方正黑体_GBK"/>
          <w:bCs/>
          <w:color w:val="auto"/>
          <w:sz w:val="30"/>
          <w:szCs w:val="30"/>
        </w:rPr>
      </w:pPr>
      <w:r>
        <w:rPr>
          <w:rFonts w:hint="eastAsia" w:ascii="方正黑体_GBK" w:hAnsi="方正黑体_GBK" w:eastAsia="方正黑体_GBK" w:cs="方正黑体_GBK"/>
          <w:bCs/>
          <w:color w:val="auto"/>
          <w:sz w:val="30"/>
          <w:szCs w:val="30"/>
        </w:rPr>
        <w:t>五、其他需要说明的问题</w:t>
      </w:r>
    </w:p>
    <w:p>
      <w:pPr>
        <w:spacing w:line="600" w:lineRule="exact"/>
        <w:ind w:firstLine="600" w:firstLineChars="200"/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color w:val="auto"/>
          <w:sz w:val="30"/>
          <w:szCs w:val="30"/>
          <w:lang w:eastAsia="zh-CN"/>
        </w:rPr>
        <w:t>无</w:t>
      </w:r>
    </w:p>
    <w:p>
      <w:pPr>
        <w:rPr>
          <w:rFonts w:hint="default" w:ascii="方正仿宋_GBK" w:hAnsi="宋体" w:eastAsia="方正仿宋_GBK" w:cs="宋体"/>
          <w:strike w:val="0"/>
          <w:color w:val="auto"/>
          <w:sz w:val="32"/>
          <w:szCs w:val="32"/>
          <w:lang w:val="en-US" w:eastAsia="zh-CN"/>
        </w:rPr>
      </w:pPr>
    </w:p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DC3D3A9"/>
    <w:multiLevelType w:val="singleLevel"/>
    <w:tmpl w:val="0DC3D3A9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k5M2JmMDVjNTM5NGRjZDBjMzU0OGM2ZTA0YzkyOWEifQ=="/>
    <w:docVar w:name="KSO_WPS_MARK_KEY" w:val="81c68a25-5eee-4542-82f9-98f17cb42562"/>
  </w:docVars>
  <w:rsids>
    <w:rsidRoot w:val="2D113AFE"/>
    <w:rsid w:val="00FC5181"/>
    <w:rsid w:val="182B53DC"/>
    <w:rsid w:val="2D113AFE"/>
    <w:rsid w:val="70C033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next w:val="1"/>
    <w:qFormat/>
    <w:uiPriority w:val="0"/>
    <w:pPr>
      <w:widowControl w:val="0"/>
      <w:autoSpaceDE w:val="0"/>
      <w:autoSpaceDN w:val="0"/>
      <w:adjustRightInd w:val="0"/>
    </w:pPr>
    <w:rPr>
      <w:rFonts w:ascii="方正仿宋_GBK" w:hAnsi="Times New Roman" w:eastAsia="方正仿宋_GBK" w:cs="Times New Roman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1722</Words>
  <Characters>2075</Characters>
  <Lines>0</Lines>
  <Paragraphs>0</Paragraphs>
  <TotalTime>2</TotalTime>
  <ScaleCrop>false</ScaleCrop>
  <LinksUpToDate>false</LinksUpToDate>
  <CharactersWithSpaces>2099</CharactersWithSpaces>
  <Application>WPS Office_11.1.0.12970_F1E327BC-269C-435d-A152-05C5408002CA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2023-03-15T07:18:00Z</dcterms:created>
  <dc:creator>Administrator</dc:creator>
  <cp:lastModifiedBy>Administrator</cp:lastModifiedBy>
  <dcterms:modified xsi:type="dcterms:W3CDTF">2023-03-15T08:36:36Z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2052-11.1.0.12970</vt:lpwstr>
  </property>
  <property fmtid="{D5CDD505-2E9C-101B-9397-08002B2CF9AE}" pid="3" name="ICV">
    <vt:lpwstr>0DC80572E7174441A3BADC656BA055A0</vt:lpwstr>
  </property>
</Properties>
</file>