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2022年度奉节肉牛产业技术研发推广经费项目支出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下达2022年度奉节肉牛产业技术研发推广经费的通知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</w:t>
      </w:r>
      <w:r>
        <w:rPr>
          <w:szCs w:val="30"/>
        </w:rPr>
        <w:t>奉节财农〔2022〕</w:t>
      </w:r>
      <w:r>
        <w:rPr>
          <w:rFonts w:hint="eastAsia"/>
          <w:szCs w:val="30"/>
        </w:rPr>
        <w:t>253</w:t>
      </w:r>
      <w:r>
        <w:rPr>
          <w:szCs w:val="30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left="320" w:leftChars="100" w:firstLine="320" w:firstLineChars="1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</w:t>
      </w:r>
    </w:p>
    <w:p>
      <w:pPr>
        <w:tabs>
          <w:tab w:val="left" w:pos="7080"/>
        </w:tabs>
        <w:spacing w:line="600" w:lineRule="exact"/>
        <w:jc w:val="left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县财政局就2022年度奉节肉牛产业技术研发推广工作下达了</w:t>
      </w:r>
      <w:r>
        <w:rPr>
          <w:color w:val="000000"/>
          <w:szCs w:val="32"/>
        </w:rPr>
        <w:t>农业生产发展</w:t>
      </w:r>
      <w:r>
        <w:rPr>
          <w:rFonts w:hint="eastAsia"/>
          <w:color w:val="000000"/>
          <w:szCs w:val="32"/>
          <w:lang w:val="en-US" w:eastAsia="zh-CN"/>
        </w:rPr>
        <w:t>经费100万元，我委根据</w:t>
      </w:r>
      <w:r>
        <w:rPr>
          <w:szCs w:val="30"/>
        </w:rPr>
        <w:t>奉节财农〔2022〕</w:t>
      </w:r>
      <w:r>
        <w:rPr>
          <w:rFonts w:hint="eastAsia"/>
          <w:szCs w:val="30"/>
        </w:rPr>
        <w:t>253</w:t>
      </w:r>
      <w:r>
        <w:rPr>
          <w:szCs w:val="30"/>
        </w:rPr>
        <w:t>号</w:t>
      </w:r>
      <w:r>
        <w:rPr>
          <w:rFonts w:hint="eastAsia"/>
          <w:szCs w:val="30"/>
          <w:lang w:val="en-US" w:eastAsia="zh-CN"/>
        </w:rPr>
        <w:t>文件</w:t>
      </w:r>
      <w:r>
        <w:rPr>
          <w:rFonts w:ascii="Times New Roman" w:hAnsi="Times New Roman" w:eastAsia="方正仿宋_GBK"/>
          <w:color w:val="000000"/>
          <w:sz w:val="32"/>
          <w:szCs w:val="32"/>
        </w:rPr>
        <w:t>对照绩效目标审批表做好预算执行、开展好绩效运行监控、完工后及时组织绩效评价</w:t>
      </w:r>
      <w:r>
        <w:rPr>
          <w:rFonts w:hint="eastAsia"/>
          <w:color w:val="000000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_GBK"/>
          <w:color w:val="000000"/>
          <w:sz w:val="32"/>
          <w:szCs w:val="32"/>
        </w:rPr>
        <w:t>确保项目如期实现目标</w:t>
      </w:r>
      <w:r>
        <w:rPr>
          <w:rFonts w:hint="eastAsia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已向财政申请拨付50万元，暂未拨付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完成1.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起草编制《奉节肉牛产业中长期（5-10年）发展战略规划》；2.完成“奉节黑牛”现有牛群体重、体尺指标的测定，佩戴电子耳标，建立系谱，初步筛选符合条件的牛群进入核心牛群；3.启动不同品种的育肥对比试；验；4.启动牛群毛色基因型的分子标记筛选工作，建立牛群毛色基因的身份标识，开展选种选配工作；5.开展内牛技术培训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牛群体重、体尺指标的测定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（头）</w:t>
      </w:r>
      <w:r>
        <w:rPr>
          <w:rFonts w:hint="eastAsia" w:cs="Times New Roman"/>
          <w:sz w:val="32"/>
          <w:szCs w:val="32"/>
          <w:lang w:val="en-US" w:eastAsia="zh-CN"/>
        </w:rPr>
        <w:t>，牛群毛色基因型的分子标记筛选100（头），技术培训100人次。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基因型的分子标记筛选合格率</w:t>
      </w:r>
      <w:r>
        <w:rPr>
          <w:rFonts w:hint="eastAsia" w:cs="Times New Roman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（%)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任务完成及时率95%。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需要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技术支撑费</w:t>
      </w:r>
      <w:r>
        <w:rPr>
          <w:rFonts w:hint="eastAsia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（万元）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肉牛研发中心</w:t>
      </w:r>
      <w:r>
        <w:rPr>
          <w:rFonts w:hint="eastAsia" w:cs="Times New Roman"/>
          <w:sz w:val="32"/>
          <w:szCs w:val="32"/>
          <w:lang w:eastAsia="zh-CN"/>
        </w:rPr>
        <w:t>运行费</w:t>
      </w:r>
      <w:r>
        <w:rPr>
          <w:rFonts w:hint="eastAsia" w:cs="Times New Roman"/>
          <w:sz w:val="32"/>
          <w:szCs w:val="32"/>
          <w:lang w:val="en-US" w:eastAsia="zh-CN"/>
        </w:rPr>
        <w:t>50</w:t>
      </w:r>
      <w:r>
        <w:rPr>
          <w:rFonts w:hint="eastAsia" w:cs="Times New Roman"/>
          <w:sz w:val="32"/>
          <w:szCs w:val="32"/>
          <w:lang w:eastAsia="zh-CN"/>
        </w:rPr>
        <w:t>（万元）。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提高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肉牛产业发展技术水平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加快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“奉节黑牛”新品种选育培育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cs="Times New Roman"/>
          <w:sz w:val="32"/>
          <w:szCs w:val="32"/>
          <w:lang w:val="en-US" w:eastAsia="zh-CN"/>
        </w:rPr>
      </w:pPr>
      <w:r>
        <w:rPr>
          <w:rFonts w:hint="default" w:cs="Times New Roman"/>
          <w:sz w:val="32"/>
          <w:szCs w:val="32"/>
          <w:lang w:val="en-US" w:eastAsia="zh-CN"/>
        </w:rPr>
        <w:t>推进</w:t>
      </w:r>
      <w:r>
        <w:rPr>
          <w:rFonts w:hint="eastAsia" w:cs="Times New Roman"/>
          <w:sz w:val="32"/>
          <w:szCs w:val="32"/>
          <w:lang w:val="en-US" w:eastAsia="zh-CN"/>
        </w:rPr>
        <w:t>我县</w:t>
      </w:r>
      <w:r>
        <w:rPr>
          <w:rFonts w:hint="default" w:cs="Times New Roman"/>
          <w:sz w:val="32"/>
          <w:szCs w:val="32"/>
          <w:lang w:val="en-US" w:eastAsia="zh-CN"/>
        </w:rPr>
        <w:t>肉牛种质创新，促进产业高质量发展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tbl>
      <w:tblPr>
        <w:tblStyle w:val="4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108"/>
        <w:gridCol w:w="262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附件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2022年度奉节肉牛产业技术研发推广经费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</w:t>
            </w: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val="en-US" w:eastAsia="zh-CN"/>
              </w:rPr>
              <w:t>农业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农村委员会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、起草编制《奉节肉牛产业中长期（5-10年）发展战略规划》；2.完成“奉节黑牛”现有牛群体重、体尺指标的测定，佩戴电子耳标，建立系谱，初步筛选符合条件的牛群进入核心牛群；3.启动不同品种的育肥对比试；验；4.启动牛群毛色基因型的分子标记筛选工作，建立牛群毛色基因的身份标识，开展选种选配工作；5.开展内牛技术培训。　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、起草编制《奉节肉牛产业中长期（5-10年）发展战略规划》；2.完成“奉节黑牛”现有牛群体重、体尺指标的测定，佩戴电子耳标，建立系谱，初步筛选符合条件的牛群进入核心牛群；3.启动不同品种的育肥对比试；验；4.启动牛群毛色基因型的分子标记筛选工作，建立牛群毛色基因的身份标识，开展选种选配工作；5.开展内牛技术培训。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61312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牛群体重、体尺指标的测定（头）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牛群毛色基因型的分子标记筛选（头）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≥80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技术培训人次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ind w:firstLine="180" w:firstLineChars="100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基因型的分子标记筛选合格率（%)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完成及时率（%)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技术支撑费（万元）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运行费（万元）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提高肉牛产业发展技术水平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促进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　促进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加快“奉节黑牛”新品种选育培育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加快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加快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推进肉牛种质创新，促进产业高质量发展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≥3年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民众满意度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≥95%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14" w:type="dxa"/>
          <w:trHeight w:val="330" w:hRule="atLeast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负责人：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赖纯明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填表人： 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曹真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2023.3.21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3C77"/>
    <w:rsid w:val="022F1535"/>
    <w:rsid w:val="03514B31"/>
    <w:rsid w:val="05FC4846"/>
    <w:rsid w:val="07C526E4"/>
    <w:rsid w:val="0ADD250D"/>
    <w:rsid w:val="16C91935"/>
    <w:rsid w:val="190D3A99"/>
    <w:rsid w:val="1EF03BDB"/>
    <w:rsid w:val="1F284C65"/>
    <w:rsid w:val="20B26A8A"/>
    <w:rsid w:val="21503DB8"/>
    <w:rsid w:val="221D4512"/>
    <w:rsid w:val="22777A66"/>
    <w:rsid w:val="2A022206"/>
    <w:rsid w:val="2EAE2554"/>
    <w:rsid w:val="34D71673"/>
    <w:rsid w:val="3831412E"/>
    <w:rsid w:val="3D0F1F84"/>
    <w:rsid w:val="40A55058"/>
    <w:rsid w:val="440A014F"/>
    <w:rsid w:val="44C51A6C"/>
    <w:rsid w:val="479818D7"/>
    <w:rsid w:val="49D954A9"/>
    <w:rsid w:val="4B5508F2"/>
    <w:rsid w:val="4BA45C54"/>
    <w:rsid w:val="4BC00A70"/>
    <w:rsid w:val="51951510"/>
    <w:rsid w:val="54BD05B0"/>
    <w:rsid w:val="55FB63A4"/>
    <w:rsid w:val="5AA03054"/>
    <w:rsid w:val="649E5585"/>
    <w:rsid w:val="64DD0DE8"/>
    <w:rsid w:val="64DD2F3B"/>
    <w:rsid w:val="65A70771"/>
    <w:rsid w:val="6D793520"/>
    <w:rsid w:val="70B13C17"/>
    <w:rsid w:val="79E61B34"/>
    <w:rsid w:val="7A586859"/>
    <w:rsid w:val="7ADA25CD"/>
    <w:rsid w:val="7B8E2522"/>
    <w:rsid w:val="7BE07834"/>
    <w:rsid w:val="7C9F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2023-03-28T02:57:50Z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