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2022年畜牧生产统计分析预警资金项目支出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2022年畜牧生产统计分析预警资金计划的通知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》（奉节财农〔2022〕45号），在下达资金预算时同步下达了绩效目标。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jc w:val="left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cs="Times New Roman"/>
          <w:sz w:val="32"/>
          <w:szCs w:val="32"/>
          <w:lang w:val="en-US" w:eastAsia="zh-CN"/>
        </w:rPr>
        <w:t xml:space="preserve"> 县财政局下达了</w:t>
      </w:r>
      <w:r>
        <w:t>2022年畜牧生产统计分析预警资金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资金来源为</w:t>
      </w:r>
      <w:r>
        <w:rPr>
          <w:color w:val="000000"/>
          <w:szCs w:val="32"/>
        </w:rPr>
        <w:t>统计监测与信息服务</w:t>
      </w:r>
      <w:r>
        <w:rPr>
          <w:rFonts w:hint="eastAsia"/>
          <w:color w:val="000000"/>
          <w:szCs w:val="32"/>
          <w:lang w:val="en-US" w:eastAsia="zh-CN"/>
        </w:rPr>
        <w:t>资金，我委按照有关部门的要求，对照绩效目标审批表做好预算执行、开展好绩效运行监控、完工后及时组织绩效评价，确保项目如期实现目标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向财政申请拨付20万元，暂未拨付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一是完成全县180个畜禽养殖场和300个散养户的畜牧生产情况统计，二是完成对3个农贸市场价格变动进行监测，三是培训畜牧生产监测统计员80人，四是完成农业部生猪规模养殖直联直报工作。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统计猪、牛、羊、家禽、蜂、兔</w:t>
      </w:r>
      <w:r>
        <w:rPr>
          <w:rFonts w:hint="eastAsia" w:cs="Times New Roman"/>
          <w:sz w:val="32"/>
          <w:szCs w:val="32"/>
          <w:lang w:val="en-US" w:eastAsia="zh-CN"/>
        </w:rPr>
        <w:t>等6个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畜禽种类</w:t>
      </w:r>
      <w:r>
        <w:rPr>
          <w:rFonts w:hint="eastAsia" w:cs="Times New Roman"/>
          <w:sz w:val="32"/>
          <w:szCs w:val="32"/>
          <w:lang w:eastAsia="zh-CN"/>
        </w:rPr>
        <w:t>，调查统计散户数</w:t>
      </w:r>
      <w:r>
        <w:rPr>
          <w:rFonts w:hint="eastAsia" w:cs="Times New Roman"/>
          <w:sz w:val="32"/>
          <w:szCs w:val="32"/>
          <w:lang w:val="en-US" w:eastAsia="zh-CN"/>
        </w:rPr>
        <w:t>300户，培训畜牧生产监测统计员100（人次），发布畜牧生产形式分析预警信息4（条）。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生猪规模场直联直报个数统计数据合格率</w:t>
      </w:r>
      <w:r>
        <w:rPr>
          <w:rFonts w:hint="eastAsia" w:cs="Times New Roman"/>
          <w:sz w:val="32"/>
          <w:szCs w:val="32"/>
          <w:lang w:val="en-US" w:eastAsia="zh-CN"/>
        </w:rPr>
        <w:t>达95%，生猪规模场监测手机直报率为100%。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统计价格监测报表报送及时率</w:t>
      </w:r>
      <w:r>
        <w:rPr>
          <w:rFonts w:hint="eastAsia" w:cs="Times New Roman"/>
          <w:sz w:val="32"/>
          <w:szCs w:val="32"/>
          <w:lang w:val="en-US" w:eastAsia="zh-CN"/>
        </w:rPr>
        <w:t>为100%。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需要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统计调查监测培训经费</w:t>
      </w:r>
      <w:r>
        <w:rPr>
          <w:rFonts w:hint="eastAsia" w:cs="Times New Roman"/>
          <w:sz w:val="32"/>
          <w:szCs w:val="32"/>
          <w:lang w:val="en-US" w:eastAsia="zh-CN"/>
        </w:rPr>
        <w:t>30万元。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准确掌握畜牧生产发展态势</w:t>
      </w:r>
      <w:r>
        <w:rPr>
          <w:rFonts w:hint="eastAsia" w:cs="Times New Roman"/>
          <w:sz w:val="32"/>
          <w:szCs w:val="32"/>
          <w:lang w:eastAsia="zh-CN"/>
        </w:rPr>
        <w:t>，及时研判农民增收和城乡居民“菜篮子”建设情况。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对我县畜牧生产发展形式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进行动态调查、统计和监测分析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绩效指标未完成原因、下一步改进措施，政策执行或项目实施中存在的问题、原因和改进措施。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tbl>
      <w:tblPr>
        <w:tblStyle w:val="4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108"/>
        <w:gridCol w:w="262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附件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2022年畜牧生产统计监测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奉节县农业农村委员会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一是完成全县180个畜禽养殖场和300个散养户的畜牧生产情况统计，二是完成对3个农贸市场价格变动进行监测，三是培训畜牧生产监测统计员80人，四是完成农业部生猪规模养殖直联直报工作。　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一是完成全县180个畜禽养殖场和300个散养户的畜牧生产情况统计，二是完成对3个农贸市场价格变动进行监测，三是培训畜牧生产监测统计员80人，四是完成农业部生猪规模养殖直联直报工作。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61312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统计畜禽种类（个）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调查统计散户数（户）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≥300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调查统计养殖场数（个）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≥180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培训畜牧生产监测统计员（人次）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发布畜牧生产形式分析预警信息（条）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生猪规模场直联直报个数统计数据合格率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生猪规模场监测手机直报率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统计价格监测报表报送及时率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统计调查监测培训经费（万元）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≦30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准确掌握畜牧生产发展态势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掌握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进行动态调查、统计和监测分析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长期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长期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培训人员满意度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监测情况满意度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  <w:bookmarkStart w:id="0" w:name="_GoBack"/>
            <w:bookmarkEnd w:id="0"/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14" w:type="dxa"/>
          <w:trHeight w:val="330" w:hRule="atLeast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负责人：                 填表人：                       填报日期：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3C77"/>
    <w:rsid w:val="01862005"/>
    <w:rsid w:val="03C758E8"/>
    <w:rsid w:val="06D3498C"/>
    <w:rsid w:val="0A024980"/>
    <w:rsid w:val="0AEF0A53"/>
    <w:rsid w:val="0FB76F32"/>
    <w:rsid w:val="0FCD7481"/>
    <w:rsid w:val="114529F2"/>
    <w:rsid w:val="141D4A76"/>
    <w:rsid w:val="158D3386"/>
    <w:rsid w:val="18F82378"/>
    <w:rsid w:val="1BCB659C"/>
    <w:rsid w:val="22BF5223"/>
    <w:rsid w:val="22D23BA4"/>
    <w:rsid w:val="24FA65CB"/>
    <w:rsid w:val="27897BBE"/>
    <w:rsid w:val="27AF2505"/>
    <w:rsid w:val="2AE449BE"/>
    <w:rsid w:val="2CDA5AFD"/>
    <w:rsid w:val="35C06398"/>
    <w:rsid w:val="3A346D1C"/>
    <w:rsid w:val="3DB66BDA"/>
    <w:rsid w:val="3E762680"/>
    <w:rsid w:val="416C4A4F"/>
    <w:rsid w:val="43EE29CE"/>
    <w:rsid w:val="49623272"/>
    <w:rsid w:val="49A760DF"/>
    <w:rsid w:val="49D954A9"/>
    <w:rsid w:val="50B939FB"/>
    <w:rsid w:val="52DF15C9"/>
    <w:rsid w:val="55050B5B"/>
    <w:rsid w:val="55723C4A"/>
    <w:rsid w:val="560A7DC0"/>
    <w:rsid w:val="575562FD"/>
    <w:rsid w:val="596E2D88"/>
    <w:rsid w:val="5BD15B35"/>
    <w:rsid w:val="5DF720D8"/>
    <w:rsid w:val="62381578"/>
    <w:rsid w:val="646F6084"/>
    <w:rsid w:val="68CD7C00"/>
    <w:rsid w:val="6A172FEA"/>
    <w:rsid w:val="6C94282C"/>
    <w:rsid w:val="6F466628"/>
    <w:rsid w:val="72C22BD2"/>
    <w:rsid w:val="73F370C8"/>
    <w:rsid w:val="75B67737"/>
    <w:rsid w:val="7A586859"/>
    <w:rsid w:val="7CAA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2023-03-28T02:58:41Z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