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sz w:val="30"/>
          <w:szCs w:val="30"/>
          <w:lang w:val="en-US" w:eastAsia="zh-CN"/>
        </w:rPr>
        <w:t>2022年屠宰检疫工作经费项目支出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自评报告</w:t>
      </w:r>
    </w:p>
    <w:bookmarkEnd w:id="0"/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tabs>
          <w:tab w:val="left" w:pos="6765"/>
        </w:tabs>
        <w:spacing w:line="60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奉节县财政局《关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下达2022年屠宰检疫工作资金计划的通知 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），在下达资金预算时同步下达了绩效目标。</w:t>
      </w:r>
    </w:p>
    <w:p>
      <w:pPr>
        <w:spacing w:beforeLines="0" w:afterLines="0" w:line="600" w:lineRule="exact"/>
        <w:ind w:firstLine="600" w:firstLineChars="200"/>
        <w:jc w:val="both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2022年，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县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财政本支队安排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91万元，专项用于全年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屠宰检疫工作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2022年共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支付项目资金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44.9万元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；本单位收到项目资金后及时入账，对专项资金按照专款专用的原则进行审核及支付，加强项目资金的财务管理、规范会计核算并对专项资金使用情况进行自查自评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  <w:t>开展屠宰检疫，对屠宰场及运输车辆实施全面消毒，实现未发生区域性重大动物疫病和畜产品质量安全事件的目标任务。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（1）数量指标。奉节县昌荣屠业有限公司检疫生猪数量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9万头；奉节县粮食公司家禽屠宰场检疫家禽数量达7.5万只；其它9个小型屠宰场检疫生猪数量9万头；年消毒屠宰场面积共计1132万平方米；年消毒车辆数量达1.2万车次。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（2）质量指标。检疫及消毒率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完成及时率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达100%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有效避免了农产品安全事件的发生。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直接规避经济损失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2000万元。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 xml:space="preserve">    人民群众满意度达预期效果。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通过认真开展单位项目支出绩效目标自评，综合评分95分，评价结果为优。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奉节县农业综合行政执法支队自成立以来无不良记录，没有受到财政部门及审计机关处理处罚、行业通报批评、媒体曝光等。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91431"/>
    <w:multiLevelType w:val="singleLevel"/>
    <w:tmpl w:val="A10914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3FA045F5"/>
    <w:rsid w:val="3FA0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2023-03-21T11:30:00Z</dcterms:created>
  <dc:creator>HONOR</dc:creator>
  <cp:lastModifiedBy>HONOR</cp:lastModifiedBy>
  <dcterms:modified xsi:type="dcterms:W3CDTF">2023-03-21T11:49:46Z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460866C19EA3427B8F65E7743EEAC4B7</vt:lpwstr>
  </property>
</Properties>
</file>