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1DA4C">
      <w:pPr>
        <w:spacing w:line="6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202</w:t>
      </w:r>
      <w:r>
        <w:rPr>
          <w:rFonts w:hint="eastAsia"/>
          <w:b/>
          <w:sz w:val="44"/>
          <w:szCs w:val="44"/>
        </w:rPr>
        <w:t>1</w:t>
      </w:r>
      <w:r>
        <w:rPr>
          <w:b/>
          <w:sz w:val="44"/>
          <w:szCs w:val="44"/>
        </w:rPr>
        <w:t>年第</w:t>
      </w:r>
      <w:r>
        <w:rPr>
          <w:rFonts w:hint="eastAsia"/>
          <w:b/>
          <w:sz w:val="44"/>
          <w:szCs w:val="44"/>
        </w:rPr>
        <w:t>二</w:t>
      </w:r>
      <w:r>
        <w:rPr>
          <w:b/>
          <w:sz w:val="44"/>
          <w:szCs w:val="44"/>
        </w:rPr>
        <w:t>批高标准农田项目</w:t>
      </w:r>
    </w:p>
    <w:p w14:paraId="6183A9C3">
      <w:pPr>
        <w:spacing w:line="6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支出自评报告</w:t>
      </w:r>
    </w:p>
    <w:p w14:paraId="681F0162">
      <w:pPr>
        <w:spacing w:line="600" w:lineRule="exact"/>
        <w:ind w:firstLine="560" w:firstLineChars="200"/>
        <w:rPr>
          <w:sz w:val="28"/>
          <w:szCs w:val="28"/>
        </w:rPr>
      </w:pPr>
    </w:p>
    <w:p w14:paraId="161377F1"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 w14:paraId="68373A7D">
      <w:pPr>
        <w:tabs>
          <w:tab w:val="left" w:pos="6765"/>
        </w:tabs>
        <w:spacing w:line="560" w:lineRule="exact"/>
        <w:ind w:firstLine="640" w:firstLineChars="200"/>
        <w:jc w:val="left"/>
        <w:rPr>
          <w:szCs w:val="32"/>
        </w:rPr>
      </w:pPr>
      <w:r>
        <w:rPr>
          <w:szCs w:val="32"/>
        </w:rPr>
        <w:t>（一）县财政下达项目绩效目标情况。奉节县财政局《奉节县财政局关于下达高标准农田项目资金计划的通知》（</w:t>
      </w:r>
      <w:r>
        <w:rPr>
          <w:rFonts w:hint="eastAsia" w:ascii="方正仿宋_GBK"/>
          <w:color w:val="000000"/>
          <w:szCs w:val="32"/>
        </w:rPr>
        <w:t>奉节财农〔2022〕7号</w:t>
      </w:r>
      <w:r>
        <w:rPr>
          <w:szCs w:val="32"/>
        </w:rPr>
        <w:t>），在下达资金预算时同步下达了绩效目标。</w:t>
      </w:r>
    </w:p>
    <w:p w14:paraId="620C9A4A">
      <w:pPr>
        <w:spacing w:line="560" w:lineRule="exact"/>
        <w:ind w:firstLine="640" w:firstLineChars="200"/>
        <w:jc w:val="left"/>
        <w:rPr>
          <w:szCs w:val="32"/>
        </w:rPr>
      </w:pPr>
      <w:r>
        <w:rPr>
          <w:szCs w:val="32"/>
        </w:rPr>
        <w:t>（二）部门资金安排、分解下达预算和绩效目标情况。</w:t>
      </w:r>
      <w:r>
        <w:rPr>
          <w:rFonts w:hint="eastAsia" w:ascii="方正仿宋_GBK"/>
          <w:szCs w:val="32"/>
        </w:rPr>
        <w:t>通过县农业农村委</w:t>
      </w:r>
      <w:r>
        <w:rPr>
          <w:rFonts w:hint="eastAsia" w:ascii="方正仿宋_GBK" w:hAnsi="宋体" w:cs="方正仿宋_GBK"/>
          <w:color w:val="000000"/>
          <w:szCs w:val="32"/>
        </w:rPr>
        <w:t>《</w:t>
      </w:r>
      <w:r>
        <w:rPr>
          <w:rFonts w:ascii="方正仿宋_GBK" w:hAnsi="宋体" w:cs="方正仿宋_GBK"/>
          <w:color w:val="000000"/>
          <w:szCs w:val="32"/>
        </w:rPr>
        <w:t>奉节县农业农村委员会奉节县</w:t>
      </w:r>
      <w:r>
        <w:rPr>
          <w:rFonts w:hint="eastAsia" w:ascii="方正仿宋_GBK" w:hAnsi="宋体" w:cs="方正仿宋_GBK"/>
          <w:color w:val="000000"/>
          <w:szCs w:val="32"/>
        </w:rPr>
        <w:t>乡村振兴局</w:t>
      </w:r>
      <w:r>
        <w:rPr>
          <w:rFonts w:ascii="方正仿宋_GBK" w:hAnsi="宋体" w:cs="方正仿宋_GBK"/>
          <w:color w:val="000000"/>
          <w:szCs w:val="32"/>
        </w:rPr>
        <w:t>关于下达2021年</w:t>
      </w:r>
      <w:r>
        <w:rPr>
          <w:rFonts w:hint="eastAsia" w:ascii="方正仿宋_GBK" w:hAnsi="宋体" w:cs="方正仿宋_GBK"/>
          <w:color w:val="000000"/>
          <w:szCs w:val="32"/>
        </w:rPr>
        <w:t>第二批高标准农田项目</w:t>
      </w:r>
      <w:r>
        <w:rPr>
          <w:rFonts w:ascii="方正仿宋_GBK" w:hAnsi="宋体" w:cs="方正仿宋_GBK"/>
          <w:color w:val="000000"/>
          <w:szCs w:val="32"/>
        </w:rPr>
        <w:t>建设任务的通知</w:t>
      </w:r>
      <w:r>
        <w:rPr>
          <w:rFonts w:hint="eastAsia" w:ascii="方正仿宋_GBK" w:hAnsi="宋体" w:cs="方正仿宋_GBK"/>
          <w:color w:val="000000"/>
          <w:szCs w:val="32"/>
        </w:rPr>
        <w:t>》（</w:t>
      </w:r>
      <w:r>
        <w:rPr>
          <w:rFonts w:ascii="方正仿宋_GBK" w:hAnsi="宋体" w:cs="方正仿宋_GBK"/>
          <w:color w:val="000000"/>
          <w:szCs w:val="32"/>
        </w:rPr>
        <w:t>奉节农发〔202</w:t>
      </w:r>
      <w:r>
        <w:rPr>
          <w:rFonts w:hint="eastAsia" w:ascii="方正仿宋_GBK" w:hAnsi="宋体" w:cs="方正仿宋_GBK"/>
          <w:color w:val="000000"/>
          <w:szCs w:val="32"/>
        </w:rPr>
        <w:t>2</w:t>
      </w:r>
      <w:r>
        <w:rPr>
          <w:rFonts w:ascii="方正仿宋_GBK" w:hAnsi="宋体" w:cs="方正仿宋_GBK"/>
          <w:color w:val="000000"/>
          <w:szCs w:val="32"/>
        </w:rPr>
        <w:t>〕</w:t>
      </w:r>
      <w:r>
        <w:rPr>
          <w:rFonts w:hint="eastAsia" w:ascii="方正仿宋_GBK" w:hAnsi="宋体" w:cs="方正仿宋_GBK"/>
          <w:color w:val="000000"/>
          <w:szCs w:val="32"/>
        </w:rPr>
        <w:t>9</w:t>
      </w:r>
      <w:r>
        <w:rPr>
          <w:rFonts w:ascii="方正仿宋_GBK" w:hAnsi="宋体" w:cs="方正仿宋_GBK"/>
          <w:color w:val="000000"/>
          <w:szCs w:val="32"/>
        </w:rPr>
        <w:t>号</w:t>
      </w:r>
      <w:r>
        <w:rPr>
          <w:rFonts w:hint="eastAsia" w:ascii="方正仿宋_GBK" w:hAnsi="宋体" w:cs="方正仿宋_GBK"/>
          <w:color w:val="000000"/>
          <w:szCs w:val="32"/>
        </w:rPr>
        <w:t>）</w:t>
      </w:r>
      <w:r>
        <w:rPr>
          <w:rFonts w:hint="eastAsia" w:ascii="方正仿宋_GBK"/>
          <w:szCs w:val="32"/>
        </w:rPr>
        <w:t>下达项目计划。2021年度高标准农田建设项目按照“七化”，即宜机化、水利化、生态化、园田化、标准化、规模化、智能化目标进行规划设计，全力建设集中连片、旱涝保收、节水高效、稳产高产、生态友好的高标准农田</w:t>
      </w:r>
      <w:r>
        <w:rPr>
          <w:rFonts w:hint="eastAsia" w:ascii="方正仿宋_GBK" w:hAnsi="方正仿宋_GBK" w:cs="方正仿宋_GBK"/>
          <w:kern w:val="0"/>
          <w:szCs w:val="32"/>
        </w:rPr>
        <w:t>35000</w:t>
      </w:r>
      <w:r>
        <w:rPr>
          <w:rFonts w:hint="eastAsia" w:ascii="方正仿宋_GBK"/>
          <w:szCs w:val="32"/>
        </w:rPr>
        <w:t>亩。</w:t>
      </w:r>
    </w:p>
    <w:p w14:paraId="754C5B50"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 w14:paraId="55BB5FFA">
      <w:p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 w14:paraId="33D23138"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1.</w:t>
      </w:r>
      <w:r>
        <w:rPr>
          <w:szCs w:val="32"/>
        </w:rPr>
        <w:t>项目资金到位情况</w:t>
      </w:r>
      <w:r>
        <w:rPr>
          <w:rFonts w:hint="eastAsia"/>
          <w:szCs w:val="32"/>
        </w:rPr>
        <w:t>分析</w:t>
      </w:r>
    </w:p>
    <w:p w14:paraId="399DBA67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县财政局《奉节县财政局关于下达高标准农田项目资金计划的通知》（</w:t>
      </w:r>
      <w:r>
        <w:rPr>
          <w:rFonts w:hint="eastAsia" w:ascii="方正仿宋_GBK"/>
          <w:color w:val="000000"/>
          <w:szCs w:val="32"/>
        </w:rPr>
        <w:t>奉节财农〔2022〕7号</w:t>
      </w:r>
      <w:r>
        <w:rPr>
          <w:szCs w:val="32"/>
        </w:rPr>
        <w:t>）</w:t>
      </w:r>
      <w:r>
        <w:rPr>
          <w:rFonts w:hint="eastAsia" w:ascii="方正仿宋_GBK"/>
          <w:kern w:val="0"/>
          <w:szCs w:val="32"/>
        </w:rPr>
        <w:t>落实项目资金3141万元</w:t>
      </w:r>
      <w:r>
        <w:rPr>
          <w:rFonts w:hint="eastAsia" w:ascii="方正仿宋_GBK"/>
          <w:szCs w:val="32"/>
        </w:rPr>
        <w:t>。累计到位资金</w:t>
      </w:r>
      <w:r>
        <w:rPr>
          <w:rFonts w:hint="eastAsia" w:ascii="方正仿宋_GBK"/>
          <w:kern w:val="0"/>
          <w:szCs w:val="32"/>
        </w:rPr>
        <w:t>3141</w:t>
      </w:r>
      <w:r>
        <w:rPr>
          <w:rFonts w:hint="eastAsia" w:ascii="方正仿宋_GBK"/>
          <w:szCs w:val="32"/>
        </w:rPr>
        <w:t>万元，资金到位率100%。</w:t>
      </w:r>
    </w:p>
    <w:p w14:paraId="167BE1C8"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2.</w:t>
      </w:r>
      <w:r>
        <w:rPr>
          <w:szCs w:val="32"/>
        </w:rPr>
        <w:t>项目资金执行情况</w:t>
      </w:r>
      <w:r>
        <w:rPr>
          <w:rFonts w:hint="eastAsia"/>
          <w:szCs w:val="32"/>
        </w:rPr>
        <w:t>分析</w:t>
      </w:r>
    </w:p>
    <w:p w14:paraId="49F98907">
      <w:pPr>
        <w:pStyle w:val="5"/>
        <w:ind w:firstLine="640" w:firstLineChars="200"/>
        <w:rPr>
          <w:rFonts w:ascii="方正仿宋_GBK" w:hAnsi="Times New Roman" w:eastAsia="方正仿宋_GBK"/>
          <w:b w:val="0"/>
          <w:bCs w:val="0"/>
          <w:caps w:val="0"/>
          <w:sz w:val="32"/>
          <w:szCs w:val="32"/>
        </w:rPr>
      </w:pPr>
      <w:r>
        <w:rPr>
          <w:rFonts w:hint="eastAsia" w:ascii="方正仿宋_GBK" w:hAnsi="Times New Roman" w:eastAsia="方正仿宋_GBK"/>
          <w:b w:val="0"/>
          <w:bCs w:val="0"/>
          <w:caps w:val="0"/>
          <w:sz w:val="32"/>
          <w:szCs w:val="32"/>
        </w:rPr>
        <w:t>项目资金执行率100%，具体详见下表：</w:t>
      </w:r>
    </w:p>
    <w:tbl>
      <w:tblPr>
        <w:tblStyle w:val="7"/>
        <w:tblW w:w="9233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2168"/>
        <w:gridCol w:w="1101"/>
      </w:tblGrid>
      <w:tr w14:paraId="63339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C73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1DC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部门名称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BB8C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片区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8CC1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建设性质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06B0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C3F4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业主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418E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实施地点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987E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建设任务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611D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财政资金计划（万元）</w:t>
            </w:r>
          </w:p>
        </w:tc>
      </w:tr>
      <w:tr w14:paraId="5DD05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ADD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FBC8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A174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红土乡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0B79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75E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6D71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560E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红土乡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29DF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通过土壤改良工程、灌溉与排水工程、田间道路工程和其它工程，建成高标准农田5216亩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29D9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306.42</w:t>
            </w:r>
          </w:p>
        </w:tc>
      </w:tr>
      <w:tr w14:paraId="34DBB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E455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52B1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D48D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甲高镇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325F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EE11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0CA2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1ECA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甲高镇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AA46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通过土壤改良工程、灌溉与排水工程、田间道路工程和其它工程建成高效节水灌溉项目区5779亩。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AD74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629.86</w:t>
            </w:r>
          </w:p>
        </w:tc>
      </w:tr>
      <w:tr w14:paraId="75A4B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F6EC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F72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B5FD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康乐镇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6AB4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8629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CFE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441B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康乐镇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B61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通过土壤改良工程、灌溉与排水工程、田间道路工程和其它工程建成高效节水灌溉项目区4889亩。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6B85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452.24</w:t>
            </w:r>
          </w:p>
        </w:tc>
      </w:tr>
      <w:tr w14:paraId="568EA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704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7CFA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8E07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夔门街道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B8DC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9839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FE85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0AE8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夔门街道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DDE5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通过土壤改良工程、灌溉与排水工程、田间道路工程和其它工程建成高效节水灌溉项目区3028亩。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34A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531.39</w:t>
            </w:r>
          </w:p>
        </w:tc>
      </w:tr>
      <w:tr w14:paraId="7E625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345D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C74B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35A3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吐祥镇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2F2D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882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08CA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198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吐祥镇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352D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通过土壤改良工程、灌溉与排水工程、田间道路工程和其它工程建成高效节水灌溉项目区8107亩。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0738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884.14</w:t>
            </w:r>
          </w:p>
        </w:tc>
      </w:tr>
      <w:tr w14:paraId="32249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2251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C0BF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26C6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岩湾乡、冯坪乡、鱼复街道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91C5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7010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3404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AACE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岩湾乡、冯坪乡、鱼复街道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9C76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通过土壤改良工程、灌溉与排水工程、田间道路工程和其它工程建成高效节水灌溉项目区6678亩。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0DEF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336.74</w:t>
            </w:r>
          </w:p>
        </w:tc>
      </w:tr>
    </w:tbl>
    <w:p w14:paraId="2C8E3E5C">
      <w:pPr>
        <w:spacing w:line="600" w:lineRule="exact"/>
        <w:rPr>
          <w:szCs w:val="32"/>
        </w:rPr>
      </w:pPr>
    </w:p>
    <w:p w14:paraId="7EF7B6C7"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3.</w:t>
      </w:r>
      <w:r>
        <w:rPr>
          <w:szCs w:val="32"/>
        </w:rPr>
        <w:t>项目资金管理情况</w:t>
      </w:r>
      <w:r>
        <w:rPr>
          <w:rFonts w:hint="eastAsia"/>
          <w:szCs w:val="32"/>
        </w:rPr>
        <w:t>分析</w:t>
      </w:r>
    </w:p>
    <w:p w14:paraId="6080AE4A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为加强财务管理，本项</w:t>
      </w:r>
      <w:r>
        <w:rPr>
          <w:rFonts w:hint="eastAsia"/>
          <w:szCs w:val="32"/>
        </w:rPr>
        <w:t>目</w:t>
      </w:r>
      <w:r>
        <w:rPr>
          <w:szCs w:val="32"/>
        </w:rPr>
        <w:t>严格按照相关规定要求，对批准的建设内容做好账务设置和账务管理，对基本建设活动中的工程费用、设备采购、各项财产物资及时做好原始记录，掌握工程进度，按规定向有关部门报送基建财务报表。</w:t>
      </w:r>
    </w:p>
    <w:p w14:paraId="44BBAB20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在资金使用过程中，严把监督审核关，建立健全内部审批制度。由财务处对每笔用款申请，在所附资料齐备的情况下，审核确认后再付款。同时，财家处会同</w:t>
      </w:r>
      <w:r>
        <w:rPr>
          <w:rFonts w:hint="eastAsia"/>
          <w:szCs w:val="32"/>
        </w:rPr>
        <w:t>财政局</w:t>
      </w:r>
      <w:r>
        <w:rPr>
          <w:szCs w:val="32"/>
        </w:rPr>
        <w:t>定期或不定期对资金使用、管理情沉进行检查，基本做到财务会计济料披露信息真实、及时、完整，资金的拨付有完整的审批程序和手续，各项制度执行落实较好，资金使用较为安全规范。</w:t>
      </w:r>
    </w:p>
    <w:p w14:paraId="00299B91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整个财务管理主要按以下标准进行管理：对预算外的资金账目，会计员要将其整理独立编成一张明細报表交给相关分管领导审阅；要求明细列出</w:t>
      </w:r>
      <w:bookmarkStart w:id="0" w:name="_GoBack"/>
      <w:bookmarkEnd w:id="0"/>
      <w:r>
        <w:rPr>
          <w:rFonts w:hint="eastAsia"/>
          <w:szCs w:val="32"/>
          <w:lang w:eastAsia="zh-CN"/>
        </w:rPr>
        <w:t>项目</w:t>
      </w:r>
      <w:r>
        <w:rPr>
          <w:szCs w:val="32"/>
        </w:rPr>
        <w:t>中各分项在完工之前的财务支出方向；项目完成之后要求继续报出详細的项目总支出报告；完工后的报告需通过项目</w:t>
      </w:r>
      <w:r>
        <w:rPr>
          <w:rFonts w:hint="eastAsia"/>
          <w:szCs w:val="32"/>
        </w:rPr>
        <w:t>实施领导的审批通过。</w:t>
      </w:r>
    </w:p>
    <w:p w14:paraId="48EFB92F"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总体绩效目标完成情况分析。</w:t>
      </w:r>
    </w:p>
    <w:p w14:paraId="2CCF0977">
      <w:pPr>
        <w:spacing w:line="600" w:lineRule="exact"/>
        <w:ind w:firstLine="640" w:firstLineChars="200"/>
        <w:outlineLvl w:val="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一是农旅融合，支持乡村振兴。采取“集中力量，重点投入，连片开发”的治理方式，加大规模开发力度，确保治理区域相对集中，力争治理一片，成效一片，致富一方。</w:t>
      </w:r>
    </w:p>
    <w:p w14:paraId="72C47BAB">
      <w:pPr>
        <w:pStyle w:val="6"/>
        <w:spacing w:before="0" w:beforeAutospacing="0" w:after="0" w:afterAutospacing="0"/>
        <w:ind w:firstLine="640" w:firstLineChars="200"/>
        <w:rPr>
          <w:rFonts w:ascii="方正仿宋_GBK" w:hAnsi="Times New Roman" w:cs="Times New Roman"/>
          <w:kern w:val="2"/>
          <w:sz w:val="32"/>
          <w:szCs w:val="32"/>
        </w:rPr>
      </w:pPr>
      <w:r>
        <w:rPr>
          <w:rFonts w:hint="eastAsia" w:ascii="方正仿宋_GBK" w:hAnsi="Times New Roman" w:cs="Times New Roman"/>
          <w:kern w:val="2"/>
          <w:sz w:val="32"/>
          <w:szCs w:val="32"/>
        </w:rPr>
        <w:t>二是产业支撑，开发新型农业。建设水肥药一体化喷灌系统。使核心区达到水肥均衡、省工省时、控温调湿、促产增效。项目区适度规模坡改缓，通过生态调控、生物防治、物理防治和科学用药等环境友好型措施控制农作物病虫危害，保证农产品无公害，促进绿色、有机农产品发展。</w:t>
      </w:r>
    </w:p>
    <w:p w14:paraId="04F80646">
      <w:pPr>
        <w:pStyle w:val="2"/>
        <w:ind w:firstLine="640" w:firstLineChars="200"/>
      </w:pPr>
      <w:r>
        <w:rPr>
          <w:rFonts w:hint="eastAsia"/>
          <w:kern w:val="2"/>
          <w:sz w:val="32"/>
          <w:szCs w:val="32"/>
        </w:rPr>
        <w:t>三是对标对表，确保年度任务。按照数量指标、质量指标、时效指标、成本指标、经济效益生态效益指标、可持续影响指标、服务对象满意度指标七大指标体系，保质保量完成3.5万亩建设任务，确保受益乡镇、村满意度大于95%。</w:t>
      </w:r>
    </w:p>
    <w:p w14:paraId="45A7BADF"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bCs/>
          <w:szCs w:val="32"/>
        </w:rPr>
        <w:t>（三）绩效目标完成情况分析。</w:t>
      </w:r>
      <w:r>
        <w:rPr>
          <w:szCs w:val="32"/>
        </w:rPr>
        <w:t>（根据年初绩效目标及指标逐项分析）</w:t>
      </w:r>
    </w:p>
    <w:p w14:paraId="67FD51A4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 w14:paraId="05265B73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（1）数量指标。</w:t>
      </w:r>
    </w:p>
    <w:p w14:paraId="3D8A2C05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完成高标准农田建设项目</w:t>
      </w:r>
      <w:r>
        <w:rPr>
          <w:rFonts w:hint="eastAsia" w:ascii="方正仿宋_GBK" w:hAnsi="方正仿宋_GBK" w:cs="方正仿宋_GBK"/>
          <w:kern w:val="0"/>
          <w:szCs w:val="32"/>
        </w:rPr>
        <w:t>35000</w:t>
      </w:r>
      <w:r>
        <w:rPr>
          <w:rFonts w:hint="eastAsia" w:ascii="方正仿宋_GBK"/>
          <w:szCs w:val="32"/>
        </w:rPr>
        <w:t>亩</w:t>
      </w:r>
    </w:p>
    <w:p w14:paraId="7E8F584A">
      <w:pPr>
        <w:numPr>
          <w:ilvl w:val="0"/>
          <w:numId w:val="2"/>
        </w:num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质量指标。</w:t>
      </w:r>
    </w:p>
    <w:p w14:paraId="178CCE94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项目验收合格率（≥**%）</w:t>
      </w:r>
      <w:r>
        <w:rPr>
          <w:rFonts w:hint="eastAsia" w:ascii="方正仿宋_GBK"/>
          <w:szCs w:val="32"/>
        </w:rPr>
        <w:tab/>
      </w:r>
      <w:r>
        <w:rPr>
          <w:rFonts w:hint="eastAsia" w:ascii="方正仿宋_GBK"/>
          <w:szCs w:val="32"/>
        </w:rPr>
        <w:t>&gt;=100%</w:t>
      </w:r>
    </w:p>
    <w:p w14:paraId="350D956D">
      <w:pPr>
        <w:numPr>
          <w:ilvl w:val="0"/>
          <w:numId w:val="2"/>
        </w:num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时效指标。</w:t>
      </w:r>
    </w:p>
    <w:p w14:paraId="28B69FFD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任务完成及时率（≥**%）&gt;=100%</w:t>
      </w:r>
    </w:p>
    <w:p w14:paraId="14E3FE18">
      <w:pPr>
        <w:numPr>
          <w:ilvl w:val="0"/>
          <w:numId w:val="2"/>
        </w:numPr>
        <w:spacing w:line="600" w:lineRule="exact"/>
        <w:ind w:firstLine="640" w:firstLineChars="200"/>
      </w:pPr>
      <w:r>
        <w:rPr>
          <w:rFonts w:hint="eastAsia" w:ascii="方正仿宋_GBK"/>
          <w:szCs w:val="32"/>
        </w:rPr>
        <w:t>成本指标。</w:t>
      </w:r>
    </w:p>
    <w:p w14:paraId="2772EBD5">
      <w:pPr>
        <w:pStyle w:val="5"/>
        <w:rPr>
          <w:rFonts w:ascii="方正仿宋_GBK" w:hAnsi="Times New Roman" w:eastAsia="方正仿宋_GBK"/>
          <w:b w:val="0"/>
          <w:bCs w:val="0"/>
          <w:caps w:val="0"/>
          <w:sz w:val="32"/>
          <w:szCs w:val="32"/>
        </w:rPr>
      </w:pPr>
      <w:r>
        <w:rPr>
          <w:rFonts w:hint="eastAsia" w:ascii="方正仿宋_GBK" w:hAnsi="Times New Roman" w:eastAsia="方正仿宋_GBK"/>
          <w:b w:val="0"/>
          <w:bCs w:val="0"/>
          <w:caps w:val="0"/>
          <w:sz w:val="32"/>
          <w:szCs w:val="32"/>
        </w:rPr>
        <w:t xml:space="preserve">     投资完成率（≥**%）&gt;=100%</w:t>
      </w:r>
    </w:p>
    <w:p w14:paraId="1DBFBCD3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2.效益指标完成情况分析。</w:t>
      </w:r>
    </w:p>
    <w:p w14:paraId="311DA001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（1）经济效益。</w:t>
      </w:r>
    </w:p>
    <w:p w14:paraId="3F6E5646">
      <w:pPr>
        <w:spacing w:line="56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 w:hAnsi="方正仿宋_GBK"/>
          <w:szCs w:val="32"/>
        </w:rPr>
        <w:t>通过完善农业基础设施，优化生产生活条件，提高土地利用率，改善生态环境，为农业持续发展奠定基础，农用地的经济效益明显地提高。项目建成后群众满意度指标达到95%以上，验收合格率达到100%以上，通过土壤改良工程、田间道路工程、灌溉与排水工程解决群众产业发展基础设施问题，建成观光旅游农业和烟叶、脐橙、等产业基地。</w:t>
      </w:r>
    </w:p>
    <w:p w14:paraId="27FAF4ED">
      <w:pPr>
        <w:numPr>
          <w:ilvl w:val="0"/>
          <w:numId w:val="3"/>
        </w:num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社会效益。</w:t>
      </w:r>
    </w:p>
    <w:p w14:paraId="784E2F0E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/>
        </w:rPr>
        <w:t>1</w:t>
      </w:r>
      <w:r>
        <w:rPr>
          <w:rFonts w:hint="eastAsia" w:ascii="方正仿宋_GBK" w:hAnsi="方正仿宋_GBK"/>
          <w:szCs w:val="32"/>
        </w:rPr>
        <w:t>.严格保护耕地特别是基本农田，加快农业现代化发展</w:t>
      </w:r>
    </w:p>
    <w:p w14:paraId="3250D97B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>本次高标准农田建设项目的实施，是深入贯彻党中央国务院关于高标准农田建设精神的具体举措。通过项目的实施，项目区将建成</w:t>
      </w:r>
      <w:r>
        <w:rPr>
          <w:rFonts w:hint="eastAsia" w:ascii="方正仿宋_GBK" w:hAnsi="方正仿宋_GBK" w:cs="方正仿宋_GBK"/>
          <w:kern w:val="0"/>
          <w:szCs w:val="32"/>
        </w:rPr>
        <w:t>35000</w:t>
      </w:r>
      <w:r>
        <w:rPr>
          <w:rFonts w:hint="eastAsia" w:ascii="方正仿宋_GBK" w:hAnsi="方正仿宋_GBK"/>
          <w:szCs w:val="32"/>
        </w:rPr>
        <w:t>亩高标准农田，对耕地保护和粮食安全意义重大。</w:t>
      </w:r>
    </w:p>
    <w:p w14:paraId="77ABD45D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>2.促进土地规模经营，增加农民收入，维持农村社会和谐稳定</w:t>
      </w:r>
    </w:p>
    <w:p w14:paraId="77AAD1B6">
      <w:pPr>
        <w:spacing w:line="56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 w:hAnsi="方正仿宋_GBK"/>
          <w:szCs w:val="32"/>
        </w:rPr>
        <w:t>土地流转以后，一方面，农业企业对土地进行规模化、产业化经营，既能促进当地劳动力的转移，也能增加农业收入，提高农村土地的价值，实现农业产业结构的升级；另一方面，农户释放承包土地使用权，能获取土地租金和务工工资收入，能有效增加家庭经济收入。</w:t>
      </w:r>
    </w:p>
    <w:p w14:paraId="26C1ECC9">
      <w:pPr>
        <w:numPr>
          <w:ilvl w:val="0"/>
          <w:numId w:val="3"/>
        </w:num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生态效益。</w:t>
      </w:r>
    </w:p>
    <w:p w14:paraId="20A85A59">
      <w:pPr>
        <w:spacing w:line="560" w:lineRule="exact"/>
        <w:ind w:firstLine="640" w:firstLineChars="200"/>
        <w:rPr>
          <w:rFonts w:ascii="方正仿宋_GBK" w:hAnsi="方正仿宋_GBK"/>
          <w:bCs/>
          <w:szCs w:val="32"/>
        </w:rPr>
      </w:pPr>
      <w:r>
        <w:rPr>
          <w:rFonts w:hint="eastAsia" w:ascii="方正仿宋_GBK" w:hAnsi="方正仿宋_GBK"/>
          <w:bCs/>
          <w:szCs w:val="32"/>
        </w:rPr>
        <w:t>1.优化土地利用格局，保护农田生态景观</w:t>
      </w:r>
    </w:p>
    <w:p w14:paraId="496976CF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 xml:space="preserve">通过土地集约化经营、规模化种植，配套路网、沟渠基础设施，形成“田成块、路成网、水灌通、林点缀”的良好农田格局，极大地优化了农田生态景观，增强了高效农田的可观性。 </w:t>
      </w:r>
    </w:p>
    <w:p w14:paraId="553A7EC2">
      <w:pPr>
        <w:spacing w:line="560" w:lineRule="exact"/>
        <w:ind w:firstLine="640" w:firstLineChars="200"/>
        <w:rPr>
          <w:rFonts w:ascii="方正仿宋_GBK" w:hAnsi="方正仿宋_GBK"/>
          <w:bCs/>
          <w:szCs w:val="32"/>
        </w:rPr>
      </w:pPr>
      <w:r>
        <w:rPr>
          <w:rFonts w:hint="eastAsia" w:ascii="方正仿宋_GBK" w:hAnsi="方正仿宋_GBK"/>
          <w:bCs/>
          <w:szCs w:val="32"/>
        </w:rPr>
        <w:t>2.完善基础设施，有利于资源节约</w:t>
      </w:r>
    </w:p>
    <w:p w14:paraId="5FF2F746">
      <w:pPr>
        <w:spacing w:line="560" w:lineRule="exact"/>
        <w:ind w:firstLine="640" w:firstLineChars="200"/>
      </w:pPr>
      <w:r>
        <w:rPr>
          <w:rFonts w:hint="eastAsia" w:ascii="方正仿宋_GBK" w:hAnsi="方正仿宋_GBK"/>
          <w:szCs w:val="32"/>
        </w:rPr>
        <w:t>通过项目区内农田基础设施的完善，增强了基础设施的抗旱排涝能力，也改观了局地漫灌、串灌串排等造成的水资源浪费现象，极大地提高了光、热、水资源的利用效率，增强了农田生态系统的服务功能。同时，通过科学化、规模化、产业化种植示范，改变农户盲目施肥、用药的习惯，有利于保持土壤养分，保护生态环境安全。</w:t>
      </w:r>
    </w:p>
    <w:p w14:paraId="7E0E5713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>（四）可持续影响。</w:t>
      </w:r>
    </w:p>
    <w:p w14:paraId="58206FC7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>坚持农业农村优先发展，切实抓好农业特别是粮食生产，推动藏粮于地、藏粮于技落实落地。</w:t>
      </w:r>
    </w:p>
    <w:p w14:paraId="3B10C1E0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3.满意度指标完成情况分析。</w:t>
      </w:r>
    </w:p>
    <w:p w14:paraId="72971BFC">
      <w:pPr>
        <w:spacing w:line="600" w:lineRule="exact"/>
        <w:ind w:firstLine="640" w:firstLineChars="200"/>
        <w:rPr>
          <w:szCs w:val="32"/>
        </w:rPr>
      </w:pPr>
      <w:r>
        <w:rPr>
          <w:rFonts w:hint="eastAsia" w:ascii="方正仿宋_GBK" w:hAnsi="方正仿宋_GBK"/>
          <w:szCs w:val="32"/>
        </w:rPr>
        <w:t>确保受益乡镇、村满意度大于95%。</w:t>
      </w:r>
    </w:p>
    <w:p w14:paraId="477E89A4"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 w14:paraId="1CE2A542">
      <w:pPr>
        <w:ind w:firstLine="640" w:firstLineChars="20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hint="eastAsia" w:eastAsia="仿宋_GB2312"/>
          <w:color w:val="000000"/>
          <w:szCs w:val="32"/>
        </w:rPr>
        <w:t>100</w:t>
      </w:r>
      <w:r>
        <w:rPr>
          <w:rFonts w:eastAsia="仿宋_GB2312"/>
          <w:color w:val="000000"/>
          <w:szCs w:val="32"/>
        </w:rPr>
        <w:t>分，评价结果为</w:t>
      </w:r>
      <w:r>
        <w:rPr>
          <w:rFonts w:hint="eastAsia" w:eastAsia="仿宋_GB2312"/>
          <w:color w:val="000000"/>
          <w:szCs w:val="32"/>
        </w:rPr>
        <w:t>优</w:t>
      </w:r>
      <w:r>
        <w:rPr>
          <w:rFonts w:eastAsia="仿宋_GB2312"/>
          <w:color w:val="000000"/>
          <w:szCs w:val="32"/>
        </w:rPr>
        <w:t>。</w:t>
      </w:r>
    </w:p>
    <w:p w14:paraId="2EFC4E30"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四、偏离绩效目标的原因和下一步改进措施</w:t>
      </w:r>
    </w:p>
    <w:p w14:paraId="23B39E92">
      <w:pPr>
        <w:spacing w:line="600" w:lineRule="exact"/>
        <w:ind w:firstLine="640" w:firstLineChars="200"/>
      </w:pPr>
      <w:r>
        <w:rPr>
          <w:rFonts w:hint="eastAsia" w:ascii="仿宋_GB2312"/>
          <w:szCs w:val="32"/>
        </w:rPr>
        <w:t>项目建设已完成，不存在偏离绩效目标情况。</w:t>
      </w:r>
    </w:p>
    <w:p w14:paraId="27C2A5EE"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五、其他需要说明的问题</w:t>
      </w:r>
    </w:p>
    <w:p w14:paraId="60D1B3D0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项目不存在中央</w:t>
      </w:r>
      <w:r>
        <w:rPr>
          <w:rFonts w:ascii="方正仿宋_GBK"/>
          <w:szCs w:val="32"/>
        </w:rPr>
        <w:t>巡视、各级审计和财政监督中发现的问题</w:t>
      </w:r>
      <w:r>
        <w:rPr>
          <w:rFonts w:hint="eastAsia" w:ascii="方正仿宋_GBK"/>
          <w:szCs w:val="32"/>
        </w:rPr>
        <w:t>。</w:t>
      </w:r>
    </w:p>
    <w:p w14:paraId="79A7AEE6">
      <w:pPr>
        <w:spacing w:line="600" w:lineRule="exact"/>
        <w:ind w:firstLine="640" w:firstLineChars="200"/>
      </w:pPr>
      <w:r>
        <w:rPr>
          <w:szCs w:val="32"/>
        </w:rPr>
        <w:t>附件：项目支出预算绩效目标自评表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6FE804"/>
    <w:multiLevelType w:val="singleLevel"/>
    <w:tmpl w:val="006FE804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32C998B4"/>
    <w:multiLevelType w:val="singleLevel"/>
    <w:tmpl w:val="32C998B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5B0E1DE"/>
    <w:multiLevelType w:val="singleLevel"/>
    <w:tmpl w:val="35B0E1DE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RlOTFjN2JkNjQyMmMxMmM5MjkwMmNiMWEzNzBhOTkifQ=="/>
  </w:docVars>
  <w:rsids>
    <w:rsidRoot w:val="49AC7875"/>
    <w:rsid w:val="000C53E3"/>
    <w:rsid w:val="0086264A"/>
    <w:rsid w:val="009B0B34"/>
    <w:rsid w:val="099B1F76"/>
    <w:rsid w:val="3AB2373D"/>
    <w:rsid w:val="49AC7875"/>
    <w:rsid w:val="64C5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pPr>
      <w:spacing w:before="120" w:after="120" w:line="360" w:lineRule="auto"/>
      <w:jc w:val="left"/>
    </w:pPr>
    <w:rPr>
      <w:rFonts w:ascii="Calibri" w:hAnsi="Calibri" w:eastAsia="宋体"/>
      <w:b/>
      <w:bCs/>
      <w:caps/>
      <w:sz w:val="2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Char"/>
    <w:basedOn w:val="8"/>
    <w:link w:val="4"/>
    <w:qFormat/>
    <w:uiPriority w:val="0"/>
    <w:rPr>
      <w:rFonts w:eastAsia="方正仿宋_GBK"/>
      <w:kern w:val="2"/>
      <w:sz w:val="18"/>
      <w:szCs w:val="18"/>
    </w:rPr>
  </w:style>
  <w:style w:type="character" w:customStyle="1" w:styleId="10">
    <w:name w:val="页脚 Char"/>
    <w:basedOn w:val="8"/>
    <w:link w:val="3"/>
    <w:uiPriority w:val="0"/>
    <w:rPr>
      <w:rFonts w:eastAsia="方正仿宋_GBK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2644</Words>
  <Characters>2778</Characters>
  <Lines>20</Lines>
  <Paragraphs>5</Paragraphs>
  <TotalTime>6</TotalTime>
  <ScaleCrop>false</ScaleCrop>
  <LinksUpToDate>false</LinksUpToDate>
  <CharactersWithSpaces>2785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2023-03-23T11:33:00Z</dcterms:created>
  <dc:creator>.石墨</dc:creator>
  <cp:lastModifiedBy>MIMI </cp:lastModifiedBy>
  <dcterms:modified xsi:type="dcterms:W3CDTF">2024-06-13T02:35:33Z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8C274964B65C431599557FD3CB322583</vt:lpwstr>
  </property>
</Properties>
</file>