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/>
        <w:ind w:right="23"/>
        <w:jc w:val="right"/>
        <w:textAlignment w:val="auto"/>
        <w:rPr>
          <w:rFonts w:hint="eastAsia" w:ascii="Times New Roman" w:hAnsi="Times New Roman" w:eastAsia="方正仿宋_GBK" w:cs="Times New Roman"/>
          <w:sz w:val="32"/>
          <w:szCs w:val="20"/>
        </w:rPr>
      </w:pPr>
      <w:r>
        <w:rPr>
          <w:rFonts w:hint="eastAsia" w:ascii="Times New Roman" w:hAnsi="Times New Roman" w:eastAsia="方正仿宋_GBK" w:cs="Times New Roman"/>
          <w:sz w:val="32"/>
          <w:szCs w:val="20"/>
        </w:rPr>
        <w:t xml:space="preserve"> 奉水许可</w:t>
      </w:r>
      <w:r>
        <w:rPr>
          <w:rFonts w:hint="default" w:ascii="Times New Roman" w:hAnsi="Times New Roman" w:eastAsia="方正仿宋_GBK" w:cs="Times New Roman"/>
          <w:sz w:val="32"/>
          <w:szCs w:val="20"/>
        </w:rPr>
        <w:t>〔202</w:t>
      </w:r>
      <w:r>
        <w:rPr>
          <w:rFonts w:hint="eastAsia" w:ascii="Times New Roman" w:hAnsi="Times New Roman" w:eastAsia="方正仿宋_GBK" w:cs="Times New Roman"/>
          <w:sz w:val="32"/>
          <w:szCs w:val="20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20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20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20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pStyle w:val="5"/>
        <w:spacing w:line="64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奉节县水利局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奉节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县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高铁生态城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片区路网配套排水工程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水土保持方案报告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书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准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予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行政许可的决定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中交一公局重庆奉节建设有限公司: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你司报送的《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奉节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高铁生态城片区路网配套排水工程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水土保持方案报告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书》收悉。经审查，该申请符合法定条件，根据《中华人民共和国行政许可法》第三十八条、《水行政许可实施办法》第三十二条第一项规定，决定准予行政许可。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项目概况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奉节县高铁生态城片区路网配套排水工程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位于重庆市奉节县朱衣镇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五湘、黄果社区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本项目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总占地面积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4.8hm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其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均为临时占地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本项目主要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建设内容主要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为7条箱涵的建设，总长2429m，其中：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包括堰塘湾沟箱涵长81m ，尺寸为1.5m×1.5m；魏家沟箱涵长89m，尺寸为2.0m×3.0m；张家湾沟箱涵长93m，尺寸为2.0m×3.0m；白岩沟箱涵长210m，尺寸为3.5m×3.5m；铧头咀沟箱涵长752m，尺寸为3.5m×4.0m；白腊沟箱涵长360m，尺寸为2.0m×3.0m；滥泥沟箱涵长844m，尺寸为1.5m×1.5m的258m，2.0m×3.0m的586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本项目共计总投资12468.53万元。</w:t>
      </w:r>
      <w:r>
        <w:rPr>
          <w:rFonts w:hint="eastAsia" w:ascii="Times New Roman" w:eastAsia="方正仿宋_GBK" w:cs="Times New Roman"/>
          <w:color w:val="auto"/>
          <w:sz w:val="32"/>
          <w:szCs w:val="32"/>
          <w:lang w:val="en-US" w:eastAsia="zh-CN"/>
        </w:rPr>
        <w:t>工期17个月，即2023年8月至2024年12月。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二、水土保持方案总体意见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基本同意主体工程水土保持评价。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同意水土流失防治执行建设类项目一级标准。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基本同意本阶段确定的水土流失防治责任范围。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四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基本同意水土流失防治分区和分区防治措施。下阶段应进一步优化主体工程设计和施工组织，努力减少地表扰动和植被破坏。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基本同意水土保持方案实施进度安排。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六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基本同意水土保持监测时段、内容和方法。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638" w:leftChars="304" w:firstLine="0" w:firstLineChars="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三、投资概算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本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工程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水土保持总投资为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88.47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其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中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工程措施费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4.91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万元，植物措施费用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1.64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监测措施费用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15.9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万元，临时措施费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29.12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万元，独立费用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29.7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万元，基本预备费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2.44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元，水土保持补偿费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4.76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四、工作要求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生产建设单位在项目建设中应全面落实《中华人民共和国水土保持法》《重庆市实施&lt;中华人民共和国水土保持法&gt;办法》的各项要求，并重点做好以下工作: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该项目编制的水土保持方案在项目水土保持方案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许可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后，根据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许可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的水土保持方案和有关技术标准，切实落实水土保持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三同时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制度。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（二）严格按方案要求落实各项水土保持措施。各类施工活动要严格限定在用地范围内，严禁随意占压、扰动和破坏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地表植被。做好表土的剥离和弃渣综合利用，建设过程中产生的弃土要及时运至方案确定的专门场地。根据方案要求合理安排施工时序和水土保持措施实施进度，严格控制施工期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可能造成的水土流失。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（三）采购土、石、砂等建筑材料要选择符合规定的料场，明确水土流失防治责任。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（四）依法做好水土保持监测工作，加强水土流失动态监控。在工程建设期间应将水土保持监测季报按规定在网站公开，同时在业主项目部和施工项目部公开，并按规定向我局按时报送监测季报和总结报告。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（五）根据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《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奉节高铁生态城片区路网配套排水工程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水土保持方案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报告书》规定，你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司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应缴纳水土保持补偿费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47582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请你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司及时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47582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（六）本项目的地点、规模如发生重大变化，或者水土保持方案实施过程中水土保持措施发生重大变更，应补充或者修改水土保持方案，报我局审批。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（七）工程完工后、项目投产使用前应及时组织开展水土保持设施自主验收，并在水土保持设施自主验收通过3个月内，向我局报备验收材料（包括水土保持设施验收鉴定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书、水土保持设施验收报告、水土保持监测总结报告、验收公示材料等）。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1918" w:leftChars="304" w:hanging="1280" w:hangingChars="4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附件: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奉节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高铁生态城片区路网配套排水工程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水土保持方案报告书特性表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1916" w:leftChars="760" w:hanging="320" w:hangingChars="1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奉节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高铁生态城片区路网配套排水工程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水土保持方案报告书专家评审意见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94" w:lineRule="exact"/>
        <w:ind w:firstLine="1600" w:firstLineChars="5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kinsoku/>
        <w:wordWrap w:val="0"/>
        <w:overflowPunct/>
        <w:topLinePunct w:val="0"/>
        <w:bidi w:val="0"/>
        <w:snapToGrid/>
        <w:spacing w:line="594" w:lineRule="exact"/>
        <w:jc w:val="right"/>
        <w:textAlignment w:val="auto"/>
        <w:rPr>
          <w:rFonts w:hint="default" w:asci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    </w:t>
      </w:r>
      <w:r>
        <w:rPr>
          <w:rFonts w:hint="eastAsia" w:ascii="Times New Roman" w:eastAsia="方正仿宋_GBK" w:cs="Times New Roman"/>
          <w:sz w:val="32"/>
          <w:szCs w:val="32"/>
          <w:lang w:val="en-US" w:eastAsia="zh-CN"/>
        </w:rPr>
        <w:t xml:space="preserve">奉节县水利局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bidi w:val="0"/>
        <w:spacing w:line="594" w:lineRule="exact"/>
        <w:jc w:val="right"/>
        <w:textAlignment w:val="auto"/>
        <w:rPr>
          <w:rFonts w:hint="default"/>
          <w:lang w:val="en-US" w:eastAsia="zh-CN"/>
        </w:rPr>
      </w:pPr>
      <w:r>
        <w:rPr>
          <w:rFonts w:hint="eastAsia" w:ascii="Times New Roman" w:eastAsia="方正仿宋_GBK" w:cs="Times New Roman"/>
          <w:sz w:val="32"/>
          <w:szCs w:val="32"/>
          <w:lang w:val="en-US" w:eastAsia="zh-CN"/>
        </w:rPr>
        <w:t xml:space="preserve">2024年1月12日 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594" w:lineRule="exact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eastAsia" w:eastAsia="仿宋_GB2312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奉节</w:t>
      </w:r>
      <w:r>
        <w:rPr>
          <w:rFonts w:hint="eastAsia" w:eastAsia="仿宋_GB2312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hint="eastAsia" w:eastAsia="仿宋_GB2312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高铁生态城片区路网配套排水工程</w:t>
      </w:r>
      <w:r>
        <w:rPr>
          <w:rFonts w:eastAsia="仿宋_GB2312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水土保持方案特性表</w:t>
      </w:r>
    </w:p>
    <w:tbl>
      <w:tblPr>
        <w:tblStyle w:val="11"/>
        <w:tblW w:w="9338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298"/>
        <w:gridCol w:w="629"/>
        <w:gridCol w:w="271"/>
        <w:gridCol w:w="134"/>
        <w:gridCol w:w="492"/>
        <w:gridCol w:w="108"/>
        <w:gridCol w:w="1156"/>
        <w:gridCol w:w="540"/>
        <w:gridCol w:w="405"/>
        <w:gridCol w:w="1530"/>
        <w:gridCol w:w="107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项目名称</w:t>
            </w:r>
          </w:p>
        </w:tc>
        <w:tc>
          <w:tcPr>
            <w:tcW w:w="46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奉节县高铁生态城片区路网配套排水工程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流域管理机构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长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江水利委员会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涉及省区</w:t>
            </w:r>
          </w:p>
        </w:tc>
        <w:tc>
          <w:tcPr>
            <w:tcW w:w="192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重庆市</w:t>
            </w: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涉及地市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-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涉及县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奉节县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项目规模</w:t>
            </w:r>
          </w:p>
        </w:tc>
        <w:tc>
          <w:tcPr>
            <w:tcW w:w="192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占地面积4.8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hm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（万元）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12468.53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土建投资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（万元）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9351.39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动工时间</w:t>
            </w:r>
          </w:p>
        </w:tc>
        <w:tc>
          <w:tcPr>
            <w:tcW w:w="192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2023年8月</w:t>
            </w: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完工时间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2024年12月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设计水平年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202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年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工程占地（hm²）</w:t>
            </w:r>
          </w:p>
        </w:tc>
        <w:tc>
          <w:tcPr>
            <w:tcW w:w="192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4.8</w:t>
            </w: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永久占地（hm²）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临时占地（hm²）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4.8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exact"/>
        </w:trPr>
        <w:tc>
          <w:tcPr>
            <w:tcW w:w="3626" w:type="dxa"/>
            <w:gridSpan w:val="3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土石方量（万m³）</w:t>
            </w: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挖方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填方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借方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弃方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exact"/>
        </w:trPr>
        <w:tc>
          <w:tcPr>
            <w:tcW w:w="3626" w:type="dxa"/>
            <w:gridSpan w:val="3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</w:p>
        </w:tc>
        <w:tc>
          <w:tcPr>
            <w:tcW w:w="10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21.77</w:t>
            </w:r>
          </w:p>
        </w:tc>
        <w:tc>
          <w:tcPr>
            <w:tcW w:w="169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19.86</w:t>
            </w:r>
          </w:p>
        </w:tc>
        <w:tc>
          <w:tcPr>
            <w:tcW w:w="19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8.24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10.15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重点防治区名称</w:t>
            </w:r>
          </w:p>
        </w:tc>
        <w:tc>
          <w:tcPr>
            <w:tcW w:w="7639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地貌类型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低山地貌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水土保持区划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西南紫色土区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土壤侵蚀类型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水力侵蚀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土壤侵蚀强度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轻度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防治责任范围面积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hm²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4.8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土壤容许流失量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(t/k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m²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·a)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500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水土流失总量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t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599.7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新增水土流失量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t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493.7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exact"/>
        </w:trPr>
        <w:tc>
          <w:tcPr>
            <w:tcW w:w="169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防治目标</w:t>
            </w:r>
          </w:p>
        </w:tc>
        <w:tc>
          <w:tcPr>
            <w:tcW w:w="219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水土流失治理度％</w:t>
            </w:r>
          </w:p>
        </w:tc>
        <w:tc>
          <w:tcPr>
            <w:tcW w:w="6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土壤流失控制比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1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9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</w:p>
        </w:tc>
        <w:tc>
          <w:tcPr>
            <w:tcW w:w="219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渣土防护率％</w:t>
            </w:r>
          </w:p>
        </w:tc>
        <w:tc>
          <w:tcPr>
            <w:tcW w:w="6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94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表土保护率％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69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</w:p>
        </w:tc>
        <w:tc>
          <w:tcPr>
            <w:tcW w:w="219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林草植被恢复率％</w:t>
            </w:r>
          </w:p>
        </w:tc>
        <w:tc>
          <w:tcPr>
            <w:tcW w:w="6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林草覆盖率％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exact"/>
        </w:trPr>
        <w:tc>
          <w:tcPr>
            <w:tcW w:w="1699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防治措施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及工程量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工程措施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植物措施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临时措施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exact"/>
        </w:trPr>
        <w:tc>
          <w:tcPr>
            <w:tcW w:w="1699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表土剥离（新增）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绿化覆土整地（新增）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pacing w:line="2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撒播草籽绿化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pacing w:line="2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（新增）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临时彩钢板拦挡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临时覆盖防雨布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临时排水沟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临时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沉沙池（新增）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临时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编织袋装土砌体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（新增）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临时洗车槽（新增）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临时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彩条布覆盖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（新增）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投资（万元）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4.91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1.64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29.12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exact"/>
        </w:trPr>
        <w:tc>
          <w:tcPr>
            <w:tcW w:w="299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水土保持总投资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万元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526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88.47</w:t>
            </w:r>
          </w:p>
        </w:tc>
        <w:tc>
          <w:tcPr>
            <w:tcW w:w="2209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独立费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万元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6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29.7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exact"/>
        </w:trPr>
        <w:tc>
          <w:tcPr>
            <w:tcW w:w="299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水土保持监理费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万元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03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75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监测费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万元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94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15.9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补偿费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万元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4.7582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方案编制单位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重庆江源工程勘察设计有限公司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建设单位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中交一公局重庆奉节建设有限公司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社会信用代码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915002366710430608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社会信用代码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91500236MAC4B2QB3W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法定代表人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及电话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王永江/13594770793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法定代表人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及电话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方文富/19922042559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联系人及电话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刘小宏/18716777569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联系人及电话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eastAsia="zh-CN"/>
              </w:rPr>
              <w:t>李鹏瑞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/18581450116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地址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重庆奉节滨江国际B6栋18层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地址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重庆市奉节县夔州街道万胜路631-5-1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邮编</w:t>
            </w:r>
          </w:p>
        </w:tc>
        <w:tc>
          <w:tcPr>
            <w:tcW w:w="282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404600</w:t>
            </w:r>
          </w:p>
        </w:tc>
        <w:tc>
          <w:tcPr>
            <w:tcW w:w="180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</w:rPr>
              <w:t>邮编</w:t>
            </w:r>
          </w:p>
        </w:tc>
        <w:tc>
          <w:tcPr>
            <w:tcW w:w="3011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exact"/>
              <w:ind w:right="-105" w:rightChars="-5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404600</w:t>
            </w:r>
          </w:p>
        </w:tc>
      </w:tr>
    </w:tbl>
    <w:p>
      <w:pPr>
        <w:pStyle w:val="14"/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594" w:lineRule="exact"/>
        <w:textAlignment w:val="auto"/>
        <w:rPr>
          <w:rFonts w:hint="default" w:ascii="Times New Roman" w:hAnsi="Times New Roman" w:eastAsia="方正黑体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color w:val="auto"/>
          <w:kern w:val="2"/>
          <w:sz w:val="32"/>
          <w:szCs w:val="32"/>
          <w:lang w:val="en-US" w:eastAsia="zh-CN" w:bidi="ar-SA"/>
        </w:rPr>
        <w:t>附件2</w:t>
      </w:r>
      <w:bookmarkStart w:id="0" w:name="br1"/>
      <w:bookmarkEnd w:id="0"/>
    </w:p>
    <w:p>
      <w:pPr>
        <w:pStyle w:val="2"/>
      </w:pPr>
      <w:r>
        <w:drawing>
          <wp:inline distT="0" distB="0" distL="114300" distR="114300">
            <wp:extent cx="5610860" cy="7355205"/>
            <wp:effectExtent l="0" t="0" r="88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614670" cy="7773035"/>
            <wp:effectExtent l="0" t="0" r="508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7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4670" cy="757364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581650" cy="7781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5305" cy="722884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419725" cy="7515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2"/>
      </w:pPr>
    </w:p>
    <w:p>
      <w:pPr>
        <w:pStyle w:val="3"/>
        <w:rPr>
          <w:rFonts w:hint="default"/>
          <w:lang w:val="en-US" w:eastAsia="zh-CN"/>
        </w:rPr>
      </w:pPr>
    </w:p>
    <w:p>
      <w:pPr>
        <w:pBdr>
          <w:top w:val="single" w:color="auto" w:sz="8" w:space="1"/>
          <w:bottom w:val="single" w:color="auto" w:sz="8" w:space="1"/>
        </w:pBdr>
        <w:tabs>
          <w:tab w:val="left" w:pos="630"/>
        </w:tabs>
        <w:snapToGrid w:val="0"/>
        <w:ind w:firstLine="280" w:firstLineChars="100"/>
        <w:rPr>
          <w:rFonts w:hint="default" w:ascii="Times New Roman" w:eastAsia="方正黑体_GBK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 xml:space="preserve">奉节县水利局办公室               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 xml:space="preserve"> 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>202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474" w:bottom="1984" w:left="1587" w:header="851" w:footer="113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1Times New Roman">
    <w:panose1 w:val="02020603050405020304"/>
    <w:charset w:val="00"/>
    <w:family w:val="auto"/>
    <w:pitch w:val="default"/>
    <w:sig w:usb0="00007A87" w:usb1="80000000" w:usb2="00000008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s/vGR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mMzU1OTVhNTdhYzIxODc4NmFhNGMzNDg2OWRhYzEifQ=="/>
  </w:docVars>
  <w:rsids>
    <w:rsidRoot w:val="4E015D29"/>
    <w:rsid w:val="02E8221F"/>
    <w:rsid w:val="04563540"/>
    <w:rsid w:val="058C5860"/>
    <w:rsid w:val="05E52B97"/>
    <w:rsid w:val="062F2645"/>
    <w:rsid w:val="08980202"/>
    <w:rsid w:val="091F7E31"/>
    <w:rsid w:val="09337022"/>
    <w:rsid w:val="09712508"/>
    <w:rsid w:val="0BC23E70"/>
    <w:rsid w:val="0C5513A7"/>
    <w:rsid w:val="0E953512"/>
    <w:rsid w:val="0EDE439F"/>
    <w:rsid w:val="109D60F2"/>
    <w:rsid w:val="115B693C"/>
    <w:rsid w:val="12751D0D"/>
    <w:rsid w:val="172B4BD7"/>
    <w:rsid w:val="192474EE"/>
    <w:rsid w:val="1ACB68E1"/>
    <w:rsid w:val="1AF412C8"/>
    <w:rsid w:val="1BB51C27"/>
    <w:rsid w:val="1C024584"/>
    <w:rsid w:val="1CF44F33"/>
    <w:rsid w:val="1E875613"/>
    <w:rsid w:val="20372D20"/>
    <w:rsid w:val="20423233"/>
    <w:rsid w:val="220F17A9"/>
    <w:rsid w:val="2376785E"/>
    <w:rsid w:val="2D2478A9"/>
    <w:rsid w:val="2EC714C2"/>
    <w:rsid w:val="2F705501"/>
    <w:rsid w:val="35642923"/>
    <w:rsid w:val="35F3287A"/>
    <w:rsid w:val="36193279"/>
    <w:rsid w:val="371F41F0"/>
    <w:rsid w:val="37EB6052"/>
    <w:rsid w:val="38635F53"/>
    <w:rsid w:val="3A1539B6"/>
    <w:rsid w:val="3A82649A"/>
    <w:rsid w:val="3C1934F8"/>
    <w:rsid w:val="3DB10539"/>
    <w:rsid w:val="3E7E0272"/>
    <w:rsid w:val="3EA4382E"/>
    <w:rsid w:val="3FDE928E"/>
    <w:rsid w:val="406419B8"/>
    <w:rsid w:val="42580943"/>
    <w:rsid w:val="43EB176C"/>
    <w:rsid w:val="444765B0"/>
    <w:rsid w:val="44E87F0C"/>
    <w:rsid w:val="45C90C6D"/>
    <w:rsid w:val="466F1F67"/>
    <w:rsid w:val="46CB1893"/>
    <w:rsid w:val="46D52711"/>
    <w:rsid w:val="49322F2E"/>
    <w:rsid w:val="4973723A"/>
    <w:rsid w:val="4B5A0954"/>
    <w:rsid w:val="4E015D29"/>
    <w:rsid w:val="52097713"/>
    <w:rsid w:val="54420C3F"/>
    <w:rsid w:val="54E104D3"/>
    <w:rsid w:val="550950EB"/>
    <w:rsid w:val="556F1EBF"/>
    <w:rsid w:val="57862CB3"/>
    <w:rsid w:val="5B1376AE"/>
    <w:rsid w:val="5B2D5B60"/>
    <w:rsid w:val="5E1C5DCD"/>
    <w:rsid w:val="5E5F57D9"/>
    <w:rsid w:val="5ECEE916"/>
    <w:rsid w:val="5FA0575D"/>
    <w:rsid w:val="5FDE60C8"/>
    <w:rsid w:val="636E387A"/>
    <w:rsid w:val="64F65882"/>
    <w:rsid w:val="65DC48E8"/>
    <w:rsid w:val="660B0FB2"/>
    <w:rsid w:val="6A946A89"/>
    <w:rsid w:val="6ABB5865"/>
    <w:rsid w:val="6C8A08AD"/>
    <w:rsid w:val="6D4F0278"/>
    <w:rsid w:val="6E9357F9"/>
    <w:rsid w:val="6F655F22"/>
    <w:rsid w:val="706E37D5"/>
    <w:rsid w:val="70FF771F"/>
    <w:rsid w:val="71796490"/>
    <w:rsid w:val="721F62C7"/>
    <w:rsid w:val="74451699"/>
    <w:rsid w:val="75050920"/>
    <w:rsid w:val="75DF508A"/>
    <w:rsid w:val="77F61CBD"/>
    <w:rsid w:val="7A2930BD"/>
    <w:rsid w:val="7AB07A38"/>
    <w:rsid w:val="7C876932"/>
    <w:rsid w:val="7DF7CE4F"/>
    <w:rsid w:val="7EF8F92F"/>
    <w:rsid w:val="7F7FF037"/>
    <w:rsid w:val="7FFB9AE0"/>
    <w:rsid w:val="B3DF8001"/>
    <w:rsid w:val="FBFD535D"/>
    <w:rsid w:val="FC7FB830"/>
    <w:rsid w:val="FF7FF52E"/>
    <w:rsid w:val="FFBB18F8"/>
    <w:rsid w:val="FFD7A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eastAsia="宋体"/>
      <w:szCs w:val="24"/>
    </w:rPr>
  </w:style>
  <w:style w:type="paragraph" w:styleId="3">
    <w:name w:val="toc 5"/>
    <w:basedOn w:val="1"/>
    <w:next w:val="1"/>
    <w:unhideWhenUsed/>
    <w:qFormat/>
    <w:uiPriority w:val="39"/>
    <w:pPr>
      <w:widowControl w:val="0"/>
      <w:adjustRightInd/>
      <w:snapToGrid/>
      <w:spacing w:line="240" w:lineRule="auto"/>
      <w:ind w:left="1680" w:leftChars="800" w:firstLine="0" w:firstLineChars="0"/>
    </w:pPr>
    <w:rPr>
      <w:rFonts w:ascii="Calibri" w:hAnsi="Calibri" w:eastAsia="宋体"/>
      <w:kern w:val="2"/>
      <w:sz w:val="21"/>
    </w:rPr>
  </w:style>
  <w:style w:type="paragraph" w:styleId="4">
    <w:name w:val="Body Text Indent"/>
    <w:basedOn w:val="1"/>
    <w:qFormat/>
    <w:uiPriority w:val="0"/>
    <w:pPr>
      <w:spacing w:after="120" w:afterLines="0"/>
      <w:ind w:left="420" w:leftChars="200"/>
      <w:jc w:val="left"/>
    </w:pPr>
    <w:rPr>
      <w:sz w:val="24"/>
    </w:rPr>
  </w:style>
  <w:style w:type="paragraph" w:styleId="5">
    <w:name w:val="Plain Text"/>
    <w:basedOn w:val="1"/>
    <w:qFormat/>
    <w:uiPriority w:val="0"/>
    <w:rPr>
      <w:rFonts w:ascii="宋体" w:hAnsi="Courier New" w:eastAsia="宋体"/>
      <w:sz w:val="21"/>
    </w:rPr>
  </w:style>
  <w:style w:type="paragraph" w:styleId="6">
    <w:name w:val="Body Text Indent 2"/>
    <w:basedOn w:val="1"/>
    <w:qFormat/>
    <w:uiPriority w:val="0"/>
    <w:pPr>
      <w:ind w:firstLine="560" w:firstLineChars="200"/>
    </w:pPr>
    <w:rPr>
      <w:rFonts w:ascii="宋体" w:hAnsi="宋体"/>
      <w:color w:val="FF0000"/>
      <w:sz w:val="28"/>
    </w:rPr>
  </w:style>
  <w:style w:type="paragraph" w:styleId="7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tabs>
        <w:tab w:val="right" w:leader="dot" w:pos="8820"/>
      </w:tabs>
      <w:spacing w:line="500" w:lineRule="exact"/>
      <w:jc w:val="left"/>
    </w:pPr>
    <w:rPr>
      <w:b/>
      <w:bCs/>
      <w:caps/>
      <w:sz w:val="24"/>
    </w:rPr>
  </w:style>
  <w:style w:type="paragraph" w:styleId="10">
    <w:name w:val="Normal (Web)"/>
    <w:basedOn w:val="1"/>
    <w:unhideWhenUsed/>
    <w:qFormat/>
    <w:uiPriority w:val="99"/>
    <w:rPr>
      <w:sz w:val="24"/>
    </w:rPr>
  </w:style>
  <w:style w:type="character" w:styleId="13">
    <w:name w:val="page number"/>
    <w:basedOn w:val="12"/>
    <w:qFormat/>
    <w:uiPriority w:val="0"/>
  </w:style>
  <w:style w:type="paragraph" w:customStyle="1" w:styleId="14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5">
    <w:name w:val="正文＋首行缩进2字符"/>
    <w:basedOn w:val="1"/>
    <w:qFormat/>
    <w:uiPriority w:val="0"/>
    <w:pPr>
      <w:spacing w:line="360" w:lineRule="auto"/>
      <w:ind w:firstLine="200" w:firstLineChars="200"/>
    </w:pPr>
    <w:rPr>
      <w:spacing w:val="14"/>
      <w:sz w:val="24"/>
      <w:szCs w:val="20"/>
    </w:rPr>
  </w:style>
  <w:style w:type="paragraph" w:customStyle="1" w:styleId="16">
    <w:name w:val="!表格(alt+t)"/>
    <w:next w:val="1"/>
    <w:qFormat/>
    <w:uiPriority w:val="0"/>
    <w:pPr>
      <w:adjustRightInd w:val="0"/>
      <w:spacing w:line="240" w:lineRule="exact"/>
      <w:jc w:val="center"/>
      <w:textAlignment w:val="center"/>
    </w:pPr>
    <w:rPr>
      <w:rFonts w:ascii="Times New Roman" w:hAnsi="Times New Roman" w:eastAsia="仿宋_GB2312" w:cs="Times New Roman"/>
      <w:sz w:val="18"/>
      <w:szCs w:val="18"/>
      <w:lang w:val="en-US" w:eastAsia="zh-CN" w:bidi="ar-SA"/>
    </w:rPr>
  </w:style>
  <w:style w:type="paragraph" w:customStyle="1" w:styleId="17">
    <w:name w:val="样式 表格文字 + 宋体"/>
    <w:basedOn w:val="18"/>
    <w:qFormat/>
    <w:uiPriority w:val="0"/>
    <w:pPr>
      <w:widowControl/>
      <w:tabs>
        <w:tab w:val="left" w:pos="-24"/>
      </w:tabs>
      <w:spacing w:line="0" w:lineRule="atLeast"/>
      <w:jc w:val="center"/>
      <w:textAlignment w:val="baseline"/>
    </w:pPr>
    <w:rPr>
      <w:rFonts w:ascii="宋体" w:hAnsi="宋体"/>
      <w:color w:val="000000"/>
      <w:kern w:val="0"/>
      <w:szCs w:val="20"/>
      <w:u w:val="none" w:color="000000"/>
    </w:rPr>
  </w:style>
  <w:style w:type="paragraph" w:customStyle="1" w:styleId="18">
    <w:name w:val="表格文字"/>
    <w:basedOn w:val="1"/>
    <w:next w:val="1"/>
    <w:qFormat/>
    <w:uiPriority w:val="0"/>
    <w:pPr>
      <w:spacing w:line="240" w:lineRule="atLeast"/>
      <w:ind w:firstLine="44"/>
      <w:jc w:val="center"/>
    </w:pPr>
    <w:rPr>
      <w:color w:val="000000"/>
      <w:position w:val="-24"/>
      <w:sz w:val="24"/>
    </w:rPr>
  </w:style>
  <w:style w:type="paragraph" w:customStyle="1" w:styleId="19">
    <w:name w:val="表格123"/>
    <w:basedOn w:val="1"/>
    <w:qFormat/>
    <w:uiPriority w:val="0"/>
    <w:pPr>
      <w:spacing w:line="240" w:lineRule="auto"/>
      <w:ind w:left="-30" w:leftChars="-30" w:right="-30" w:rightChars="-30" w:firstLine="0" w:firstLineChars="0"/>
      <w:jc w:val="center"/>
    </w:pPr>
    <w:rPr>
      <w:w w:val="95"/>
      <w:kern w:val="0"/>
      <w:sz w:val="20"/>
      <w:szCs w:val="24"/>
      <w:lang w:val="zh-CN"/>
    </w:rPr>
  </w:style>
  <w:style w:type="paragraph" w:customStyle="1" w:styleId="20">
    <w:name w:val="JJ表内"/>
    <w:basedOn w:val="21"/>
    <w:qFormat/>
    <w:uiPriority w:val="0"/>
    <w:pPr>
      <w:spacing w:line="0" w:lineRule="atLeast"/>
      <w:ind w:firstLine="0" w:firstLineChars="0"/>
      <w:jc w:val="center"/>
    </w:pPr>
    <w:rPr>
      <w:sz w:val="21"/>
    </w:rPr>
  </w:style>
  <w:style w:type="paragraph" w:customStyle="1" w:styleId="21">
    <w:name w:val="JJ正文"/>
    <w:basedOn w:val="1"/>
    <w:qFormat/>
    <w:uiPriority w:val="0"/>
    <w:pPr>
      <w:ind w:firstLine="480"/>
    </w:pPr>
    <w:rPr>
      <w:szCs w:val="22"/>
    </w:rPr>
  </w:style>
  <w:style w:type="paragraph" w:customStyle="1" w:styleId="22">
    <w:name w:val="表格格式"/>
    <w:basedOn w:val="1"/>
    <w:qFormat/>
    <w:uiPriority w:val="0"/>
    <w:pPr>
      <w:adjustRightInd w:val="0"/>
      <w:snapToGrid w:val="0"/>
      <w:jc w:val="center"/>
    </w:pPr>
    <w:rPr>
      <w:rFonts w:ascii="Times New Roman" w:hAnsi="Times New Roman"/>
      <w:sz w:val="21"/>
      <w:szCs w:val="21"/>
    </w:rPr>
  </w:style>
  <w:style w:type="paragraph" w:customStyle="1" w:styleId="23">
    <w:name w:val="表格文本"/>
    <w:basedOn w:val="24"/>
    <w:qFormat/>
    <w:uiPriority w:val="0"/>
    <w:pPr>
      <w:spacing w:line="240" w:lineRule="auto"/>
      <w:ind w:firstLine="0" w:firstLineChars="0"/>
      <w:jc w:val="center"/>
    </w:pPr>
    <w:rPr>
      <w:sz w:val="21"/>
      <w:szCs w:val="21"/>
    </w:rPr>
  </w:style>
  <w:style w:type="paragraph" w:customStyle="1" w:styleId="24">
    <w:name w:val="正文文字110"/>
    <w:basedOn w:val="1"/>
    <w:qFormat/>
    <w:uiPriority w:val="0"/>
    <w:pPr>
      <w:spacing w:line="460" w:lineRule="exact"/>
      <w:ind w:firstLine="200" w:firstLineChars="200"/>
    </w:pPr>
    <w:rPr>
      <w:rFonts w:cs="宋体"/>
      <w:sz w:val="24"/>
      <w:szCs w:val="20"/>
    </w:rPr>
  </w:style>
  <w:style w:type="paragraph" w:customStyle="1" w:styleId="25">
    <w:name w:val="正文缩2"/>
    <w:qFormat/>
    <w:uiPriority w:val="0"/>
    <w:pPr>
      <w:spacing w:line="360" w:lineRule="auto"/>
      <w:ind w:firstLine="240" w:firstLineChars="100"/>
    </w:pPr>
    <w:rPr>
      <w:rFonts w:ascii="Times New Roman" w:hAnsi="Times New Roman" w:eastAsia="宋体" w:cs="Times New Roman"/>
      <w:color w:val="FF0000"/>
      <w:sz w:val="24"/>
      <w:szCs w:val="24"/>
      <w:lang w:val="en-US" w:eastAsia="zh-CN" w:bidi="ar-SA"/>
    </w:rPr>
  </w:style>
  <w:style w:type="paragraph" w:customStyle="1" w:styleId="26">
    <w:name w:val="表格内容"/>
    <w:basedOn w:val="1"/>
    <w:qFormat/>
    <w:uiPriority w:val="0"/>
    <w:pPr>
      <w:widowControl/>
      <w:adjustRightInd w:val="0"/>
      <w:snapToGrid w:val="0"/>
      <w:spacing w:line="240" w:lineRule="auto"/>
      <w:ind w:firstLine="0" w:firstLineChars="0"/>
      <w:jc w:val="center"/>
    </w:pPr>
    <w:rPr>
      <w:sz w:val="21"/>
      <w:szCs w:val="18"/>
    </w:rPr>
  </w:style>
  <w:style w:type="paragraph" w:customStyle="1" w:styleId="27">
    <w:name w:val="表格表头"/>
    <w:basedOn w:val="1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b/>
      <w:kern w:val="2"/>
    </w:rPr>
  </w:style>
  <w:style w:type="paragraph" w:customStyle="1" w:styleId="28">
    <w:name w:val="页眉页脚"/>
    <w:basedOn w:val="1"/>
    <w:qFormat/>
    <w:uiPriority w:val="0"/>
    <w:pPr>
      <w:pBdr>
        <w:bottom w:val="single" w:color="auto" w:sz="6" w:space="1"/>
      </w:pBdr>
      <w:spacing w:line="240" w:lineRule="auto"/>
      <w:ind w:firstLine="0" w:firstLineChars="0"/>
      <w:jc w:val="center"/>
      <w:textAlignment w:val="center"/>
    </w:pPr>
    <w:rPr>
      <w:sz w:val="18"/>
      <w:szCs w:val="18"/>
    </w:rPr>
  </w:style>
  <w:style w:type="paragraph" w:customStyle="1" w:styleId="29">
    <w:name w:val="表格"/>
    <w:basedOn w:val="30"/>
    <w:qFormat/>
    <w:uiPriority w:val="99"/>
    <w:pPr>
      <w:spacing w:line="240" w:lineRule="atLeast"/>
      <w:ind w:firstLine="0" w:firstLineChars="0"/>
      <w:jc w:val="center"/>
    </w:pPr>
    <w:rPr>
      <w:rFonts w:eastAsia="宋体"/>
      <w:sz w:val="18"/>
    </w:rPr>
  </w:style>
  <w:style w:type="paragraph" w:customStyle="1" w:styleId="30">
    <w:name w:val="正文1"/>
    <w:next w:val="1"/>
    <w:qFormat/>
    <w:uiPriority w:val="99"/>
    <w:pPr>
      <w:ind w:firstLine="200" w:firstLineChars="200"/>
      <w:jc w:val="both"/>
    </w:pPr>
    <w:rPr>
      <w:rFonts w:ascii="宋体" w:hAnsi="宋体" w:eastAsia="宋体" w:cs="Times New Roman"/>
      <w:sz w:val="28"/>
      <w:szCs w:val="22"/>
      <w:lang w:val="en-US" w:eastAsia="zh-CN" w:bidi="ar-SA"/>
    </w:rPr>
  </w:style>
  <w:style w:type="paragraph" w:customStyle="1" w:styleId="31">
    <w:name w:val="表内文字（居中）-wd"/>
    <w:qFormat/>
    <w:uiPriority w:val="0"/>
    <w:pPr>
      <w:jc w:val="center"/>
    </w:pPr>
    <w:rPr>
      <w:rFonts w:ascii="宋体" w:hAnsi="Times New Roman" w:eastAsia="宋体" w:cs="Times New Roman"/>
      <w:color w:val="000080"/>
      <w:sz w:val="28"/>
      <w:szCs w:val="28"/>
      <w:lang w:val="en-US" w:eastAsia="zh-CN" w:bidi="ar-SA"/>
    </w:rPr>
  </w:style>
  <w:style w:type="paragraph" w:customStyle="1" w:styleId="32">
    <w:name w:val="标准"/>
    <w:qFormat/>
    <w:uiPriority w:val="0"/>
    <w:pPr>
      <w:widowControl w:val="0"/>
      <w:ind w:firstLine="200" w:firstLineChars="200"/>
      <w:jc w:val="both"/>
    </w:pPr>
    <w:rPr>
      <w:rFonts w:ascii="仿宋_GB2312" w:hAnsi="宋体" w:eastAsia="仿宋_GB2312" w:cs="Times New Roman"/>
      <w:color w:val="17365D"/>
      <w:kern w:val="2"/>
      <w:sz w:val="24"/>
      <w:szCs w:val="28"/>
      <w:lang w:val="en-US" w:eastAsia="zh-CN" w:bidi="ar-SA"/>
    </w:rPr>
  </w:style>
  <w:style w:type="paragraph" w:customStyle="1" w:styleId="33">
    <w:name w:val="无间隔1"/>
    <w:qFormat/>
    <w:uiPriority w:val="1"/>
    <w:rPr>
      <w:rFonts w:ascii="Calibri" w:hAnsi="Calibri" w:eastAsia="宋体" w:cs="Times New Roman"/>
      <w:sz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2484</Words>
  <Characters>2909</Characters>
  <Lines>0</Lines>
  <Paragraphs>0</Paragraphs>
  <TotalTime>5</TotalTime>
  <ScaleCrop>false</ScaleCrop>
  <LinksUpToDate>false</LinksUpToDate>
  <CharactersWithSpaces>2958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2021-01-31T18:45:00Z</dcterms:created>
  <dc:creator>你的降落伞是什么颜色？</dc:creator>
  <cp:lastModifiedBy>guest</cp:lastModifiedBy>
  <cp:lastPrinted>2023-11-04T03:49:00Z</cp:lastPrinted>
  <dcterms:modified xsi:type="dcterms:W3CDTF">2024-01-12T13:57:07Z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KSOSaveFontToCloudKey">
    <vt:lpwstr>564470555_btnclosed</vt:lpwstr>
  </property>
  <property fmtid="{D5CDD505-2E9C-101B-9397-08002B2CF9AE}" pid="4" name="ICV">
    <vt:lpwstr>F41EA904063D46368DFE852E554D4C15</vt:lpwstr>
  </property>
</Properties>
</file>