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F92A2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大庄、荆竹集镇供水“一改三提”工程</w:t>
      </w:r>
    </w:p>
    <w:p w14:paraId="34C2C2B1">
      <w:pPr>
        <w:spacing w:line="600" w:lineRule="exact"/>
        <w:jc w:val="center"/>
        <w:rPr>
          <w:b w:val="0"/>
          <w:bCs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支出自评报告</w:t>
      </w:r>
    </w:p>
    <w:p w14:paraId="2AEA7D01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0D080DF1">
      <w:pPr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szCs w:val="32"/>
        </w:rPr>
      </w:pPr>
      <w:r>
        <w:rPr>
          <w:szCs w:val="32"/>
        </w:rPr>
        <w:t>县财政下达项目绩效目标情况。奉节县财政</w:t>
      </w:r>
      <w:r>
        <w:rPr>
          <w:rFonts w:ascii="Times New Roman" w:hAnsi="Times New Roman" w:cs="Times New Roman"/>
          <w:szCs w:val="32"/>
        </w:rPr>
        <w:t>局</w:t>
      </w:r>
      <w:r>
        <w:rPr>
          <w:szCs w:val="32"/>
        </w:rPr>
        <w:t>《</w:t>
      </w:r>
      <w:r>
        <w:rPr>
          <w:rFonts w:hint="eastAsia"/>
          <w:szCs w:val="32"/>
        </w:rPr>
        <w:t>关于下达2023年水库移民后期扶持基金预算的通知</w:t>
      </w:r>
      <w:r>
        <w:rPr>
          <w:szCs w:val="32"/>
        </w:rPr>
        <w:t>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szCs w:val="32"/>
        </w:rPr>
        <w:t>）下达</w:t>
      </w:r>
      <w:r>
        <w:rPr>
          <w:rFonts w:hint="eastAsia"/>
          <w:szCs w:val="32"/>
        </w:rPr>
        <w:t>大庄、荆竹集镇供水“一改三提”工程</w:t>
      </w:r>
      <w:r>
        <w:rPr>
          <w:szCs w:val="32"/>
        </w:rPr>
        <w:t>资金</w:t>
      </w:r>
      <w:r>
        <w:rPr>
          <w:rFonts w:hint="eastAsia"/>
          <w:szCs w:val="32"/>
          <w:lang w:val="en-US" w:eastAsia="zh-CN"/>
        </w:rPr>
        <w:t>146</w:t>
      </w:r>
      <w:r>
        <w:rPr>
          <w:rFonts w:hint="eastAsia"/>
          <w:szCs w:val="32"/>
        </w:rPr>
        <w:t>万元</w:t>
      </w:r>
      <w:r>
        <w:rPr>
          <w:szCs w:val="32"/>
        </w:rPr>
        <w:t>，在下达资金预算时同步下达了绩效目标。</w:t>
      </w:r>
    </w:p>
    <w:p w14:paraId="6DC2C5B5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4DABFFCE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54D813B5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val="en-US" w:eastAsia="zh-CN"/>
        </w:rPr>
        <w:t>2023年</w:t>
      </w:r>
      <w:r>
        <w:rPr>
          <w:rFonts w:hint="eastAsia"/>
          <w:szCs w:val="32"/>
          <w:lang w:eastAsia="zh-CN"/>
        </w:rPr>
        <w:t>下达计划</w:t>
      </w:r>
      <w:r>
        <w:rPr>
          <w:rFonts w:hint="eastAsia"/>
          <w:szCs w:val="32"/>
          <w:lang w:val="en-US" w:eastAsia="zh-CN"/>
        </w:rPr>
        <w:t>49</w:t>
      </w:r>
      <w:r>
        <w:rPr>
          <w:rFonts w:hint="eastAsia"/>
          <w:szCs w:val="32"/>
        </w:rPr>
        <w:t>万元</w:t>
      </w:r>
      <w:r>
        <w:rPr>
          <w:szCs w:val="32"/>
        </w:rPr>
        <w:t>；</w:t>
      </w:r>
    </w:p>
    <w:p w14:paraId="19DDB1A3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项目资金执行情况</w:t>
      </w:r>
      <w:r>
        <w:rPr>
          <w:rFonts w:hint="eastAsia"/>
          <w:szCs w:val="32"/>
        </w:rPr>
        <w:t>：202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年支付</w:t>
      </w:r>
      <w:r>
        <w:rPr>
          <w:rFonts w:hint="eastAsia"/>
          <w:szCs w:val="32"/>
          <w:lang w:val="en-US" w:eastAsia="zh-CN"/>
        </w:rPr>
        <w:t>49</w:t>
      </w:r>
      <w:r>
        <w:rPr>
          <w:rFonts w:hint="eastAsia"/>
          <w:szCs w:val="32"/>
        </w:rPr>
        <w:t>万元</w:t>
      </w:r>
      <w:r>
        <w:rPr>
          <w:szCs w:val="32"/>
        </w:rPr>
        <w:t>；</w:t>
      </w:r>
      <w:bookmarkStart w:id="0" w:name="_GoBack"/>
      <w:bookmarkEnd w:id="0"/>
    </w:p>
    <w:p w14:paraId="34B200BE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项目资金管理情况</w:t>
      </w:r>
      <w:r>
        <w:rPr>
          <w:rFonts w:hint="eastAsia"/>
          <w:szCs w:val="32"/>
        </w:rPr>
        <w:t>：项目资金使用坚持量入为出的原则，严格控制项目资金的支出范围，杜绝不符合规定支出，做到专款专用。</w:t>
      </w:r>
    </w:p>
    <w:p w14:paraId="7964F2C2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hint="eastAsia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  <w:r>
        <w:rPr>
          <w:rFonts w:hint="eastAsia"/>
          <w:bCs/>
          <w:szCs w:val="32"/>
        </w:rPr>
        <w:t>：</w:t>
      </w:r>
    </w:p>
    <w:p w14:paraId="580E90D0">
      <w:pPr>
        <w:numPr>
          <w:ilvl w:val="0"/>
          <w:numId w:val="0"/>
        </w:numPr>
        <w:spacing w:line="594" w:lineRule="exact"/>
        <w:ind w:firstLine="640"/>
        <w:outlineLvl w:val="0"/>
        <w:rPr>
          <w:bCs/>
          <w:szCs w:val="32"/>
        </w:rPr>
      </w:pPr>
      <w:r>
        <w:rPr>
          <w:rFonts w:hint="eastAsia"/>
          <w:bCs/>
          <w:szCs w:val="32"/>
          <w:lang w:val="en-US" w:eastAsia="zh-CN"/>
        </w:rPr>
        <w:t>完成了兴隆镇荆竹社区水厂整治，更换净水消毒设备1套，更换DN110PE管2000m；完成了吐祥镇阳和村大庄村水厂整治，更换500m³/d 膜处理设备1 套。</w:t>
      </w:r>
      <w:r>
        <w:rPr>
          <w:rFonts w:hint="eastAsia"/>
          <w:bCs/>
          <w:szCs w:val="32"/>
          <w:lang w:eastAsia="zh-CN"/>
        </w:rPr>
        <w:t>项目的实施极大改善了</w:t>
      </w:r>
      <w:r>
        <w:rPr>
          <w:rFonts w:hint="eastAsia"/>
          <w:bCs/>
          <w:szCs w:val="32"/>
          <w:lang w:val="en-US" w:eastAsia="zh-CN"/>
        </w:rPr>
        <w:t>兴隆镇荆竹社区和吐祥镇阳和村大庄村</w:t>
      </w:r>
      <w:r>
        <w:rPr>
          <w:rFonts w:hint="eastAsia"/>
          <w:bCs/>
          <w:szCs w:val="32"/>
          <w:lang w:eastAsia="zh-CN"/>
        </w:rPr>
        <w:t>等地居民的饮水安全</w:t>
      </w:r>
      <w:r>
        <w:rPr>
          <w:bCs/>
          <w:szCs w:val="32"/>
        </w:rPr>
        <w:t>。</w:t>
      </w:r>
    </w:p>
    <w:p w14:paraId="6A61917E">
      <w:pPr>
        <w:spacing w:line="594" w:lineRule="exact"/>
        <w:ind w:firstLine="640" w:firstLineChars="200"/>
        <w:outlineLvl w:val="0"/>
        <w:rPr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（三）绩效目标完成情况分析：</w:t>
      </w:r>
      <w:r>
        <w:rPr>
          <w:rFonts w:hint="eastAsia"/>
          <w:bCs/>
          <w:szCs w:val="32"/>
          <w:lang w:val="en-US" w:eastAsia="zh-CN"/>
        </w:rPr>
        <w:t>完成了兴隆镇荆竹社区水厂整治，更换净水消毒设备1套，更换DN110PE管2000m；完成了吐祥镇阳和村大庄村水厂整治，更换500m³/d 膜处理设备1 套。完成了年初的年度总体目标。</w:t>
      </w:r>
    </w:p>
    <w:p w14:paraId="21F95838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0046F8B8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</w:t>
      </w:r>
      <w:r>
        <w:rPr>
          <w:rFonts w:hint="eastAsia"/>
          <w:szCs w:val="32"/>
        </w:rPr>
        <w:t>：</w:t>
      </w:r>
      <w:r>
        <w:rPr>
          <w:rFonts w:hint="eastAsia"/>
          <w:bCs/>
          <w:szCs w:val="32"/>
          <w:lang w:val="en-US" w:eastAsia="zh-CN"/>
        </w:rPr>
        <w:t>更换DN110PE管2000m，水厂整治3座，</w:t>
      </w:r>
      <w:r>
        <w:rPr>
          <w:rFonts w:hint="eastAsia"/>
          <w:szCs w:val="32"/>
        </w:rPr>
        <w:t>完成率100%</w:t>
      </w:r>
      <w:r>
        <w:rPr>
          <w:szCs w:val="32"/>
        </w:rPr>
        <w:t>。</w:t>
      </w:r>
    </w:p>
    <w:p w14:paraId="443B46ED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（2）质量指标</w:t>
      </w:r>
      <w:r>
        <w:rPr>
          <w:rFonts w:hint="eastAsia"/>
          <w:szCs w:val="32"/>
        </w:rPr>
        <w:t>：工程质量合格率</w:t>
      </w:r>
      <w:r>
        <w:rPr>
          <w:rFonts w:hint="eastAsia"/>
          <w:szCs w:val="32"/>
          <w:lang w:val="en-US" w:eastAsia="zh-CN"/>
        </w:rPr>
        <w:t>100%</w:t>
      </w:r>
      <w:r>
        <w:rPr>
          <w:szCs w:val="32"/>
        </w:rPr>
        <w:t>。</w:t>
      </w:r>
    </w:p>
    <w:p w14:paraId="658F5526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（3）时效指标</w:t>
      </w:r>
      <w:r>
        <w:rPr>
          <w:rFonts w:hint="eastAsia"/>
          <w:szCs w:val="32"/>
        </w:rPr>
        <w:t>：建设周期</w:t>
      </w:r>
      <w:r>
        <w:rPr>
          <w:rFonts w:hint="eastAsia"/>
          <w:szCs w:val="32"/>
          <w:lang w:val="en-US" w:eastAsia="zh-CN"/>
        </w:rPr>
        <w:t>3个月，</w:t>
      </w:r>
      <w:r>
        <w:rPr>
          <w:rFonts w:hint="eastAsia"/>
          <w:szCs w:val="32"/>
        </w:rPr>
        <w:t>项目按时完成率100%</w:t>
      </w:r>
      <w:r>
        <w:rPr>
          <w:szCs w:val="32"/>
        </w:rPr>
        <w:t>。</w:t>
      </w:r>
    </w:p>
    <w:p w14:paraId="126135D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16486911">
      <w:pPr>
        <w:spacing w:line="594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</w:rPr>
        <w:t>社会效益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</w:rPr>
        <w:t>工程完工后受益人数</w:t>
      </w:r>
      <w:r>
        <w:rPr>
          <w:rFonts w:hint="eastAsia"/>
          <w:szCs w:val="32"/>
          <w:lang w:val="en-US" w:eastAsia="zh-CN"/>
        </w:rPr>
        <w:t>4000人</w:t>
      </w:r>
    </w:p>
    <w:p w14:paraId="7299EDC8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）可持续影响</w:t>
      </w:r>
      <w:r>
        <w:rPr>
          <w:rFonts w:hint="eastAsia"/>
          <w:szCs w:val="32"/>
        </w:rPr>
        <w:t>：工程使用年限</w:t>
      </w:r>
      <w:r>
        <w:rPr>
          <w:rFonts w:hint="eastAsia"/>
          <w:szCs w:val="32"/>
          <w:lang w:val="en-US" w:eastAsia="zh-CN"/>
        </w:rPr>
        <w:t>15年</w:t>
      </w:r>
      <w:r>
        <w:rPr>
          <w:szCs w:val="32"/>
        </w:rPr>
        <w:t>。</w:t>
      </w:r>
    </w:p>
    <w:p w14:paraId="6F18969A">
      <w:pPr>
        <w:spacing w:line="594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3.满意度指标完成情况分析。</w:t>
      </w:r>
    </w:p>
    <w:p w14:paraId="5F3864B5">
      <w:pPr>
        <w:pStyle w:val="2"/>
        <w:spacing w:line="594" w:lineRule="exact"/>
        <w:rPr>
          <w:rFonts w:ascii="Times New Roman"/>
          <w:color w:val="auto"/>
          <w:kern w:val="2"/>
          <w:sz w:val="32"/>
          <w:szCs w:val="32"/>
        </w:rPr>
      </w:pPr>
      <w:r>
        <w:rPr>
          <w:rFonts w:hint="eastAsia"/>
          <w:szCs w:val="32"/>
        </w:rPr>
        <w:t xml:space="preserve">     </w:t>
      </w:r>
      <w:r>
        <w:rPr>
          <w:rFonts w:hint="eastAsia" w:ascii="Times New Roman"/>
          <w:color w:val="auto"/>
          <w:kern w:val="2"/>
          <w:sz w:val="32"/>
          <w:szCs w:val="32"/>
        </w:rPr>
        <w:t>受益人口满意度</w:t>
      </w:r>
      <w:r>
        <w:rPr>
          <w:rFonts w:hint="eastAsia" w:ascii="Times New Roman"/>
          <w:color w:val="auto"/>
          <w:kern w:val="2"/>
          <w:sz w:val="32"/>
          <w:szCs w:val="32"/>
          <w:lang w:val="en-US" w:eastAsia="zh-CN"/>
        </w:rPr>
        <w:t>100%</w:t>
      </w:r>
      <w:r>
        <w:rPr>
          <w:rFonts w:hint="eastAsia" w:ascii="Times New Roman"/>
          <w:color w:val="auto"/>
          <w:kern w:val="2"/>
          <w:sz w:val="32"/>
          <w:szCs w:val="32"/>
        </w:rPr>
        <w:t>。</w:t>
      </w:r>
    </w:p>
    <w:p w14:paraId="34C14D05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27F12D8C">
      <w:pPr>
        <w:spacing w:line="594" w:lineRule="exact"/>
        <w:ind w:firstLine="640" w:firstLineChars="20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100</w:t>
      </w:r>
      <w:r>
        <w:rPr>
          <w:rFonts w:eastAsia="仿宋_GB2312"/>
          <w:color w:val="000000"/>
          <w:szCs w:val="32"/>
        </w:rPr>
        <w:t>分，评价结果为（</w:t>
      </w:r>
      <w:r>
        <w:rPr>
          <w:rFonts w:ascii="Times New Roman" w:hAnsi="Times New Roman" w:eastAsia="仿宋_GB2312" w:cs="Times New Roman"/>
          <w:color w:val="000000"/>
          <w:szCs w:val="32"/>
        </w:rPr>
        <w:t>优</w:t>
      </w:r>
      <w:r>
        <w:rPr>
          <w:rFonts w:eastAsia="仿宋_GB2312"/>
          <w:color w:val="000000"/>
          <w:szCs w:val="32"/>
        </w:rPr>
        <w:t>）。</w:t>
      </w:r>
    </w:p>
    <w:p w14:paraId="28F7DC0B">
      <w:pPr>
        <w:pStyle w:val="2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szCs w:val="32"/>
          <w:lang w:val="en-US" w:eastAsia="zh-CN"/>
        </w:rPr>
        <w:t xml:space="preserve">         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 xml:space="preserve"> 奉节县水利局</w:t>
      </w:r>
    </w:p>
    <w:p w14:paraId="05594177">
      <w:pPr>
        <w:rPr>
          <w:rFonts w:hint="default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            2024年1月22日</w:t>
      </w:r>
    </w:p>
    <w:p w14:paraId="779D5BB1">
      <w:pPr>
        <w:pStyle w:val="2"/>
        <w:rPr>
          <w:szCs w:val="32"/>
        </w:rPr>
      </w:pPr>
    </w:p>
    <w:p w14:paraId="48EBC7E0">
      <w:pPr>
        <w:rPr>
          <w:szCs w:val="32"/>
        </w:rPr>
      </w:pPr>
    </w:p>
    <w:p w14:paraId="283D3D79">
      <w:pPr>
        <w:pStyle w:val="2"/>
        <w:rPr>
          <w:szCs w:val="32"/>
        </w:rPr>
      </w:pPr>
    </w:p>
    <w:p w14:paraId="0D362C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5CDD0"/>
    <w:multiLevelType w:val="singleLevel"/>
    <w:tmpl w:val="CBF5CDD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  <w:docVar w:name="KSO_WPS_MARK_KEY" w:val="897fe2d4-89b1-4cf0-b9d0-b346786acdb9"/>
  </w:docVars>
  <w:rsids>
    <w:rsidRoot w:val="13512A6C"/>
    <w:rsid w:val="003E663C"/>
    <w:rsid w:val="00C36B5A"/>
    <w:rsid w:val="00FB5C20"/>
    <w:rsid w:val="054372AA"/>
    <w:rsid w:val="05D96117"/>
    <w:rsid w:val="063522A9"/>
    <w:rsid w:val="0C2A3543"/>
    <w:rsid w:val="0CB511C3"/>
    <w:rsid w:val="13512A6C"/>
    <w:rsid w:val="14E60C13"/>
    <w:rsid w:val="15E952C4"/>
    <w:rsid w:val="198B1496"/>
    <w:rsid w:val="1C2A3ADB"/>
    <w:rsid w:val="1DDF559E"/>
    <w:rsid w:val="20CB4917"/>
    <w:rsid w:val="2EF91817"/>
    <w:rsid w:val="306A22A0"/>
    <w:rsid w:val="385673B7"/>
    <w:rsid w:val="41962EF5"/>
    <w:rsid w:val="45D43FEC"/>
    <w:rsid w:val="45E43CE7"/>
    <w:rsid w:val="490C40F6"/>
    <w:rsid w:val="53AD0D05"/>
    <w:rsid w:val="5BF33832"/>
    <w:rsid w:val="5DA5243A"/>
    <w:rsid w:val="5E8F0FA0"/>
    <w:rsid w:val="60EC3C24"/>
    <w:rsid w:val="6A100CCC"/>
    <w:rsid w:val="6C627813"/>
    <w:rsid w:val="6FE4537F"/>
    <w:rsid w:val="72EE3235"/>
    <w:rsid w:val="7442154E"/>
    <w:rsid w:val="776F64F0"/>
    <w:rsid w:val="791A46DC"/>
    <w:rsid w:val="7FF3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9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8">
    <w:name w:val="font31"/>
    <w:basedOn w:val="6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9">
    <w:name w:val="font2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0">
    <w:name w:val="font8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character" w:customStyle="1" w:styleId="11">
    <w:name w:val="font10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676</Words>
  <Characters>759</Characters>
  <Lines>5</Lines>
  <Paragraphs>1</Paragraphs>
  <TotalTime>14</TotalTime>
  <ScaleCrop>false</ScaleCrop>
  <LinksUpToDate>false</LinksUpToDate>
  <CharactersWithSpaces>855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林蕭的羙只蓜小齊か</dc:creator>
  <cp:lastModifiedBy>Administrator</cp:lastModifiedBy>
  <dcterms:modified xsi:type="dcterms:W3CDTF">2024-08-12T03:48:03Z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2F571293E8F643B0967D1F9D6CC17CF8</vt:lpwstr>
  </property>
</Properties>
</file>