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3A800">
      <w:pPr>
        <w:spacing w:line="600" w:lineRule="exact"/>
        <w:jc w:val="center"/>
        <w:rPr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农村饮水安全维修养护资金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支出自评报告</w:t>
      </w:r>
      <w:bookmarkStart w:id="0" w:name="_GoBack"/>
      <w:bookmarkEnd w:id="0"/>
    </w:p>
    <w:p w14:paraId="0236D2D2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2747C4BE">
      <w:pPr>
        <w:spacing w:line="560" w:lineRule="exact"/>
        <w:ind w:firstLine="640" w:firstLineChars="200"/>
        <w:jc w:val="left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县财政下达项目绩效目标情况。奉节县财政</w:t>
      </w:r>
      <w:r>
        <w:rPr>
          <w:rFonts w:ascii="Times New Roman" w:hAnsi="Times New Roman" w:cs="Times New Roman"/>
          <w:szCs w:val="32"/>
        </w:rPr>
        <w:t>局《</w:t>
      </w:r>
      <w:r>
        <w:rPr>
          <w:rFonts w:hint="default" w:ascii="Times New Roman" w:hAnsi="Times New Roman" w:cs="Times New Roman"/>
          <w:szCs w:val="32"/>
        </w:rPr>
        <w:t>关于下达2023年提前批水利发展资金预算的通知</w:t>
      </w:r>
      <w:r>
        <w:rPr>
          <w:rFonts w:ascii="Times New Roman" w:hAnsi="Times New Roman" w:cs="Times New Roman"/>
          <w:szCs w:val="32"/>
        </w:rPr>
        <w:t>》（</w:t>
      </w:r>
      <w:r>
        <w:rPr>
          <w:color w:val="000000"/>
          <w:szCs w:val="32"/>
        </w:rPr>
        <w:t>奉节财农〔202</w:t>
      </w:r>
      <w:r>
        <w:rPr>
          <w:rFonts w:hint="eastAsia"/>
          <w:color w:val="000000"/>
          <w:szCs w:val="32"/>
          <w:lang w:val="en-US" w:eastAsia="zh-CN"/>
        </w:rPr>
        <w:t>3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  <w:lang w:val="en-US" w:eastAsia="zh-CN"/>
        </w:rPr>
        <w:t>21</w:t>
      </w:r>
      <w:r>
        <w:rPr>
          <w:color w:val="000000"/>
          <w:szCs w:val="32"/>
        </w:rPr>
        <w:t>号</w:t>
      </w:r>
      <w:r>
        <w:rPr>
          <w:szCs w:val="32"/>
        </w:rPr>
        <w:t>）下达</w:t>
      </w:r>
      <w:r>
        <w:rPr>
          <w:rFonts w:hint="eastAsia"/>
          <w:szCs w:val="32"/>
        </w:rPr>
        <w:t>饮水工程维修养护</w:t>
      </w:r>
      <w:r>
        <w:rPr>
          <w:szCs w:val="32"/>
        </w:rPr>
        <w:t>资金</w:t>
      </w:r>
      <w:r>
        <w:rPr>
          <w:rFonts w:hint="eastAsia"/>
          <w:szCs w:val="32"/>
          <w:lang w:val="en-US" w:eastAsia="zh-CN"/>
        </w:rPr>
        <w:t>300</w:t>
      </w:r>
      <w:r>
        <w:rPr>
          <w:rFonts w:hint="eastAsia"/>
          <w:szCs w:val="32"/>
        </w:rPr>
        <w:t>万元</w:t>
      </w:r>
      <w:r>
        <w:rPr>
          <w:rFonts w:hint="eastAsia"/>
          <w:szCs w:val="32"/>
          <w:lang w:eastAsia="zh-CN"/>
        </w:rPr>
        <w:t>，其中</w:t>
      </w:r>
      <w:r>
        <w:rPr>
          <w:szCs w:val="32"/>
        </w:rPr>
        <w:t>奉节县财政</w:t>
      </w:r>
      <w:r>
        <w:rPr>
          <w:rFonts w:ascii="Times New Roman" w:hAnsi="Times New Roman" w:cs="Times New Roman"/>
          <w:szCs w:val="32"/>
        </w:rPr>
        <w:t>局《</w:t>
      </w:r>
      <w:r>
        <w:rPr>
          <w:rFonts w:hint="default" w:ascii="Times New Roman" w:hAnsi="Times New Roman" w:cs="Times New Roman"/>
          <w:szCs w:val="32"/>
        </w:rPr>
        <w:t>关于下达2023年</w:t>
      </w:r>
      <w:r>
        <w:rPr>
          <w:rFonts w:hint="eastAsia" w:cs="Times New Roman"/>
          <w:szCs w:val="32"/>
          <w:lang w:eastAsia="zh-CN"/>
        </w:rPr>
        <w:t>饮水工程维修养护资金预算的</w:t>
      </w:r>
      <w:r>
        <w:rPr>
          <w:rFonts w:hint="default" w:ascii="Times New Roman" w:hAnsi="Times New Roman" w:cs="Times New Roman"/>
          <w:szCs w:val="32"/>
        </w:rPr>
        <w:t>通知</w:t>
      </w:r>
      <w:r>
        <w:rPr>
          <w:rFonts w:ascii="Times New Roman" w:hAnsi="Times New Roman" w:cs="Times New Roman"/>
          <w:szCs w:val="32"/>
        </w:rPr>
        <w:t>》（</w:t>
      </w:r>
      <w:r>
        <w:rPr>
          <w:color w:val="000000"/>
          <w:szCs w:val="32"/>
        </w:rPr>
        <w:t>奉节财农〔202</w:t>
      </w:r>
      <w:r>
        <w:rPr>
          <w:rFonts w:hint="eastAsia"/>
          <w:color w:val="000000"/>
          <w:szCs w:val="32"/>
          <w:lang w:val="en-US" w:eastAsia="zh-CN"/>
        </w:rPr>
        <w:t>3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  <w:lang w:val="en-US" w:eastAsia="zh-CN"/>
        </w:rPr>
        <w:t>145</w:t>
      </w:r>
      <w:r>
        <w:rPr>
          <w:color w:val="000000"/>
          <w:szCs w:val="32"/>
        </w:rPr>
        <w:t>号</w:t>
      </w:r>
      <w:r>
        <w:rPr>
          <w:szCs w:val="32"/>
        </w:rPr>
        <w:t>）</w:t>
      </w:r>
      <w:r>
        <w:rPr>
          <w:rFonts w:hint="eastAsia"/>
          <w:szCs w:val="32"/>
          <w:lang w:eastAsia="zh-CN"/>
        </w:rPr>
        <w:t>给县水资源管理中心</w:t>
      </w:r>
      <w:r>
        <w:rPr>
          <w:szCs w:val="32"/>
        </w:rPr>
        <w:t>下达</w:t>
      </w:r>
      <w:r>
        <w:rPr>
          <w:rFonts w:hint="eastAsia"/>
          <w:szCs w:val="32"/>
          <w:lang w:val="en-US" w:eastAsia="zh-CN"/>
        </w:rPr>
        <w:t>2023年农村饮水安全维修养护资金15万元。</w:t>
      </w:r>
    </w:p>
    <w:p w14:paraId="00047292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4C07115A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534F231B">
      <w:pPr>
        <w:spacing w:line="594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下达计划</w:t>
      </w:r>
      <w:r>
        <w:rPr>
          <w:rFonts w:hint="eastAsia"/>
          <w:szCs w:val="32"/>
          <w:lang w:val="en-US" w:eastAsia="zh-CN"/>
        </w:rPr>
        <w:t>15万元；</w:t>
      </w:r>
      <w:r>
        <w:rPr>
          <w:szCs w:val="32"/>
        </w:rPr>
        <w:t>项目资金执行情况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lang w:eastAsia="zh-CN"/>
        </w:rPr>
        <w:t>到位</w:t>
      </w:r>
      <w:r>
        <w:rPr>
          <w:rFonts w:hint="eastAsia"/>
          <w:szCs w:val="32"/>
          <w:lang w:val="en-US" w:eastAsia="zh-CN"/>
        </w:rPr>
        <w:t>3.9050万元，</w:t>
      </w:r>
      <w:r>
        <w:rPr>
          <w:rFonts w:hint="eastAsia"/>
          <w:szCs w:val="32"/>
          <w:lang w:eastAsia="zh-CN"/>
        </w:rPr>
        <w:t>累计支付</w:t>
      </w:r>
      <w:r>
        <w:rPr>
          <w:rFonts w:hint="eastAsia"/>
          <w:szCs w:val="32"/>
          <w:lang w:val="en-US" w:eastAsia="zh-CN"/>
        </w:rPr>
        <w:t>3.9050万元。</w:t>
      </w:r>
    </w:p>
    <w:p w14:paraId="3F174429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项目资金管理情况</w:t>
      </w:r>
      <w:r>
        <w:rPr>
          <w:rFonts w:hint="eastAsia"/>
          <w:szCs w:val="32"/>
        </w:rPr>
        <w:t>：项目资金使用坚持量入为出的原则，严格控制项目资金的支出范围，杜绝不符合规定支出，做到专款专用。</w:t>
      </w:r>
    </w:p>
    <w:p w14:paraId="44B27928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hint="eastAsia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  <w:r>
        <w:rPr>
          <w:rFonts w:hint="eastAsia"/>
          <w:bCs/>
          <w:szCs w:val="32"/>
        </w:rPr>
        <w:t>：</w:t>
      </w:r>
    </w:p>
    <w:p w14:paraId="10FEBF82">
      <w:pPr>
        <w:numPr>
          <w:ilvl w:val="0"/>
          <w:numId w:val="0"/>
        </w:numPr>
        <w:spacing w:line="594" w:lineRule="exact"/>
        <w:ind w:firstLine="640"/>
        <w:outlineLvl w:val="0"/>
        <w:rPr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购买了消毒药品45桶，购买净化药品4吨，对实验室30个仪器设备进行检定。</w:t>
      </w:r>
      <w:r>
        <w:rPr>
          <w:rFonts w:hint="eastAsia"/>
          <w:bCs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项目的实施极大的保障了奉节县农村饮水安全，实现了对全县重要河流和饮用水水质的日常监督</w:t>
      </w:r>
      <w:r>
        <w:rPr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 w14:paraId="317C7BA1">
      <w:pPr>
        <w:spacing w:line="594" w:lineRule="exact"/>
        <w:ind w:firstLine="640" w:firstLineChars="200"/>
        <w:outlineLvl w:val="0"/>
        <w:rPr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（三）绩效目标完成情况分析：</w:t>
      </w:r>
      <w:r>
        <w:rPr>
          <w:rFonts w:hint="eastAsia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全年开展水质监测320次，开展持证人员集中培训3次，进行仪器维修养护与耗材购置。完成了年初的年度总体目标。</w:t>
      </w:r>
    </w:p>
    <w:p w14:paraId="3FC82B9F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1.产出指标完成情况分析。</w:t>
      </w:r>
    </w:p>
    <w:p w14:paraId="4328ABA6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（1）数量指标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水质监测320次，开展持证人员集中培训3次，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完成率100%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 w14:paraId="3439302E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（2）质量指标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：工程质量合格率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100%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 w14:paraId="732151D5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（3）时效指标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：项目按时完成率100%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 w14:paraId="37BDECF6">
      <w:pPr>
        <w:pStyle w:val="2"/>
        <w:rPr>
          <w:rFonts w:hint="default" w:eastAsia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（4）成本指标</w:t>
      </w:r>
      <w:r>
        <w:rPr>
          <w:rFonts w:hint="eastAsia" w:ascii="Times New Roman" w:hAnsi="Times New Roman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：实际完成投资控制在概算内的项目比例100%</w:t>
      </w:r>
    </w:p>
    <w:p w14:paraId="3A0972A3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2.效益指标完成情况分析。</w:t>
      </w:r>
    </w:p>
    <w:p w14:paraId="0428ED8B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）可持续影响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：项目完成后正常运行比例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100%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 w14:paraId="7EBD8562">
      <w:pPr>
        <w:spacing w:line="594" w:lineRule="exact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3.满意度指标完成情况分析。</w:t>
      </w:r>
    </w:p>
    <w:p w14:paraId="6F8CD334">
      <w:pPr>
        <w:pStyle w:val="2"/>
        <w:spacing w:line="594" w:lineRule="exact"/>
        <w:rPr>
          <w:rFonts w:ascii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受益人口满意度</w:t>
      </w:r>
      <w:r>
        <w:rPr>
          <w:rFonts w:hint="eastAsia" w:ascii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90%</w:t>
      </w:r>
      <w:r>
        <w:rPr>
          <w:rFonts w:hint="eastAsia" w:ascii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30BF465">
      <w:pPr>
        <w:spacing w:line="594" w:lineRule="exact"/>
        <w:ind w:left="640"/>
        <w:rPr>
          <w:rFonts w:eastAsia="方正黑体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三、绩效自评结果情况</w:t>
      </w:r>
    </w:p>
    <w:p w14:paraId="7EE5A76A">
      <w:pPr>
        <w:spacing w:line="594" w:lineRule="exact"/>
        <w:ind w:firstLine="64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通过认真开展单位项目支出绩效目标自评，综合评分</w:t>
      </w:r>
      <w:r>
        <w:rPr>
          <w:rFonts w:hint="eastAsia" w:eastAsia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分，评价结果为（</w:t>
      </w:r>
      <w:r>
        <w:rPr>
          <w:rFonts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优</w:t>
      </w: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）。</w:t>
      </w:r>
    </w:p>
    <w:p w14:paraId="26F11F2D">
      <w:pPr>
        <w:rPr>
          <w:color w:val="FF0000"/>
          <w:szCs w:val="32"/>
        </w:rPr>
      </w:pPr>
    </w:p>
    <w:p w14:paraId="5F1C3572">
      <w:pPr>
        <w:pStyle w:val="2"/>
        <w:rPr>
          <w:color w:val="FF0000"/>
          <w:szCs w:val="32"/>
        </w:rPr>
      </w:pPr>
    </w:p>
    <w:p w14:paraId="0DAAFB33">
      <w:pPr>
        <w:rPr>
          <w:color w:val="FF0000"/>
          <w:szCs w:val="32"/>
        </w:rPr>
      </w:pPr>
    </w:p>
    <w:p w14:paraId="74E68E71">
      <w:pPr>
        <w:pStyle w:val="2"/>
        <w:rPr>
          <w:color w:val="FF0000"/>
          <w:szCs w:val="32"/>
        </w:rPr>
      </w:pPr>
    </w:p>
    <w:p w14:paraId="105328A0"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5CDD0"/>
    <w:multiLevelType w:val="singleLevel"/>
    <w:tmpl w:val="CBF5CDD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  <w:docVar w:name="KSO_WPS_MARK_KEY" w:val="897fe2d4-89b1-4cf0-b9d0-b346786acdb9"/>
  </w:docVars>
  <w:rsids>
    <w:rsidRoot w:val="13512A6C"/>
    <w:rsid w:val="003E663C"/>
    <w:rsid w:val="00C36B5A"/>
    <w:rsid w:val="00FB5C20"/>
    <w:rsid w:val="07FF17AD"/>
    <w:rsid w:val="0CB511C3"/>
    <w:rsid w:val="13512A6C"/>
    <w:rsid w:val="14E60C13"/>
    <w:rsid w:val="1589105B"/>
    <w:rsid w:val="15E952C4"/>
    <w:rsid w:val="198B1496"/>
    <w:rsid w:val="1C2A3ADB"/>
    <w:rsid w:val="1C643B90"/>
    <w:rsid w:val="1DA056A1"/>
    <w:rsid w:val="1DDF559E"/>
    <w:rsid w:val="20CB4917"/>
    <w:rsid w:val="225B0A68"/>
    <w:rsid w:val="24042CEB"/>
    <w:rsid w:val="24E625C3"/>
    <w:rsid w:val="2EF91817"/>
    <w:rsid w:val="2F2F6948"/>
    <w:rsid w:val="306A22A0"/>
    <w:rsid w:val="32350C86"/>
    <w:rsid w:val="385673B7"/>
    <w:rsid w:val="45D43FEC"/>
    <w:rsid w:val="45E43CE7"/>
    <w:rsid w:val="490C40F6"/>
    <w:rsid w:val="4FF63590"/>
    <w:rsid w:val="52681A95"/>
    <w:rsid w:val="53AD0D05"/>
    <w:rsid w:val="56E7711A"/>
    <w:rsid w:val="5BF33832"/>
    <w:rsid w:val="5E8F0FA0"/>
    <w:rsid w:val="61A935DF"/>
    <w:rsid w:val="6FE4537F"/>
    <w:rsid w:val="72EE3235"/>
    <w:rsid w:val="7442154E"/>
    <w:rsid w:val="776F64F0"/>
    <w:rsid w:val="79C814A0"/>
    <w:rsid w:val="7A517498"/>
    <w:rsid w:val="7F64761C"/>
    <w:rsid w:val="7FF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9">
    <w:name w:val="font2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8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character" w:customStyle="1" w:styleId="11">
    <w:name w:val="font10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650</Words>
  <Characters>710</Characters>
  <Lines>5</Lines>
  <Paragraphs>1</Paragraphs>
  <TotalTime>4</TotalTime>
  <ScaleCrop>false</ScaleCrop>
  <LinksUpToDate>false</LinksUpToDate>
  <CharactersWithSpaces>720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林蕭的羙只蓜小齊か</dc:creator>
  <cp:lastModifiedBy>Administrator</cp:lastModifiedBy>
  <dcterms:modified xsi:type="dcterms:W3CDTF">2024-08-12T03:52:34Z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2F571293E8F643B0967D1F9D6CC17CF8</vt:lpwstr>
  </property>
</Properties>
</file>