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0827B">
      <w:pPr>
        <w:rPr>
          <w:rFonts w:hint="eastAsia" w:ascii="方正小标宋_GBK" w:eastAsia="方正小标宋_GBK"/>
          <w:szCs w:val="32"/>
        </w:rPr>
      </w:pPr>
    </w:p>
    <w:p w14:paraId="7C8C5E7E">
      <w:pPr>
        <w:spacing w:line="600" w:lineRule="exact"/>
        <w:jc w:val="center"/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百岛湖水库工程和野茶水库工程前期工作经费项目支出自评报告</w:t>
      </w:r>
    </w:p>
    <w:p w14:paraId="1B28505A">
      <w:pPr>
        <w:spacing w:line="600" w:lineRule="exact"/>
        <w:ind w:firstLine="560" w:firstLineChars="200"/>
        <w:rPr>
          <w:rFonts w:hint="eastAsia" w:ascii="方正小标宋_GBK" w:eastAsia="方正小标宋_GBK"/>
          <w:b w:val="0"/>
          <w:bCs/>
          <w:sz w:val="28"/>
          <w:szCs w:val="28"/>
        </w:rPr>
      </w:pPr>
    </w:p>
    <w:p w14:paraId="3F007A91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 w14:paraId="035ABA00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（一）</w:t>
      </w:r>
      <w:r>
        <w:rPr>
          <w:rFonts w:hint="eastAsia" w:ascii="方正仿宋_GBK" w:hAnsi="方正仿宋_GBK" w:cs="方正仿宋_GBK"/>
          <w:szCs w:val="32"/>
        </w:rPr>
        <w:t>县财政下达项目绩效目标情况。奉节县财政局《关于下达百岛湖水库工程和野茶水库工程前期工作经费的通知》</w:t>
      </w:r>
      <w:r>
        <w:rPr>
          <w:szCs w:val="32"/>
        </w:rPr>
        <w:t>（奉节财农</w:t>
      </w:r>
      <w:r>
        <w:rPr>
          <w:rFonts w:eastAsia="仿宋_GB2312"/>
          <w:szCs w:val="32"/>
        </w:rPr>
        <w:t>〔2021〕197号</w:t>
      </w:r>
      <w:r>
        <w:rPr>
          <w:szCs w:val="32"/>
        </w:rPr>
        <w:t>）</w:t>
      </w:r>
      <w:r>
        <w:rPr>
          <w:rFonts w:hint="eastAsia" w:ascii="方正仿宋_GBK" w:hAnsi="方正仿宋_GBK" w:cs="方正仿宋_GBK"/>
          <w:szCs w:val="32"/>
        </w:rPr>
        <w:t>，在下达资金预算时同步下达了绩效目标。</w:t>
      </w:r>
    </w:p>
    <w:p w14:paraId="3EA858E1"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（二）</w:t>
      </w:r>
      <w:r>
        <w:rPr>
          <w:szCs w:val="32"/>
        </w:rPr>
        <w:t>部门资金安排、分解下达预算和绩效目标情况。该项目2021年度安排资金300万元，实际到位</w:t>
      </w:r>
      <w:r>
        <w:rPr>
          <w:rFonts w:hint="eastAsia"/>
          <w:szCs w:val="32"/>
          <w:lang w:val="en-US" w:eastAsia="zh-CN"/>
        </w:rPr>
        <w:t>94.988746</w:t>
      </w:r>
      <w:r>
        <w:rPr>
          <w:szCs w:val="32"/>
        </w:rPr>
        <w:t>万元，</w:t>
      </w:r>
      <w:r>
        <w:rPr>
          <w:rFonts w:hint="eastAsia"/>
          <w:szCs w:val="32"/>
          <w:lang w:eastAsia="zh-CN"/>
        </w:rPr>
        <w:t>实际支付</w:t>
      </w:r>
      <w:r>
        <w:rPr>
          <w:rFonts w:hint="eastAsia"/>
          <w:szCs w:val="32"/>
          <w:lang w:val="en-US" w:eastAsia="zh-CN"/>
        </w:rPr>
        <w:t>94.988746</w:t>
      </w:r>
      <w:r>
        <w:rPr>
          <w:szCs w:val="32"/>
        </w:rPr>
        <w:t>万元。</w:t>
      </w:r>
      <w:r>
        <w:rPr>
          <w:rFonts w:hint="eastAsia" w:ascii="方正仿宋_GBK" w:hAnsi="方正仿宋_GBK" w:cs="方正仿宋_GBK"/>
          <w:szCs w:val="32"/>
        </w:rPr>
        <w:tab/>
      </w:r>
    </w:p>
    <w:p w14:paraId="5FA91736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  <w:bookmarkStart w:id="0" w:name="_GoBack"/>
      <w:bookmarkEnd w:id="0"/>
    </w:p>
    <w:p w14:paraId="46408755"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（一）资金投入情况分析。</w:t>
      </w:r>
    </w:p>
    <w:p w14:paraId="2ED0C2A7">
      <w:pPr>
        <w:tabs>
          <w:tab w:val="left" w:pos="7080"/>
        </w:tabs>
        <w:spacing w:line="600" w:lineRule="exact"/>
        <w:ind w:firstLine="640" w:firstLineChars="200"/>
        <w:outlineLvl w:val="0"/>
        <w:rPr>
          <w:szCs w:val="32"/>
        </w:rPr>
      </w:pPr>
      <w:r>
        <w:rPr>
          <w:rFonts w:hint="eastAsia"/>
          <w:szCs w:val="32"/>
          <w:lang w:eastAsia="zh-CN"/>
        </w:rPr>
        <w:t>项目</w:t>
      </w:r>
      <w:r>
        <w:rPr>
          <w:szCs w:val="32"/>
        </w:rPr>
        <w:t>实际到位</w:t>
      </w:r>
      <w:r>
        <w:rPr>
          <w:rFonts w:hint="eastAsia"/>
          <w:szCs w:val="32"/>
          <w:lang w:val="en-US" w:eastAsia="zh-CN"/>
        </w:rPr>
        <w:t>94.988746</w:t>
      </w:r>
      <w:r>
        <w:rPr>
          <w:szCs w:val="32"/>
        </w:rPr>
        <w:t>万元，</w:t>
      </w:r>
      <w:r>
        <w:rPr>
          <w:rFonts w:hint="eastAsia"/>
          <w:szCs w:val="32"/>
          <w:lang w:eastAsia="zh-CN"/>
        </w:rPr>
        <w:t>实际支付</w:t>
      </w:r>
      <w:r>
        <w:rPr>
          <w:rFonts w:hint="eastAsia"/>
          <w:szCs w:val="32"/>
          <w:lang w:val="en-US" w:eastAsia="zh-CN"/>
        </w:rPr>
        <w:t>94.988746</w:t>
      </w:r>
      <w:r>
        <w:rPr>
          <w:szCs w:val="32"/>
        </w:rPr>
        <w:t>万元。均用于开展百岛湖水库和野茶水库前期工作。</w:t>
      </w:r>
    </w:p>
    <w:p w14:paraId="035D927F"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（二）总体绩效目标完成情况分析。</w:t>
      </w:r>
    </w:p>
    <w:p w14:paraId="0B1934D0">
      <w:pPr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野茶水库工程初步设计已于2020年11月20日获批；</w:t>
      </w:r>
    </w:p>
    <w:p w14:paraId="68E9D9F7">
      <w:pPr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百岛湖水库工程初步设计已于2021年9月13日获批。</w:t>
      </w:r>
    </w:p>
    <w:p w14:paraId="442BD7E8"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（三）</w:t>
      </w:r>
      <w:r>
        <w:rPr>
          <w:rFonts w:hint="eastAsia" w:ascii="方正楷体_GBK" w:hAnsi="方正楷体_GBK" w:eastAsia="方正楷体_GBK" w:cs="方正楷体_GBK"/>
          <w:bCs/>
          <w:szCs w:val="32"/>
        </w:rPr>
        <w:t>绩效目标完成情况分析。</w:t>
      </w:r>
    </w:p>
    <w:p w14:paraId="60B89260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1.产出指标完成情况分析。</w:t>
      </w:r>
    </w:p>
    <w:p w14:paraId="3E6B5653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（1）数量指标。</w:t>
      </w:r>
    </w:p>
    <w:p w14:paraId="1870FD94">
      <w:pPr>
        <w:pStyle w:val="3"/>
        <w:rPr>
          <w:lang w:val="en-US"/>
        </w:rPr>
      </w:pPr>
      <w:r>
        <w:rPr>
          <w:rFonts w:hint="eastAsia" w:ascii="Times New Roman" w:hAnsi="Times New Roman" w:cs="Times New Roman"/>
          <w:lang w:val="en-US"/>
        </w:rPr>
        <w:t xml:space="preserve">    野茶水库工程与百岛湖水库工程已完成可研报告及初设报告的编制。</w:t>
      </w:r>
    </w:p>
    <w:p w14:paraId="052C9CBE">
      <w:pPr>
        <w:numPr>
          <w:ilvl w:val="0"/>
          <w:numId w:val="1"/>
        </w:num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质量指标。</w:t>
      </w:r>
    </w:p>
    <w:p w14:paraId="596FE2A6">
      <w:pPr>
        <w:pStyle w:val="3"/>
        <w:rPr>
          <w:lang w:val="en-US"/>
        </w:rPr>
      </w:pPr>
      <w:r>
        <w:rPr>
          <w:rFonts w:hint="eastAsia"/>
          <w:lang w:val="en-US"/>
        </w:rPr>
        <w:t xml:space="preserve">    </w:t>
      </w:r>
      <w:r>
        <w:rPr>
          <w:rFonts w:hint="eastAsia" w:ascii="Times New Roman" w:hAnsi="Times New Roman" w:cs="Times New Roman"/>
          <w:lang w:val="en-US"/>
        </w:rPr>
        <w:t>野茶水库工程与百岛湖水库工程已获得可研报告及初设报告的批复。</w:t>
      </w:r>
    </w:p>
    <w:p w14:paraId="084D2F7A">
      <w:pPr>
        <w:numPr>
          <w:ilvl w:val="0"/>
          <w:numId w:val="1"/>
        </w:num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时效指标。</w:t>
      </w:r>
    </w:p>
    <w:p w14:paraId="158DC887">
      <w:pPr>
        <w:tabs>
          <w:tab w:val="left" w:pos="7080"/>
        </w:tabs>
        <w:spacing w:line="600" w:lineRule="exact"/>
        <w:ind w:firstLine="640" w:firstLineChars="200"/>
        <w:outlineLvl w:val="0"/>
        <w:rPr>
          <w:szCs w:val="32"/>
        </w:rPr>
      </w:pPr>
      <w:r>
        <w:rPr>
          <w:rFonts w:hint="eastAsia"/>
          <w:szCs w:val="32"/>
        </w:rPr>
        <w:t>野茶水库工程与百岛湖水库工程均于2021年6月前完成可研报告的批复，均于2021年12月前完成初步设计报告的批复。</w:t>
      </w:r>
    </w:p>
    <w:p w14:paraId="712354CC">
      <w:pPr>
        <w:numPr>
          <w:ilvl w:val="0"/>
          <w:numId w:val="1"/>
        </w:num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成本指标。</w:t>
      </w:r>
    </w:p>
    <w:p w14:paraId="5F9019BA">
      <w:pPr>
        <w:tabs>
          <w:tab w:val="left" w:pos="7080"/>
        </w:tabs>
        <w:spacing w:line="600" w:lineRule="exact"/>
        <w:ind w:firstLine="640" w:firstLineChars="200"/>
        <w:outlineLvl w:val="0"/>
        <w:rPr>
          <w:szCs w:val="32"/>
        </w:rPr>
      </w:pPr>
      <w:r>
        <w:rPr>
          <w:rFonts w:hint="eastAsia"/>
          <w:szCs w:val="32"/>
        </w:rPr>
        <w:t>本次资金预算300万元，实际执行预算</w:t>
      </w:r>
      <w:r>
        <w:rPr>
          <w:rFonts w:hint="eastAsia"/>
          <w:szCs w:val="32"/>
          <w:lang w:val="en-US" w:eastAsia="zh-CN"/>
        </w:rPr>
        <w:t>94.988746</w:t>
      </w:r>
      <w:r>
        <w:rPr>
          <w:szCs w:val="32"/>
        </w:rPr>
        <w:t>万元</w:t>
      </w:r>
      <w:r>
        <w:rPr>
          <w:rFonts w:hint="eastAsia"/>
          <w:szCs w:val="32"/>
        </w:rPr>
        <w:t>，在财政预算成本范围内。</w:t>
      </w:r>
    </w:p>
    <w:p w14:paraId="31558ED3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2.效益指标完成情况分析。</w:t>
      </w:r>
    </w:p>
    <w:p w14:paraId="6D404C86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（1）经济效益。</w:t>
      </w:r>
    </w:p>
    <w:p w14:paraId="12A01D71">
      <w:pPr>
        <w:pStyle w:val="3"/>
        <w:ind w:firstLine="640" w:firstLineChars="200"/>
      </w:pPr>
      <w:r>
        <w:rPr>
          <w:rFonts w:hint="eastAsia" w:ascii="Times New Roman" w:hAnsi="Times New Roman" w:cs="Times New Roman"/>
        </w:rPr>
        <w:t>无。</w:t>
      </w:r>
    </w:p>
    <w:p w14:paraId="1DAA4DD9">
      <w:pPr>
        <w:numPr>
          <w:ilvl w:val="0"/>
          <w:numId w:val="2"/>
        </w:num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社会效益。</w:t>
      </w:r>
    </w:p>
    <w:p w14:paraId="2E287365">
      <w:pPr>
        <w:pStyle w:val="3"/>
        <w:rPr>
          <w:lang w:val="en-US"/>
        </w:rPr>
      </w:pPr>
      <w:r>
        <w:rPr>
          <w:rFonts w:hint="eastAsia"/>
          <w:lang w:val="en-US"/>
        </w:rPr>
        <w:t xml:space="preserve">    </w:t>
      </w:r>
      <w:r>
        <w:rPr>
          <w:rFonts w:hint="eastAsia" w:ascii="Times New Roman" w:hAnsi="Times New Roman" w:cs="Times New Roman"/>
          <w:lang w:val="en-US" w:bidi="ar-SA"/>
        </w:rPr>
        <w:t>野茶水库工程与百岛湖水库工程建成后，共可解决11.19万人生产生活用水，3.85万亩农田灌溉。</w:t>
      </w:r>
    </w:p>
    <w:p w14:paraId="73C0E9AD">
      <w:pPr>
        <w:numPr>
          <w:ilvl w:val="0"/>
          <w:numId w:val="2"/>
        </w:num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生态效益。</w:t>
      </w:r>
    </w:p>
    <w:p w14:paraId="5084043F">
      <w:pPr>
        <w:pStyle w:val="3"/>
        <w:ind w:left="640" w:leftChars="200"/>
      </w:pPr>
      <w:r>
        <w:rPr>
          <w:rFonts w:hint="eastAsia"/>
        </w:rPr>
        <w:t>无。</w:t>
      </w:r>
    </w:p>
    <w:p w14:paraId="48476F92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（4）可持续影响。</w:t>
      </w:r>
    </w:p>
    <w:p w14:paraId="1761D680">
      <w:pPr>
        <w:tabs>
          <w:tab w:val="left" w:pos="7080"/>
        </w:tabs>
        <w:spacing w:line="600" w:lineRule="exact"/>
        <w:ind w:firstLine="640" w:firstLineChars="200"/>
        <w:outlineLvl w:val="0"/>
        <w:rPr>
          <w:szCs w:val="32"/>
        </w:rPr>
      </w:pPr>
      <w:r>
        <w:rPr>
          <w:rFonts w:hint="eastAsia"/>
          <w:szCs w:val="32"/>
        </w:rPr>
        <w:t>项目可研、初设阶段按照50年合理使用年限设计，完工并正常运行后，可在设计使用年限内持续发挥工程效益。</w:t>
      </w:r>
    </w:p>
    <w:p w14:paraId="53B0E8C4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3.满意度指标完成情况分析。</w:t>
      </w:r>
    </w:p>
    <w:p w14:paraId="6312FF21">
      <w:pPr>
        <w:pStyle w:val="3"/>
        <w:rPr>
          <w:lang w:val="en-US"/>
        </w:rPr>
      </w:pPr>
      <w:r>
        <w:rPr>
          <w:rFonts w:hint="eastAsia"/>
          <w:lang w:val="en-US"/>
        </w:rPr>
        <w:t xml:space="preserve">    项目在开展前期工作阶段，涉及乡镇、群众</w:t>
      </w:r>
      <w:r>
        <w:rPr>
          <w:rFonts w:hint="eastAsia"/>
          <w:lang w:val="en-US" w:bidi="ar-SA"/>
        </w:rPr>
        <w:t>满意度高，</w:t>
      </w:r>
      <w:r>
        <w:rPr>
          <w:rFonts w:hint="eastAsia"/>
          <w:lang w:val="en-US"/>
        </w:rPr>
        <w:t>均积极配合前期工作的开展。</w:t>
      </w:r>
    </w:p>
    <w:p w14:paraId="46A5F792"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 w14:paraId="6C95DE1B">
      <w:pPr>
        <w:tabs>
          <w:tab w:val="left" w:pos="7080"/>
        </w:tabs>
        <w:spacing w:line="600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通过认真开展本年度项目绩效目标自评，逐项对照打分，综合评分</w:t>
      </w:r>
      <w:r>
        <w:rPr>
          <w:rFonts w:hint="eastAsia"/>
          <w:szCs w:val="32"/>
          <w:lang w:val="en-US" w:eastAsia="zh-CN"/>
        </w:rPr>
        <w:t>90</w:t>
      </w:r>
      <w:r>
        <w:rPr>
          <w:szCs w:val="32"/>
        </w:rPr>
        <w:t>分，评价结果为“优”。</w:t>
      </w:r>
    </w:p>
    <w:p w14:paraId="79BB92CE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 w14:paraId="545DEC34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无。</w:t>
      </w:r>
    </w:p>
    <w:p w14:paraId="5B378721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 w14:paraId="044724F6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无。</w:t>
      </w:r>
    </w:p>
    <w:p w14:paraId="49A1407C">
      <w:pPr>
        <w:pStyle w:val="3"/>
      </w:pPr>
    </w:p>
    <w:p w14:paraId="258DB6F3">
      <w:pPr>
        <w:pStyle w:val="4"/>
      </w:pPr>
    </w:p>
    <w:p w14:paraId="05D1D5CD">
      <w:pPr>
        <w:pStyle w:val="2"/>
        <w:spacing w:line="540" w:lineRule="exact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奉节县水利局</w:t>
      </w:r>
    </w:p>
    <w:p w14:paraId="48321832">
      <w:pPr>
        <w:pStyle w:val="3"/>
      </w:pPr>
      <w:r>
        <w:rPr>
          <w:rFonts w:hint="default" w:ascii="Times New Roman" w:hAnsi="Times New Roman" w:eastAsia="仿宋_GB2312" w:cs="Times New Roman"/>
          <w:color w:val="000000"/>
          <w:szCs w:val="32"/>
        </w:rPr>
        <w:t xml:space="preserve">                                   202</w:t>
      </w:r>
      <w:r>
        <w:rPr>
          <w:rFonts w:hint="default" w:ascii="Times New Roman" w:hAnsi="Times New Roman" w:eastAsia="仿宋_GB2312" w:cs="Times New Roman"/>
          <w:color w:val="000000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zCs w:val="32"/>
        </w:rPr>
        <w:t>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C99EB7"/>
    <w:multiLevelType w:val="singleLevel"/>
    <w:tmpl w:val="B8C99EB7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F9D2C87"/>
    <w:multiLevelType w:val="singleLevel"/>
    <w:tmpl w:val="3F9D2C87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27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498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6EFB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15D35018"/>
    <w:rsid w:val="1E5364B7"/>
    <w:rsid w:val="20211D99"/>
    <w:rsid w:val="54FA0FE9"/>
    <w:rsid w:val="5DFD7079"/>
    <w:rsid w:val="67507D88"/>
    <w:rsid w:val="6E1F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4"/>
    <w:qFormat/>
    <w:uiPriority w:val="1"/>
    <w:rPr>
      <w:rFonts w:ascii="方正仿宋_GBK" w:hAnsi="方正仿宋_GBK" w:cs="方正仿宋_GBK"/>
      <w:szCs w:val="32"/>
      <w:lang w:val="zh-CN" w:bidi="zh-CN"/>
    </w:rPr>
  </w:style>
  <w:style w:type="paragraph" w:styleId="4">
    <w:name w:val="Body Text Indent 2"/>
    <w:basedOn w:val="1"/>
    <w:qFormat/>
    <w:uiPriority w:val="0"/>
    <w:pPr>
      <w:ind w:left="1500" w:leftChars="200" w:hanging="900" w:hangingChars="300"/>
    </w:pPr>
    <w:rPr>
      <w:rFonts w:eastAsia="仿宋_GB2312"/>
      <w:bCs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</w:style>
  <w:style w:type="paragraph" w:styleId="6">
    <w:name w:val="Balloon Text"/>
    <w:basedOn w:val="1"/>
    <w:link w:val="27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Body Text Indent 3"/>
    <w:basedOn w:val="1"/>
    <w:link w:val="25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2">
    <w:name w:val="Table Grid"/>
    <w:basedOn w:val="11"/>
    <w:qFormat/>
    <w:uiPriority w:val="0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uiPriority w:val="0"/>
  </w:style>
  <w:style w:type="character" w:customStyle="1" w:styleId="15">
    <w:name w:val="font81"/>
    <w:basedOn w:val="13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6">
    <w:name w:val="font91"/>
    <w:basedOn w:val="13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7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8">
    <w:name w:val="font71"/>
    <w:basedOn w:val="13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9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20">
    <w:name w:val="font51"/>
    <w:basedOn w:val="13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21">
    <w:name w:val="font31"/>
    <w:basedOn w:val="1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2">
    <w:name w:val="font101"/>
    <w:basedOn w:val="13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3">
    <w:name w:val="日期 Char"/>
    <w:basedOn w:val="13"/>
    <w:link w:val="5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4">
    <w:name w:val="页眉 Char"/>
    <w:basedOn w:val="13"/>
    <w:link w:val="8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正文文本缩进 3 Char"/>
    <w:basedOn w:val="13"/>
    <w:link w:val="9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6">
    <w:name w:val="页脚 Char"/>
    <w:basedOn w:val="13"/>
    <w:link w:val="7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7">
    <w:name w:val="批注框文本 Char"/>
    <w:basedOn w:val="13"/>
    <w:link w:val="6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8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9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30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31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769</Words>
  <Characters>853</Characters>
  <Lines>6</Lines>
  <Paragraphs>1</Paragraphs>
  <TotalTime>5</TotalTime>
  <ScaleCrop>false</ScaleCrop>
  <LinksUpToDate>false</LinksUpToDate>
  <CharactersWithSpaces>953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2024-08-12T02:26:17Z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ABA4F1B9FD904EC59B50A7FFD984AC06</vt:lpwstr>
  </property>
</Properties>
</file>