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ascii="Times New Roman" w:hAnsi="Times New Roman"/>
        </w:rPr>
      </w:pPr>
    </w:p>
    <w:p>
      <w:pPr>
        <w:pStyle w:val="36"/>
        <w:outlineLvl w:val="9"/>
        <w:rPr>
          <w:rFonts w:ascii="Times New Roman" w:hAnsi="Times New Roman" w:cs="Times New Roman"/>
        </w:rPr>
      </w:pPr>
      <w:bookmarkStart w:id="0" w:name="_Toc3326"/>
      <w:bookmarkStart w:id="1" w:name="_Toc40803867"/>
      <w:bookmarkStart w:id="2" w:name="_Toc11263"/>
      <w:bookmarkStart w:id="3" w:name="_Toc29006"/>
      <w:bookmarkStart w:id="4" w:name="_Toc40805200"/>
      <w:bookmarkStart w:id="5" w:name="_Toc12355"/>
      <w:bookmarkStart w:id="6" w:name="_Toc2860"/>
      <w:bookmarkStart w:id="7" w:name="_Toc16681"/>
      <w:bookmarkStart w:id="8" w:name="_Toc4458"/>
      <w:bookmarkStart w:id="328" w:name="_GoBack"/>
      <w:r>
        <w:rPr>
          <w:rFonts w:ascii="Times New Roman" w:hAnsi="Times New Roman" w:cs="Times New Roman"/>
        </w:rPr>
        <w:t>奉节县农村生活污水治理专项规划</w:t>
      </w:r>
      <w:bookmarkEnd w:id="0"/>
      <w:bookmarkEnd w:id="1"/>
      <w:bookmarkEnd w:id="2"/>
      <w:bookmarkEnd w:id="3"/>
      <w:bookmarkEnd w:id="4"/>
      <w:bookmarkEnd w:id="5"/>
      <w:bookmarkEnd w:id="6"/>
      <w:bookmarkEnd w:id="7"/>
      <w:bookmarkEnd w:id="8"/>
    </w:p>
    <w:bookmarkEnd w:id="328"/>
    <w:p>
      <w:pPr>
        <w:pStyle w:val="36"/>
        <w:outlineLvl w:val="9"/>
        <w:rPr>
          <w:rFonts w:ascii="Times New Roman" w:hAnsi="Times New Roman" w:cs="Times New Roman"/>
          <w:sz w:val="36"/>
          <w:szCs w:val="36"/>
        </w:rPr>
      </w:pPr>
      <w:bookmarkStart w:id="9" w:name="_Toc29079"/>
      <w:bookmarkStart w:id="10" w:name="_Toc13555"/>
      <w:bookmarkStart w:id="11" w:name="_Toc40805201"/>
      <w:bookmarkStart w:id="12" w:name="_Toc6986"/>
      <w:bookmarkStart w:id="13" w:name="_Toc40803868"/>
      <w:bookmarkStart w:id="14" w:name="_Toc19421"/>
      <w:bookmarkStart w:id="15" w:name="_Toc749"/>
      <w:bookmarkStart w:id="16" w:name="_Toc3226"/>
      <w:bookmarkStart w:id="17" w:name="_Toc5365"/>
      <w:r>
        <w:rPr>
          <w:rFonts w:ascii="Times New Roman" w:hAnsi="Times New Roman" w:cs="Times New Roman"/>
          <w:sz w:val="36"/>
          <w:szCs w:val="36"/>
        </w:rPr>
        <w:t>（2021-20</w:t>
      </w:r>
      <w:r>
        <w:rPr>
          <w:rFonts w:hint="eastAsia" w:ascii="Times New Roman" w:hAnsi="Times New Roman" w:cs="Times New Roman"/>
          <w:sz w:val="36"/>
          <w:szCs w:val="36"/>
        </w:rPr>
        <w:t>30</w:t>
      </w:r>
      <w:r>
        <w:rPr>
          <w:rFonts w:ascii="Times New Roman" w:hAnsi="Times New Roman" w:cs="Times New Roman"/>
          <w:sz w:val="36"/>
          <w:szCs w:val="36"/>
        </w:rPr>
        <w:t>年）</w:t>
      </w:r>
      <w:bookmarkEnd w:id="9"/>
      <w:bookmarkEnd w:id="10"/>
      <w:bookmarkEnd w:id="11"/>
      <w:bookmarkEnd w:id="12"/>
      <w:bookmarkEnd w:id="13"/>
      <w:bookmarkEnd w:id="14"/>
      <w:bookmarkEnd w:id="15"/>
      <w:bookmarkEnd w:id="16"/>
      <w:bookmarkEnd w:id="17"/>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pStyle w:val="36"/>
        <w:outlineLvl w:val="9"/>
        <w:rPr>
          <w:rFonts w:ascii="Times New Roman" w:hAnsi="Times New Roman" w:cs="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0" w:firstLineChars="0"/>
        <w:rPr>
          <w:rFonts w:ascii="Times New Roman" w:hAnsi="Times New Roman"/>
        </w:rPr>
      </w:pPr>
    </w:p>
    <w:p>
      <w:pPr>
        <w:ind w:firstLine="640"/>
        <w:jc w:val="center"/>
        <w:rPr>
          <w:rFonts w:ascii="Times New Roman" w:hAnsi="Times New Roman" w:eastAsia="方正楷体_GBK"/>
          <w:szCs w:val="36"/>
        </w:rPr>
      </w:pPr>
      <w:r>
        <w:rPr>
          <w:rFonts w:ascii="Times New Roman" w:hAnsi="Times New Roman" w:eastAsia="方正楷体_GBK"/>
          <w:szCs w:val="36"/>
        </w:rPr>
        <w:t>重庆市奉节县人民政府</w:t>
      </w:r>
    </w:p>
    <w:p>
      <w:pPr>
        <w:pStyle w:val="59"/>
        <w:tabs>
          <w:tab w:val="right" w:leader="dot" w:pos="8306"/>
        </w:tabs>
        <w:spacing w:line="594" w:lineRule="exact"/>
        <w:ind w:firstLine="640"/>
        <w:jc w:val="center"/>
        <w:rPr>
          <w:rFonts w:ascii="Times New Roman" w:hAnsi="Times New Roman" w:eastAsia="方正楷体_GBK"/>
          <w:sz w:val="32"/>
          <w:szCs w:val="36"/>
        </w:rPr>
      </w:pPr>
      <w:r>
        <w:rPr>
          <w:rFonts w:ascii="Times New Roman" w:hAnsi="Times New Roman" w:eastAsia="方正楷体_GBK"/>
          <w:sz w:val="32"/>
          <w:szCs w:val="36"/>
        </w:rPr>
        <w:t>二〇二〇年</w:t>
      </w:r>
      <w:r>
        <w:rPr>
          <w:rFonts w:hint="eastAsia" w:ascii="Times New Roman" w:hAnsi="Times New Roman" w:eastAsia="方正楷体_GBK"/>
          <w:sz w:val="32"/>
          <w:szCs w:val="36"/>
        </w:rPr>
        <w:t>六</w:t>
      </w:r>
      <w:r>
        <w:rPr>
          <w:rFonts w:ascii="Times New Roman" w:hAnsi="Times New Roman" w:eastAsia="方正楷体_GBK"/>
          <w:sz w:val="32"/>
          <w:szCs w:val="36"/>
        </w:rPr>
        <w:t>月</w:t>
      </w:r>
    </w:p>
    <w:p>
      <w:pPr>
        <w:ind w:firstLine="640"/>
        <w:rPr>
          <w:rFonts w:ascii="Times New Roman" w:hAnsi="Times New Roma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p>
    <w:sdt>
      <w:sdtPr>
        <w:rPr>
          <w:rFonts w:ascii="Times New Roman" w:hAnsi="Times New Roman" w:eastAsia="方正黑体_GBK"/>
          <w:b/>
          <w:bCs/>
          <w:caps/>
          <w:szCs w:val="20"/>
        </w:rPr>
        <w:id w:val="147452060"/>
        <w:docPartObj>
          <w:docPartGallery w:val="Table of Contents"/>
          <w:docPartUnique/>
        </w:docPartObj>
      </w:sdtPr>
      <w:sdtEndPr>
        <w:rPr>
          <w:rFonts w:ascii="Times New Roman" w:hAnsi="Times New Roman" w:eastAsia="方正黑体_GBK"/>
          <w:b/>
          <w:bCs/>
          <w:caps/>
          <w:kern w:val="44"/>
          <w:szCs w:val="44"/>
        </w:rPr>
      </w:sdtEndPr>
      <w:sdtContent>
        <w:p>
          <w:pPr>
            <w:spacing w:line="240" w:lineRule="auto"/>
            <w:ind w:firstLine="0" w:firstLineChars="0"/>
            <w:jc w:val="center"/>
            <w:rPr>
              <w:rFonts w:ascii="Times New Roman" w:hAnsi="Times New Roman" w:eastAsia="方正黑体_GBK"/>
              <w:b/>
              <w:bCs/>
              <w:caps/>
              <w:szCs w:val="20"/>
              <w:lang w:val="zh-CN"/>
            </w:rPr>
          </w:pPr>
          <w:r>
            <w:rPr>
              <w:rFonts w:ascii="Times New Roman" w:hAnsi="Times New Roman" w:eastAsia="方正黑体_GBK"/>
              <w:b/>
              <w:bCs/>
              <w:caps/>
              <w:szCs w:val="20"/>
              <w:lang w:val="zh-CN"/>
            </w:rPr>
            <w:t>目</w:t>
          </w:r>
          <w:r>
            <w:rPr>
              <w:rFonts w:hint="eastAsia" w:ascii="Times New Roman" w:hAnsi="Times New Roman" w:eastAsia="方正黑体_GBK"/>
              <w:b/>
              <w:bCs/>
              <w:caps/>
              <w:szCs w:val="20"/>
            </w:rPr>
            <w:t xml:space="preserve"> </w:t>
          </w:r>
          <w:r>
            <w:rPr>
              <w:rFonts w:ascii="Times New Roman" w:hAnsi="Times New Roman" w:eastAsia="方正黑体_GBK"/>
              <w:b/>
              <w:bCs/>
              <w:caps/>
              <w:szCs w:val="20"/>
              <w:lang w:val="zh-CN"/>
            </w:rPr>
            <w:t>录</w:t>
          </w:r>
        </w:p>
        <w:p>
          <w:pPr>
            <w:pStyle w:val="32"/>
            <w:tabs>
              <w:tab w:val="right" w:leader="dot" w:pos="8844"/>
            </w:tabs>
            <w:spacing w:line="594" w:lineRule="exact"/>
            <w:ind w:firstLine="280" w:firstLineChars="100"/>
            <w:rPr>
              <w:rFonts w:eastAsia="方正仿宋_GBK"/>
              <w:smallCaps w:val="0"/>
              <w:sz w:val="32"/>
            </w:rPr>
          </w:pPr>
          <w:r>
            <w:fldChar w:fldCharType="begin"/>
          </w:r>
          <w:r>
            <w:instrText xml:space="preserve">TOC \o "1-2" \h \u </w:instrText>
          </w:r>
          <w:r>
            <w:fldChar w:fldCharType="separate"/>
          </w:r>
          <w:r>
            <w:fldChar w:fldCharType="begin"/>
          </w:r>
          <w:r>
            <w:instrText xml:space="preserve"> HYPERLINK \l "_Toc14082" </w:instrText>
          </w:r>
          <w:r>
            <w:fldChar w:fldCharType="separate"/>
          </w:r>
          <w:r>
            <w:rPr>
              <w:rFonts w:eastAsia="方正仿宋_GBK"/>
              <w:b/>
              <w:bCs/>
              <w:smallCaps w:val="0"/>
              <w:sz w:val="32"/>
            </w:rPr>
            <w:t xml:space="preserve">1 </w:t>
          </w:r>
          <w:r>
            <w:rPr>
              <w:rFonts w:hint="eastAsia" w:eastAsia="方正仿宋_GBK"/>
              <w:b/>
              <w:bCs/>
              <w:smallCaps w:val="0"/>
              <w:sz w:val="32"/>
            </w:rPr>
            <w:t>总则</w:t>
          </w:r>
          <w:r>
            <w:rPr>
              <w:rFonts w:eastAsia="方正仿宋_GBK"/>
              <w:b/>
              <w:bCs/>
              <w:smallCaps w:val="0"/>
              <w:sz w:val="32"/>
            </w:rPr>
            <w:tab/>
          </w:r>
          <w:r>
            <w:rPr>
              <w:rFonts w:eastAsia="方正仿宋_GBK"/>
              <w:b/>
              <w:bCs/>
              <w:smallCaps w:val="0"/>
              <w:sz w:val="32"/>
            </w:rPr>
            <w:fldChar w:fldCharType="begin"/>
          </w:r>
          <w:r>
            <w:rPr>
              <w:rFonts w:eastAsia="方正仿宋_GBK"/>
              <w:b/>
              <w:bCs/>
              <w:smallCaps w:val="0"/>
              <w:sz w:val="32"/>
            </w:rPr>
            <w:instrText xml:space="preserve"> PAGEREF _Toc14082 </w:instrText>
          </w:r>
          <w:r>
            <w:rPr>
              <w:rFonts w:eastAsia="方正仿宋_GBK"/>
              <w:b/>
              <w:bCs/>
              <w:smallCaps w:val="0"/>
              <w:sz w:val="32"/>
            </w:rPr>
            <w:fldChar w:fldCharType="separate"/>
          </w:r>
          <w:r>
            <w:rPr>
              <w:rFonts w:eastAsia="方正仿宋_GBK"/>
              <w:b/>
              <w:bCs/>
              <w:smallCaps w:val="0"/>
              <w:sz w:val="32"/>
            </w:rPr>
            <w:t>1</w:t>
          </w:r>
          <w:r>
            <w:rPr>
              <w:rFonts w:eastAsia="方正仿宋_GBK"/>
              <w:b/>
              <w:bCs/>
              <w:smallCaps w:val="0"/>
              <w:sz w:val="32"/>
            </w:rPr>
            <w:fldChar w:fldCharType="end"/>
          </w:r>
          <w:r>
            <w:rPr>
              <w:rFonts w:eastAsia="方正仿宋_GBK"/>
              <w:b/>
              <w:bCs/>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"_Toc25506" </w:instrText>
          </w:r>
          <w:r>
            <w:fldChar w:fldCharType="separate"/>
          </w:r>
          <w:r>
            <w:rPr>
              <w:rFonts w:eastAsia="方正仿宋_GBK"/>
              <w:smallCaps w:val="0"/>
              <w:sz w:val="32"/>
            </w:rPr>
            <w:t>1.1</w:t>
          </w:r>
          <w:r>
            <w:rPr>
              <w:rFonts w:hint="eastAsia" w:eastAsia="方正仿宋_GBK"/>
              <w:smallCaps w:val="0"/>
              <w:sz w:val="32"/>
            </w:rPr>
            <w:t>规划背景</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_Toc25506 </w:instrText>
          </w:r>
          <w:r>
            <w:rPr>
              <w:rFonts w:eastAsia="方正仿宋_GBK"/>
              <w:smallCaps w:val="0"/>
              <w:sz w:val="32"/>
            </w:rPr>
            <w:fldChar w:fldCharType="separate"/>
          </w:r>
          <w:r>
            <w:rPr>
              <w:rFonts w:eastAsia="方正仿宋_GBK"/>
              <w:smallCaps w:val="0"/>
              <w:sz w:val="32"/>
            </w:rPr>
            <w:t>1</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"_Toc5071" </w:instrText>
          </w:r>
          <w:r>
            <w:fldChar w:fldCharType="separate"/>
          </w:r>
          <w:r>
            <w:rPr>
              <w:rFonts w:eastAsia="方正仿宋_GBK"/>
              <w:smallCaps w:val="0"/>
              <w:sz w:val="32"/>
            </w:rPr>
            <w:t xml:space="preserve">1.2 </w:t>
          </w:r>
          <w:r>
            <w:rPr>
              <w:rFonts w:hint="eastAsia" w:eastAsia="方正仿宋_GBK"/>
              <w:smallCaps w:val="0"/>
              <w:sz w:val="32"/>
            </w:rPr>
            <w:t>编制依据</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_Toc5071 </w:instrText>
          </w:r>
          <w:r>
            <w:rPr>
              <w:rFonts w:eastAsia="方正仿宋_GBK"/>
              <w:smallCaps w:val="0"/>
              <w:sz w:val="32"/>
            </w:rPr>
            <w:fldChar w:fldCharType="separate"/>
          </w:r>
          <w:r>
            <w:rPr>
              <w:rFonts w:eastAsia="方正仿宋_GBK"/>
              <w:smallCaps w:val="0"/>
              <w:sz w:val="32"/>
            </w:rPr>
            <w:t>3</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"_Toc25807" </w:instrText>
          </w:r>
          <w:r>
            <w:fldChar w:fldCharType="separate"/>
          </w:r>
          <w:r>
            <w:rPr>
              <w:rFonts w:eastAsia="方正仿宋_GBK"/>
              <w:smallCaps w:val="0"/>
              <w:sz w:val="32"/>
            </w:rPr>
            <w:t xml:space="preserve">1.3 </w:t>
          </w:r>
          <w:r>
            <w:rPr>
              <w:rFonts w:hint="eastAsia" w:eastAsia="方正仿宋_GBK"/>
              <w:smallCaps w:val="0"/>
              <w:sz w:val="32"/>
            </w:rPr>
            <w:t>基本原则</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_Toc25807 </w:instrText>
          </w:r>
          <w:r>
            <w:rPr>
              <w:rFonts w:eastAsia="方正仿宋_GBK"/>
              <w:smallCaps w:val="0"/>
              <w:sz w:val="32"/>
            </w:rPr>
            <w:fldChar w:fldCharType="separate"/>
          </w:r>
          <w:r>
            <w:rPr>
              <w:rFonts w:eastAsia="方正仿宋_GBK"/>
              <w:smallCaps w:val="0"/>
              <w:sz w:val="32"/>
            </w:rPr>
            <w:t>7</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"_Toc549" </w:instrText>
          </w:r>
          <w:r>
            <w:fldChar w:fldCharType="separate"/>
          </w:r>
          <w:r>
            <w:rPr>
              <w:rFonts w:eastAsia="方正仿宋_GBK"/>
              <w:smallCaps w:val="0"/>
              <w:sz w:val="32"/>
            </w:rPr>
            <w:t xml:space="preserve">1.4 </w:t>
          </w:r>
          <w:r>
            <w:rPr>
              <w:rFonts w:hint="eastAsia" w:eastAsia="方正仿宋_GBK"/>
              <w:smallCaps w:val="0"/>
              <w:sz w:val="32"/>
            </w:rPr>
            <w:t>规划范围</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_Toc549 </w:instrText>
          </w:r>
          <w:r>
            <w:rPr>
              <w:rFonts w:eastAsia="方正仿宋_GBK"/>
              <w:smallCaps w:val="0"/>
              <w:sz w:val="32"/>
            </w:rPr>
            <w:fldChar w:fldCharType="separate"/>
          </w:r>
          <w:r>
            <w:rPr>
              <w:rFonts w:eastAsia="方正仿宋_GBK"/>
              <w:smallCaps w:val="0"/>
              <w:sz w:val="32"/>
            </w:rPr>
            <w:t>8</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"_Toc6735" </w:instrText>
          </w:r>
          <w:r>
            <w:fldChar w:fldCharType="separate"/>
          </w:r>
          <w:r>
            <w:rPr>
              <w:rFonts w:eastAsia="方正仿宋_GBK"/>
              <w:smallCaps w:val="0"/>
              <w:sz w:val="32"/>
            </w:rPr>
            <w:t xml:space="preserve">1.5 </w:t>
          </w:r>
          <w:r>
            <w:rPr>
              <w:rFonts w:hint="eastAsia" w:eastAsia="方正仿宋_GBK"/>
              <w:smallCaps w:val="0"/>
              <w:sz w:val="32"/>
            </w:rPr>
            <w:t>规划期限</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_Toc6735 </w:instrText>
          </w:r>
          <w:r>
            <w:rPr>
              <w:rFonts w:eastAsia="方正仿宋_GBK"/>
              <w:smallCaps w:val="0"/>
              <w:sz w:val="32"/>
            </w:rPr>
            <w:fldChar w:fldCharType="separate"/>
          </w:r>
          <w:r>
            <w:rPr>
              <w:rFonts w:eastAsia="方正仿宋_GBK"/>
              <w:smallCaps w:val="0"/>
              <w:sz w:val="32"/>
            </w:rPr>
            <w:t>9</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"_Toc23996" </w:instrText>
          </w:r>
          <w:r>
            <w:fldChar w:fldCharType="separate"/>
          </w:r>
          <w:r>
            <w:rPr>
              <w:rFonts w:eastAsia="方正仿宋_GBK"/>
              <w:smallCaps w:val="0"/>
              <w:sz w:val="32"/>
            </w:rPr>
            <w:t xml:space="preserve">1.6 </w:t>
          </w:r>
          <w:r>
            <w:rPr>
              <w:rFonts w:hint="eastAsia" w:eastAsia="方正仿宋_GBK"/>
              <w:smallCaps w:val="0"/>
              <w:sz w:val="32"/>
            </w:rPr>
            <w:t>规划目标</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_Toc23996 </w:instrText>
          </w:r>
          <w:r>
            <w:rPr>
              <w:rFonts w:eastAsia="方正仿宋_GBK"/>
              <w:smallCaps w:val="0"/>
              <w:sz w:val="32"/>
            </w:rPr>
            <w:fldChar w:fldCharType="separate"/>
          </w:r>
          <w:r>
            <w:rPr>
              <w:rFonts w:eastAsia="方正仿宋_GBK"/>
              <w:smallCaps w:val="0"/>
              <w:sz w:val="32"/>
            </w:rPr>
            <w:t>9</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280" w:firstLineChars="100"/>
            <w:rPr>
              <w:rFonts w:eastAsia="方正仿宋_GBK"/>
              <w:b/>
              <w:bCs/>
              <w:smallCaps w:val="0"/>
              <w:sz w:val="32"/>
            </w:rPr>
          </w:pPr>
          <w:r>
            <w:fldChar w:fldCharType="begin"/>
          </w:r>
          <w:r>
            <w:instrText xml:space="preserve"> HYPERLINK \l "_Toc6759" </w:instrText>
          </w:r>
          <w:r>
            <w:fldChar w:fldCharType="separate"/>
          </w:r>
          <w:r>
            <w:rPr>
              <w:rFonts w:eastAsia="方正仿宋_GBK"/>
              <w:b/>
              <w:bCs/>
              <w:smallCaps w:val="0"/>
              <w:sz w:val="32"/>
            </w:rPr>
            <w:t xml:space="preserve">2 </w:t>
          </w:r>
          <w:r>
            <w:rPr>
              <w:rFonts w:hint="eastAsia" w:eastAsia="方正仿宋_GBK"/>
              <w:b/>
              <w:bCs/>
              <w:smallCaps w:val="0"/>
              <w:sz w:val="32"/>
            </w:rPr>
            <w:t>区域概况</w:t>
          </w:r>
          <w:r>
            <w:rPr>
              <w:rFonts w:eastAsia="方正仿宋_GBK"/>
              <w:b/>
              <w:bCs/>
              <w:smallCaps w:val="0"/>
              <w:sz w:val="32"/>
            </w:rPr>
            <w:tab/>
          </w:r>
          <w:r>
            <w:rPr>
              <w:rFonts w:eastAsia="方正仿宋_GBK"/>
              <w:b/>
              <w:bCs/>
              <w:smallCaps w:val="0"/>
              <w:sz w:val="32"/>
            </w:rPr>
            <w:fldChar w:fldCharType="begin"/>
          </w:r>
          <w:r>
            <w:rPr>
              <w:rFonts w:eastAsia="方正仿宋_GBK"/>
              <w:b/>
              <w:bCs/>
              <w:smallCaps w:val="0"/>
              <w:sz w:val="32"/>
            </w:rPr>
            <w:instrText xml:space="preserve"> PAGEREF _Toc6759 </w:instrText>
          </w:r>
          <w:r>
            <w:rPr>
              <w:rFonts w:eastAsia="方正仿宋_GBK"/>
              <w:b/>
              <w:bCs/>
              <w:smallCaps w:val="0"/>
              <w:sz w:val="32"/>
            </w:rPr>
            <w:fldChar w:fldCharType="separate"/>
          </w:r>
          <w:r>
            <w:rPr>
              <w:rFonts w:eastAsia="方正仿宋_GBK"/>
              <w:b/>
              <w:bCs/>
              <w:smallCaps w:val="0"/>
              <w:sz w:val="32"/>
            </w:rPr>
            <w:t>10</w:t>
          </w:r>
          <w:r>
            <w:rPr>
              <w:rFonts w:eastAsia="方正仿宋_GBK"/>
              <w:b/>
              <w:bCs/>
              <w:smallCaps w:val="0"/>
              <w:sz w:val="32"/>
            </w:rPr>
            <w:fldChar w:fldCharType="end"/>
          </w:r>
          <w:r>
            <w:rPr>
              <w:rFonts w:eastAsia="方正仿宋_GBK"/>
              <w:b/>
              <w:bCs/>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"_Toc3976" </w:instrText>
          </w:r>
          <w:r>
            <w:fldChar w:fldCharType="separate"/>
          </w:r>
          <w:r>
            <w:rPr>
              <w:rFonts w:eastAsia="方正仿宋_GBK"/>
              <w:smallCaps w:val="0"/>
              <w:sz w:val="32"/>
            </w:rPr>
            <w:t xml:space="preserve">2.1 </w:t>
          </w:r>
          <w:r>
            <w:rPr>
              <w:rFonts w:hint="eastAsia" w:eastAsia="方正仿宋_GBK"/>
              <w:smallCaps w:val="0"/>
              <w:sz w:val="32"/>
            </w:rPr>
            <w:t>区域自然地理概况</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_Toc3976 </w:instrText>
          </w:r>
          <w:r>
            <w:rPr>
              <w:rFonts w:eastAsia="方正仿宋_GBK"/>
              <w:smallCaps w:val="0"/>
              <w:sz w:val="32"/>
            </w:rPr>
            <w:fldChar w:fldCharType="separate"/>
          </w:r>
          <w:r>
            <w:rPr>
              <w:rFonts w:eastAsia="方正仿宋_GBK"/>
              <w:smallCaps w:val="0"/>
              <w:sz w:val="32"/>
            </w:rPr>
            <w:t>10</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"_Toc12013" </w:instrText>
          </w:r>
          <w:r>
            <w:fldChar w:fldCharType="separate"/>
          </w:r>
          <w:r>
            <w:rPr>
              <w:rFonts w:eastAsia="方正仿宋_GBK"/>
              <w:smallCaps w:val="0"/>
              <w:sz w:val="32"/>
            </w:rPr>
            <w:t>2.</w:t>
          </w:r>
          <w:r>
            <w:rPr>
              <w:rFonts w:hint="eastAsia" w:eastAsia="方正仿宋_GBK"/>
              <w:smallCaps w:val="0"/>
              <w:sz w:val="32"/>
            </w:rPr>
            <w:t>2</w:t>
          </w:r>
          <w:r>
            <w:rPr>
              <w:rFonts w:eastAsia="方正仿宋_GBK"/>
              <w:smallCaps w:val="0"/>
              <w:sz w:val="32"/>
            </w:rPr>
            <w:t xml:space="preserve"> </w:t>
          </w:r>
          <w:r>
            <w:rPr>
              <w:rFonts w:hint="eastAsia" w:eastAsia="方正仿宋_GBK"/>
              <w:smallCaps w:val="0"/>
              <w:sz w:val="32"/>
            </w:rPr>
            <w:t>生态环境保护状况</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_Toc12013 </w:instrText>
          </w:r>
          <w:r>
            <w:rPr>
              <w:rFonts w:eastAsia="方正仿宋_GBK"/>
              <w:smallCaps w:val="0"/>
              <w:sz w:val="32"/>
            </w:rPr>
            <w:fldChar w:fldCharType="separate"/>
          </w:r>
          <w:r>
            <w:rPr>
              <w:rFonts w:eastAsia="方正仿宋_GBK"/>
              <w:smallCaps w:val="0"/>
              <w:sz w:val="32"/>
            </w:rPr>
            <w:t>10</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280" w:firstLineChars="100"/>
            <w:rPr>
              <w:rFonts w:eastAsia="方正仿宋_GBK"/>
              <w:b/>
              <w:bCs/>
              <w:smallCaps w:val="0"/>
              <w:sz w:val="32"/>
            </w:rPr>
          </w:pPr>
          <w:r>
            <w:fldChar w:fldCharType="begin"/>
          </w:r>
          <w:r>
            <w:instrText xml:space="preserve"> HYPERLINK \l "_Toc5076" </w:instrText>
          </w:r>
          <w:r>
            <w:fldChar w:fldCharType="separate"/>
          </w:r>
          <w:r>
            <w:rPr>
              <w:rFonts w:eastAsia="方正仿宋_GBK"/>
              <w:b/>
              <w:bCs/>
              <w:smallCaps w:val="0"/>
              <w:sz w:val="32"/>
            </w:rPr>
            <w:t xml:space="preserve">3 </w:t>
          </w:r>
          <w:r>
            <w:rPr>
              <w:rFonts w:hint="eastAsia" w:eastAsia="方正仿宋_GBK"/>
              <w:b/>
              <w:bCs/>
              <w:smallCaps w:val="0"/>
              <w:sz w:val="32"/>
            </w:rPr>
            <w:t>污染源分析</w:t>
          </w:r>
          <w:r>
            <w:rPr>
              <w:rFonts w:eastAsia="方正仿宋_GBK"/>
              <w:b/>
              <w:bCs/>
              <w:smallCaps w:val="0"/>
              <w:sz w:val="32"/>
            </w:rPr>
            <w:tab/>
          </w:r>
          <w:r>
            <w:rPr>
              <w:rFonts w:eastAsia="方正仿宋_GBK"/>
              <w:b/>
              <w:bCs/>
              <w:smallCaps w:val="0"/>
              <w:sz w:val="32"/>
            </w:rPr>
            <w:fldChar w:fldCharType="begin"/>
          </w:r>
          <w:r>
            <w:rPr>
              <w:rFonts w:eastAsia="方正仿宋_GBK"/>
              <w:b/>
              <w:bCs/>
              <w:smallCaps w:val="0"/>
              <w:sz w:val="32"/>
            </w:rPr>
            <w:instrText xml:space="preserve"> PAGEREF _Toc5076 </w:instrText>
          </w:r>
          <w:r>
            <w:rPr>
              <w:rFonts w:eastAsia="方正仿宋_GBK"/>
              <w:b/>
              <w:bCs/>
              <w:smallCaps w:val="0"/>
              <w:sz w:val="32"/>
            </w:rPr>
            <w:fldChar w:fldCharType="separate"/>
          </w:r>
          <w:r>
            <w:rPr>
              <w:rFonts w:eastAsia="方正仿宋_GBK"/>
              <w:b/>
              <w:bCs/>
              <w:smallCaps w:val="0"/>
              <w:sz w:val="32"/>
            </w:rPr>
            <w:t>12</w:t>
          </w:r>
          <w:r>
            <w:rPr>
              <w:rFonts w:eastAsia="方正仿宋_GBK"/>
              <w:b/>
              <w:bCs/>
              <w:smallCaps w:val="0"/>
              <w:sz w:val="32"/>
            </w:rPr>
            <w:fldChar w:fldCharType="end"/>
          </w:r>
          <w:r>
            <w:rPr>
              <w:rFonts w:eastAsia="方正仿宋_GBK"/>
              <w:b/>
              <w:bCs/>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"_Toc7568" </w:instrText>
          </w:r>
          <w:r>
            <w:fldChar w:fldCharType="separate"/>
          </w:r>
          <w:r>
            <w:rPr>
              <w:rFonts w:eastAsia="方正仿宋_GBK"/>
              <w:smallCaps w:val="0"/>
              <w:sz w:val="32"/>
            </w:rPr>
            <w:t xml:space="preserve">3.1 </w:t>
          </w:r>
          <w:r>
            <w:rPr>
              <w:rFonts w:hint="eastAsia" w:eastAsia="方正仿宋_GBK"/>
              <w:smallCaps w:val="0"/>
              <w:sz w:val="32"/>
            </w:rPr>
            <w:t>用水及排水体制</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_Toc7568 </w:instrText>
          </w:r>
          <w:r>
            <w:rPr>
              <w:rFonts w:eastAsia="方正仿宋_GBK"/>
              <w:smallCaps w:val="0"/>
              <w:sz w:val="32"/>
            </w:rPr>
            <w:fldChar w:fldCharType="separate"/>
          </w:r>
          <w:r>
            <w:rPr>
              <w:rFonts w:eastAsia="方正仿宋_GBK"/>
              <w:smallCaps w:val="0"/>
              <w:sz w:val="32"/>
            </w:rPr>
            <w:t>12</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"_Toc4596" </w:instrText>
          </w:r>
          <w:r>
            <w:fldChar w:fldCharType="separate"/>
          </w:r>
          <w:r>
            <w:rPr>
              <w:rFonts w:eastAsia="方正仿宋_GBK"/>
              <w:smallCaps w:val="0"/>
              <w:sz w:val="32"/>
            </w:rPr>
            <w:t xml:space="preserve">3.2 </w:t>
          </w:r>
          <w:r>
            <w:rPr>
              <w:rFonts w:hint="eastAsia" w:eastAsia="方正仿宋_GBK"/>
              <w:smallCaps w:val="0"/>
              <w:sz w:val="32"/>
            </w:rPr>
            <w:t>农村生活污水治理现状</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_Toc4596 </w:instrText>
          </w:r>
          <w:r>
            <w:rPr>
              <w:rFonts w:eastAsia="方正仿宋_GBK"/>
              <w:smallCaps w:val="0"/>
              <w:sz w:val="32"/>
            </w:rPr>
            <w:fldChar w:fldCharType="separate"/>
          </w:r>
          <w:r>
            <w:rPr>
              <w:rFonts w:eastAsia="方正仿宋_GBK"/>
              <w:smallCaps w:val="0"/>
              <w:sz w:val="32"/>
            </w:rPr>
            <w:t>12</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"_Toc3882" </w:instrText>
          </w:r>
          <w:r>
            <w:fldChar w:fldCharType="separate"/>
          </w:r>
          <w:r>
            <w:rPr>
              <w:rFonts w:eastAsia="方正仿宋_GBK"/>
              <w:smallCaps w:val="0"/>
              <w:sz w:val="32"/>
            </w:rPr>
            <w:t xml:space="preserve">3.3 </w:t>
          </w:r>
          <w:r>
            <w:rPr>
              <w:rFonts w:hint="eastAsia" w:eastAsia="方正仿宋_GBK"/>
              <w:smallCaps w:val="0"/>
              <w:sz w:val="32"/>
            </w:rPr>
            <w:t>污染负荷量预测</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_Toc3882 </w:instrText>
          </w:r>
          <w:r>
            <w:rPr>
              <w:rFonts w:eastAsia="方正仿宋_GBK"/>
              <w:smallCaps w:val="0"/>
              <w:sz w:val="32"/>
            </w:rPr>
            <w:fldChar w:fldCharType="separate"/>
          </w:r>
          <w:r>
            <w:rPr>
              <w:rFonts w:eastAsia="方正仿宋_GBK"/>
              <w:smallCaps w:val="0"/>
              <w:sz w:val="32"/>
            </w:rPr>
            <w:t>14</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280" w:firstLineChars="100"/>
            <w:rPr>
              <w:rFonts w:eastAsia="方正仿宋_GBK"/>
              <w:b/>
              <w:bCs/>
              <w:smallCaps w:val="0"/>
              <w:sz w:val="32"/>
            </w:rPr>
          </w:pPr>
          <w:r>
            <w:fldChar w:fldCharType="begin"/>
          </w:r>
          <w:r>
            <w:instrText xml:space="preserve"> HYPERLINK \l "_Toc6868" </w:instrText>
          </w:r>
          <w:r>
            <w:fldChar w:fldCharType="separate"/>
          </w:r>
          <w:r>
            <w:rPr>
              <w:rFonts w:eastAsia="方正仿宋_GBK"/>
              <w:b/>
              <w:bCs/>
              <w:smallCaps w:val="0"/>
              <w:sz w:val="32"/>
            </w:rPr>
            <w:t xml:space="preserve">4 </w:t>
          </w:r>
          <w:r>
            <w:rPr>
              <w:rFonts w:hint="eastAsia" w:eastAsia="方正仿宋_GBK"/>
              <w:b/>
              <w:bCs/>
              <w:smallCaps w:val="0"/>
              <w:sz w:val="32"/>
            </w:rPr>
            <w:t>污水处理设施建设</w:t>
          </w:r>
          <w:r>
            <w:rPr>
              <w:rFonts w:eastAsia="方正仿宋_GBK"/>
              <w:b/>
              <w:bCs/>
              <w:smallCaps w:val="0"/>
              <w:sz w:val="32"/>
            </w:rPr>
            <w:tab/>
          </w:r>
          <w:r>
            <w:rPr>
              <w:rFonts w:eastAsia="方正仿宋_GBK"/>
              <w:b/>
              <w:bCs/>
              <w:smallCaps w:val="0"/>
              <w:sz w:val="32"/>
            </w:rPr>
            <w:fldChar w:fldCharType="begin"/>
          </w:r>
          <w:r>
            <w:rPr>
              <w:rFonts w:eastAsia="方正仿宋_GBK"/>
              <w:b/>
              <w:bCs/>
              <w:smallCaps w:val="0"/>
              <w:sz w:val="32"/>
            </w:rPr>
            <w:instrText xml:space="preserve"> PAGEREF _Toc6868 </w:instrText>
          </w:r>
          <w:r>
            <w:rPr>
              <w:rFonts w:eastAsia="方正仿宋_GBK"/>
              <w:b/>
              <w:bCs/>
              <w:smallCaps w:val="0"/>
              <w:sz w:val="32"/>
            </w:rPr>
            <w:fldChar w:fldCharType="separate"/>
          </w:r>
          <w:r>
            <w:rPr>
              <w:rFonts w:eastAsia="方正仿宋_GBK"/>
              <w:b/>
              <w:bCs/>
              <w:smallCaps w:val="0"/>
              <w:sz w:val="32"/>
            </w:rPr>
            <w:t>15</w:t>
          </w:r>
          <w:r>
            <w:rPr>
              <w:rFonts w:eastAsia="方正仿宋_GBK"/>
              <w:b/>
              <w:bCs/>
              <w:smallCaps w:val="0"/>
              <w:sz w:val="32"/>
            </w:rPr>
            <w:fldChar w:fldCharType="end"/>
          </w:r>
          <w:r>
            <w:rPr>
              <w:rFonts w:eastAsia="方正仿宋_GBK"/>
              <w:b/>
              <w:bCs/>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"_Toc30375" </w:instrText>
          </w:r>
          <w:r>
            <w:fldChar w:fldCharType="separate"/>
          </w:r>
          <w:r>
            <w:rPr>
              <w:rFonts w:eastAsia="方正仿宋_GBK"/>
              <w:smallCaps w:val="0"/>
              <w:sz w:val="32"/>
            </w:rPr>
            <w:t xml:space="preserve">4.1 </w:t>
          </w:r>
          <w:r>
            <w:rPr>
              <w:rFonts w:hint="eastAsia" w:eastAsia="方正仿宋_GBK"/>
              <w:smallCaps w:val="0"/>
              <w:sz w:val="32"/>
            </w:rPr>
            <w:t>治理方式选择</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_Toc30375 </w:instrText>
          </w:r>
          <w:r>
            <w:rPr>
              <w:rFonts w:eastAsia="方正仿宋_GBK"/>
              <w:smallCaps w:val="0"/>
              <w:sz w:val="32"/>
            </w:rPr>
            <w:fldChar w:fldCharType="separate"/>
          </w:r>
          <w:r>
            <w:rPr>
              <w:rFonts w:eastAsia="方正仿宋_GBK"/>
              <w:smallCaps w:val="0"/>
              <w:sz w:val="32"/>
            </w:rPr>
            <w:t>15</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"_Toc3242" </w:instrText>
          </w:r>
          <w:r>
            <w:fldChar w:fldCharType="separate"/>
          </w:r>
          <w:r>
            <w:rPr>
              <w:rFonts w:eastAsia="方正仿宋_GBK"/>
              <w:smallCaps w:val="0"/>
              <w:sz w:val="32"/>
            </w:rPr>
            <w:t>4</w:t>
          </w:r>
          <w:r>
            <w:rPr>
              <w:rFonts w:hint="eastAsia" w:eastAsia="方正仿宋_GBK"/>
              <w:smallCaps w:val="0"/>
              <w:sz w:val="32"/>
            </w:rPr>
            <w:t xml:space="preserve">.2 </w:t>
          </w:r>
          <w:r>
            <w:rPr>
              <w:rFonts w:eastAsia="方正仿宋_GBK"/>
              <w:smallCaps w:val="0"/>
              <w:sz w:val="32"/>
            </w:rPr>
            <w:t>设施布局选址</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_Toc3242 </w:instrText>
          </w:r>
          <w:r>
            <w:rPr>
              <w:rFonts w:eastAsia="方正仿宋_GBK"/>
              <w:smallCaps w:val="0"/>
              <w:sz w:val="32"/>
            </w:rPr>
            <w:fldChar w:fldCharType="separate"/>
          </w:r>
          <w:r>
            <w:rPr>
              <w:rFonts w:eastAsia="方正仿宋_GBK"/>
              <w:smallCaps w:val="0"/>
              <w:sz w:val="32"/>
            </w:rPr>
            <w:t>16</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"_Toc7257" </w:instrText>
          </w:r>
          <w:r>
            <w:fldChar w:fldCharType="separate"/>
          </w:r>
          <w:r>
            <w:rPr>
              <w:rFonts w:eastAsia="方正仿宋_GBK"/>
              <w:smallCaps w:val="0"/>
              <w:sz w:val="32"/>
            </w:rPr>
            <w:t xml:space="preserve">4.3 </w:t>
          </w:r>
          <w:r>
            <w:rPr>
              <w:rFonts w:hint="eastAsia" w:eastAsia="方正仿宋_GBK"/>
              <w:smallCaps w:val="0"/>
              <w:sz w:val="32"/>
            </w:rPr>
            <w:t>污水收集系统建设</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_Toc7257 </w:instrText>
          </w:r>
          <w:r>
            <w:rPr>
              <w:rFonts w:eastAsia="方正仿宋_GBK"/>
              <w:smallCaps w:val="0"/>
              <w:sz w:val="32"/>
            </w:rPr>
            <w:fldChar w:fldCharType="separate"/>
          </w:r>
          <w:r>
            <w:rPr>
              <w:rFonts w:eastAsia="方正仿宋_GBK"/>
              <w:smallCaps w:val="0"/>
              <w:sz w:val="32"/>
            </w:rPr>
            <w:t>17</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"_Toc19863" </w:instrText>
          </w:r>
          <w:r>
            <w:fldChar w:fldCharType="separate"/>
          </w:r>
          <w:r>
            <w:rPr>
              <w:rFonts w:eastAsia="方正仿宋_GBK"/>
              <w:smallCaps w:val="0"/>
              <w:sz w:val="32"/>
            </w:rPr>
            <w:t xml:space="preserve">4.4 </w:t>
          </w:r>
          <w:r>
            <w:rPr>
              <w:rFonts w:hint="eastAsia" w:eastAsia="方正仿宋_GBK"/>
              <w:smallCaps w:val="0"/>
              <w:sz w:val="32"/>
            </w:rPr>
            <w:t>污水处理技术工艺选择</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_Toc19863 </w:instrText>
          </w:r>
          <w:r>
            <w:rPr>
              <w:rFonts w:eastAsia="方正仿宋_GBK"/>
              <w:smallCaps w:val="0"/>
              <w:sz w:val="32"/>
            </w:rPr>
            <w:fldChar w:fldCharType="separate"/>
          </w:r>
          <w:r>
            <w:rPr>
              <w:rFonts w:eastAsia="方正仿宋_GBK"/>
              <w:smallCaps w:val="0"/>
              <w:sz w:val="32"/>
            </w:rPr>
            <w:t>18</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"_Toc22697" </w:instrText>
          </w:r>
          <w:r>
            <w:fldChar w:fldCharType="separate"/>
          </w:r>
          <w:r>
            <w:rPr>
              <w:rFonts w:eastAsia="方正仿宋_GBK"/>
              <w:smallCaps w:val="0"/>
              <w:sz w:val="32"/>
            </w:rPr>
            <w:t>4.5 现有设施管网维护整治</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_Toc22697 </w:instrText>
          </w:r>
          <w:r>
            <w:rPr>
              <w:rFonts w:eastAsia="方正仿宋_GBK"/>
              <w:smallCaps w:val="0"/>
              <w:sz w:val="32"/>
            </w:rPr>
            <w:fldChar w:fldCharType="separate"/>
          </w:r>
          <w:r>
            <w:rPr>
              <w:rFonts w:eastAsia="方正仿宋_GBK"/>
              <w:smallCaps w:val="0"/>
              <w:sz w:val="32"/>
            </w:rPr>
            <w:t>18</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"_Toc23553" </w:instrText>
          </w:r>
          <w:r>
            <w:fldChar w:fldCharType="separate"/>
          </w:r>
          <w:r>
            <w:rPr>
              <w:rFonts w:eastAsia="方正仿宋_GBK"/>
              <w:smallCaps w:val="0"/>
              <w:sz w:val="32"/>
            </w:rPr>
            <w:t>4.6</w:t>
          </w:r>
          <w:r>
            <w:rPr>
              <w:rFonts w:hint="eastAsia" w:eastAsia="方正仿宋_GBK"/>
              <w:smallCaps w:val="0"/>
              <w:sz w:val="32"/>
            </w:rPr>
            <w:t xml:space="preserve"> </w:t>
          </w:r>
          <w:r>
            <w:rPr>
              <w:rFonts w:eastAsia="方正仿宋_GBK"/>
              <w:smallCaps w:val="0"/>
              <w:sz w:val="32"/>
            </w:rPr>
            <w:t>设施出水排放要求</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_Toc23553 </w:instrText>
          </w:r>
          <w:r>
            <w:rPr>
              <w:rFonts w:eastAsia="方正仿宋_GBK"/>
              <w:smallCaps w:val="0"/>
              <w:sz w:val="32"/>
            </w:rPr>
            <w:fldChar w:fldCharType="separate"/>
          </w:r>
          <w:r>
            <w:rPr>
              <w:rFonts w:eastAsia="方正仿宋_GBK"/>
              <w:smallCaps w:val="0"/>
              <w:sz w:val="32"/>
            </w:rPr>
            <w:t>18</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"_Toc8576" </w:instrText>
          </w:r>
          <w:r>
            <w:fldChar w:fldCharType="separate"/>
          </w:r>
          <w:r>
            <w:rPr>
              <w:rFonts w:eastAsia="方正仿宋_GBK"/>
              <w:smallCaps w:val="0"/>
              <w:sz w:val="32"/>
            </w:rPr>
            <w:t>4.</w:t>
          </w:r>
          <w:r>
            <w:rPr>
              <w:rFonts w:hint="eastAsia" w:eastAsia="方正仿宋_GBK"/>
              <w:smallCaps w:val="0"/>
              <w:sz w:val="32"/>
            </w:rPr>
            <w:t>7</w:t>
          </w:r>
          <w:r>
            <w:rPr>
              <w:rFonts w:eastAsia="方正仿宋_GBK"/>
              <w:smallCaps w:val="0"/>
              <w:sz w:val="32"/>
            </w:rPr>
            <w:t xml:space="preserve"> 固体废物处理处置</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_Toc8576 </w:instrText>
          </w:r>
          <w:r>
            <w:rPr>
              <w:rFonts w:eastAsia="方正仿宋_GBK"/>
              <w:smallCaps w:val="0"/>
              <w:sz w:val="32"/>
            </w:rPr>
            <w:fldChar w:fldCharType="separate"/>
          </w:r>
          <w:r>
            <w:rPr>
              <w:rFonts w:eastAsia="方正仿宋_GBK"/>
              <w:smallCaps w:val="0"/>
              <w:sz w:val="32"/>
            </w:rPr>
            <w:t>19</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"_Toc27357" </w:instrText>
          </w:r>
          <w:r>
            <w:fldChar w:fldCharType="separate"/>
          </w:r>
          <w:r>
            <w:rPr>
              <w:rFonts w:eastAsia="方正仿宋_GBK"/>
              <w:smallCaps w:val="0"/>
              <w:sz w:val="32"/>
            </w:rPr>
            <w:t>4.</w:t>
          </w:r>
          <w:r>
            <w:rPr>
              <w:rFonts w:hint="eastAsia" w:eastAsia="方正仿宋_GBK"/>
              <w:smallCaps w:val="0"/>
              <w:sz w:val="32"/>
            </w:rPr>
            <w:t>8</w:t>
          </w:r>
          <w:r>
            <w:rPr>
              <w:rFonts w:eastAsia="方正仿宋_GBK"/>
              <w:smallCaps w:val="0"/>
              <w:sz w:val="32"/>
            </w:rPr>
            <w:t xml:space="preserve"> 验收移交</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_Toc27357 </w:instrText>
          </w:r>
          <w:r>
            <w:rPr>
              <w:rFonts w:eastAsia="方正仿宋_GBK"/>
              <w:smallCaps w:val="0"/>
              <w:sz w:val="32"/>
            </w:rPr>
            <w:fldChar w:fldCharType="separate"/>
          </w:r>
          <w:r>
            <w:rPr>
              <w:rFonts w:eastAsia="方正仿宋_GBK"/>
              <w:smallCaps w:val="0"/>
              <w:sz w:val="32"/>
            </w:rPr>
            <w:t>20</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280" w:firstLineChars="100"/>
            <w:rPr>
              <w:rFonts w:eastAsia="方正仿宋_GBK"/>
              <w:b/>
              <w:bCs/>
              <w:smallCaps w:val="0"/>
              <w:sz w:val="32"/>
            </w:rPr>
          </w:pPr>
          <w:r>
            <w:fldChar w:fldCharType="begin"/>
          </w:r>
          <w:r>
            <w:instrText xml:space="preserve"> HYPERLINK \l "_Toc26600" </w:instrText>
          </w:r>
          <w:r>
            <w:fldChar w:fldCharType="separate"/>
          </w:r>
          <w:r>
            <w:rPr>
              <w:rFonts w:eastAsia="方正仿宋_GBK"/>
              <w:b/>
              <w:bCs/>
              <w:smallCaps w:val="0"/>
              <w:sz w:val="32"/>
            </w:rPr>
            <w:t xml:space="preserve">5 </w:t>
          </w:r>
          <w:r>
            <w:rPr>
              <w:rFonts w:hint="eastAsia" w:eastAsia="方正仿宋_GBK"/>
              <w:b/>
              <w:bCs/>
              <w:smallCaps w:val="0"/>
              <w:sz w:val="32"/>
            </w:rPr>
            <w:t>设施运行管理</w:t>
          </w:r>
          <w:r>
            <w:rPr>
              <w:rFonts w:eastAsia="方正仿宋_GBK"/>
              <w:b/>
              <w:bCs/>
              <w:smallCaps w:val="0"/>
              <w:sz w:val="32"/>
            </w:rPr>
            <w:tab/>
          </w:r>
          <w:r>
            <w:rPr>
              <w:rFonts w:eastAsia="方正仿宋_GBK"/>
              <w:b/>
              <w:bCs/>
              <w:smallCaps w:val="0"/>
              <w:sz w:val="32"/>
            </w:rPr>
            <w:fldChar w:fldCharType="begin"/>
          </w:r>
          <w:r>
            <w:rPr>
              <w:rFonts w:eastAsia="方正仿宋_GBK"/>
              <w:b/>
              <w:bCs/>
              <w:smallCaps w:val="0"/>
              <w:sz w:val="32"/>
            </w:rPr>
            <w:instrText xml:space="preserve"> PAGEREF _Toc26600 </w:instrText>
          </w:r>
          <w:r>
            <w:rPr>
              <w:rFonts w:eastAsia="方正仿宋_GBK"/>
              <w:b/>
              <w:bCs/>
              <w:smallCaps w:val="0"/>
              <w:sz w:val="32"/>
            </w:rPr>
            <w:fldChar w:fldCharType="separate"/>
          </w:r>
          <w:r>
            <w:rPr>
              <w:rFonts w:eastAsia="方正仿宋_GBK"/>
              <w:b/>
              <w:bCs/>
              <w:smallCaps w:val="0"/>
              <w:sz w:val="32"/>
            </w:rPr>
            <w:t>20</w:t>
          </w:r>
          <w:r>
            <w:rPr>
              <w:rFonts w:eastAsia="方正仿宋_GBK"/>
              <w:b/>
              <w:bCs/>
              <w:smallCaps w:val="0"/>
              <w:sz w:val="32"/>
            </w:rPr>
            <w:fldChar w:fldCharType="end"/>
          </w:r>
          <w:r>
            <w:rPr>
              <w:rFonts w:eastAsia="方正仿宋_GBK"/>
              <w:b/>
              <w:bCs/>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"_Toc12624" </w:instrText>
          </w:r>
          <w:r>
            <w:fldChar w:fldCharType="separate"/>
          </w:r>
          <w:r>
            <w:rPr>
              <w:rFonts w:eastAsia="方正仿宋_GBK"/>
              <w:smallCaps w:val="0"/>
              <w:sz w:val="32"/>
            </w:rPr>
            <w:t xml:space="preserve">5.1 </w:t>
          </w:r>
          <w:r>
            <w:rPr>
              <w:rFonts w:hint="eastAsia" w:eastAsia="方正仿宋_GBK"/>
              <w:smallCaps w:val="0"/>
              <w:sz w:val="32"/>
            </w:rPr>
            <w:t>运维管理</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_Toc12624 </w:instrText>
          </w:r>
          <w:r>
            <w:rPr>
              <w:rFonts w:eastAsia="方正仿宋_GBK"/>
              <w:smallCaps w:val="0"/>
              <w:sz w:val="32"/>
            </w:rPr>
            <w:fldChar w:fldCharType="separate"/>
          </w:r>
          <w:r>
            <w:rPr>
              <w:rFonts w:eastAsia="方正仿宋_GBK"/>
              <w:smallCaps w:val="0"/>
              <w:sz w:val="32"/>
            </w:rPr>
            <w:t>20</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"_Toc28588" </w:instrText>
          </w:r>
          <w:r>
            <w:fldChar w:fldCharType="separate"/>
          </w:r>
          <w:r>
            <w:rPr>
              <w:rFonts w:hint="eastAsia" w:eastAsia="方正仿宋_GBK"/>
              <w:smallCaps w:val="0"/>
              <w:sz w:val="32"/>
            </w:rPr>
            <w:t>5.2 水质监测</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_Toc28588 </w:instrText>
          </w:r>
          <w:r>
            <w:rPr>
              <w:rFonts w:eastAsia="方正仿宋_GBK"/>
              <w:smallCaps w:val="0"/>
              <w:sz w:val="32"/>
            </w:rPr>
            <w:fldChar w:fldCharType="separate"/>
          </w:r>
          <w:r>
            <w:rPr>
              <w:rFonts w:eastAsia="方正仿宋_GBK"/>
              <w:smallCaps w:val="0"/>
              <w:sz w:val="32"/>
            </w:rPr>
            <w:t>21</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280" w:firstLineChars="100"/>
            <w:rPr>
              <w:rFonts w:eastAsia="方正仿宋_GBK"/>
              <w:b/>
              <w:bCs/>
              <w:smallCaps w:val="0"/>
              <w:sz w:val="32"/>
            </w:rPr>
          </w:pPr>
          <w:r>
            <w:fldChar w:fldCharType="begin"/>
          </w:r>
          <w:r>
            <w:instrText xml:space="preserve"> HYPERLINK \l "_Toc4172" </w:instrText>
          </w:r>
          <w:r>
            <w:fldChar w:fldCharType="separate"/>
          </w:r>
          <w:r>
            <w:rPr>
              <w:rFonts w:eastAsia="方正仿宋_GBK"/>
              <w:b/>
              <w:bCs/>
              <w:smallCaps w:val="0"/>
              <w:sz w:val="32"/>
            </w:rPr>
            <w:t xml:space="preserve">6 </w:t>
          </w:r>
          <w:r>
            <w:rPr>
              <w:rFonts w:hint="eastAsia" w:eastAsia="方正仿宋_GBK"/>
              <w:b/>
              <w:bCs/>
              <w:smallCaps w:val="0"/>
              <w:sz w:val="32"/>
            </w:rPr>
            <w:t>规划重点项目</w:t>
          </w:r>
          <w:r>
            <w:rPr>
              <w:rFonts w:eastAsia="方正仿宋_GBK"/>
              <w:b/>
              <w:bCs/>
              <w:smallCaps w:val="0"/>
              <w:sz w:val="32"/>
            </w:rPr>
            <w:tab/>
          </w:r>
          <w:r>
            <w:rPr>
              <w:rFonts w:eastAsia="方正仿宋_GBK"/>
              <w:b/>
              <w:bCs/>
              <w:smallCaps w:val="0"/>
              <w:sz w:val="32"/>
            </w:rPr>
            <w:fldChar w:fldCharType="begin"/>
          </w:r>
          <w:r>
            <w:rPr>
              <w:rFonts w:eastAsia="方正仿宋_GBK"/>
              <w:b/>
              <w:bCs/>
              <w:smallCaps w:val="0"/>
              <w:sz w:val="32"/>
            </w:rPr>
            <w:instrText xml:space="preserve"> PAGEREF _Toc4172 </w:instrText>
          </w:r>
          <w:r>
            <w:rPr>
              <w:rFonts w:eastAsia="方正仿宋_GBK"/>
              <w:b/>
              <w:bCs/>
              <w:smallCaps w:val="0"/>
              <w:sz w:val="32"/>
            </w:rPr>
            <w:fldChar w:fldCharType="separate"/>
          </w:r>
          <w:r>
            <w:rPr>
              <w:rFonts w:eastAsia="方正仿宋_GBK"/>
              <w:b/>
              <w:bCs/>
              <w:smallCaps w:val="0"/>
              <w:sz w:val="32"/>
            </w:rPr>
            <w:t>22</w:t>
          </w:r>
          <w:r>
            <w:rPr>
              <w:rFonts w:eastAsia="方正仿宋_GBK"/>
              <w:b/>
              <w:bCs/>
              <w:smallCaps w:val="0"/>
              <w:sz w:val="32"/>
            </w:rPr>
            <w:fldChar w:fldCharType="end"/>
          </w:r>
          <w:r>
            <w:rPr>
              <w:rFonts w:eastAsia="方正仿宋_GBK"/>
              <w:b/>
              <w:bCs/>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"_Toc22787" </w:instrText>
          </w:r>
          <w:r>
            <w:fldChar w:fldCharType="separate"/>
          </w:r>
          <w:r>
            <w:rPr>
              <w:rFonts w:eastAsia="方正仿宋_GBK"/>
              <w:smallCaps w:val="0"/>
              <w:sz w:val="32"/>
            </w:rPr>
            <w:t xml:space="preserve">6.1 </w:t>
          </w:r>
          <w:r>
            <w:rPr>
              <w:rFonts w:hint="eastAsia" w:eastAsia="方正仿宋_GBK"/>
              <w:smallCaps w:val="0"/>
              <w:sz w:val="32"/>
            </w:rPr>
            <w:t>重点项目</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_Toc22787 </w:instrText>
          </w:r>
          <w:r>
            <w:rPr>
              <w:rFonts w:eastAsia="方正仿宋_GBK"/>
              <w:smallCaps w:val="0"/>
              <w:sz w:val="32"/>
            </w:rPr>
            <w:fldChar w:fldCharType="separate"/>
          </w:r>
          <w:r>
            <w:rPr>
              <w:rFonts w:eastAsia="方正仿宋_GBK"/>
              <w:smallCaps w:val="0"/>
              <w:sz w:val="32"/>
            </w:rPr>
            <w:t>22</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"_Toc1550" </w:instrText>
          </w:r>
          <w:r>
            <w:fldChar w:fldCharType="separate"/>
          </w:r>
          <w:r>
            <w:rPr>
              <w:rFonts w:hint="eastAsia" w:eastAsia="方正仿宋_GBK"/>
              <w:smallCaps w:val="0"/>
              <w:sz w:val="32"/>
            </w:rPr>
            <w:t>6</w:t>
          </w:r>
          <w:r>
            <w:rPr>
              <w:rFonts w:eastAsia="方正仿宋_GBK"/>
              <w:smallCaps w:val="0"/>
              <w:sz w:val="32"/>
            </w:rPr>
            <w:t xml:space="preserve">.2 </w:t>
          </w:r>
          <w:r>
            <w:rPr>
              <w:rFonts w:hint="eastAsia" w:eastAsia="方正仿宋_GBK"/>
              <w:smallCaps w:val="0"/>
              <w:sz w:val="32"/>
            </w:rPr>
            <w:t>目标可达性分析</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_Toc1550 </w:instrText>
          </w:r>
          <w:r>
            <w:rPr>
              <w:rFonts w:eastAsia="方正仿宋_GBK"/>
              <w:smallCaps w:val="0"/>
              <w:sz w:val="32"/>
            </w:rPr>
            <w:fldChar w:fldCharType="separate"/>
          </w:r>
          <w:r>
            <w:rPr>
              <w:rFonts w:eastAsia="方正仿宋_GBK"/>
              <w:smallCaps w:val="0"/>
              <w:sz w:val="32"/>
            </w:rPr>
            <w:t>22</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"_Toc5256" </w:instrText>
          </w:r>
          <w:r>
            <w:fldChar w:fldCharType="separate"/>
          </w:r>
          <w:r>
            <w:rPr>
              <w:rFonts w:hint="eastAsia" w:eastAsia="方正仿宋_GBK"/>
              <w:smallCaps w:val="0"/>
              <w:sz w:val="32"/>
            </w:rPr>
            <w:t>6</w:t>
          </w:r>
          <w:r>
            <w:rPr>
              <w:rFonts w:eastAsia="方正仿宋_GBK"/>
              <w:smallCaps w:val="0"/>
              <w:sz w:val="32"/>
            </w:rPr>
            <w:t xml:space="preserve">.3 </w:t>
          </w:r>
          <w:r>
            <w:rPr>
              <w:rFonts w:hint="eastAsia" w:eastAsia="方正仿宋_GBK"/>
              <w:smallCaps w:val="0"/>
              <w:sz w:val="32"/>
            </w:rPr>
            <w:t>工程估算及资金筹措</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_Toc5256 </w:instrText>
          </w:r>
          <w:r>
            <w:rPr>
              <w:rFonts w:eastAsia="方正仿宋_GBK"/>
              <w:smallCaps w:val="0"/>
              <w:sz w:val="32"/>
            </w:rPr>
            <w:fldChar w:fldCharType="separate"/>
          </w:r>
          <w:r>
            <w:rPr>
              <w:rFonts w:eastAsia="方正仿宋_GBK"/>
              <w:smallCaps w:val="0"/>
              <w:sz w:val="32"/>
            </w:rPr>
            <w:t>23</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280" w:firstLineChars="100"/>
            <w:rPr>
              <w:rFonts w:eastAsia="方正仿宋_GBK"/>
              <w:b/>
              <w:bCs/>
              <w:smallCaps w:val="0"/>
              <w:sz w:val="32"/>
            </w:rPr>
          </w:pPr>
          <w:r>
            <w:fldChar w:fldCharType="begin"/>
          </w:r>
          <w:r>
            <w:instrText xml:space="preserve"> HYPERLINK \l "_Toc26292" </w:instrText>
          </w:r>
          <w:r>
            <w:fldChar w:fldCharType="separate"/>
          </w:r>
          <w:r>
            <w:rPr>
              <w:rFonts w:eastAsia="方正仿宋_GBK"/>
              <w:b/>
              <w:bCs/>
              <w:smallCaps w:val="0"/>
              <w:sz w:val="32"/>
            </w:rPr>
            <w:t xml:space="preserve">7 </w:t>
          </w:r>
          <w:r>
            <w:rPr>
              <w:rFonts w:hint="eastAsia" w:eastAsia="方正仿宋_GBK"/>
              <w:b/>
              <w:bCs/>
              <w:smallCaps w:val="0"/>
              <w:sz w:val="32"/>
            </w:rPr>
            <w:t>效益分析</w:t>
          </w:r>
          <w:r>
            <w:rPr>
              <w:rFonts w:eastAsia="方正仿宋_GBK"/>
              <w:b/>
              <w:bCs/>
              <w:smallCaps w:val="0"/>
              <w:sz w:val="32"/>
            </w:rPr>
            <w:tab/>
          </w:r>
          <w:r>
            <w:rPr>
              <w:rFonts w:eastAsia="方正仿宋_GBK"/>
              <w:b/>
              <w:bCs/>
              <w:smallCaps w:val="0"/>
              <w:sz w:val="32"/>
            </w:rPr>
            <w:fldChar w:fldCharType="begin"/>
          </w:r>
          <w:r>
            <w:rPr>
              <w:rFonts w:eastAsia="方正仿宋_GBK"/>
              <w:b/>
              <w:bCs/>
              <w:smallCaps w:val="0"/>
              <w:sz w:val="32"/>
            </w:rPr>
            <w:instrText xml:space="preserve"> PAGEREF _Toc26292 </w:instrText>
          </w:r>
          <w:r>
            <w:rPr>
              <w:rFonts w:eastAsia="方正仿宋_GBK"/>
              <w:b/>
              <w:bCs/>
              <w:smallCaps w:val="0"/>
              <w:sz w:val="32"/>
            </w:rPr>
            <w:fldChar w:fldCharType="separate"/>
          </w:r>
          <w:r>
            <w:rPr>
              <w:rFonts w:eastAsia="方正仿宋_GBK"/>
              <w:b/>
              <w:bCs/>
              <w:smallCaps w:val="0"/>
              <w:sz w:val="32"/>
            </w:rPr>
            <w:t>23</w:t>
          </w:r>
          <w:r>
            <w:rPr>
              <w:rFonts w:eastAsia="方正仿宋_GBK"/>
              <w:b/>
              <w:bCs/>
              <w:smallCaps w:val="0"/>
              <w:sz w:val="32"/>
            </w:rPr>
            <w:fldChar w:fldCharType="end"/>
          </w:r>
          <w:r>
            <w:rPr>
              <w:rFonts w:eastAsia="方正仿宋_GBK"/>
              <w:b/>
              <w:bCs/>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"_Toc31764" </w:instrText>
          </w:r>
          <w:r>
            <w:fldChar w:fldCharType="separate"/>
          </w:r>
          <w:r>
            <w:rPr>
              <w:rFonts w:eastAsia="方正仿宋_GBK"/>
              <w:smallCaps w:val="0"/>
              <w:sz w:val="32"/>
            </w:rPr>
            <w:t xml:space="preserve">7.1 </w:t>
          </w:r>
          <w:r>
            <w:rPr>
              <w:rFonts w:hint="eastAsia" w:eastAsia="方正仿宋_GBK"/>
              <w:smallCaps w:val="0"/>
              <w:sz w:val="32"/>
            </w:rPr>
            <w:t>环境效益</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_Toc31764 </w:instrText>
          </w:r>
          <w:r>
            <w:rPr>
              <w:rFonts w:eastAsia="方正仿宋_GBK"/>
              <w:smallCaps w:val="0"/>
              <w:sz w:val="32"/>
            </w:rPr>
            <w:fldChar w:fldCharType="separate"/>
          </w:r>
          <w:r>
            <w:rPr>
              <w:rFonts w:eastAsia="方正仿宋_GBK"/>
              <w:smallCaps w:val="0"/>
              <w:sz w:val="32"/>
            </w:rPr>
            <w:t>23</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"_Toc19000" </w:instrText>
          </w:r>
          <w:r>
            <w:fldChar w:fldCharType="separate"/>
          </w:r>
          <w:r>
            <w:rPr>
              <w:rFonts w:eastAsia="方正仿宋_GBK"/>
              <w:smallCaps w:val="0"/>
              <w:sz w:val="32"/>
            </w:rPr>
            <w:t xml:space="preserve">7.2 </w:t>
          </w:r>
          <w:r>
            <w:rPr>
              <w:rFonts w:hint="eastAsia" w:eastAsia="方正仿宋_GBK"/>
              <w:smallCaps w:val="0"/>
              <w:sz w:val="32"/>
            </w:rPr>
            <w:t>社会效益</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_Toc19000 </w:instrText>
          </w:r>
          <w:r>
            <w:rPr>
              <w:rFonts w:eastAsia="方正仿宋_GBK"/>
              <w:smallCaps w:val="0"/>
              <w:sz w:val="32"/>
            </w:rPr>
            <w:fldChar w:fldCharType="separate"/>
          </w:r>
          <w:r>
            <w:rPr>
              <w:rFonts w:eastAsia="方正仿宋_GBK"/>
              <w:smallCaps w:val="0"/>
              <w:sz w:val="32"/>
            </w:rPr>
            <w:t>24</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"_Toc24366" </w:instrText>
          </w:r>
          <w:r>
            <w:fldChar w:fldCharType="separate"/>
          </w:r>
          <w:r>
            <w:rPr>
              <w:rFonts w:eastAsia="方正仿宋_GBK"/>
              <w:smallCaps w:val="0"/>
              <w:sz w:val="32"/>
            </w:rPr>
            <w:t xml:space="preserve">7.3 </w:t>
          </w:r>
          <w:r>
            <w:rPr>
              <w:rFonts w:hint="eastAsia" w:eastAsia="方正仿宋_GBK"/>
              <w:smallCaps w:val="0"/>
              <w:sz w:val="32"/>
            </w:rPr>
            <w:t>经济效益</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_Toc24366 </w:instrText>
          </w:r>
          <w:r>
            <w:rPr>
              <w:rFonts w:eastAsia="方正仿宋_GBK"/>
              <w:smallCaps w:val="0"/>
              <w:sz w:val="32"/>
            </w:rPr>
            <w:fldChar w:fldCharType="separate"/>
          </w:r>
          <w:r>
            <w:rPr>
              <w:rFonts w:eastAsia="方正仿宋_GBK"/>
              <w:smallCaps w:val="0"/>
              <w:sz w:val="32"/>
            </w:rPr>
            <w:t>24</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280" w:firstLineChars="100"/>
            <w:rPr>
              <w:rFonts w:eastAsia="方正仿宋_GBK"/>
              <w:b/>
              <w:bCs/>
              <w:smallCaps w:val="0"/>
              <w:sz w:val="32"/>
            </w:rPr>
          </w:pPr>
          <w:r>
            <w:fldChar w:fldCharType="begin"/>
          </w:r>
          <w:r>
            <w:instrText xml:space="preserve"> HYPERLINK \l "_Toc25495" </w:instrText>
          </w:r>
          <w:r>
            <w:fldChar w:fldCharType="separate"/>
          </w:r>
          <w:r>
            <w:rPr>
              <w:rFonts w:eastAsia="方正仿宋_GBK"/>
              <w:b/>
              <w:bCs/>
              <w:smallCaps w:val="0"/>
              <w:sz w:val="32"/>
            </w:rPr>
            <w:t xml:space="preserve">8 </w:t>
          </w:r>
          <w:r>
            <w:rPr>
              <w:rFonts w:hint="eastAsia" w:eastAsia="方正仿宋_GBK"/>
              <w:b/>
              <w:bCs/>
              <w:smallCaps w:val="0"/>
              <w:sz w:val="32"/>
            </w:rPr>
            <w:t>保障措施</w:t>
          </w:r>
          <w:r>
            <w:rPr>
              <w:rFonts w:eastAsia="方正仿宋_GBK"/>
              <w:b/>
              <w:bCs/>
              <w:smallCaps w:val="0"/>
              <w:sz w:val="32"/>
            </w:rPr>
            <w:tab/>
          </w:r>
          <w:r>
            <w:rPr>
              <w:rFonts w:eastAsia="方正仿宋_GBK"/>
              <w:b/>
              <w:bCs/>
              <w:smallCaps w:val="0"/>
              <w:sz w:val="32"/>
            </w:rPr>
            <w:fldChar w:fldCharType="begin"/>
          </w:r>
          <w:r>
            <w:rPr>
              <w:rFonts w:eastAsia="方正仿宋_GBK"/>
              <w:b/>
              <w:bCs/>
              <w:smallCaps w:val="0"/>
              <w:sz w:val="32"/>
            </w:rPr>
            <w:instrText xml:space="preserve"> PAGEREF _Toc25495 </w:instrText>
          </w:r>
          <w:r>
            <w:rPr>
              <w:rFonts w:eastAsia="方正仿宋_GBK"/>
              <w:b/>
              <w:bCs/>
              <w:smallCaps w:val="0"/>
              <w:sz w:val="32"/>
            </w:rPr>
            <w:fldChar w:fldCharType="separate"/>
          </w:r>
          <w:r>
            <w:rPr>
              <w:rFonts w:eastAsia="方正仿宋_GBK"/>
              <w:b/>
              <w:bCs/>
              <w:smallCaps w:val="0"/>
              <w:sz w:val="32"/>
            </w:rPr>
            <w:t>24</w:t>
          </w:r>
          <w:r>
            <w:rPr>
              <w:rFonts w:eastAsia="方正仿宋_GBK"/>
              <w:b/>
              <w:bCs/>
              <w:smallCaps w:val="0"/>
              <w:sz w:val="32"/>
            </w:rPr>
            <w:fldChar w:fldCharType="end"/>
          </w:r>
          <w:r>
            <w:rPr>
              <w:rFonts w:eastAsia="方正仿宋_GBK"/>
              <w:b/>
              <w:bCs/>
              <w:smallCaps w:val="0"/>
              <w:sz w:val="32"/>
            </w:rPr>
            <w:fldChar w:fldCharType="end"/>
          </w:r>
        </w:p>
        <w:p>
          <w:pPr>
            <w:pStyle w:val="32"/>
            <w:tabs>
              <w:tab w:val="right" w:leader="dot" w:pos="8844"/>
            </w:tabs>
            <w:spacing w:line="594" w:lineRule="exact"/>
            <w:ind w:firstLine="560" w:firstLineChars="200"/>
            <w:rPr>
              <w:rFonts w:eastAsia="方正仿宋_GBK"/>
              <w:smallCaps w:val="0"/>
              <w:sz w:val="32"/>
            </w:rPr>
          </w:pPr>
          <w:r>
            <w:fldChar w:fldCharType="begin"/>
          </w:r>
          <w:r>
            <w:instrText xml:space="preserve"> HYPERLINK \l "_Toc2091" </w:instrText>
          </w:r>
          <w:r>
            <w:fldChar w:fldCharType="separate"/>
          </w:r>
          <w:r>
            <w:rPr>
              <w:rFonts w:eastAsia="方正仿宋_GBK"/>
              <w:smallCaps w:val="0"/>
              <w:sz w:val="32"/>
            </w:rPr>
            <w:t xml:space="preserve">8.1 </w:t>
          </w:r>
          <w:r>
            <w:rPr>
              <w:rFonts w:hint="eastAsia" w:eastAsia="方正仿宋_GBK"/>
              <w:smallCaps w:val="0"/>
              <w:sz w:val="32"/>
            </w:rPr>
            <w:t>加强领导，落实责任</w:t>
          </w:r>
          <w:r>
            <w:rPr>
              <w:rFonts w:eastAsia="方正仿宋_GBK"/>
              <w:smallCaps w:val="0"/>
              <w:sz w:val="32"/>
            </w:rPr>
            <w:tab/>
          </w:r>
          <w:r>
            <w:rPr>
              <w:rFonts w:eastAsia="方正仿宋_GBK"/>
              <w:smallCaps w:val="0"/>
              <w:sz w:val="32"/>
            </w:rPr>
            <w:fldChar w:fldCharType="begin"/>
          </w:r>
          <w:r>
            <w:rPr>
              <w:rFonts w:eastAsia="方正仿宋_GBK"/>
              <w:smallCaps w:val="0"/>
              <w:sz w:val="32"/>
            </w:rPr>
            <w:instrText xml:space="preserve"> PAGEREF _Toc2091 </w:instrText>
          </w:r>
          <w:r>
            <w:rPr>
              <w:rFonts w:eastAsia="方正仿宋_GBK"/>
              <w:smallCaps w:val="0"/>
              <w:sz w:val="32"/>
            </w:rPr>
            <w:fldChar w:fldCharType="separate"/>
          </w:r>
          <w:r>
            <w:rPr>
              <w:rFonts w:eastAsia="方正仿宋_GBK"/>
              <w:smallCaps w:val="0"/>
              <w:sz w:val="32"/>
            </w:rPr>
            <w:t>24</w:t>
          </w:r>
          <w:r>
            <w:rPr>
              <w:rFonts w:eastAsia="方正仿宋_GBK"/>
              <w:smallCaps w:val="0"/>
              <w:sz w:val="32"/>
            </w:rPr>
            <w:fldChar w:fldCharType="end"/>
          </w:r>
          <w:r>
            <w:rPr>
              <w:rFonts w:eastAsia="方正仿宋_GBK"/>
              <w:smallCaps w:val="0"/>
              <w:sz w:val="32"/>
            </w:rPr>
            <w:fldChar w:fldCharType="end"/>
          </w:r>
        </w:p>
        <w:p>
          <w:pPr>
            <w:pStyle w:val="32"/>
            <w:tabs>
              <w:tab w:val="right" w:leader="dot" w:pos="8844"/>
            </w:tabs>
            <w:spacing w:line="594" w:lineRule="exact"/>
            <w:ind w:firstLine="560" w:firstLineChars="200"/>
            <w:rPr>
              <w:rFonts w:eastAsia="方正仿宋_GBK" w:cs="Times New Roman"/>
              <w:smallCaps w:val="0"/>
              <w:color w:val="auto"/>
              <w:sz w:val="32"/>
              <w:szCs w:val="24"/>
            </w:rPr>
          </w:pPr>
          <w:r>
            <w:fldChar w:fldCharType="begin"/>
          </w:r>
          <w:r>
            <w:instrText xml:space="preserve"> HYPERLINK \l "_Toc20979" </w:instrText>
          </w:r>
          <w:r>
            <w:fldChar w:fldCharType="separate"/>
          </w:r>
          <w:r>
            <w:rPr>
              <w:rFonts w:eastAsia="方正仿宋_GBK" w:cs="Times New Roman"/>
              <w:smallCaps w:val="0"/>
              <w:color w:val="auto"/>
              <w:sz w:val="32"/>
              <w:szCs w:val="24"/>
            </w:rPr>
            <w:t xml:space="preserve">8.2 </w:t>
          </w:r>
          <w:r>
            <w:rPr>
              <w:rFonts w:hint="eastAsia" w:eastAsia="方正仿宋_GBK" w:cs="Times New Roman"/>
              <w:smallCaps w:val="0"/>
              <w:color w:val="auto"/>
              <w:sz w:val="32"/>
              <w:szCs w:val="24"/>
            </w:rPr>
            <w:t>强化考核，确保目标</w:t>
          </w:r>
          <w:r>
            <w:rPr>
              <w:rFonts w:eastAsia="方正仿宋_GBK" w:cs="Times New Roman"/>
              <w:smallCaps w:val="0"/>
              <w:color w:val="auto"/>
              <w:sz w:val="32"/>
              <w:szCs w:val="24"/>
            </w:rPr>
            <w:tab/>
          </w:r>
          <w:r>
            <w:rPr>
              <w:rFonts w:eastAsia="方正仿宋_GBK" w:cs="Times New Roman"/>
              <w:smallCaps w:val="0"/>
              <w:color w:val="auto"/>
              <w:sz w:val="32"/>
              <w:szCs w:val="24"/>
            </w:rPr>
            <w:fldChar w:fldCharType="begin"/>
          </w:r>
          <w:r>
            <w:rPr>
              <w:rFonts w:eastAsia="方正仿宋_GBK" w:cs="Times New Roman"/>
              <w:smallCaps w:val="0"/>
              <w:color w:val="auto"/>
              <w:sz w:val="32"/>
              <w:szCs w:val="24"/>
            </w:rPr>
            <w:instrText xml:space="preserve"> PAGEREF _Toc20979 </w:instrText>
          </w:r>
          <w:r>
            <w:rPr>
              <w:rFonts w:eastAsia="方正仿宋_GBK" w:cs="Times New Roman"/>
              <w:smallCaps w:val="0"/>
              <w:color w:val="auto"/>
              <w:sz w:val="32"/>
              <w:szCs w:val="24"/>
            </w:rPr>
            <w:fldChar w:fldCharType="separate"/>
          </w:r>
          <w:r>
            <w:rPr>
              <w:rFonts w:eastAsia="方正仿宋_GBK" w:cs="Times New Roman"/>
              <w:smallCaps w:val="0"/>
              <w:color w:val="auto"/>
              <w:sz w:val="32"/>
              <w:szCs w:val="24"/>
            </w:rPr>
            <w:t>25</w:t>
          </w:r>
          <w:r>
            <w:rPr>
              <w:rFonts w:eastAsia="方正仿宋_GBK" w:cs="Times New Roman"/>
              <w:smallCaps w:val="0"/>
              <w:color w:val="auto"/>
              <w:sz w:val="32"/>
              <w:szCs w:val="24"/>
            </w:rPr>
            <w:fldChar w:fldCharType="end"/>
          </w:r>
          <w:r>
            <w:rPr>
              <w:rFonts w:eastAsia="方正仿宋_GBK" w:cs="Times New Roman"/>
              <w:smallCaps w:val="0"/>
              <w:color w:val="auto"/>
              <w:sz w:val="32"/>
              <w:szCs w:val="24"/>
            </w:rPr>
            <w:fldChar w:fldCharType="end"/>
          </w:r>
        </w:p>
        <w:p>
          <w:pPr>
            <w:pStyle w:val="32"/>
            <w:tabs>
              <w:tab w:val="right" w:leader="dot" w:pos="8844"/>
            </w:tabs>
            <w:spacing w:line="594" w:lineRule="exact"/>
            <w:ind w:firstLine="560" w:firstLineChars="200"/>
            <w:rPr>
              <w:rFonts w:eastAsia="方正仿宋_GBK" w:cs="Times New Roman"/>
              <w:smallCaps w:val="0"/>
              <w:color w:val="auto"/>
              <w:sz w:val="32"/>
              <w:szCs w:val="24"/>
            </w:rPr>
          </w:pPr>
          <w:r>
            <w:fldChar w:fldCharType="begin"/>
          </w:r>
          <w:r>
            <w:instrText xml:space="preserve"> HYPERLINK \l "_Toc10045" </w:instrText>
          </w:r>
          <w:r>
            <w:fldChar w:fldCharType="separate"/>
          </w:r>
          <w:r>
            <w:rPr>
              <w:rFonts w:eastAsia="方正仿宋_GBK" w:cs="Times New Roman"/>
              <w:smallCaps w:val="0"/>
              <w:color w:val="auto"/>
              <w:sz w:val="32"/>
              <w:szCs w:val="24"/>
            </w:rPr>
            <w:t xml:space="preserve">8.3 </w:t>
          </w:r>
          <w:r>
            <w:rPr>
              <w:rFonts w:hint="eastAsia" w:eastAsia="方正仿宋_GBK" w:cs="Times New Roman"/>
              <w:smallCaps w:val="0"/>
              <w:color w:val="auto"/>
              <w:sz w:val="32"/>
              <w:szCs w:val="24"/>
            </w:rPr>
            <w:t>加强宣传，营造氛围</w:t>
          </w:r>
          <w:r>
            <w:rPr>
              <w:rFonts w:eastAsia="方正仿宋_GBK" w:cs="Times New Roman"/>
              <w:smallCaps w:val="0"/>
              <w:color w:val="auto"/>
              <w:sz w:val="32"/>
              <w:szCs w:val="24"/>
            </w:rPr>
            <w:tab/>
          </w:r>
          <w:r>
            <w:rPr>
              <w:rFonts w:eastAsia="方正仿宋_GBK" w:cs="Times New Roman"/>
              <w:smallCaps w:val="0"/>
              <w:color w:val="auto"/>
              <w:sz w:val="32"/>
              <w:szCs w:val="24"/>
            </w:rPr>
            <w:fldChar w:fldCharType="begin"/>
          </w:r>
          <w:r>
            <w:rPr>
              <w:rFonts w:eastAsia="方正仿宋_GBK" w:cs="Times New Roman"/>
              <w:smallCaps w:val="0"/>
              <w:color w:val="auto"/>
              <w:sz w:val="32"/>
              <w:szCs w:val="24"/>
            </w:rPr>
            <w:instrText xml:space="preserve"> PAGEREF _Toc10045 </w:instrText>
          </w:r>
          <w:r>
            <w:rPr>
              <w:rFonts w:eastAsia="方正仿宋_GBK" w:cs="Times New Roman"/>
              <w:smallCaps w:val="0"/>
              <w:color w:val="auto"/>
              <w:sz w:val="32"/>
              <w:szCs w:val="24"/>
            </w:rPr>
            <w:fldChar w:fldCharType="separate"/>
          </w:r>
          <w:r>
            <w:rPr>
              <w:rFonts w:eastAsia="方正仿宋_GBK" w:cs="Times New Roman"/>
              <w:smallCaps w:val="0"/>
              <w:color w:val="auto"/>
              <w:sz w:val="32"/>
              <w:szCs w:val="24"/>
            </w:rPr>
            <w:t>25</w:t>
          </w:r>
          <w:r>
            <w:rPr>
              <w:rFonts w:eastAsia="方正仿宋_GBK" w:cs="Times New Roman"/>
              <w:smallCaps w:val="0"/>
              <w:color w:val="auto"/>
              <w:sz w:val="32"/>
              <w:szCs w:val="24"/>
            </w:rPr>
            <w:fldChar w:fldCharType="end"/>
          </w:r>
          <w:r>
            <w:rPr>
              <w:rFonts w:eastAsia="方正仿宋_GBK" w:cs="Times New Roman"/>
              <w:smallCaps w:val="0"/>
              <w:color w:val="auto"/>
              <w:sz w:val="32"/>
              <w:szCs w:val="24"/>
            </w:rPr>
            <w:fldChar w:fldCharType="end"/>
          </w:r>
        </w:p>
        <w:p>
          <w:pPr>
            <w:pStyle w:val="27"/>
            <w:tabs>
              <w:tab w:val="right" w:leader="dot" w:pos="8844"/>
            </w:tabs>
            <w:spacing w:line="594" w:lineRule="exact"/>
            <w:ind w:firstLine="280" w:firstLineChars="100"/>
            <w:rPr>
              <w:rFonts w:eastAsia="方正仿宋_GBK" w:cs="Times New Roman"/>
              <w:b/>
              <w:bCs w:val="0"/>
              <w:caps w:val="0"/>
              <w:color w:val="auto"/>
              <w:sz w:val="32"/>
              <w:szCs w:val="24"/>
            </w:rPr>
          </w:pPr>
          <w:r>
            <w:fldChar w:fldCharType="begin"/>
          </w:r>
          <w:r>
            <w:instrText xml:space="preserve"> HYPERLINK \l "_Toc17385" </w:instrText>
          </w:r>
          <w:r>
            <w:fldChar w:fldCharType="separate"/>
          </w:r>
          <w:r>
            <w:rPr>
              <w:rFonts w:hint="eastAsia" w:eastAsia="方正仿宋_GBK" w:cs="Times New Roman"/>
              <w:b/>
              <w:bCs w:val="0"/>
              <w:caps w:val="0"/>
              <w:color w:val="auto"/>
              <w:sz w:val="32"/>
              <w:szCs w:val="24"/>
            </w:rPr>
            <w:t>附件</w:t>
          </w:r>
          <w:r>
            <w:rPr>
              <w:rFonts w:eastAsia="方正仿宋_GBK" w:cs="Times New Roman"/>
              <w:b/>
              <w:bCs w:val="0"/>
              <w:caps w:val="0"/>
              <w:color w:val="auto"/>
              <w:sz w:val="32"/>
              <w:szCs w:val="24"/>
            </w:rPr>
            <w:tab/>
          </w:r>
          <w:r>
            <w:rPr>
              <w:rFonts w:eastAsia="方正仿宋_GBK" w:cs="Times New Roman"/>
              <w:b/>
              <w:bCs w:val="0"/>
              <w:caps w:val="0"/>
              <w:color w:val="auto"/>
              <w:sz w:val="32"/>
              <w:szCs w:val="24"/>
            </w:rPr>
            <w:fldChar w:fldCharType="begin"/>
          </w:r>
          <w:r>
            <w:rPr>
              <w:rFonts w:eastAsia="方正仿宋_GBK" w:cs="Times New Roman"/>
              <w:b/>
              <w:bCs w:val="0"/>
              <w:caps w:val="0"/>
              <w:color w:val="auto"/>
              <w:sz w:val="32"/>
              <w:szCs w:val="24"/>
            </w:rPr>
            <w:instrText xml:space="preserve"> PAGEREF _Toc17385 </w:instrText>
          </w:r>
          <w:r>
            <w:rPr>
              <w:rFonts w:eastAsia="方正仿宋_GBK" w:cs="Times New Roman"/>
              <w:b/>
              <w:bCs w:val="0"/>
              <w:caps w:val="0"/>
              <w:color w:val="auto"/>
              <w:sz w:val="32"/>
              <w:szCs w:val="24"/>
            </w:rPr>
            <w:fldChar w:fldCharType="separate"/>
          </w:r>
          <w:r>
            <w:rPr>
              <w:rFonts w:eastAsia="方正仿宋_GBK" w:cs="Times New Roman"/>
              <w:b/>
              <w:bCs w:val="0"/>
              <w:caps w:val="0"/>
              <w:color w:val="auto"/>
              <w:sz w:val="32"/>
              <w:szCs w:val="24"/>
            </w:rPr>
            <w:t>26</w:t>
          </w:r>
          <w:r>
            <w:rPr>
              <w:rFonts w:eastAsia="方正仿宋_GBK" w:cs="Times New Roman"/>
              <w:b/>
              <w:bCs w:val="0"/>
              <w:caps w:val="0"/>
              <w:color w:val="auto"/>
              <w:sz w:val="32"/>
              <w:szCs w:val="24"/>
            </w:rPr>
            <w:fldChar w:fldCharType="end"/>
          </w:r>
          <w:r>
            <w:rPr>
              <w:rFonts w:eastAsia="方正仿宋_GBK" w:cs="Times New Roman"/>
              <w:b/>
              <w:bCs w:val="0"/>
              <w:caps w:val="0"/>
              <w:color w:val="auto"/>
              <w:sz w:val="32"/>
              <w:szCs w:val="24"/>
            </w:rPr>
            <w:fldChar w:fldCharType="end"/>
          </w:r>
        </w:p>
        <w:p>
          <w:pPr>
            <w:pStyle w:val="27"/>
            <w:tabs>
              <w:tab w:val="right" w:leader="dot" w:pos="8844"/>
            </w:tabs>
            <w:spacing w:line="594" w:lineRule="exact"/>
            <w:ind w:firstLine="280" w:firstLineChars="100"/>
            <w:rPr>
              <w:rFonts w:eastAsia="方正仿宋_GBK" w:cs="Times New Roman"/>
              <w:b/>
              <w:bCs w:val="0"/>
              <w:color w:val="auto"/>
              <w:sz w:val="32"/>
              <w:szCs w:val="24"/>
            </w:rPr>
          </w:pPr>
          <w:r>
            <w:fldChar w:fldCharType="begin"/>
          </w:r>
          <w:r>
            <w:instrText xml:space="preserve"> HYPERLINK \l "_Toc15100" </w:instrText>
          </w:r>
          <w:r>
            <w:fldChar w:fldCharType="separate"/>
          </w:r>
          <w:r>
            <w:rPr>
              <w:rFonts w:hint="eastAsia" w:eastAsia="方正仿宋_GBK" w:cs="Times New Roman"/>
              <w:b/>
              <w:bCs w:val="0"/>
              <w:caps w:val="0"/>
              <w:color w:val="auto"/>
              <w:sz w:val="32"/>
              <w:szCs w:val="24"/>
            </w:rPr>
            <w:t>附图</w:t>
          </w:r>
          <w:r>
            <w:rPr>
              <w:rFonts w:eastAsia="方正仿宋_GBK" w:cs="Times New Roman"/>
              <w:b/>
              <w:bCs w:val="0"/>
              <w:caps w:val="0"/>
              <w:color w:val="auto"/>
              <w:sz w:val="32"/>
              <w:szCs w:val="24"/>
            </w:rPr>
            <w:tab/>
          </w:r>
          <w:r>
            <w:rPr>
              <w:rFonts w:eastAsia="方正仿宋_GBK" w:cs="Times New Roman"/>
              <w:b/>
              <w:bCs w:val="0"/>
              <w:caps w:val="0"/>
              <w:color w:val="auto"/>
              <w:sz w:val="32"/>
              <w:szCs w:val="24"/>
            </w:rPr>
            <w:fldChar w:fldCharType="begin"/>
          </w:r>
          <w:r>
            <w:rPr>
              <w:rFonts w:eastAsia="方正仿宋_GBK" w:cs="Times New Roman"/>
              <w:b/>
              <w:bCs w:val="0"/>
              <w:caps w:val="0"/>
              <w:color w:val="auto"/>
              <w:sz w:val="32"/>
              <w:szCs w:val="24"/>
            </w:rPr>
            <w:instrText xml:space="preserve"> PAGEREF _Toc15100 </w:instrText>
          </w:r>
          <w:r>
            <w:rPr>
              <w:rFonts w:eastAsia="方正仿宋_GBK" w:cs="Times New Roman"/>
              <w:b/>
              <w:bCs w:val="0"/>
              <w:caps w:val="0"/>
              <w:color w:val="auto"/>
              <w:sz w:val="32"/>
              <w:szCs w:val="24"/>
            </w:rPr>
            <w:fldChar w:fldCharType="separate"/>
          </w:r>
          <w:r>
            <w:rPr>
              <w:rFonts w:eastAsia="方正仿宋_GBK" w:cs="Times New Roman"/>
              <w:b/>
              <w:bCs w:val="0"/>
              <w:caps w:val="0"/>
              <w:color w:val="auto"/>
              <w:sz w:val="32"/>
              <w:szCs w:val="24"/>
            </w:rPr>
            <w:t>45</w:t>
          </w:r>
          <w:r>
            <w:rPr>
              <w:rFonts w:eastAsia="方正仿宋_GBK" w:cs="Times New Roman"/>
              <w:b/>
              <w:bCs w:val="0"/>
              <w:caps w:val="0"/>
              <w:color w:val="auto"/>
              <w:sz w:val="32"/>
              <w:szCs w:val="24"/>
            </w:rPr>
            <w:fldChar w:fldCharType="end"/>
          </w:r>
          <w:r>
            <w:rPr>
              <w:rFonts w:eastAsia="方正仿宋_GBK" w:cs="Times New Roman"/>
              <w:b/>
              <w:bCs w:val="0"/>
              <w:caps w:val="0"/>
              <w:color w:val="auto"/>
              <w:sz w:val="32"/>
              <w:szCs w:val="24"/>
            </w:rPr>
            <w:fldChar w:fldCharType="end"/>
          </w:r>
        </w:p>
        <w:p>
          <w:pPr>
            <w:pStyle w:val="2"/>
            <w:sectPr>
              <w:headerReference r:id="rId9" w:type="default"/>
              <w:footerReference r:id="rId10" w:type="default"/>
              <w:pgSz w:w="11906" w:h="16838"/>
              <w:pgMar w:top="2098" w:right="1531" w:bottom="1985" w:left="1531" w:header="851" w:footer="1474" w:gutter="0"/>
              <w:pgNumType w:fmt="upperRoman" w:start="1"/>
              <w:cols w:space="425" w:num="1"/>
              <w:docGrid w:type="lines" w:linePitch="435" w:charSpace="0"/>
            </w:sectPr>
          </w:pPr>
          <w:r>
            <w:fldChar w:fldCharType="end"/>
          </w:r>
        </w:p>
      </w:sdtContent>
    </w:sdt>
    <w:p>
      <w:pPr>
        <w:pStyle w:val="2"/>
      </w:pPr>
      <w:bookmarkStart w:id="18" w:name="_Toc14082"/>
      <w:r>
        <w:t xml:space="preserve">1 </w:t>
      </w:r>
      <w:r>
        <w:rPr>
          <w:rFonts w:hint="eastAsia"/>
        </w:rPr>
        <w:t>总则</w:t>
      </w:r>
      <w:bookmarkEnd w:id="18"/>
    </w:p>
    <w:p>
      <w:pPr>
        <w:pStyle w:val="3"/>
      </w:pPr>
      <w:bookmarkStart w:id="19" w:name="_Toc25506"/>
      <w:bookmarkStart w:id="20" w:name="_Toc16902"/>
      <w:bookmarkStart w:id="21" w:name="_Toc6792"/>
      <w:bookmarkStart w:id="22" w:name="_Toc21894"/>
      <w:bookmarkStart w:id="23" w:name="_Toc23691"/>
      <w:bookmarkStart w:id="24" w:name="_Toc17964101"/>
      <w:bookmarkStart w:id="25" w:name="_Toc30248"/>
      <w:bookmarkStart w:id="26" w:name="_Toc31048"/>
      <w:bookmarkStart w:id="27" w:name="_Toc23181"/>
      <w:bookmarkStart w:id="28" w:name="_Toc4909"/>
      <w:bookmarkStart w:id="29" w:name="_Toc22862"/>
      <w:bookmarkStart w:id="30" w:name="_Toc24468"/>
      <w:bookmarkStart w:id="31" w:name="_Toc18065697"/>
      <w:r>
        <w:t>1.1</w:t>
      </w:r>
      <w:r>
        <w:rPr>
          <w:rFonts w:hint="eastAsia"/>
        </w:rPr>
        <w:t xml:space="preserve"> 规划背景</w:t>
      </w:r>
      <w:bookmarkEnd w:id="19"/>
      <w:bookmarkEnd w:id="20"/>
      <w:bookmarkEnd w:id="21"/>
      <w:bookmarkEnd w:id="22"/>
      <w:bookmarkEnd w:id="23"/>
      <w:bookmarkEnd w:id="24"/>
      <w:bookmarkEnd w:id="25"/>
      <w:bookmarkEnd w:id="26"/>
      <w:bookmarkEnd w:id="27"/>
      <w:bookmarkEnd w:id="28"/>
      <w:bookmarkEnd w:id="29"/>
      <w:bookmarkEnd w:id="30"/>
      <w:bookmarkEnd w:id="31"/>
    </w:p>
    <w:p>
      <w:pPr>
        <w:pStyle w:val="4"/>
        <w:ind w:firstLine="640"/>
      </w:pPr>
      <w:bookmarkStart w:id="32" w:name="_Toc17964104"/>
      <w:bookmarkStart w:id="33" w:name="_Toc22666"/>
      <w:bookmarkStart w:id="34" w:name="_Toc4552"/>
      <w:bookmarkStart w:id="35" w:name="_Toc24674"/>
      <w:bookmarkStart w:id="36" w:name="_Toc18065700"/>
      <w:bookmarkStart w:id="37" w:name="_Toc8278"/>
      <w:bookmarkStart w:id="38" w:name="_Toc24397"/>
      <w:bookmarkStart w:id="39" w:name="_Toc26821"/>
      <w:bookmarkStart w:id="40" w:name="_Toc1312"/>
      <w:bookmarkStart w:id="41" w:name="_Toc29364"/>
      <w:bookmarkStart w:id="42" w:name="_Toc24701"/>
      <w:bookmarkStart w:id="43" w:name="_Toc9935"/>
      <w:r>
        <w:t>1.1.1 任务由来</w:t>
      </w:r>
    </w:p>
    <w:p>
      <w:pPr>
        <w:ind w:firstLine="640"/>
        <w:rPr>
          <w:rFonts w:ascii="Times New Roman" w:hAnsi="Times New Roman"/>
        </w:rPr>
      </w:pPr>
      <w:r>
        <w:rPr>
          <w:rFonts w:ascii="Times New Roman" w:hAnsi="Times New Roman"/>
        </w:rPr>
        <w:t>党的十八大以来，党中央、国务院高度重视农村环境综合整治，不断总结农村环境连片整治的进展和经验，大力推进农村生态文明建设。党的十九大以来，为贯彻落实习近平生态文明思想在乡村发展中的新理念新思想新战略，我国乡村生态环境改善目标从“村容整洁”提升为“生态宜居”，国家围绕乡村振兴先后印发出台了《农村人居环境整治三年行动方案》《乡村振兴战略规划（2018－2022年）》《农业农村污染治理攻坚战行动计划》等重要文件，对乡村人居环境整治、农业绿色发展、乡村生态保护与修复等方面作出了具体部署。其中，农村生活污水治理是实施乡村振兴战略重大历史任务之一，是人居环境改善、保护生态环境、促进农村节能减排、提高农民生活品质的重要途径之一，是建设生态宜居的美丽乡村的重要内容之一。习近平总书记强调 “要因地制宜做好厕所下水道管网建设和农村污水处理，不断提高农村居民生活质量”，2019年7月，中央农办、农业农村部、生态环境部、住房城乡建设部、水利部、科技部、国家发展改革委、财政部、银保监会等九部门联合印发了《关于推进农村生活污水治理的指导意见》（中农发〔2019〕14号），明确了扎实推进农村生活污水治理8个方面的重点任务。2019年9月，生态环境部印发了《县域农村生活污水治理专项规划编制指南（试行）》（环办土壤〔2019〕756号），具体指导各地以县级行政区域为单元，科学规划和统筹治理农村生活污水。</w:t>
      </w:r>
    </w:p>
    <w:p>
      <w:pPr>
        <w:ind w:firstLine="640"/>
      </w:pPr>
      <w:r>
        <w:t>重庆市全面落实党中央关于农村生活污水治理的决策部署，牢牢把握“因地制宜，分类指导</w:t>
      </w:r>
      <w:r>
        <w:rPr>
          <w:rFonts w:ascii="Times New Roman" w:hAnsi="Times New Roman"/>
        </w:rPr>
        <w:t>”的原则，出台了《重庆市农业农村污染治理行动计划实施方案》（渝环函〔2019〕119号），深入贯彻落实农村人居环境整治的各项安排部署，积极推进农村生活污水治理工作；重庆市生态环境局、重庆市农业农村委、重庆市规划和自然资源局联合发布《关于开展区县农村生活污水治理专项规划编制工作的通知》（渝环办〔2019〕454号），组织指导各区县开展农村生活污水专项规划编制工作。</w:t>
      </w:r>
    </w:p>
    <w:p>
      <w:pPr>
        <w:pStyle w:val="4"/>
        <w:ind w:firstLine="640"/>
      </w:pPr>
      <w:r>
        <w:t>1.1.2 编制过程</w:t>
      </w:r>
    </w:p>
    <w:p>
      <w:pPr>
        <w:ind w:firstLine="640"/>
        <w:rPr>
          <w:rFonts w:ascii="Times New Roman" w:hAnsi="Times New Roman"/>
        </w:rPr>
      </w:pPr>
      <w:r>
        <w:rPr>
          <w:rFonts w:hint="eastAsia" w:ascii="Times New Roman" w:hAnsi="Times New Roman"/>
        </w:rPr>
        <w:t>奉节县</w:t>
      </w:r>
      <w:r>
        <w:rPr>
          <w:rFonts w:ascii="Times New Roman" w:hAnsi="Times New Roman"/>
        </w:rPr>
        <w:t>深入践行绿水青山就是金山银山的理念，按照重庆市统一部署，积极筹备，严格筛选，委托第三方单位，严格按照《关于开展区县农村生活污水治理专项规划编制工作的通知》（渝环办〔2019〕454号）的要求，以《县域农村生活污水治理专项规划编制指南（试行）》（环办土壤〔2019〕756号）为指导，全面开展</w:t>
      </w:r>
      <w:r>
        <w:rPr>
          <w:rFonts w:hint="eastAsia" w:ascii="Times New Roman" w:hAnsi="Times New Roman"/>
        </w:rPr>
        <w:t>奉节县</w:t>
      </w:r>
      <w:r>
        <w:rPr>
          <w:rFonts w:ascii="Times New Roman" w:hAnsi="Times New Roman"/>
        </w:rPr>
        <w:t>农村生活污水现状摸底排查和问题梳理，在编制过程中紧密衔接《</w:t>
      </w:r>
      <w:r>
        <w:rPr>
          <w:rFonts w:hint="eastAsia" w:ascii="Times New Roman" w:hAnsi="Times New Roman"/>
        </w:rPr>
        <w:t>奉节县及永安等32个乡（乡镇（街道））土地利用总体规划（2006-2020年）》</w:t>
      </w:r>
      <w:r>
        <w:rPr>
          <w:rFonts w:ascii="Times New Roman" w:hAnsi="Times New Roman"/>
        </w:rPr>
        <w:t>等相关规划，结合</w:t>
      </w:r>
      <w:r>
        <w:rPr>
          <w:rFonts w:hint="eastAsia" w:ascii="Times New Roman" w:hAnsi="Times New Roman"/>
        </w:rPr>
        <w:t>奉节县</w:t>
      </w:r>
      <w:r>
        <w:rPr>
          <w:rFonts w:ascii="Times New Roman" w:hAnsi="Times New Roman"/>
        </w:rPr>
        <w:t>实际情况，明确规划空间范围和时限，策划重点项目，完成《重庆市</w:t>
      </w:r>
      <w:r>
        <w:rPr>
          <w:rFonts w:hint="eastAsia" w:ascii="Times New Roman" w:hAnsi="Times New Roman"/>
        </w:rPr>
        <w:t>奉节县</w:t>
      </w:r>
      <w:r>
        <w:rPr>
          <w:rFonts w:ascii="Times New Roman" w:hAnsi="Times New Roman"/>
        </w:rPr>
        <w:t>农村生活污水治理专项规划</w:t>
      </w:r>
      <w:r>
        <w:rPr>
          <w:rFonts w:hint="eastAsia" w:ascii="Times New Roman" w:hAnsi="Times New Roman"/>
        </w:rPr>
        <w:t>（2021—2030年）</w:t>
      </w:r>
      <w:r>
        <w:rPr>
          <w:rFonts w:ascii="Times New Roman" w:hAnsi="Times New Roman"/>
        </w:rPr>
        <w:t>》及《</w:t>
      </w:r>
      <w:r>
        <w:rPr>
          <w:rFonts w:hint="eastAsia" w:ascii="Times New Roman" w:hAnsi="Times New Roman"/>
        </w:rPr>
        <w:t>奉节县</w:t>
      </w:r>
      <w:r>
        <w:rPr>
          <w:rFonts w:ascii="Times New Roman" w:hAnsi="Times New Roman"/>
        </w:rPr>
        <w:t>农村生活污水治理专项规划说明书》编制工作。</w:t>
      </w:r>
    </w:p>
    <w:p>
      <w:pPr>
        <w:pStyle w:val="3"/>
      </w:pPr>
      <w:bookmarkStart w:id="44" w:name="_Toc5071"/>
      <w:r>
        <w:t xml:space="preserve">1.2 </w:t>
      </w:r>
      <w:r>
        <w:rPr>
          <w:rFonts w:hint="eastAsia"/>
        </w:rPr>
        <w:t>编制依据</w:t>
      </w:r>
      <w:bookmarkEnd w:id="32"/>
      <w:bookmarkEnd w:id="33"/>
      <w:bookmarkEnd w:id="34"/>
      <w:bookmarkEnd w:id="35"/>
      <w:bookmarkEnd w:id="36"/>
      <w:bookmarkEnd w:id="37"/>
      <w:bookmarkEnd w:id="38"/>
      <w:bookmarkEnd w:id="39"/>
      <w:bookmarkEnd w:id="40"/>
      <w:bookmarkEnd w:id="41"/>
      <w:bookmarkEnd w:id="42"/>
      <w:bookmarkEnd w:id="43"/>
      <w:bookmarkEnd w:id="44"/>
    </w:p>
    <w:p>
      <w:pPr>
        <w:pStyle w:val="4"/>
        <w:ind w:firstLine="640"/>
      </w:pPr>
      <w:r>
        <w:t>1.2.1 国家法律法规及规范性文件</w:t>
      </w:r>
    </w:p>
    <w:p>
      <w:pPr>
        <w:pStyle w:val="60"/>
        <w:numPr>
          <w:ilvl w:val="0"/>
          <w:numId w:val="3"/>
        </w:numPr>
        <w:spacing w:line="594" w:lineRule="exact"/>
        <w:ind w:left="0" w:firstLine="420" w:firstLineChars="0"/>
        <w:rPr>
          <w:rFonts w:eastAsia="方正仿宋_GBK"/>
          <w:sz w:val="32"/>
        </w:rPr>
      </w:pPr>
      <w:r>
        <w:rPr>
          <w:rFonts w:eastAsia="方正仿宋_GBK"/>
          <w:sz w:val="32"/>
        </w:rPr>
        <w:t>《中华人民共和国环境保护法》（2014年4月24日修订）；</w:t>
      </w:r>
    </w:p>
    <w:p>
      <w:pPr>
        <w:pStyle w:val="60"/>
        <w:numPr>
          <w:ilvl w:val="0"/>
          <w:numId w:val="3"/>
        </w:numPr>
        <w:spacing w:line="594" w:lineRule="exact"/>
        <w:ind w:left="0" w:firstLine="420" w:firstLineChars="0"/>
        <w:rPr>
          <w:rFonts w:eastAsia="方正仿宋_GBK"/>
          <w:sz w:val="32"/>
        </w:rPr>
      </w:pPr>
      <w:r>
        <w:rPr>
          <w:rFonts w:eastAsia="方正仿宋_GBK"/>
          <w:sz w:val="32"/>
        </w:rPr>
        <w:t>《中华人民共和国水法》（2016年7月2日修订）；</w:t>
      </w:r>
    </w:p>
    <w:p>
      <w:pPr>
        <w:pStyle w:val="60"/>
        <w:numPr>
          <w:ilvl w:val="0"/>
          <w:numId w:val="3"/>
        </w:numPr>
        <w:spacing w:line="594" w:lineRule="exact"/>
        <w:ind w:left="0" w:firstLine="420" w:firstLineChars="0"/>
        <w:rPr>
          <w:rFonts w:eastAsia="方正仿宋_GBK"/>
          <w:sz w:val="32"/>
        </w:rPr>
      </w:pPr>
      <w:r>
        <w:rPr>
          <w:rFonts w:eastAsia="方正仿宋_GBK"/>
          <w:sz w:val="32"/>
        </w:rPr>
        <w:t>《中华人民共和国水污染防治法》（2017年6月27日修订）；</w:t>
      </w:r>
    </w:p>
    <w:p>
      <w:pPr>
        <w:pStyle w:val="60"/>
        <w:numPr>
          <w:ilvl w:val="0"/>
          <w:numId w:val="3"/>
        </w:numPr>
        <w:spacing w:line="594" w:lineRule="exact"/>
        <w:ind w:left="0" w:firstLine="420" w:firstLineChars="0"/>
        <w:rPr>
          <w:rFonts w:eastAsia="方正仿宋_GBK"/>
          <w:sz w:val="32"/>
        </w:rPr>
      </w:pPr>
      <w:r>
        <w:rPr>
          <w:rFonts w:eastAsia="方正仿宋_GBK"/>
          <w:sz w:val="32"/>
        </w:rPr>
        <w:t>《中华人民共和国城乡规划法》（2019年4月23日修订）；</w:t>
      </w:r>
    </w:p>
    <w:p>
      <w:pPr>
        <w:pStyle w:val="60"/>
        <w:numPr>
          <w:ilvl w:val="0"/>
          <w:numId w:val="3"/>
        </w:numPr>
        <w:spacing w:line="594" w:lineRule="exact"/>
        <w:ind w:left="0" w:firstLine="420" w:firstLineChars="0"/>
        <w:rPr>
          <w:rFonts w:eastAsia="方正仿宋_GBK"/>
          <w:sz w:val="32"/>
        </w:rPr>
      </w:pPr>
      <w:r>
        <w:rPr>
          <w:rFonts w:eastAsia="方正仿宋_GBK"/>
          <w:sz w:val="32"/>
        </w:rPr>
        <w:t>《畜禽规模养殖污染防治条例》（国务院令第643号）；</w:t>
      </w:r>
    </w:p>
    <w:p>
      <w:pPr>
        <w:pStyle w:val="60"/>
        <w:numPr>
          <w:ilvl w:val="0"/>
          <w:numId w:val="3"/>
        </w:numPr>
        <w:spacing w:line="594" w:lineRule="exact"/>
        <w:ind w:left="0" w:firstLine="420" w:firstLineChars="0"/>
        <w:rPr>
          <w:rFonts w:eastAsia="方正仿宋_GBK"/>
          <w:sz w:val="32"/>
        </w:rPr>
      </w:pPr>
      <w:r>
        <w:rPr>
          <w:rFonts w:eastAsia="方正仿宋_GBK"/>
          <w:sz w:val="32"/>
        </w:rPr>
        <w:t>《农村人居环境整治三年行动方案》（中共中央、国务院2018年1月印发）；</w:t>
      </w:r>
    </w:p>
    <w:p>
      <w:pPr>
        <w:pStyle w:val="60"/>
        <w:numPr>
          <w:ilvl w:val="0"/>
          <w:numId w:val="3"/>
        </w:numPr>
        <w:spacing w:line="594" w:lineRule="exact"/>
        <w:ind w:left="0" w:firstLine="420" w:firstLineChars="0"/>
        <w:rPr>
          <w:rFonts w:eastAsia="方正仿宋_GBK"/>
          <w:sz w:val="32"/>
        </w:rPr>
      </w:pPr>
      <w:r>
        <w:rPr>
          <w:rFonts w:eastAsia="方正仿宋_GBK"/>
          <w:sz w:val="32"/>
        </w:rPr>
        <w:t>《乡村振兴战略规划（2018—2022年）》（中共中央、国务院2018年9月印发）；</w:t>
      </w:r>
    </w:p>
    <w:p>
      <w:pPr>
        <w:pStyle w:val="60"/>
        <w:numPr>
          <w:ilvl w:val="0"/>
          <w:numId w:val="3"/>
        </w:numPr>
        <w:spacing w:line="594" w:lineRule="exact"/>
        <w:ind w:left="0" w:firstLine="420" w:firstLineChars="0"/>
        <w:rPr>
          <w:rFonts w:eastAsia="方正仿宋_GBK"/>
          <w:sz w:val="32"/>
        </w:rPr>
      </w:pPr>
      <w:r>
        <w:rPr>
          <w:rFonts w:eastAsia="方正仿宋_GBK"/>
          <w:sz w:val="32"/>
        </w:rPr>
        <w:t>《关于全面加强生态环境保护坚决打好污染防治攻坚战的意见》（中发〔2018〕17号）；</w:t>
      </w:r>
    </w:p>
    <w:p>
      <w:pPr>
        <w:pStyle w:val="60"/>
        <w:numPr>
          <w:ilvl w:val="0"/>
          <w:numId w:val="3"/>
        </w:numPr>
        <w:spacing w:line="594" w:lineRule="exact"/>
        <w:ind w:left="0" w:firstLine="420" w:firstLineChars="0"/>
        <w:rPr>
          <w:rFonts w:eastAsia="方正仿宋_GBK"/>
          <w:sz w:val="32"/>
        </w:rPr>
      </w:pPr>
      <w:r>
        <w:rPr>
          <w:rFonts w:eastAsia="方正仿宋_GBK"/>
          <w:sz w:val="32"/>
        </w:rPr>
        <w:t>《关于印发水污染防治行动计划的通知》（国发〔2015〕17号）；</w:t>
      </w:r>
    </w:p>
    <w:p>
      <w:pPr>
        <w:pStyle w:val="60"/>
        <w:numPr>
          <w:ilvl w:val="0"/>
          <w:numId w:val="3"/>
        </w:numPr>
        <w:spacing w:line="594" w:lineRule="exact"/>
        <w:ind w:left="0" w:firstLine="420" w:firstLineChars="0"/>
        <w:rPr>
          <w:rFonts w:eastAsia="方正仿宋_GBK"/>
          <w:sz w:val="32"/>
        </w:rPr>
      </w:pPr>
      <w:r>
        <w:rPr>
          <w:rFonts w:eastAsia="方正仿宋_GBK"/>
          <w:spacing w:val="-8"/>
          <w:sz w:val="32"/>
        </w:rPr>
        <w:t>《关于印发“十三五”生态环境保护规划的通知》（国</w:t>
      </w:r>
      <w:r>
        <w:rPr>
          <w:rFonts w:eastAsia="方正仿宋_GBK"/>
          <w:sz w:val="32"/>
        </w:rPr>
        <w:t>发〔2016〕65号）；</w:t>
      </w:r>
    </w:p>
    <w:p>
      <w:pPr>
        <w:pStyle w:val="60"/>
        <w:numPr>
          <w:ilvl w:val="0"/>
          <w:numId w:val="3"/>
        </w:numPr>
        <w:spacing w:line="594" w:lineRule="exact"/>
        <w:ind w:left="0" w:firstLine="420" w:firstLineChars="0"/>
        <w:rPr>
          <w:rFonts w:eastAsia="方正仿宋_GBK"/>
          <w:sz w:val="32"/>
        </w:rPr>
      </w:pPr>
      <w:r>
        <w:rPr>
          <w:rFonts w:eastAsia="方正仿宋_GBK"/>
          <w:sz w:val="32"/>
        </w:rPr>
        <w:t>《关于加强长江黄金水道环境污染防控治理的指导意见》（发改环资〔2016〕370号）；</w:t>
      </w:r>
    </w:p>
    <w:p>
      <w:pPr>
        <w:pStyle w:val="60"/>
        <w:numPr>
          <w:ilvl w:val="0"/>
          <w:numId w:val="3"/>
        </w:numPr>
        <w:spacing w:line="594" w:lineRule="exact"/>
        <w:ind w:left="0" w:firstLine="420" w:firstLineChars="0"/>
        <w:rPr>
          <w:rFonts w:eastAsia="方正仿宋_GBK"/>
          <w:sz w:val="32"/>
        </w:rPr>
      </w:pPr>
      <w:r>
        <w:rPr>
          <w:rFonts w:eastAsia="方正仿宋_GBK"/>
          <w:sz w:val="32"/>
        </w:rPr>
        <w:t>《农村生活污水处理项目建设与投资指南》（环发〔2013〕130号）；</w:t>
      </w:r>
    </w:p>
    <w:p>
      <w:pPr>
        <w:pStyle w:val="60"/>
        <w:numPr>
          <w:ilvl w:val="0"/>
          <w:numId w:val="3"/>
        </w:numPr>
        <w:spacing w:line="594" w:lineRule="exact"/>
        <w:ind w:left="0" w:firstLine="420" w:firstLineChars="0"/>
        <w:rPr>
          <w:rFonts w:eastAsia="方正仿宋_GBK"/>
          <w:sz w:val="32"/>
        </w:rPr>
      </w:pPr>
      <w:r>
        <w:rPr>
          <w:rFonts w:eastAsia="方正仿宋_GBK"/>
          <w:sz w:val="32"/>
        </w:rPr>
        <w:t>《关于印发农业农村污染治理攻坚战行动计划的通知》（环土壤〔2018〕143号）；</w:t>
      </w:r>
    </w:p>
    <w:p>
      <w:pPr>
        <w:pStyle w:val="60"/>
        <w:numPr>
          <w:ilvl w:val="0"/>
          <w:numId w:val="3"/>
        </w:numPr>
        <w:spacing w:line="594" w:lineRule="exact"/>
        <w:ind w:left="0" w:firstLine="420" w:firstLineChars="0"/>
        <w:rPr>
          <w:rFonts w:eastAsia="方正仿宋_GBK"/>
          <w:sz w:val="32"/>
        </w:rPr>
      </w:pPr>
      <w:r>
        <w:rPr>
          <w:rFonts w:eastAsia="方正仿宋_GBK"/>
          <w:sz w:val="32"/>
        </w:rPr>
        <w:t>《关于进一步加强农业农村生态环境工作的指导意见》（环办土壤〔2019〕24号）；</w:t>
      </w:r>
    </w:p>
    <w:p>
      <w:pPr>
        <w:pStyle w:val="60"/>
        <w:numPr>
          <w:ilvl w:val="0"/>
          <w:numId w:val="3"/>
        </w:numPr>
        <w:spacing w:line="594" w:lineRule="exact"/>
        <w:ind w:left="0" w:firstLine="420" w:firstLineChars="0"/>
        <w:rPr>
          <w:rFonts w:eastAsia="方正仿宋_GBK"/>
          <w:sz w:val="32"/>
        </w:rPr>
      </w:pPr>
      <w:r>
        <w:rPr>
          <w:rFonts w:eastAsia="方正仿宋_GBK"/>
          <w:sz w:val="32"/>
        </w:rPr>
        <w:t>《县域农村生活污水治理专项规划编制指南（试行）》（环办土壤函〔2019〕756号）；</w:t>
      </w:r>
    </w:p>
    <w:p>
      <w:pPr>
        <w:pStyle w:val="60"/>
        <w:numPr>
          <w:ilvl w:val="0"/>
          <w:numId w:val="3"/>
        </w:numPr>
        <w:spacing w:line="594" w:lineRule="exact"/>
        <w:ind w:left="0" w:firstLine="420" w:firstLineChars="0"/>
        <w:rPr>
          <w:rFonts w:eastAsia="方正仿宋_GBK"/>
          <w:sz w:val="32"/>
        </w:rPr>
      </w:pPr>
      <w:r>
        <w:rPr>
          <w:rFonts w:eastAsia="方正仿宋_GBK"/>
          <w:sz w:val="32"/>
        </w:rPr>
        <w:t>《农村黑臭水体治理工作指南（试行）》（环办土壤函〔2019〕826号）；</w:t>
      </w:r>
    </w:p>
    <w:p>
      <w:pPr>
        <w:pStyle w:val="60"/>
        <w:numPr>
          <w:ilvl w:val="0"/>
          <w:numId w:val="3"/>
        </w:numPr>
        <w:spacing w:line="594" w:lineRule="exact"/>
        <w:ind w:left="0" w:firstLine="420" w:firstLineChars="0"/>
        <w:rPr>
          <w:rFonts w:eastAsia="方正仿宋_GBK"/>
          <w:sz w:val="32"/>
        </w:rPr>
      </w:pPr>
      <w:r>
        <w:rPr>
          <w:rFonts w:eastAsia="方正仿宋_GBK"/>
          <w:sz w:val="32"/>
        </w:rPr>
        <w:t>《关于推进农村生活污水治理的指导意见》（中农发〔2019〕14号）；</w:t>
      </w:r>
    </w:p>
    <w:p>
      <w:pPr>
        <w:pStyle w:val="60"/>
        <w:numPr>
          <w:ilvl w:val="0"/>
          <w:numId w:val="3"/>
        </w:numPr>
        <w:spacing w:line="594" w:lineRule="exact"/>
        <w:ind w:left="0" w:firstLine="420" w:firstLineChars="0"/>
        <w:rPr>
          <w:rFonts w:eastAsia="方正仿宋_GBK"/>
          <w:sz w:val="32"/>
        </w:rPr>
      </w:pPr>
      <w:r>
        <w:rPr>
          <w:rFonts w:eastAsia="方正仿宋_GBK"/>
          <w:sz w:val="32"/>
        </w:rPr>
        <w:t>《县（市）域城乡污水统筹治理导则（试行）》（建村〔2014〕6号）；</w:t>
      </w:r>
    </w:p>
    <w:p>
      <w:pPr>
        <w:pStyle w:val="60"/>
        <w:numPr>
          <w:ilvl w:val="0"/>
          <w:numId w:val="3"/>
        </w:numPr>
        <w:spacing w:line="594" w:lineRule="exact"/>
        <w:ind w:left="0" w:firstLine="420" w:firstLineChars="0"/>
        <w:rPr>
          <w:rFonts w:eastAsia="方正仿宋_GBK"/>
          <w:sz w:val="32"/>
        </w:rPr>
      </w:pPr>
      <w:r>
        <w:rPr>
          <w:rFonts w:eastAsia="方正仿宋_GBK"/>
          <w:sz w:val="32"/>
        </w:rPr>
        <w:t>《农田灌溉水质标准》（GB 5084）；</w:t>
      </w:r>
    </w:p>
    <w:p>
      <w:pPr>
        <w:pStyle w:val="60"/>
        <w:numPr>
          <w:ilvl w:val="0"/>
          <w:numId w:val="3"/>
        </w:numPr>
        <w:spacing w:line="594" w:lineRule="exact"/>
        <w:ind w:left="0" w:firstLine="420" w:firstLineChars="0"/>
        <w:rPr>
          <w:rFonts w:eastAsia="方正仿宋_GBK"/>
          <w:sz w:val="32"/>
        </w:rPr>
      </w:pPr>
      <w:r>
        <w:rPr>
          <w:rFonts w:eastAsia="方正仿宋_GBK"/>
          <w:sz w:val="32"/>
        </w:rPr>
        <w:t>《地表水环境质量标准》（GB3838）；</w:t>
      </w:r>
    </w:p>
    <w:p>
      <w:pPr>
        <w:pStyle w:val="60"/>
        <w:numPr>
          <w:ilvl w:val="0"/>
          <w:numId w:val="3"/>
        </w:numPr>
        <w:spacing w:line="594" w:lineRule="exact"/>
        <w:ind w:left="0" w:firstLine="420" w:firstLineChars="0"/>
        <w:rPr>
          <w:rFonts w:eastAsia="方正仿宋_GBK"/>
          <w:sz w:val="32"/>
        </w:rPr>
      </w:pPr>
      <w:r>
        <w:rPr>
          <w:rFonts w:eastAsia="方正仿宋_GBK"/>
          <w:sz w:val="32"/>
        </w:rPr>
        <w:t>《城镇污水处理厂污染物排放标准》（GB18918）；</w:t>
      </w:r>
    </w:p>
    <w:p>
      <w:pPr>
        <w:pStyle w:val="60"/>
        <w:numPr>
          <w:ilvl w:val="0"/>
          <w:numId w:val="3"/>
        </w:numPr>
        <w:spacing w:line="594" w:lineRule="exact"/>
        <w:ind w:left="0" w:firstLine="420" w:firstLineChars="0"/>
        <w:rPr>
          <w:rFonts w:eastAsia="方正仿宋_GBK"/>
          <w:sz w:val="32"/>
        </w:rPr>
      </w:pPr>
      <w:r>
        <w:rPr>
          <w:rFonts w:eastAsia="方正仿宋_GBK"/>
          <w:sz w:val="32"/>
        </w:rPr>
        <w:t>《城市污水再生利用城市杂用水水质》（GB 18920）</w:t>
      </w:r>
      <w:r>
        <w:rPr>
          <w:rFonts w:hint="eastAsia" w:eastAsia="方正仿宋_GBK"/>
          <w:sz w:val="32"/>
        </w:rPr>
        <w:t>；</w:t>
      </w:r>
    </w:p>
    <w:p>
      <w:pPr>
        <w:pStyle w:val="60"/>
        <w:numPr>
          <w:ilvl w:val="0"/>
          <w:numId w:val="3"/>
        </w:numPr>
        <w:spacing w:line="594" w:lineRule="exact"/>
        <w:ind w:left="0" w:firstLine="420" w:firstLineChars="0"/>
        <w:rPr>
          <w:rFonts w:eastAsia="方正仿宋_GBK"/>
          <w:sz w:val="32"/>
        </w:rPr>
      </w:pPr>
      <w:r>
        <w:rPr>
          <w:rFonts w:eastAsia="方正仿宋_GBK"/>
          <w:sz w:val="32"/>
        </w:rPr>
        <w:t>《建筑给水排水设计规范》（GB 50015）</w:t>
      </w:r>
    </w:p>
    <w:p>
      <w:pPr>
        <w:pStyle w:val="60"/>
        <w:numPr>
          <w:ilvl w:val="0"/>
          <w:numId w:val="3"/>
        </w:numPr>
        <w:spacing w:line="594" w:lineRule="exact"/>
        <w:ind w:left="0" w:firstLine="420" w:firstLineChars="0"/>
        <w:rPr>
          <w:rFonts w:eastAsia="方正仿宋_GBK"/>
          <w:sz w:val="32"/>
        </w:rPr>
      </w:pPr>
      <w:r>
        <w:rPr>
          <w:rFonts w:eastAsia="方正仿宋_GBK"/>
          <w:sz w:val="32"/>
        </w:rPr>
        <w:t>《室外排水设计规范》（GB 50014）；</w:t>
      </w:r>
    </w:p>
    <w:p>
      <w:pPr>
        <w:pStyle w:val="60"/>
        <w:numPr>
          <w:ilvl w:val="0"/>
          <w:numId w:val="3"/>
        </w:numPr>
        <w:spacing w:line="594" w:lineRule="exact"/>
        <w:ind w:left="0" w:firstLine="420" w:firstLineChars="0"/>
        <w:rPr>
          <w:rFonts w:eastAsia="方正仿宋_GBK"/>
          <w:sz w:val="32"/>
        </w:rPr>
      </w:pPr>
      <w:r>
        <w:rPr>
          <w:rFonts w:eastAsia="方正仿宋_GBK"/>
          <w:sz w:val="32"/>
        </w:rPr>
        <w:t>《村庄整治技术规范》（GB 50445）；</w:t>
      </w:r>
    </w:p>
    <w:p>
      <w:pPr>
        <w:pStyle w:val="60"/>
        <w:numPr>
          <w:ilvl w:val="0"/>
          <w:numId w:val="3"/>
        </w:numPr>
        <w:spacing w:line="594" w:lineRule="exact"/>
        <w:ind w:left="0" w:firstLine="420" w:firstLineChars="0"/>
        <w:rPr>
          <w:rFonts w:eastAsia="方正仿宋_GBK"/>
          <w:sz w:val="32"/>
        </w:rPr>
      </w:pPr>
      <w:r>
        <w:rPr>
          <w:rFonts w:eastAsia="方正仿宋_GBK"/>
          <w:sz w:val="32"/>
        </w:rPr>
        <w:t>《农用污泥污染物控制标准》（GB 4284）；</w:t>
      </w:r>
    </w:p>
    <w:p>
      <w:pPr>
        <w:pStyle w:val="60"/>
        <w:numPr>
          <w:ilvl w:val="0"/>
          <w:numId w:val="3"/>
        </w:numPr>
        <w:spacing w:line="594" w:lineRule="exact"/>
        <w:ind w:left="0" w:firstLine="420" w:firstLineChars="0"/>
        <w:rPr>
          <w:rFonts w:eastAsia="方正仿宋_GBK"/>
          <w:sz w:val="32"/>
        </w:rPr>
      </w:pPr>
      <w:r>
        <w:rPr>
          <w:rFonts w:eastAsia="方正仿宋_GBK"/>
          <w:sz w:val="32"/>
        </w:rPr>
        <w:t>《农村生活污水处理工程技术标准》（GB/T 51347）；</w:t>
      </w:r>
    </w:p>
    <w:p>
      <w:pPr>
        <w:pStyle w:val="60"/>
        <w:numPr>
          <w:ilvl w:val="0"/>
          <w:numId w:val="3"/>
        </w:numPr>
        <w:spacing w:line="594" w:lineRule="exact"/>
        <w:ind w:left="0" w:firstLine="420" w:firstLineChars="0"/>
        <w:rPr>
          <w:rFonts w:eastAsia="方正仿宋_GBK"/>
          <w:sz w:val="32"/>
        </w:rPr>
      </w:pPr>
      <w:r>
        <w:rPr>
          <w:rFonts w:eastAsia="方正仿宋_GBK"/>
          <w:sz w:val="32"/>
        </w:rPr>
        <w:t>《农村生活污染控制技术规范》（HJ 574）；</w:t>
      </w:r>
    </w:p>
    <w:p>
      <w:pPr>
        <w:pStyle w:val="60"/>
        <w:numPr>
          <w:ilvl w:val="0"/>
          <w:numId w:val="3"/>
        </w:numPr>
        <w:spacing w:line="594" w:lineRule="exact"/>
        <w:ind w:left="0" w:firstLine="420" w:firstLineChars="0"/>
        <w:rPr>
          <w:rFonts w:eastAsia="方正仿宋_GBK"/>
          <w:sz w:val="32"/>
        </w:rPr>
      </w:pPr>
      <w:r>
        <w:rPr>
          <w:rFonts w:eastAsia="方正仿宋_GBK"/>
          <w:sz w:val="32"/>
        </w:rPr>
        <w:t>《人工湿地污水处理工程技术规范》（HJ 2005）</w:t>
      </w:r>
      <w:r>
        <w:rPr>
          <w:rFonts w:hint="eastAsia" w:eastAsia="方正仿宋_GBK"/>
          <w:sz w:val="32"/>
        </w:rPr>
        <w:t>；</w:t>
      </w:r>
    </w:p>
    <w:p>
      <w:pPr>
        <w:pStyle w:val="60"/>
        <w:numPr>
          <w:ilvl w:val="0"/>
          <w:numId w:val="3"/>
        </w:numPr>
        <w:spacing w:line="594" w:lineRule="exact"/>
        <w:ind w:left="0" w:firstLine="420" w:firstLineChars="0"/>
        <w:rPr>
          <w:rFonts w:eastAsia="方正仿宋_GBK"/>
          <w:sz w:val="32"/>
        </w:rPr>
      </w:pPr>
      <w:r>
        <w:rPr>
          <w:rFonts w:eastAsia="方正仿宋_GBK"/>
          <w:sz w:val="32"/>
        </w:rPr>
        <w:t>《小城镇污水处理工程建设标准》（建标148）</w:t>
      </w:r>
      <w:r>
        <w:rPr>
          <w:rFonts w:hint="eastAsia" w:eastAsia="方正仿宋_GBK"/>
          <w:sz w:val="32"/>
        </w:rPr>
        <w:t>。</w:t>
      </w:r>
    </w:p>
    <w:p>
      <w:pPr>
        <w:pStyle w:val="4"/>
        <w:ind w:firstLine="640"/>
      </w:pPr>
      <w:r>
        <w:t>1.2.2 重庆市法律法规及规范性文件</w:t>
      </w:r>
    </w:p>
    <w:p>
      <w:pPr>
        <w:pStyle w:val="60"/>
        <w:numPr>
          <w:ilvl w:val="0"/>
          <w:numId w:val="4"/>
        </w:numPr>
        <w:spacing w:line="594" w:lineRule="exact"/>
        <w:ind w:left="0" w:firstLine="420" w:firstLineChars="0"/>
        <w:rPr>
          <w:rFonts w:eastAsia="方正仿宋_GBK"/>
          <w:sz w:val="32"/>
        </w:rPr>
      </w:pPr>
      <w:r>
        <w:rPr>
          <w:rFonts w:eastAsia="方正仿宋_GBK"/>
          <w:sz w:val="32"/>
        </w:rPr>
        <w:t>《重庆市环境保护条例》（2017年3月29日修订）；</w:t>
      </w:r>
    </w:p>
    <w:p>
      <w:pPr>
        <w:pStyle w:val="60"/>
        <w:numPr>
          <w:ilvl w:val="0"/>
          <w:numId w:val="4"/>
        </w:numPr>
        <w:spacing w:line="594" w:lineRule="exact"/>
        <w:ind w:left="0" w:firstLine="420" w:firstLineChars="0"/>
        <w:rPr>
          <w:rFonts w:eastAsia="方正仿宋_GBK"/>
          <w:sz w:val="32"/>
        </w:rPr>
      </w:pPr>
      <w:r>
        <w:rPr>
          <w:rFonts w:eastAsia="方正仿宋_GBK"/>
          <w:sz w:val="32"/>
        </w:rPr>
        <w:t>《重庆市长江三峡水库库区及流域水污染防治条例》（2011年7月29日修订）；</w:t>
      </w:r>
    </w:p>
    <w:p>
      <w:pPr>
        <w:pStyle w:val="60"/>
        <w:numPr>
          <w:ilvl w:val="0"/>
          <w:numId w:val="4"/>
        </w:numPr>
        <w:spacing w:line="594" w:lineRule="exact"/>
        <w:ind w:left="0" w:firstLine="420" w:firstLineChars="0"/>
        <w:rPr>
          <w:rFonts w:eastAsia="方正仿宋_GBK"/>
          <w:sz w:val="32"/>
        </w:rPr>
      </w:pPr>
      <w:r>
        <w:rPr>
          <w:rFonts w:eastAsia="方正仿宋_GBK"/>
          <w:sz w:val="32"/>
        </w:rPr>
        <w:t>《重庆市水资源管理条例》（2015年5月28日修订）；</w:t>
      </w:r>
    </w:p>
    <w:p>
      <w:pPr>
        <w:pStyle w:val="60"/>
        <w:numPr>
          <w:ilvl w:val="0"/>
          <w:numId w:val="4"/>
        </w:numPr>
        <w:spacing w:line="594" w:lineRule="exact"/>
        <w:ind w:left="0" w:firstLine="420" w:firstLineChars="0"/>
        <w:rPr>
          <w:rFonts w:eastAsia="方正仿宋_GBK"/>
          <w:sz w:val="32"/>
        </w:rPr>
      </w:pPr>
      <w:r>
        <w:rPr>
          <w:rFonts w:eastAsia="方正仿宋_GBK"/>
          <w:sz w:val="32"/>
        </w:rPr>
        <w:t>《重庆市污染防治攻坚战实施方案（2018-2020年）》（渝委发〔2018〕28号）；</w:t>
      </w:r>
    </w:p>
    <w:p>
      <w:pPr>
        <w:pStyle w:val="60"/>
        <w:numPr>
          <w:ilvl w:val="0"/>
          <w:numId w:val="4"/>
        </w:numPr>
        <w:spacing w:line="594" w:lineRule="exact"/>
        <w:ind w:left="0" w:firstLine="420" w:firstLineChars="0"/>
        <w:rPr>
          <w:rFonts w:eastAsia="方正仿宋_GBK"/>
          <w:sz w:val="32"/>
        </w:rPr>
      </w:pPr>
      <w:r>
        <w:rPr>
          <w:rFonts w:eastAsia="方正仿宋_GBK"/>
          <w:sz w:val="32"/>
        </w:rPr>
        <w:t>《重庆市地面水域适用功能类别划分规定》（渝府发〔1998〕89号）；</w:t>
      </w:r>
    </w:p>
    <w:p>
      <w:pPr>
        <w:pStyle w:val="60"/>
        <w:numPr>
          <w:ilvl w:val="0"/>
          <w:numId w:val="4"/>
        </w:numPr>
        <w:spacing w:line="594" w:lineRule="exact"/>
        <w:ind w:left="0" w:firstLine="420" w:firstLineChars="0"/>
        <w:rPr>
          <w:rFonts w:eastAsia="方正仿宋_GBK"/>
          <w:sz w:val="32"/>
        </w:rPr>
      </w:pPr>
      <w:r>
        <w:rPr>
          <w:rFonts w:eastAsia="方正仿宋_GBK"/>
          <w:sz w:val="32"/>
        </w:rPr>
        <w:t>《重庆市地表水环境功能类别调整方案》（渝府发〔2012〕4号）；</w:t>
      </w:r>
    </w:p>
    <w:p>
      <w:pPr>
        <w:pStyle w:val="60"/>
        <w:numPr>
          <w:ilvl w:val="0"/>
          <w:numId w:val="4"/>
        </w:numPr>
        <w:spacing w:line="594" w:lineRule="exact"/>
        <w:ind w:left="0" w:firstLine="420" w:firstLineChars="0"/>
        <w:rPr>
          <w:rFonts w:eastAsia="方正仿宋_GBK"/>
          <w:sz w:val="32"/>
        </w:rPr>
      </w:pPr>
      <w:r>
        <w:rPr>
          <w:rFonts w:eastAsia="方正仿宋_GBK"/>
          <w:sz w:val="32"/>
        </w:rPr>
        <w:t>《重庆市人民政府关于贯彻落实国务院水污染防治行动计划实施方案的通知》（渝府发〔2015〕69号）；</w:t>
      </w:r>
    </w:p>
    <w:p>
      <w:pPr>
        <w:pStyle w:val="60"/>
        <w:numPr>
          <w:ilvl w:val="0"/>
          <w:numId w:val="4"/>
        </w:numPr>
        <w:spacing w:line="594" w:lineRule="exact"/>
        <w:ind w:left="0" w:firstLine="420" w:firstLineChars="0"/>
        <w:rPr>
          <w:rFonts w:eastAsia="方正仿宋_GBK"/>
          <w:sz w:val="32"/>
        </w:rPr>
      </w:pPr>
      <w:r>
        <w:rPr>
          <w:rFonts w:hint="eastAsia" w:eastAsia="方正仿宋_GBK"/>
          <w:sz w:val="32"/>
        </w:rPr>
        <w:t>《重庆市城市经营及生活用水定额（试行)》（渝水〔2018〕66号）；</w:t>
      </w:r>
    </w:p>
    <w:p>
      <w:pPr>
        <w:pStyle w:val="60"/>
        <w:numPr>
          <w:ilvl w:val="0"/>
          <w:numId w:val="4"/>
        </w:numPr>
        <w:spacing w:line="594" w:lineRule="exact"/>
        <w:ind w:left="0" w:firstLine="420" w:firstLineChars="0"/>
        <w:rPr>
          <w:rFonts w:eastAsia="方正仿宋_GBK"/>
          <w:sz w:val="32"/>
        </w:rPr>
      </w:pPr>
      <w:r>
        <w:rPr>
          <w:rFonts w:eastAsia="方正仿宋_GBK"/>
          <w:sz w:val="32"/>
        </w:rPr>
        <w:t>《重庆市乡镇污水处理设施管理维护实施方案》（渝府办发〔2015〕166号）；</w:t>
      </w:r>
    </w:p>
    <w:p>
      <w:pPr>
        <w:pStyle w:val="60"/>
        <w:numPr>
          <w:ilvl w:val="0"/>
          <w:numId w:val="4"/>
        </w:numPr>
        <w:spacing w:line="594" w:lineRule="exact"/>
        <w:ind w:left="0" w:firstLine="420" w:firstLineChars="0"/>
        <w:rPr>
          <w:rFonts w:eastAsia="方正仿宋_GBK"/>
          <w:sz w:val="32"/>
        </w:rPr>
      </w:pPr>
      <w:r>
        <w:rPr>
          <w:rFonts w:eastAsia="方正仿宋_GBK"/>
          <w:sz w:val="32"/>
        </w:rPr>
        <w:t>《关于印发重庆市农村生活污水及生活垃圾处理适宜技术推荐（试行）的通知》（渝环发〔2015〕16号）；</w:t>
      </w:r>
    </w:p>
    <w:p>
      <w:pPr>
        <w:pStyle w:val="60"/>
        <w:numPr>
          <w:ilvl w:val="0"/>
          <w:numId w:val="4"/>
        </w:numPr>
        <w:spacing w:line="594" w:lineRule="exact"/>
        <w:ind w:left="0" w:firstLine="420" w:firstLineChars="0"/>
        <w:rPr>
          <w:rFonts w:eastAsia="方正仿宋_GBK"/>
          <w:sz w:val="32"/>
        </w:rPr>
      </w:pPr>
      <w:bookmarkStart w:id="45" w:name="tbx_bt"/>
      <w:r>
        <w:rPr>
          <w:rFonts w:eastAsia="方正仿宋_GBK"/>
          <w:bCs/>
          <w:sz w:val="32"/>
        </w:rPr>
        <w:t>《关于加强农村生活污水治理与改厕工作衔接的通知</w:t>
      </w:r>
      <w:bookmarkEnd w:id="45"/>
      <w:r>
        <w:rPr>
          <w:rFonts w:eastAsia="方正仿宋_GBK"/>
          <w:bCs/>
          <w:sz w:val="32"/>
        </w:rPr>
        <w:t>》（渝环办〔2019〕270号）；</w:t>
      </w:r>
    </w:p>
    <w:p>
      <w:pPr>
        <w:pStyle w:val="60"/>
        <w:numPr>
          <w:ilvl w:val="0"/>
          <w:numId w:val="4"/>
        </w:numPr>
        <w:spacing w:line="594" w:lineRule="exact"/>
        <w:ind w:left="0" w:firstLine="420" w:firstLineChars="0"/>
        <w:rPr>
          <w:rFonts w:eastAsia="方正仿宋_GBK"/>
          <w:sz w:val="32"/>
        </w:rPr>
      </w:pPr>
      <w:r>
        <w:rPr>
          <w:rFonts w:eastAsia="方正仿宋_GBK"/>
          <w:sz w:val="32"/>
        </w:rPr>
        <w:t>《关于开展区县农村生活污水治理专项规划编制工作的通知》（渝环办〔2019〕454号）；</w:t>
      </w:r>
    </w:p>
    <w:p>
      <w:pPr>
        <w:pStyle w:val="60"/>
        <w:numPr>
          <w:ilvl w:val="0"/>
          <w:numId w:val="4"/>
        </w:numPr>
        <w:spacing w:line="594" w:lineRule="exact"/>
        <w:ind w:left="0" w:firstLine="420" w:firstLineChars="0"/>
        <w:rPr>
          <w:rFonts w:eastAsia="方正仿宋_GBK"/>
          <w:sz w:val="32"/>
        </w:rPr>
      </w:pPr>
      <w:r>
        <w:rPr>
          <w:rFonts w:eastAsia="方正仿宋_GBK"/>
          <w:sz w:val="32"/>
        </w:rPr>
        <w:t>《重庆市农业农村污染治理攻坚战行动计划实施方案》（渝环函〔2019〕119号）；</w:t>
      </w:r>
    </w:p>
    <w:p>
      <w:pPr>
        <w:pStyle w:val="60"/>
        <w:numPr>
          <w:ilvl w:val="0"/>
          <w:numId w:val="4"/>
        </w:numPr>
        <w:spacing w:line="594" w:lineRule="exact"/>
        <w:ind w:left="0" w:firstLine="420" w:firstLineChars="0"/>
        <w:rPr>
          <w:rFonts w:eastAsia="方正仿宋_GBK"/>
          <w:sz w:val="32"/>
        </w:rPr>
      </w:pPr>
      <w:r>
        <w:rPr>
          <w:rFonts w:eastAsia="方正仿宋_GBK"/>
          <w:sz w:val="32"/>
        </w:rPr>
        <w:t>《农村生活污水集中处理设施水污染物排放标准》（DB 50/848）</w:t>
      </w:r>
      <w:r>
        <w:rPr>
          <w:rFonts w:hint="eastAsia" w:eastAsia="方正仿宋_GBK"/>
          <w:sz w:val="32"/>
        </w:rPr>
        <w:t>。</w:t>
      </w:r>
    </w:p>
    <w:p>
      <w:pPr>
        <w:pStyle w:val="4"/>
        <w:ind w:firstLine="640"/>
      </w:pPr>
      <w:r>
        <w:t>1.2.3 奉节县相关文件</w:t>
      </w:r>
    </w:p>
    <w:p>
      <w:pPr>
        <w:pStyle w:val="60"/>
        <w:numPr>
          <w:ilvl w:val="0"/>
          <w:numId w:val="5"/>
        </w:numPr>
        <w:spacing w:line="594" w:lineRule="exact"/>
        <w:ind w:left="0" w:firstLine="640"/>
        <w:rPr>
          <w:rFonts w:eastAsia="方正仿宋_GBK"/>
          <w:sz w:val="32"/>
          <w:szCs w:val="32"/>
        </w:rPr>
      </w:pPr>
      <w:r>
        <w:rPr>
          <w:rFonts w:eastAsia="方正仿宋_GBK"/>
          <w:sz w:val="32"/>
          <w:szCs w:val="32"/>
        </w:rPr>
        <w:t>《奉节县生态保护红线》（奉节府发〔2018〕43号）；</w:t>
      </w:r>
    </w:p>
    <w:p>
      <w:pPr>
        <w:pStyle w:val="60"/>
        <w:numPr>
          <w:ilvl w:val="0"/>
          <w:numId w:val="5"/>
        </w:numPr>
        <w:spacing w:line="594" w:lineRule="exact"/>
        <w:ind w:left="0" w:firstLine="640"/>
        <w:rPr>
          <w:rFonts w:eastAsia="方正仿宋_GBK"/>
          <w:sz w:val="32"/>
          <w:szCs w:val="32"/>
        </w:rPr>
      </w:pPr>
      <w:r>
        <w:rPr>
          <w:rFonts w:eastAsia="方正仿宋_GBK"/>
          <w:sz w:val="32"/>
          <w:szCs w:val="32"/>
        </w:rPr>
        <w:t>《奉节县养殖水域滩涂规划（2018—2030年）》（奉节府发〔2019〕2号）；</w:t>
      </w:r>
    </w:p>
    <w:p>
      <w:pPr>
        <w:pStyle w:val="60"/>
        <w:numPr>
          <w:ilvl w:val="0"/>
          <w:numId w:val="5"/>
        </w:numPr>
        <w:spacing w:line="594" w:lineRule="exact"/>
        <w:ind w:left="0" w:firstLine="640"/>
        <w:rPr>
          <w:rFonts w:eastAsia="方正仿宋_GBK"/>
          <w:sz w:val="32"/>
          <w:szCs w:val="32"/>
        </w:rPr>
      </w:pPr>
      <w:r>
        <w:rPr>
          <w:rFonts w:eastAsia="方正仿宋_GBK"/>
          <w:sz w:val="32"/>
          <w:szCs w:val="32"/>
        </w:rPr>
        <w:t>《</w:t>
      </w:r>
      <w:r>
        <w:rPr>
          <w:rFonts w:hint="eastAsia" w:eastAsia="方正仿宋_GBK"/>
          <w:sz w:val="32"/>
          <w:szCs w:val="32"/>
        </w:rPr>
        <w:t>奉节县及永安等32个乡（乡镇（街道））土地利用总体规划（2006-2020年）调整方案》；</w:t>
      </w:r>
    </w:p>
    <w:p>
      <w:pPr>
        <w:pStyle w:val="60"/>
        <w:numPr>
          <w:ilvl w:val="0"/>
          <w:numId w:val="5"/>
        </w:numPr>
        <w:spacing w:line="594" w:lineRule="exact"/>
        <w:ind w:left="0" w:firstLine="640"/>
        <w:rPr>
          <w:rFonts w:eastAsia="方正仿宋_GBK"/>
          <w:sz w:val="32"/>
          <w:szCs w:val="32"/>
        </w:rPr>
      </w:pPr>
      <w:r>
        <w:rPr>
          <w:rFonts w:hint="eastAsia" w:eastAsia="方正仿宋_GBK"/>
          <w:sz w:val="32"/>
          <w:szCs w:val="32"/>
        </w:rPr>
        <w:t>《奉节县一河一策方案》；</w:t>
      </w:r>
    </w:p>
    <w:p>
      <w:pPr>
        <w:pStyle w:val="60"/>
        <w:numPr>
          <w:ilvl w:val="0"/>
          <w:numId w:val="5"/>
        </w:numPr>
        <w:spacing w:line="594" w:lineRule="exact"/>
        <w:ind w:left="0" w:firstLine="640"/>
        <w:rPr>
          <w:rFonts w:eastAsia="方正仿宋_GBK"/>
          <w:sz w:val="32"/>
          <w:szCs w:val="32"/>
        </w:rPr>
      </w:pPr>
      <w:r>
        <w:rPr>
          <w:rFonts w:hint="eastAsia" w:eastAsia="方正仿宋_GBK"/>
          <w:sz w:val="32"/>
          <w:szCs w:val="32"/>
        </w:rPr>
        <w:t>《奉节县生活污水厂网一体化及重点乡镇基础设施项目调查与规划报告》；</w:t>
      </w:r>
    </w:p>
    <w:p>
      <w:pPr>
        <w:pStyle w:val="60"/>
        <w:numPr>
          <w:ilvl w:val="0"/>
          <w:numId w:val="5"/>
        </w:numPr>
        <w:spacing w:line="594" w:lineRule="exact"/>
        <w:ind w:left="0" w:firstLine="640"/>
        <w:rPr>
          <w:rFonts w:eastAsia="方正仿宋_GBK"/>
          <w:sz w:val="32"/>
          <w:szCs w:val="32"/>
        </w:rPr>
      </w:pPr>
      <w:r>
        <w:rPr>
          <w:rFonts w:hint="eastAsia" w:eastAsia="方正仿宋_GBK"/>
          <w:sz w:val="32"/>
          <w:szCs w:val="32"/>
        </w:rPr>
        <w:t>《奉节县基本农田划定方案》；</w:t>
      </w:r>
    </w:p>
    <w:p>
      <w:pPr>
        <w:pStyle w:val="60"/>
        <w:numPr>
          <w:ilvl w:val="0"/>
          <w:numId w:val="5"/>
        </w:numPr>
        <w:spacing w:line="594" w:lineRule="exact"/>
        <w:ind w:left="0" w:firstLine="640"/>
        <w:rPr>
          <w:rFonts w:eastAsia="方正仿宋_GBK"/>
          <w:sz w:val="32"/>
          <w:szCs w:val="32"/>
        </w:rPr>
      </w:pPr>
      <w:r>
        <w:rPr>
          <w:rFonts w:hint="eastAsia" w:eastAsia="方正仿宋_GBK"/>
          <w:sz w:val="32"/>
          <w:szCs w:val="32"/>
        </w:rPr>
        <w:t>《奉节县美丽乡村专项治理工作方案》。</w:t>
      </w:r>
    </w:p>
    <w:p>
      <w:pPr>
        <w:pStyle w:val="3"/>
      </w:pPr>
      <w:bookmarkStart w:id="46" w:name="_Toc25807"/>
      <w:bookmarkStart w:id="47" w:name="_Toc29526"/>
      <w:bookmarkStart w:id="48" w:name="_Toc6568"/>
      <w:bookmarkStart w:id="49" w:name="_Toc17964105"/>
      <w:bookmarkStart w:id="50" w:name="_Toc7425"/>
      <w:bookmarkStart w:id="51" w:name="_Toc9288"/>
      <w:bookmarkStart w:id="52" w:name="_Toc18065701"/>
      <w:bookmarkStart w:id="53" w:name="_Toc23562"/>
      <w:bookmarkStart w:id="54" w:name="_Toc18430"/>
      <w:r>
        <w:t xml:space="preserve">1.3 </w:t>
      </w:r>
      <w:r>
        <w:rPr>
          <w:rFonts w:hint="eastAsia"/>
        </w:rPr>
        <w:t>基本原则</w:t>
      </w:r>
      <w:bookmarkEnd w:id="46"/>
    </w:p>
    <w:p>
      <w:pPr>
        <w:pStyle w:val="4"/>
        <w:ind w:firstLine="640"/>
      </w:pPr>
      <w:r>
        <w:t>1.3.1 科学规划，统筹安排</w:t>
      </w:r>
    </w:p>
    <w:p>
      <w:pPr>
        <w:ind w:firstLine="640"/>
        <w:rPr>
          <w:rFonts w:ascii="Times New Roman" w:hAnsi="Times New Roman"/>
        </w:rPr>
      </w:pPr>
      <w:r>
        <w:rPr>
          <w:rFonts w:ascii="Times New Roman" w:hAnsi="Times New Roman"/>
        </w:rPr>
        <w:t>以奉节县总体规划为先导，结合生态保护红线、村庄规划、水环境功能区划、给排水、卫生改厕和黑臭水体治理等工作，充分考虑农村经济社会状况、生活污水产排规律、环境容量、村民意愿等因素，以污水减量化、分类就地处理、循环利用为导向，科学规划和安排农村生活污水治理工作。</w:t>
      </w:r>
    </w:p>
    <w:p>
      <w:pPr>
        <w:pStyle w:val="4"/>
        <w:ind w:firstLine="640"/>
      </w:pPr>
      <w:r>
        <w:t>1.3.2 突出重点，梯次推进</w:t>
      </w:r>
    </w:p>
    <w:p>
      <w:pPr>
        <w:ind w:firstLine="640"/>
        <w:rPr>
          <w:rFonts w:ascii="Times New Roman" w:hAnsi="Times New Roman"/>
        </w:rPr>
      </w:pPr>
      <w:r>
        <w:rPr>
          <w:rFonts w:ascii="Times New Roman" w:hAnsi="Times New Roman"/>
        </w:rPr>
        <w:t>坚持短期目标与长远规划相结合，既尽力而为，又量力而行。综合考虑现阶段城乡发展趋势、财政投入能力、农民接受程度等，合理确定污水治理任务目标。优先整治生态环境敏感、人口集聚、发展乡村旅游以及水质需改善控制单元范围内的村庄，通过试点示范不断探索，梯次推进，全面覆盖。</w:t>
      </w:r>
    </w:p>
    <w:p>
      <w:pPr>
        <w:pStyle w:val="4"/>
        <w:ind w:firstLine="640"/>
      </w:pPr>
      <w:r>
        <w:t>1.3.3 因地制宜，分类治理</w:t>
      </w:r>
    </w:p>
    <w:p>
      <w:pPr>
        <w:ind w:firstLine="640"/>
        <w:rPr>
          <w:rFonts w:ascii="Times New Roman" w:hAnsi="Times New Roman"/>
        </w:rPr>
      </w:pPr>
      <w:r>
        <w:rPr>
          <w:rFonts w:ascii="Times New Roman" w:hAnsi="Times New Roman"/>
        </w:rPr>
        <w:t>综合考虑村庄自然禀赋、经济社会发展、污水产排状况、生态环境敏感程度、受纳水体环境容量等，科学确定本地区农村生活污水治理方式。靠近城镇、有条件的村庄，生活污水纳入城镇污水管网统一处理。人口集聚、利用空间不足、经济条件较好的村庄，可采取管网收集-集中处理-达标排放的治理方式。污水产生量较少、居住较为分散、地形地貌复杂的村庄，优先采用资源化利用的治理方式。</w:t>
      </w:r>
    </w:p>
    <w:p>
      <w:pPr>
        <w:pStyle w:val="4"/>
        <w:ind w:firstLine="640"/>
      </w:pPr>
      <w:r>
        <w:t>1.3.4 建管并重，长效运行</w:t>
      </w:r>
    </w:p>
    <w:p>
      <w:pPr>
        <w:ind w:firstLine="640"/>
        <w:rPr>
          <w:rFonts w:ascii="Times New Roman" w:hAnsi="Times New Roman"/>
        </w:rPr>
      </w:pPr>
      <w:r>
        <w:rPr>
          <w:rFonts w:ascii="Times New Roman" w:hAnsi="Times New Roman"/>
        </w:rPr>
        <w:t>坚持先建机制、后建工程，推动以奉节县</w:t>
      </w:r>
      <w:r>
        <w:rPr>
          <w:rFonts w:hint="eastAsia" w:ascii="Times New Roman" w:hAnsi="Times New Roman"/>
        </w:rPr>
        <w:t>县</w:t>
      </w:r>
      <w:r>
        <w:rPr>
          <w:rFonts w:ascii="Times New Roman" w:hAnsi="Times New Roman"/>
        </w:rPr>
        <w:t>域为单元，实行农村生活污水处理统一规划、统一建设、统一运行、统一管理。鼓励规模化、专业化、社会化建设和运行管理。</w:t>
      </w:r>
    </w:p>
    <w:p>
      <w:pPr>
        <w:pStyle w:val="4"/>
        <w:ind w:firstLine="640"/>
      </w:pPr>
      <w:r>
        <w:t>1.3.5 经济实用，易于推广</w:t>
      </w:r>
    </w:p>
    <w:p>
      <w:pPr>
        <w:ind w:firstLine="640"/>
        <w:rPr>
          <w:rFonts w:ascii="Times New Roman" w:hAnsi="Times New Roman"/>
        </w:rPr>
      </w:pPr>
      <w:r>
        <w:rPr>
          <w:rFonts w:ascii="Times New Roman" w:hAnsi="Times New Roman"/>
        </w:rPr>
        <w:t>充分调查农村水环境质量、污水排放现状和治理需求，考虑当地经济发展水平、污水产生规模和农民生产生活习惯，综合评判农村生活污水治理的环境效益、经济效益和社会效益，选择技术成熟、经济实用、管理方便、运行稳定的农村生活污水治理手段和途径。</w:t>
      </w:r>
    </w:p>
    <w:p>
      <w:pPr>
        <w:pStyle w:val="4"/>
        <w:ind w:firstLine="640"/>
      </w:pPr>
      <w:r>
        <w:t>1.3.6 政府主导，社会参与</w:t>
      </w:r>
    </w:p>
    <w:p>
      <w:pPr>
        <w:ind w:firstLine="640"/>
        <w:rPr>
          <w:rFonts w:ascii="Times New Roman" w:hAnsi="Times New Roman"/>
        </w:rPr>
      </w:pPr>
      <w:r>
        <w:rPr>
          <w:rFonts w:ascii="Times New Roman" w:hAnsi="Times New Roman"/>
        </w:rPr>
        <w:t>强化地方政府主体责任，加大财政资金投入力度，引导农民以投工投劳等方式参与设施建设、运行和管理，鼓励采用政府和社会资本合作（PPP）等方式，引导企业和金融机构积极参与，推动农村生活污水第三方治理。</w:t>
      </w:r>
    </w:p>
    <w:p>
      <w:pPr>
        <w:pStyle w:val="3"/>
      </w:pPr>
      <w:bookmarkStart w:id="55" w:name="_Toc549"/>
      <w:r>
        <w:t xml:space="preserve">1.4 </w:t>
      </w:r>
      <w:r>
        <w:rPr>
          <w:rFonts w:hint="eastAsia"/>
        </w:rPr>
        <w:t>规划范围</w:t>
      </w:r>
      <w:bookmarkEnd w:id="47"/>
      <w:bookmarkEnd w:id="48"/>
      <w:bookmarkEnd w:id="49"/>
      <w:bookmarkEnd w:id="50"/>
      <w:bookmarkEnd w:id="51"/>
      <w:bookmarkEnd w:id="52"/>
      <w:bookmarkEnd w:id="53"/>
      <w:bookmarkEnd w:id="54"/>
      <w:bookmarkEnd w:id="55"/>
    </w:p>
    <w:p>
      <w:pPr>
        <w:ind w:firstLine="640"/>
        <w:rPr>
          <w:rFonts w:ascii="Times New Roman" w:hAnsi="Times New Roman"/>
        </w:rPr>
      </w:pPr>
      <w:r>
        <w:rPr>
          <w:rFonts w:hint="eastAsia" w:ascii="Times New Roman" w:hAnsi="Times New Roman"/>
        </w:rPr>
        <w:t>规划范围：以奉节县域内的行政村（包括涉及农业、农村的社区）为基本单元，包括奉节县辖区内涉农的379个行政村（社区）。</w:t>
      </w:r>
    </w:p>
    <w:p>
      <w:pPr>
        <w:ind w:firstLine="640"/>
        <w:rPr>
          <w:rFonts w:ascii="Times New Roman" w:hAnsi="Times New Roman"/>
        </w:rPr>
      </w:pPr>
      <w:r>
        <w:rPr>
          <w:rFonts w:hint="eastAsia" w:ascii="Times New Roman" w:hAnsi="Times New Roman"/>
        </w:rPr>
        <w:t>优先治理村范围：以奉节县</w:t>
      </w:r>
      <w:r>
        <w:rPr>
          <w:rFonts w:ascii="Times New Roman" w:hAnsi="Times New Roman"/>
        </w:rPr>
        <w:t>集中式饮用水水源地保护区、</w:t>
      </w:r>
      <w:r>
        <w:rPr>
          <w:rFonts w:hint="eastAsia" w:ascii="Times New Roman" w:hAnsi="Times New Roman"/>
        </w:rPr>
        <w:t>天坑地缝市级自然保护区、奉节天鹅湖县级自然保护区、天坑地缝风景名胜区、长江三峡国家级风景名胜区等生态敏感区保护范围及长江奉节段、梅溪河、石笋河、新民河等流域及水质需改善的其他控制单元的行政村，</w:t>
      </w:r>
      <w:r>
        <w:rPr>
          <w:rFonts w:ascii="Times New Roman" w:hAnsi="Times New Roman"/>
        </w:rPr>
        <w:t>农村常住人口200户（500人）的人口集聚区，以及农家乐（旅游）等乡村旅游集中区域等确定奉节县优先治理村</w:t>
      </w:r>
      <w:r>
        <w:rPr>
          <w:rFonts w:hint="eastAsia" w:ascii="Times New Roman" w:hAnsi="Times New Roman"/>
        </w:rPr>
        <w:t>91</w:t>
      </w:r>
      <w:r>
        <w:rPr>
          <w:rFonts w:ascii="Times New Roman" w:hAnsi="Times New Roman"/>
        </w:rPr>
        <w:t>个。</w:t>
      </w:r>
    </w:p>
    <w:p>
      <w:pPr>
        <w:pStyle w:val="3"/>
      </w:pPr>
      <w:bookmarkStart w:id="56" w:name="_Toc25401"/>
      <w:bookmarkStart w:id="57" w:name="_Toc19762"/>
      <w:bookmarkStart w:id="58" w:name="_Toc18065702"/>
      <w:bookmarkStart w:id="59" w:name="_Toc4861"/>
      <w:bookmarkStart w:id="60" w:name="_Toc22878"/>
      <w:bookmarkStart w:id="61" w:name="_Toc23331"/>
      <w:bookmarkStart w:id="62" w:name="_Toc26169"/>
      <w:bookmarkStart w:id="63" w:name="_Toc6735"/>
      <w:bookmarkStart w:id="64" w:name="_Toc18003"/>
      <w:bookmarkStart w:id="65" w:name="_Toc19815"/>
      <w:bookmarkStart w:id="66" w:name="_Toc409"/>
      <w:bookmarkStart w:id="67" w:name="_Toc17964106"/>
      <w:bookmarkStart w:id="68" w:name="_Toc9341"/>
      <w:bookmarkStart w:id="69" w:name="_Toc1562983"/>
      <w:r>
        <w:t xml:space="preserve">1.5 </w:t>
      </w:r>
      <w:r>
        <w:rPr>
          <w:rFonts w:hint="eastAsia"/>
        </w:rPr>
        <w:t>规划期限</w:t>
      </w:r>
      <w:bookmarkEnd w:id="56"/>
      <w:bookmarkEnd w:id="57"/>
      <w:bookmarkEnd w:id="58"/>
      <w:bookmarkEnd w:id="59"/>
      <w:bookmarkEnd w:id="60"/>
      <w:bookmarkEnd w:id="61"/>
      <w:bookmarkEnd w:id="62"/>
      <w:bookmarkEnd w:id="63"/>
      <w:bookmarkEnd w:id="64"/>
      <w:bookmarkEnd w:id="65"/>
      <w:bookmarkEnd w:id="66"/>
      <w:bookmarkEnd w:id="67"/>
      <w:bookmarkEnd w:id="68"/>
      <w:bookmarkEnd w:id="69"/>
    </w:p>
    <w:p>
      <w:pPr>
        <w:ind w:firstLine="640"/>
        <w:rPr>
          <w:rFonts w:ascii="Times New Roman" w:hAnsi="Times New Roman"/>
        </w:rPr>
      </w:pPr>
      <w:r>
        <w:rPr>
          <w:rFonts w:ascii="Times New Roman" w:hAnsi="Times New Roman"/>
        </w:rPr>
        <w:t>规划基准年：20</w:t>
      </w:r>
      <w:r>
        <w:rPr>
          <w:rFonts w:hint="eastAsia" w:ascii="Times New Roman" w:hAnsi="Times New Roman"/>
        </w:rPr>
        <w:t>20</w:t>
      </w:r>
      <w:r>
        <w:rPr>
          <w:rFonts w:ascii="Times New Roman" w:hAnsi="Times New Roman"/>
        </w:rPr>
        <w:t>年</w:t>
      </w:r>
    </w:p>
    <w:p>
      <w:pPr>
        <w:ind w:firstLine="640"/>
        <w:rPr>
          <w:rFonts w:ascii="Times New Roman" w:hAnsi="Times New Roman"/>
        </w:rPr>
      </w:pPr>
      <w:r>
        <w:rPr>
          <w:rFonts w:ascii="Times New Roman" w:hAnsi="Times New Roman"/>
        </w:rPr>
        <w:t>规划年限：近期2021年-2025年</w:t>
      </w:r>
    </w:p>
    <w:p>
      <w:pPr>
        <w:ind w:firstLine="2240" w:firstLineChars="7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远期2026年-2030年</w:t>
      </w:r>
    </w:p>
    <w:p>
      <w:pPr>
        <w:pStyle w:val="3"/>
      </w:pPr>
      <w:bookmarkStart w:id="70" w:name="_Toc1803"/>
      <w:bookmarkStart w:id="71" w:name="_Toc27804"/>
      <w:bookmarkStart w:id="72" w:name="_Toc15385"/>
      <w:bookmarkStart w:id="73" w:name="_Toc23996"/>
      <w:bookmarkStart w:id="74" w:name="_Toc16109"/>
      <w:bookmarkStart w:id="75" w:name="_Toc17033"/>
      <w:bookmarkStart w:id="76" w:name="_Toc24057"/>
      <w:bookmarkStart w:id="77" w:name="_Toc16663"/>
      <w:bookmarkStart w:id="78" w:name="_Toc18065703"/>
      <w:bookmarkStart w:id="79" w:name="_Toc17964107"/>
      <w:bookmarkStart w:id="80" w:name="_Toc7428"/>
      <w:bookmarkStart w:id="81" w:name="_Toc27983"/>
      <w:bookmarkStart w:id="82" w:name="_Toc23820"/>
      <w:bookmarkStart w:id="83" w:name="_Toc1562984"/>
      <w:r>
        <w:t xml:space="preserve">1.6 </w:t>
      </w:r>
      <w:r>
        <w:rPr>
          <w:rFonts w:hint="eastAsia"/>
        </w:rPr>
        <w:t>规划目标</w:t>
      </w:r>
      <w:bookmarkEnd w:id="70"/>
      <w:bookmarkEnd w:id="71"/>
      <w:bookmarkEnd w:id="72"/>
      <w:bookmarkEnd w:id="73"/>
      <w:bookmarkEnd w:id="74"/>
      <w:bookmarkEnd w:id="75"/>
      <w:bookmarkEnd w:id="76"/>
      <w:bookmarkEnd w:id="77"/>
      <w:bookmarkEnd w:id="78"/>
      <w:bookmarkEnd w:id="79"/>
      <w:bookmarkEnd w:id="80"/>
      <w:bookmarkEnd w:id="81"/>
      <w:bookmarkEnd w:id="82"/>
      <w:bookmarkEnd w:id="83"/>
    </w:p>
    <w:p>
      <w:pPr>
        <w:pStyle w:val="4"/>
        <w:ind w:firstLine="640"/>
      </w:pPr>
      <w:bookmarkStart w:id="84" w:name="_Toc41495631"/>
      <w:r>
        <w:t xml:space="preserve">1.6.1 </w:t>
      </w:r>
      <w:r>
        <w:rPr>
          <w:rFonts w:hint="eastAsia"/>
        </w:rPr>
        <w:t>总体目标</w:t>
      </w:r>
      <w:bookmarkEnd w:id="84"/>
    </w:p>
    <w:p>
      <w:pPr>
        <w:ind w:firstLine="640"/>
        <w:rPr>
          <w:rFonts w:ascii="Times New Roman" w:hAnsi="Times New Roman"/>
          <w:szCs w:val="32"/>
        </w:rPr>
      </w:pPr>
      <w:r>
        <w:rPr>
          <w:rFonts w:hint="eastAsia" w:ascii="Times New Roman" w:hAnsi="Times New Roman"/>
          <w:szCs w:val="32"/>
        </w:rPr>
        <w:t>到2</w:t>
      </w:r>
      <w:r>
        <w:rPr>
          <w:rFonts w:ascii="Times New Roman" w:hAnsi="Times New Roman"/>
          <w:szCs w:val="32"/>
        </w:rPr>
        <w:t>03</w:t>
      </w:r>
      <w:r>
        <w:rPr>
          <w:rFonts w:hint="eastAsia" w:ascii="Times New Roman" w:hAnsi="Times New Roman"/>
          <w:szCs w:val="32"/>
        </w:rPr>
        <w:t>0年，奉节县农村生活污水治理率逐步提高，农村生活污水治理设施有效运行，农村生活污水得到全面治理，农村人居环境持续改善，农民生活质量不断提升。</w:t>
      </w:r>
    </w:p>
    <w:p>
      <w:pPr>
        <w:pStyle w:val="4"/>
        <w:ind w:firstLine="640"/>
      </w:pPr>
      <w:bookmarkStart w:id="85" w:name="_Toc41495632"/>
      <w:r>
        <w:t xml:space="preserve">1.6.2 </w:t>
      </w:r>
      <w:r>
        <w:rPr>
          <w:rFonts w:hint="eastAsia"/>
        </w:rPr>
        <w:t>分阶段目标</w:t>
      </w:r>
      <w:bookmarkEnd w:id="85"/>
    </w:p>
    <w:p>
      <w:pPr>
        <w:ind w:firstLine="640"/>
        <w:rPr>
          <w:rFonts w:ascii="Times New Roman" w:hAnsi="Times New Roman"/>
          <w:szCs w:val="32"/>
        </w:rPr>
      </w:pPr>
      <w:r>
        <w:rPr>
          <w:rFonts w:hint="eastAsia" w:ascii="Times New Roman" w:hAnsi="Times New Roman"/>
          <w:szCs w:val="32"/>
        </w:rPr>
        <w:t>规划近期目标：到2</w:t>
      </w:r>
      <w:r>
        <w:rPr>
          <w:rFonts w:ascii="Times New Roman" w:hAnsi="Times New Roman"/>
          <w:szCs w:val="32"/>
        </w:rPr>
        <w:t>025</w:t>
      </w:r>
      <w:r>
        <w:rPr>
          <w:rFonts w:hint="eastAsia" w:ascii="Times New Roman" w:hAnsi="Times New Roman"/>
          <w:szCs w:val="32"/>
        </w:rPr>
        <w:t>年，奉节县91个优先治理村农村生活污水得到全面治理，农村生活污水治理率达到47.06%，农村生活污水得到治理的农户覆盖率达到80.14%。</w:t>
      </w:r>
    </w:p>
    <w:p>
      <w:pPr>
        <w:ind w:firstLine="640"/>
        <w:rPr>
          <w:rFonts w:ascii="Times New Roman" w:hAnsi="Times New Roman"/>
        </w:rPr>
      </w:pPr>
      <w:r>
        <w:rPr>
          <w:rFonts w:ascii="Times New Roman" w:hAnsi="Times New Roman"/>
        </w:rPr>
        <w:t>远期规划目标：奉节县内</w:t>
      </w:r>
      <w:r>
        <w:rPr>
          <w:rFonts w:hint="eastAsia" w:ascii="Times New Roman" w:hAnsi="Times New Roman"/>
        </w:rPr>
        <w:t>3</w:t>
      </w:r>
      <w:r>
        <w:rPr>
          <w:rFonts w:ascii="Times New Roman" w:hAnsi="Times New Roman"/>
        </w:rPr>
        <w:t>79个</w:t>
      </w:r>
      <w:r>
        <w:rPr>
          <w:rFonts w:hint="eastAsia" w:ascii="Times New Roman" w:hAnsi="Times New Roman"/>
        </w:rPr>
        <w:t>涉农</w:t>
      </w:r>
      <w:r>
        <w:rPr>
          <w:rFonts w:ascii="Times New Roman" w:hAnsi="Times New Roman"/>
        </w:rPr>
        <w:t>行政村（社区）的农村生活污水实现全面治理。</w:t>
      </w:r>
    </w:p>
    <w:p>
      <w:pPr>
        <w:pStyle w:val="2"/>
      </w:pPr>
      <w:bookmarkStart w:id="86" w:name="_Toc12272"/>
      <w:bookmarkStart w:id="87" w:name="_Toc5753"/>
      <w:bookmarkStart w:id="88" w:name="_Toc18831"/>
      <w:bookmarkStart w:id="89" w:name="_Toc20271"/>
      <w:bookmarkStart w:id="90" w:name="_Toc6802"/>
      <w:bookmarkStart w:id="91" w:name="_Toc17964108"/>
      <w:bookmarkStart w:id="92" w:name="_Toc6759"/>
      <w:bookmarkStart w:id="93" w:name="_Toc11472"/>
      <w:bookmarkStart w:id="94" w:name="_Toc29995"/>
      <w:bookmarkStart w:id="95" w:name="_Toc27604"/>
      <w:bookmarkStart w:id="96" w:name="_Toc1562985"/>
      <w:r>
        <w:t xml:space="preserve">2 </w:t>
      </w:r>
      <w:r>
        <w:rPr>
          <w:rFonts w:hint="eastAsia"/>
        </w:rPr>
        <w:t>区域概况</w:t>
      </w:r>
      <w:bookmarkEnd w:id="86"/>
      <w:bookmarkEnd w:id="87"/>
      <w:bookmarkEnd w:id="88"/>
      <w:bookmarkEnd w:id="89"/>
      <w:bookmarkEnd w:id="90"/>
      <w:bookmarkEnd w:id="91"/>
      <w:bookmarkEnd w:id="92"/>
      <w:bookmarkEnd w:id="93"/>
      <w:bookmarkEnd w:id="94"/>
      <w:bookmarkEnd w:id="95"/>
      <w:bookmarkEnd w:id="96"/>
    </w:p>
    <w:p>
      <w:pPr>
        <w:pStyle w:val="3"/>
      </w:pPr>
      <w:bookmarkStart w:id="97" w:name="_Toc3976"/>
      <w:r>
        <w:t xml:space="preserve">2.1 </w:t>
      </w:r>
      <w:r>
        <w:rPr>
          <w:rFonts w:hint="eastAsia"/>
        </w:rPr>
        <w:t>区域自然地理概况</w:t>
      </w:r>
      <w:bookmarkEnd w:id="97"/>
    </w:p>
    <w:p>
      <w:pPr>
        <w:ind w:firstLine="640"/>
        <w:rPr>
          <w:rFonts w:ascii="Times New Roman" w:hAnsi="Times New Roman"/>
        </w:rPr>
      </w:pPr>
      <w:r>
        <w:rPr>
          <w:rFonts w:ascii="Times New Roman" w:hAnsi="Times New Roman"/>
        </w:rPr>
        <w:t>奉节县位于重庆市东部，长江三峡库区腹心，辖</w:t>
      </w:r>
      <w:r>
        <w:rPr>
          <w:rFonts w:hint="eastAsia" w:ascii="Times New Roman" w:hAnsi="Times New Roman"/>
        </w:rPr>
        <w:t>3</w:t>
      </w:r>
      <w:r>
        <w:rPr>
          <w:rFonts w:ascii="Times New Roman" w:hAnsi="Times New Roman"/>
        </w:rPr>
        <w:t>个街道</w:t>
      </w:r>
      <w:r>
        <w:rPr>
          <w:rFonts w:hint="eastAsia" w:ascii="Times New Roman" w:hAnsi="Times New Roman"/>
        </w:rPr>
        <w:t>、1个管委会、</w:t>
      </w:r>
      <w:r>
        <w:rPr>
          <w:rFonts w:ascii="Times New Roman" w:hAnsi="Times New Roman"/>
        </w:rPr>
        <w:t>29个乡镇，76个社区，314个村，其中涉农社区</w:t>
      </w:r>
      <w:r>
        <w:rPr>
          <w:rFonts w:hint="eastAsia" w:ascii="Times New Roman" w:hAnsi="Times New Roman"/>
        </w:rPr>
        <w:t>65个</w:t>
      </w:r>
      <w:r>
        <w:rPr>
          <w:rFonts w:ascii="Times New Roman" w:hAnsi="Times New Roman"/>
        </w:rPr>
        <w:t>、</w:t>
      </w:r>
      <w:r>
        <w:rPr>
          <w:rFonts w:hint="eastAsia" w:ascii="Times New Roman" w:hAnsi="Times New Roman"/>
        </w:rPr>
        <w:t>涉农行政村314个。</w:t>
      </w:r>
      <w:r>
        <w:rPr>
          <w:rFonts w:ascii="Times New Roman" w:hAnsi="Times New Roman"/>
        </w:rPr>
        <w:t>奉节县户籍总人口105.82万人，其中非农业人口28.00万人，农业人口77.82万人，城镇化率为44.02%。</w:t>
      </w:r>
      <w:r>
        <w:rPr>
          <w:rFonts w:hint="eastAsia" w:ascii="Times New Roman" w:hAnsi="Times New Roman"/>
        </w:rPr>
        <w:t>奉节县河流均属长江水系，除长江干流外，主要河流包括梅溪河、大溪河、草堂河、朱衣河以及长滩河、安坪河等支流。全县土地总面积409862.83公顷，包括农用地、建设用地、其他土地。其中，全县农用地362655.88公顷、建设用地16213.49公顷、其他土地30993.46公顷，分别占土地总面积的88.48%、3.96%、7.56%。</w:t>
      </w:r>
    </w:p>
    <w:p>
      <w:pPr>
        <w:pStyle w:val="3"/>
      </w:pPr>
      <w:bookmarkStart w:id="98" w:name="_Toc18065707"/>
      <w:bookmarkStart w:id="99" w:name="_Toc7519"/>
      <w:bookmarkStart w:id="100" w:name="_Toc12013"/>
      <w:bookmarkStart w:id="101" w:name="_Toc17964111"/>
      <w:bookmarkStart w:id="102" w:name="_Toc29786"/>
      <w:r>
        <w:t>2.</w:t>
      </w:r>
      <w:r>
        <w:rPr>
          <w:rFonts w:hint="eastAsia"/>
        </w:rPr>
        <w:t>2</w:t>
      </w:r>
      <w:r>
        <w:t xml:space="preserve"> </w:t>
      </w:r>
      <w:r>
        <w:rPr>
          <w:rFonts w:hint="eastAsia"/>
        </w:rPr>
        <w:t>生态环境保护状况</w:t>
      </w:r>
      <w:bookmarkEnd w:id="98"/>
      <w:bookmarkEnd w:id="99"/>
      <w:bookmarkEnd w:id="100"/>
      <w:bookmarkEnd w:id="101"/>
      <w:bookmarkEnd w:id="102"/>
    </w:p>
    <w:p>
      <w:pPr>
        <w:pStyle w:val="4"/>
        <w:ind w:firstLine="640"/>
      </w:pPr>
      <w:r>
        <w:t>2.</w:t>
      </w:r>
      <w:r>
        <w:rPr>
          <w:rFonts w:hint="eastAsia"/>
        </w:rPr>
        <w:t>2</w:t>
      </w:r>
      <w:r>
        <w:t>.1 生态功能区划</w:t>
      </w:r>
    </w:p>
    <w:p>
      <w:pPr>
        <w:ind w:firstLine="640"/>
        <w:rPr>
          <w:rFonts w:ascii="Times New Roman" w:hAnsi="Times New Roman"/>
        </w:rPr>
      </w:pPr>
      <w:r>
        <w:rPr>
          <w:rFonts w:hint="eastAsia" w:ascii="Times New Roman" w:hAnsi="Times New Roman"/>
        </w:rPr>
        <w:t>根据《全国生态功能区划（修编版）》，奉节县属于“II 三峡库区（腹地）平行岭谷低山-丘陵生态区—II1三峡水库水体保护生态亚区—II1-1 巫山-奉节水体保护-水源涵养生态功能区”。</w:t>
      </w:r>
    </w:p>
    <w:p>
      <w:pPr>
        <w:pStyle w:val="4"/>
        <w:keepNext w:val="0"/>
        <w:keepLines w:val="0"/>
        <w:ind w:firstLine="640"/>
      </w:pPr>
      <w:r>
        <w:t>2.</w:t>
      </w:r>
      <w:r>
        <w:rPr>
          <w:rFonts w:hint="eastAsia"/>
        </w:rPr>
        <w:t>2</w:t>
      </w:r>
      <w:r>
        <w:t>.2 生态</w:t>
      </w:r>
      <w:r>
        <w:rPr>
          <w:rFonts w:hint="eastAsia"/>
        </w:rPr>
        <w:t>保护红线划定</w:t>
      </w:r>
    </w:p>
    <w:p>
      <w:pPr>
        <w:ind w:firstLine="640"/>
        <w:rPr>
          <w:rFonts w:ascii="Times New Roman" w:hAnsi="Times New Roman"/>
        </w:rPr>
      </w:pPr>
      <w:r>
        <w:rPr>
          <w:rFonts w:hint="eastAsia" w:ascii="Times New Roman" w:hAnsi="Times New Roman"/>
        </w:rPr>
        <w:t>根据</w:t>
      </w:r>
      <w:r>
        <w:rPr>
          <w:rFonts w:hint="eastAsia"/>
        </w:rPr>
        <w:t>《奉节县生态保护红</w:t>
      </w:r>
      <w:r>
        <w:rPr>
          <w:rFonts w:hint="eastAsia" w:ascii="Times New Roman" w:hAnsi="Times New Roman"/>
        </w:rPr>
        <w:t>线》（奉节府发〔2018〕43号），奉节县划定的生态保护红线管控面积为</w:t>
      </w:r>
      <w:r>
        <w:rPr>
          <w:rFonts w:ascii="Times New Roman" w:hAnsi="Times New Roman"/>
        </w:rPr>
        <w:t>1418.05</w:t>
      </w:r>
      <w:r>
        <w:rPr>
          <w:rFonts w:hint="eastAsia" w:ascii="Times New Roman" w:hAnsi="Times New Roman"/>
        </w:rPr>
        <w:t>平方公里，生态保护红线管控面积占区域总面积比例为34.</w:t>
      </w:r>
      <w:r>
        <w:rPr>
          <w:rFonts w:ascii="Times New Roman" w:hAnsi="Times New Roman"/>
        </w:rPr>
        <w:t>59</w:t>
      </w:r>
      <w:r>
        <w:rPr>
          <w:rFonts w:hint="eastAsia" w:ascii="Times New Roman" w:hAnsi="Times New Roman"/>
        </w:rPr>
        <w:t>%，包括禁止开发区（饮用水水源地保护区、自然保护区、森林公园、风景名胜区、地质公园）、重点生态功能区、生态敏感区、其他区域（三峡水库消落带）。</w:t>
      </w:r>
    </w:p>
    <w:p>
      <w:pPr>
        <w:pStyle w:val="4"/>
        <w:ind w:firstLine="640"/>
      </w:pPr>
      <w:r>
        <w:t>2.3.</w:t>
      </w:r>
      <w:r>
        <w:rPr>
          <w:rFonts w:hint="eastAsia"/>
        </w:rPr>
        <w:t>3</w:t>
      </w:r>
      <w:r>
        <w:t xml:space="preserve"> </w:t>
      </w:r>
      <w:r>
        <w:rPr>
          <w:rFonts w:hint="eastAsia"/>
        </w:rPr>
        <w:t>集中式饮用水源水质现状</w:t>
      </w:r>
    </w:p>
    <w:p>
      <w:pPr>
        <w:ind w:firstLine="640"/>
        <w:rPr>
          <w:rFonts w:ascii="Times New Roman" w:hAnsi="Times New Roman"/>
        </w:rPr>
      </w:pPr>
      <w:r>
        <w:rPr>
          <w:rFonts w:hint="eastAsia" w:ascii="Times New Roman" w:hAnsi="Times New Roman"/>
        </w:rPr>
        <w:t>奉节县现有</w:t>
      </w:r>
      <w:r>
        <w:rPr>
          <w:rFonts w:ascii="Times New Roman" w:hAnsi="Times New Roman"/>
        </w:rPr>
        <w:t>82</w:t>
      </w:r>
      <w:r>
        <w:rPr>
          <w:rFonts w:hint="eastAsia" w:ascii="Times New Roman" w:hAnsi="Times New Roman"/>
        </w:rPr>
        <w:t>个集中式饮用水水源地，其中地下水型饮用水水源地</w:t>
      </w:r>
      <w:r>
        <w:rPr>
          <w:rFonts w:ascii="Times New Roman" w:hAnsi="Times New Roman"/>
        </w:rPr>
        <w:t>23</w:t>
      </w:r>
      <w:r>
        <w:rPr>
          <w:rFonts w:hint="eastAsia" w:ascii="Times New Roman" w:hAnsi="Times New Roman"/>
        </w:rPr>
        <w:t>个，河流型饮用水水源地4</w:t>
      </w:r>
      <w:r>
        <w:rPr>
          <w:rFonts w:ascii="Times New Roman" w:hAnsi="Times New Roman"/>
        </w:rPr>
        <w:t>4</w:t>
      </w:r>
      <w:r>
        <w:rPr>
          <w:rFonts w:hint="eastAsia" w:ascii="Times New Roman" w:hAnsi="Times New Roman"/>
        </w:rPr>
        <w:t>个，水库型饮用水水源地1</w:t>
      </w:r>
      <w:r>
        <w:rPr>
          <w:rFonts w:ascii="Times New Roman" w:hAnsi="Times New Roman"/>
        </w:rPr>
        <w:t>5</w:t>
      </w:r>
      <w:r>
        <w:rPr>
          <w:rFonts w:hint="eastAsia" w:ascii="Times New Roman" w:hAnsi="Times New Roman"/>
        </w:rPr>
        <w:t>个。根据奉节县生态环境监测站2</w:t>
      </w:r>
      <w:r>
        <w:rPr>
          <w:rFonts w:ascii="Times New Roman" w:hAnsi="Times New Roman"/>
        </w:rPr>
        <w:t>019</w:t>
      </w:r>
      <w:r>
        <w:rPr>
          <w:rFonts w:hint="eastAsia" w:ascii="Times New Roman" w:hAnsi="Times New Roman"/>
        </w:rPr>
        <w:t>年水源地水环境质量监测数据，全县8</w:t>
      </w:r>
      <w:r>
        <w:rPr>
          <w:rFonts w:ascii="Times New Roman" w:hAnsi="Times New Roman"/>
        </w:rPr>
        <w:t>2</w:t>
      </w:r>
      <w:r>
        <w:rPr>
          <w:rFonts w:hint="eastAsia" w:ascii="Times New Roman" w:hAnsi="Times New Roman"/>
        </w:rPr>
        <w:t>个集中式饮用水水源地水质均达到相应考核标准。</w:t>
      </w:r>
    </w:p>
    <w:p>
      <w:pPr>
        <w:pStyle w:val="4"/>
        <w:ind w:firstLine="640"/>
      </w:pPr>
      <w:r>
        <w:t>2.3.</w:t>
      </w:r>
      <w:r>
        <w:rPr>
          <w:rFonts w:hint="eastAsia"/>
        </w:rPr>
        <w:t>4</w:t>
      </w:r>
      <w:r>
        <w:t xml:space="preserve"> </w:t>
      </w:r>
      <w:r>
        <w:rPr>
          <w:rFonts w:hint="eastAsia"/>
        </w:rPr>
        <w:t>地表水</w:t>
      </w:r>
      <w:r>
        <w:t>环境</w:t>
      </w:r>
      <w:r>
        <w:rPr>
          <w:rFonts w:hint="eastAsia"/>
        </w:rPr>
        <w:t>质量现状</w:t>
      </w:r>
    </w:p>
    <w:p>
      <w:pPr>
        <w:ind w:firstLine="640"/>
        <w:rPr>
          <w:rFonts w:ascii="Times New Roman" w:hAnsi="Times New Roman"/>
        </w:rPr>
      </w:pPr>
      <w:r>
        <w:rPr>
          <w:rFonts w:hint="eastAsia" w:ascii="Times New Roman" w:hAnsi="Times New Roman"/>
        </w:rPr>
        <w:t>根据《重庆市地表水环境功能类别调整方案》（渝府发〔2</w:t>
      </w:r>
      <w:r>
        <w:rPr>
          <w:rFonts w:ascii="Times New Roman" w:hAnsi="Times New Roman"/>
        </w:rPr>
        <w:t>012</w:t>
      </w:r>
      <w:r>
        <w:rPr>
          <w:rFonts w:hint="eastAsia" w:ascii="Times New Roman" w:hAnsi="Times New Roman"/>
        </w:rPr>
        <w:t>〕4号）相关内容，奉节县境内流域面积大于5</w:t>
      </w:r>
      <w:r>
        <w:rPr>
          <w:rFonts w:ascii="Times New Roman" w:hAnsi="Times New Roman"/>
        </w:rPr>
        <w:t>00</w:t>
      </w:r>
      <w:r>
        <w:rPr>
          <w:rFonts w:hint="eastAsia" w:ascii="Times New Roman" w:hAnsi="Times New Roman"/>
        </w:rPr>
        <w:t>平方公里的河流主要有长江奉节段、梅溪河、石笋河、新民河。2</w:t>
      </w:r>
      <w:r>
        <w:rPr>
          <w:rFonts w:ascii="Times New Roman" w:hAnsi="Times New Roman"/>
        </w:rPr>
        <w:t>019</w:t>
      </w:r>
      <w:r>
        <w:rPr>
          <w:rFonts w:hint="eastAsia" w:ascii="Times New Roman" w:hAnsi="Times New Roman"/>
        </w:rPr>
        <w:t>年，奉节县县控及以上地表水环境监测断面共1</w:t>
      </w:r>
      <w:r>
        <w:rPr>
          <w:rFonts w:ascii="Times New Roman" w:hAnsi="Times New Roman"/>
        </w:rPr>
        <w:t>2</w:t>
      </w:r>
      <w:r>
        <w:rPr>
          <w:rFonts w:hint="eastAsia" w:ascii="Times New Roman" w:hAnsi="Times New Roman"/>
        </w:rPr>
        <w:t>个，各断面均达到Ⅱ类水质要求。</w:t>
      </w:r>
    </w:p>
    <w:p>
      <w:pPr>
        <w:pStyle w:val="2"/>
      </w:pPr>
      <w:bookmarkStart w:id="103" w:name="_Toc17964112"/>
      <w:bookmarkStart w:id="104" w:name="_Toc5614"/>
      <w:bookmarkStart w:id="105" w:name="_Toc21559"/>
      <w:bookmarkStart w:id="106" w:name="_Toc10905"/>
      <w:bookmarkStart w:id="107" w:name="_Toc18662"/>
      <w:bookmarkStart w:id="108" w:name="_Toc5076"/>
      <w:bookmarkStart w:id="109" w:name="_Toc17060"/>
      <w:bookmarkStart w:id="110" w:name="_Toc18192"/>
      <w:bookmarkStart w:id="111" w:name="_Toc11887"/>
      <w:bookmarkStart w:id="112" w:name="_Toc32457"/>
      <w:r>
        <w:t xml:space="preserve">3 </w:t>
      </w:r>
      <w:r>
        <w:rPr>
          <w:rFonts w:hint="eastAsia"/>
        </w:rPr>
        <w:t>污染源分析</w:t>
      </w:r>
      <w:bookmarkEnd w:id="103"/>
      <w:bookmarkEnd w:id="104"/>
      <w:bookmarkEnd w:id="105"/>
      <w:bookmarkEnd w:id="106"/>
      <w:bookmarkEnd w:id="107"/>
      <w:bookmarkEnd w:id="108"/>
      <w:bookmarkEnd w:id="109"/>
      <w:bookmarkEnd w:id="110"/>
      <w:bookmarkEnd w:id="111"/>
      <w:bookmarkEnd w:id="112"/>
    </w:p>
    <w:p>
      <w:pPr>
        <w:pStyle w:val="3"/>
      </w:pPr>
      <w:bookmarkStart w:id="113" w:name="_Toc32693"/>
      <w:bookmarkStart w:id="114" w:name="_Toc28549"/>
      <w:bookmarkStart w:id="115" w:name="_Toc18065709"/>
      <w:bookmarkStart w:id="116" w:name="_Toc17964113"/>
      <w:bookmarkStart w:id="117" w:name="_Toc9059"/>
      <w:bookmarkStart w:id="118" w:name="_Toc17242"/>
      <w:bookmarkStart w:id="119" w:name="_Toc2743"/>
      <w:bookmarkStart w:id="120" w:name="_Toc16592"/>
      <w:bookmarkStart w:id="121" w:name="_Toc6861"/>
      <w:bookmarkStart w:id="122" w:name="_Toc7568"/>
      <w:bookmarkStart w:id="123" w:name="_Toc30447"/>
      <w:bookmarkStart w:id="124" w:name="_Toc11410"/>
      <w:bookmarkStart w:id="125" w:name="_Toc11062"/>
      <w:r>
        <w:t xml:space="preserve">3.1 </w:t>
      </w:r>
      <w:r>
        <w:rPr>
          <w:rFonts w:hint="eastAsia"/>
        </w:rPr>
        <w:t>用水及排水体制</w:t>
      </w:r>
      <w:bookmarkEnd w:id="113"/>
      <w:bookmarkEnd w:id="114"/>
      <w:bookmarkEnd w:id="115"/>
      <w:bookmarkEnd w:id="116"/>
      <w:bookmarkEnd w:id="117"/>
      <w:bookmarkEnd w:id="118"/>
      <w:bookmarkEnd w:id="119"/>
      <w:bookmarkEnd w:id="120"/>
      <w:bookmarkEnd w:id="121"/>
      <w:bookmarkEnd w:id="122"/>
      <w:bookmarkEnd w:id="123"/>
      <w:bookmarkEnd w:id="124"/>
      <w:bookmarkEnd w:id="125"/>
    </w:p>
    <w:p>
      <w:pPr>
        <w:pStyle w:val="4"/>
        <w:ind w:firstLine="640"/>
      </w:pPr>
      <w:r>
        <w:t>3.1.1 用水情况</w:t>
      </w:r>
    </w:p>
    <w:p>
      <w:pPr>
        <w:ind w:firstLine="640"/>
        <w:rPr>
          <w:rFonts w:ascii="Times New Roman" w:hAnsi="Times New Roman"/>
        </w:rPr>
      </w:pPr>
      <w:r>
        <w:rPr>
          <w:rFonts w:ascii="Times New Roman" w:hAnsi="Times New Roman"/>
        </w:rPr>
        <w:t>根据资料分析及现场调查，奉节县</w:t>
      </w:r>
      <w:r>
        <w:rPr>
          <w:rFonts w:hint="eastAsia" w:ascii="Times New Roman" w:hAnsi="Times New Roman"/>
        </w:rPr>
        <w:t>涉农的379</w:t>
      </w:r>
      <w:r>
        <w:rPr>
          <w:rFonts w:ascii="Times New Roman" w:hAnsi="Times New Roman"/>
        </w:rPr>
        <w:t>个行政村及社区自来水管网</w:t>
      </w:r>
      <w:r>
        <w:rPr>
          <w:rFonts w:hint="eastAsia" w:ascii="Times New Roman" w:hAnsi="Times New Roman"/>
        </w:rPr>
        <w:t>部分</w:t>
      </w:r>
      <w:r>
        <w:rPr>
          <w:rFonts w:ascii="Times New Roman" w:hAnsi="Times New Roman"/>
        </w:rPr>
        <w:t>覆盖，奉节县大部分农村居民生活用水来自自来水。</w:t>
      </w:r>
    </w:p>
    <w:p>
      <w:pPr>
        <w:pStyle w:val="4"/>
        <w:ind w:firstLine="640"/>
      </w:pPr>
      <w:r>
        <w:t xml:space="preserve">3.1.2 </w:t>
      </w:r>
      <w:r>
        <w:rPr>
          <w:rFonts w:hint="eastAsia"/>
        </w:rPr>
        <w:t>排</w:t>
      </w:r>
      <w:r>
        <w:t>水情况</w:t>
      </w:r>
    </w:p>
    <w:p>
      <w:pPr>
        <w:ind w:firstLine="640"/>
        <w:rPr>
          <w:rFonts w:ascii="Times New Roman" w:hAnsi="Times New Roman"/>
          <w:szCs w:val="32"/>
        </w:rPr>
      </w:pPr>
      <w:r>
        <w:rPr>
          <w:rFonts w:hint="eastAsia" w:ascii="Times New Roman" w:hAnsi="Times New Roman"/>
        </w:rPr>
        <w:t>根据资料分析及现场调研，</w:t>
      </w:r>
      <w:r>
        <w:rPr>
          <w:rFonts w:hint="eastAsia" w:ascii="Times New Roman" w:hAnsi="Times New Roman"/>
          <w:szCs w:val="32"/>
        </w:rPr>
        <w:t>奉节县农村生活污水排水主要通过管网排入集中式污水处理设施，或排入化粪池后还田利用。其中，排入集中式污水处理设施的主要是有两种情形，一种为离城镇较近，方便接入市政管网的农村聚居点，生活污水经市政管网就近排入附近城镇污水集中处理设施；另一种为离城镇较远的农村聚居点，生活污水经管网排入农村生活污水集中处理设施。目前，奉节县汾河镇白水场镇、竹园镇竹园社区等</w:t>
      </w:r>
      <w:r>
        <w:rPr>
          <w:rFonts w:hint="eastAsia" w:ascii="Times New Roman" w:hAnsi="Times New Roman"/>
        </w:rPr>
        <w:t>离城镇建成区较近的</w:t>
      </w:r>
      <w:r>
        <w:rPr>
          <w:rFonts w:ascii="Times New Roman" w:hAnsi="Times New Roman"/>
          <w:szCs w:val="32"/>
        </w:rPr>
        <w:t>聚居点</w:t>
      </w:r>
      <w:r>
        <w:rPr>
          <w:rFonts w:ascii="Times New Roman" w:hAnsi="Times New Roman"/>
        </w:rPr>
        <w:t>农村生活污水</w:t>
      </w:r>
      <w:r>
        <w:rPr>
          <w:rFonts w:hint="eastAsia" w:ascii="Times New Roman" w:hAnsi="Times New Roman"/>
        </w:rPr>
        <w:t>已通过市</w:t>
      </w:r>
      <w:r>
        <w:rPr>
          <w:rFonts w:ascii="Times New Roman" w:hAnsi="Times New Roman"/>
        </w:rPr>
        <w:t>政管网</w:t>
      </w:r>
      <w:r>
        <w:rPr>
          <w:rFonts w:hint="eastAsia" w:ascii="Times New Roman" w:hAnsi="Times New Roman"/>
        </w:rPr>
        <w:t>就近分别接入汾河镇污水处理厂、竹园镇污水处理厂等集中污水处理设施。奉节县现有农村生活污水集中处理设施</w:t>
      </w:r>
      <w:r>
        <w:rPr>
          <w:rFonts w:ascii="Times New Roman" w:hAnsi="Times New Roman"/>
        </w:rPr>
        <w:t>3</w:t>
      </w:r>
      <w:r>
        <w:rPr>
          <w:rFonts w:hint="eastAsia" w:ascii="Times New Roman" w:hAnsi="Times New Roman"/>
        </w:rPr>
        <w:t>9座，分布在</w:t>
      </w:r>
      <w:r>
        <w:rPr>
          <w:rFonts w:ascii="Times New Roman" w:hAnsi="Times New Roman"/>
        </w:rPr>
        <w:t>21</w:t>
      </w:r>
      <w:r>
        <w:rPr>
          <w:rFonts w:hint="eastAsia" w:ascii="Times New Roman" w:hAnsi="Times New Roman"/>
        </w:rPr>
        <w:t>个乡镇，服务人口约3</w:t>
      </w:r>
      <w:r>
        <w:rPr>
          <w:rFonts w:ascii="Times New Roman" w:hAnsi="Times New Roman"/>
        </w:rPr>
        <w:t>.8</w:t>
      </w:r>
      <w:r>
        <w:rPr>
          <w:rFonts w:hint="eastAsia" w:ascii="Times New Roman" w:hAnsi="Times New Roman"/>
        </w:rPr>
        <w:t>万人，集中处理38个村社农村生活污水。</w:t>
      </w:r>
    </w:p>
    <w:p>
      <w:pPr>
        <w:pStyle w:val="3"/>
      </w:pPr>
      <w:bookmarkStart w:id="126" w:name="_Toc4596"/>
      <w:r>
        <w:t xml:space="preserve">3.2 </w:t>
      </w:r>
      <w:r>
        <w:rPr>
          <w:rFonts w:hint="eastAsia"/>
        </w:rPr>
        <w:t>农村生活污水治理现状</w:t>
      </w:r>
      <w:bookmarkEnd w:id="126"/>
    </w:p>
    <w:p>
      <w:pPr>
        <w:pStyle w:val="4"/>
        <w:ind w:firstLine="640"/>
      </w:pPr>
      <w:r>
        <w:t>3.2.1 农户改厕普及情况</w:t>
      </w:r>
    </w:p>
    <w:p>
      <w:pPr>
        <w:ind w:firstLine="640"/>
        <w:rPr>
          <w:rFonts w:ascii="Times New Roman" w:hAnsi="Times New Roman"/>
        </w:rPr>
      </w:pPr>
      <w:r>
        <w:rPr>
          <w:rFonts w:hint="eastAsia" w:ascii="Times New Roman" w:hAnsi="Times New Roman"/>
        </w:rPr>
        <w:t>近年来，奉节县</w:t>
      </w:r>
      <w:r>
        <w:rPr>
          <w:rFonts w:hint="eastAsia" w:ascii="Times New Roman" w:hAnsi="Times New Roman"/>
          <w:szCs w:val="32"/>
          <w:shd w:val="clear" w:color="auto" w:fill="FFFFFF"/>
        </w:rPr>
        <w:t>坚持“群众主动、政府行动”“群众先动、政府后动”“群众大动、政府大动”“群众小动、政府小动”“群众不动、政府不动”的“五动五不动”工作原则，实行“五三三三”工作法，</w:t>
      </w:r>
      <w:r>
        <w:rPr>
          <w:rFonts w:hint="eastAsia" w:ascii="Times New Roman" w:hAnsi="Times New Roman"/>
        </w:rPr>
        <w:t>按照“群众接受、经济适用、维护方便、不污染公共水体”的要求，结合农村危房改造、农房“三改”或“五改”、易地扶贫搬迁、旧房整治提升、污水治理等统筹推进农村改厕，引导农户新建和改造卫生厕所。截</w:t>
      </w:r>
      <w:r>
        <w:rPr>
          <w:rFonts w:hint="eastAsia" w:ascii="Times New Roman" w:hAnsi="Times New Roman"/>
          <w:lang w:eastAsia="zh-CN"/>
        </w:rPr>
        <w:t>至</w:t>
      </w:r>
      <w:r>
        <w:rPr>
          <w:rFonts w:ascii="Times New Roman" w:hAnsi="Times New Roman"/>
        </w:rPr>
        <w:t>2019</w:t>
      </w:r>
      <w:r>
        <w:rPr>
          <w:rFonts w:hint="eastAsia" w:ascii="Times New Roman" w:hAnsi="Times New Roman"/>
        </w:rPr>
        <w:t>年底，全县共完成159091户农村户厕改造，完成168座农村公厕建设，卫生厕所普及率达65.60%。</w:t>
      </w:r>
    </w:p>
    <w:p>
      <w:pPr>
        <w:pStyle w:val="4"/>
        <w:ind w:firstLine="640"/>
      </w:pPr>
      <w:r>
        <w:t>‬3.2.2 农村生活污水处理设施</w:t>
      </w:r>
      <w:r>
        <w:rPr>
          <w:rFonts w:hint="eastAsia"/>
        </w:rPr>
        <w:t>现状</w:t>
      </w:r>
    </w:p>
    <w:p>
      <w:pPr>
        <w:pStyle w:val="5"/>
        <w:rPr>
          <w:rFonts w:ascii="Times New Roman"/>
          <w:b w:val="0"/>
          <w:bCs/>
        </w:rPr>
      </w:pPr>
      <w:r>
        <w:rPr>
          <w:rFonts w:ascii="Times New Roman"/>
          <w:b w:val="0"/>
          <w:bCs/>
        </w:rPr>
        <w:t>（1）设施数量及规模</w:t>
      </w:r>
    </w:p>
    <w:p>
      <w:pPr>
        <w:ind w:firstLine="640"/>
        <w:rPr>
          <w:rFonts w:ascii="Times New Roman" w:hAnsi="Times New Roman"/>
          <w:bCs/>
        </w:rPr>
      </w:pPr>
      <w:r>
        <w:rPr>
          <w:rFonts w:ascii="Times New Roman" w:hAnsi="Times New Roman"/>
          <w:bCs/>
        </w:rPr>
        <w:t>目前，奉节县已建成</w:t>
      </w:r>
      <w:r>
        <w:rPr>
          <w:rFonts w:hint="eastAsia" w:ascii="Times New Roman" w:hAnsi="Times New Roman"/>
          <w:bCs/>
        </w:rPr>
        <w:t>39</w:t>
      </w:r>
      <w:r>
        <w:rPr>
          <w:rFonts w:ascii="Times New Roman" w:hAnsi="Times New Roman"/>
          <w:bCs/>
        </w:rPr>
        <w:t>座农村污水处理设施，全县农村生活污水处理总规模</w:t>
      </w:r>
      <w:r>
        <w:rPr>
          <w:rFonts w:hint="eastAsia" w:ascii="Times New Roman" w:hAnsi="Times New Roman"/>
          <w:bCs/>
        </w:rPr>
        <w:t>达到6707</w:t>
      </w:r>
      <w:r>
        <w:rPr>
          <w:rFonts w:ascii="Times New Roman" w:hAnsi="Times New Roman"/>
          <w:bCs/>
        </w:rPr>
        <w:t>t/d</w:t>
      </w:r>
      <w:r>
        <w:rPr>
          <w:rFonts w:hint="eastAsia" w:ascii="Times New Roman" w:hAnsi="Times New Roman"/>
          <w:bCs/>
        </w:rPr>
        <w:t>，农村生活污水实现集中处理（纳管+设施）的村社数量为8</w:t>
      </w:r>
      <w:r>
        <w:rPr>
          <w:rFonts w:ascii="Times New Roman" w:hAnsi="Times New Roman"/>
          <w:bCs/>
        </w:rPr>
        <w:t>6</w:t>
      </w:r>
      <w:r>
        <w:rPr>
          <w:rFonts w:hint="eastAsia" w:ascii="Times New Roman" w:hAnsi="Times New Roman"/>
          <w:bCs/>
        </w:rPr>
        <w:t>个，覆盖率达到2</w:t>
      </w:r>
      <w:r>
        <w:rPr>
          <w:rFonts w:ascii="Times New Roman" w:hAnsi="Times New Roman"/>
          <w:bCs/>
        </w:rPr>
        <w:t>2.69</w:t>
      </w:r>
      <w:r>
        <w:rPr>
          <w:rFonts w:hint="eastAsia" w:ascii="Times New Roman" w:hAnsi="Times New Roman"/>
          <w:bCs/>
        </w:rPr>
        <w:t>%。各污水处理设施设计处理规模介于2</w:t>
      </w:r>
      <w:r>
        <w:rPr>
          <w:rFonts w:ascii="Times New Roman" w:hAnsi="Times New Roman"/>
          <w:bCs/>
        </w:rPr>
        <w:t>0-</w:t>
      </w:r>
      <w:r>
        <w:rPr>
          <w:rFonts w:hint="eastAsia" w:ascii="Times New Roman" w:hAnsi="Times New Roman"/>
          <w:bCs/>
        </w:rPr>
        <w:t>800</w:t>
      </w:r>
      <w:r>
        <w:rPr>
          <w:rFonts w:ascii="Times New Roman" w:hAnsi="Times New Roman"/>
          <w:bCs/>
        </w:rPr>
        <w:t>t/d</w:t>
      </w:r>
      <w:r>
        <w:rPr>
          <w:rFonts w:hint="eastAsia" w:ascii="Times New Roman" w:hAnsi="Times New Roman"/>
          <w:bCs/>
        </w:rPr>
        <w:t>，其中2</w:t>
      </w:r>
      <w:r>
        <w:rPr>
          <w:rFonts w:ascii="Times New Roman" w:hAnsi="Times New Roman"/>
          <w:bCs/>
        </w:rPr>
        <w:t>0</w:t>
      </w:r>
      <w:r>
        <w:rPr>
          <w:rFonts w:hint="eastAsia" w:ascii="Times New Roman" w:hAnsi="Times New Roman"/>
          <w:bCs/>
        </w:rPr>
        <w:t>-</w:t>
      </w:r>
      <w:r>
        <w:rPr>
          <w:rFonts w:ascii="Times New Roman" w:hAnsi="Times New Roman"/>
          <w:bCs/>
        </w:rPr>
        <w:t>50t/d</w:t>
      </w:r>
      <w:r>
        <w:rPr>
          <w:rFonts w:hint="eastAsia" w:ascii="Times New Roman" w:hAnsi="Times New Roman"/>
          <w:bCs/>
        </w:rPr>
        <w:t>的污水处理设施共13座，5</w:t>
      </w:r>
      <w:r>
        <w:rPr>
          <w:rFonts w:ascii="Times New Roman" w:hAnsi="Times New Roman"/>
          <w:bCs/>
        </w:rPr>
        <w:t>0-100t/d</w:t>
      </w:r>
      <w:r>
        <w:rPr>
          <w:rFonts w:hint="eastAsia" w:ascii="Times New Roman" w:hAnsi="Times New Roman"/>
          <w:bCs/>
        </w:rPr>
        <w:t>的污水处理设施共</w:t>
      </w:r>
      <w:r>
        <w:rPr>
          <w:rFonts w:ascii="Times New Roman" w:hAnsi="Times New Roman"/>
          <w:bCs/>
        </w:rPr>
        <w:t>1</w:t>
      </w:r>
      <w:r>
        <w:rPr>
          <w:rFonts w:hint="eastAsia" w:ascii="Times New Roman" w:hAnsi="Times New Roman"/>
          <w:bCs/>
        </w:rPr>
        <w:t>3座，1</w:t>
      </w:r>
      <w:r>
        <w:rPr>
          <w:rFonts w:ascii="Times New Roman" w:hAnsi="Times New Roman"/>
          <w:bCs/>
        </w:rPr>
        <w:t>00-</w:t>
      </w:r>
      <w:r>
        <w:rPr>
          <w:rFonts w:hint="eastAsia" w:ascii="Times New Roman" w:hAnsi="Times New Roman"/>
          <w:bCs/>
        </w:rPr>
        <w:t>3</w:t>
      </w:r>
      <w:r>
        <w:rPr>
          <w:rFonts w:ascii="Times New Roman" w:hAnsi="Times New Roman"/>
          <w:bCs/>
        </w:rPr>
        <w:t>00t/d</w:t>
      </w:r>
      <w:r>
        <w:rPr>
          <w:rFonts w:hint="eastAsia" w:ascii="Times New Roman" w:hAnsi="Times New Roman"/>
          <w:bCs/>
        </w:rPr>
        <w:t>的污水处理设施共9座，</w:t>
      </w:r>
      <w:r>
        <w:rPr>
          <w:rFonts w:ascii="Times New Roman" w:hAnsi="Times New Roman"/>
          <w:bCs/>
        </w:rPr>
        <w:t>300t/d</w:t>
      </w:r>
      <w:r>
        <w:rPr>
          <w:rFonts w:hint="eastAsia" w:ascii="Times New Roman" w:hAnsi="Times New Roman"/>
          <w:bCs/>
        </w:rPr>
        <w:t>以上的污水处理设施共4座。</w:t>
      </w:r>
    </w:p>
    <w:p>
      <w:pPr>
        <w:pStyle w:val="5"/>
        <w:rPr>
          <w:rFonts w:ascii="Times New Roman"/>
          <w:b w:val="0"/>
          <w:bCs/>
        </w:rPr>
      </w:pPr>
      <w:r>
        <w:rPr>
          <w:rFonts w:ascii="Times New Roman"/>
          <w:b w:val="0"/>
          <w:bCs/>
        </w:rPr>
        <w:t>（2）污水处理工艺</w:t>
      </w:r>
    </w:p>
    <w:p>
      <w:pPr>
        <w:ind w:firstLine="632"/>
        <w:rPr>
          <w:rFonts w:ascii="Times New Roman" w:hAnsi="Times New Roman"/>
          <w:bCs/>
          <w:spacing w:val="-4"/>
        </w:rPr>
      </w:pPr>
      <w:r>
        <w:rPr>
          <w:rFonts w:hint="eastAsia" w:ascii="Times New Roman" w:hAnsi="Times New Roman"/>
          <w:bCs/>
          <w:spacing w:val="-2"/>
        </w:rPr>
        <w:t>根据现场调研，</w:t>
      </w:r>
      <w:r>
        <w:rPr>
          <w:rFonts w:ascii="Times New Roman" w:hAnsi="Times New Roman"/>
          <w:bCs/>
          <w:spacing w:val="-2"/>
        </w:rPr>
        <w:t>奉节县</w:t>
      </w:r>
      <w:r>
        <w:rPr>
          <w:rFonts w:hint="eastAsia" w:ascii="Times New Roman" w:hAnsi="Times New Roman"/>
          <w:bCs/>
          <w:spacing w:val="-2"/>
        </w:rPr>
        <w:t>现有</w:t>
      </w:r>
      <w:r>
        <w:rPr>
          <w:rFonts w:ascii="Times New Roman" w:hAnsi="Times New Roman"/>
          <w:bCs/>
          <w:spacing w:val="-2"/>
        </w:rPr>
        <w:t>农村生活污水处理设施</w:t>
      </w:r>
      <w:r>
        <w:rPr>
          <w:rFonts w:hint="eastAsia" w:ascii="Times New Roman" w:hAnsi="Times New Roman"/>
          <w:bCs/>
          <w:spacing w:val="-2"/>
        </w:rPr>
        <w:t>处理</w:t>
      </w:r>
      <w:r>
        <w:rPr>
          <w:rFonts w:ascii="Times New Roman" w:hAnsi="Times New Roman"/>
          <w:bCs/>
          <w:spacing w:val="-2"/>
        </w:rPr>
        <w:t>工艺</w:t>
      </w:r>
      <w:r>
        <w:rPr>
          <w:rFonts w:hint="eastAsia" w:ascii="Times New Roman" w:hAnsi="Times New Roman"/>
          <w:bCs/>
          <w:spacing w:val="-2"/>
        </w:rPr>
        <w:t>主要包括</w:t>
      </w:r>
      <w:r>
        <w:rPr>
          <w:rFonts w:ascii="Times New Roman" w:hAnsi="Times New Roman"/>
          <w:bCs/>
          <w:spacing w:val="-2"/>
        </w:rPr>
        <w:t>生物处理、生态处理、生物+生态处理、</w:t>
      </w:r>
      <w:r>
        <w:rPr>
          <w:rFonts w:hint="eastAsia" w:ascii="Times New Roman" w:hAnsi="Times New Roman"/>
          <w:bCs/>
          <w:spacing w:val="-2"/>
        </w:rPr>
        <w:t>A/</w:t>
      </w:r>
      <w:r>
        <w:rPr>
          <w:rFonts w:ascii="Times New Roman" w:hAnsi="Times New Roman"/>
          <w:bCs/>
          <w:spacing w:val="-2"/>
        </w:rPr>
        <w:t>O</w:t>
      </w:r>
      <w:r>
        <w:rPr>
          <w:rFonts w:hint="eastAsia" w:ascii="Times New Roman" w:hAnsi="Times New Roman"/>
          <w:bCs/>
          <w:spacing w:val="-2"/>
        </w:rPr>
        <w:t>工艺</w:t>
      </w:r>
      <w:r>
        <w:rPr>
          <w:rFonts w:ascii="Times New Roman" w:hAnsi="Times New Roman"/>
          <w:bCs/>
          <w:spacing w:val="-2"/>
        </w:rPr>
        <w:t>、</w:t>
      </w:r>
      <w:r>
        <w:rPr>
          <w:rFonts w:hint="eastAsia" w:ascii="Times New Roman" w:hAnsi="Times New Roman"/>
          <w:bCs/>
          <w:spacing w:val="-2"/>
        </w:rPr>
        <w:t>MBR</w:t>
      </w:r>
      <w:r>
        <w:rPr>
          <w:rFonts w:ascii="Times New Roman" w:hAnsi="Times New Roman"/>
          <w:bCs/>
        </w:rPr>
        <w:t>，</w:t>
      </w:r>
      <w:r>
        <w:rPr>
          <w:rFonts w:hint="eastAsia" w:ascii="Times New Roman" w:hAnsi="Times New Roman"/>
          <w:bCs/>
        </w:rPr>
        <w:t>其中M</w:t>
      </w:r>
      <w:r>
        <w:rPr>
          <w:rFonts w:ascii="Times New Roman" w:hAnsi="Times New Roman"/>
          <w:bCs/>
        </w:rPr>
        <w:t>BR工艺</w:t>
      </w:r>
      <w:r>
        <w:rPr>
          <w:rFonts w:hint="eastAsia" w:ascii="Times New Roman" w:hAnsi="Times New Roman"/>
          <w:bCs/>
        </w:rPr>
        <w:t>和</w:t>
      </w:r>
      <w:r>
        <w:rPr>
          <w:rFonts w:hint="eastAsia" w:ascii="Times New Roman" w:hAnsi="Times New Roman"/>
          <w:bCs/>
          <w:spacing w:val="-2"/>
        </w:rPr>
        <w:t>生物处理运用较为广泛，分别占3</w:t>
      </w:r>
      <w:r>
        <w:rPr>
          <w:rFonts w:ascii="Times New Roman" w:hAnsi="Times New Roman"/>
          <w:bCs/>
          <w:spacing w:val="-2"/>
        </w:rPr>
        <w:t>9</w:t>
      </w:r>
      <w:r>
        <w:rPr>
          <w:rFonts w:hint="eastAsia" w:ascii="Times New Roman" w:hAnsi="Times New Roman"/>
          <w:bCs/>
          <w:spacing w:val="-2"/>
        </w:rPr>
        <w:t>%和2</w:t>
      </w:r>
      <w:r>
        <w:rPr>
          <w:rFonts w:ascii="Times New Roman" w:hAnsi="Times New Roman"/>
          <w:bCs/>
          <w:spacing w:val="-2"/>
        </w:rPr>
        <w:t>9</w:t>
      </w:r>
      <w:r>
        <w:rPr>
          <w:rFonts w:hint="eastAsia" w:ascii="Times New Roman" w:hAnsi="Times New Roman"/>
          <w:bCs/>
          <w:spacing w:val="-2"/>
        </w:rPr>
        <w:t>%，生态处理工艺占1</w:t>
      </w:r>
      <w:r>
        <w:rPr>
          <w:rFonts w:ascii="Times New Roman" w:hAnsi="Times New Roman"/>
          <w:bCs/>
          <w:spacing w:val="-2"/>
        </w:rPr>
        <w:t>6</w:t>
      </w:r>
      <w:r>
        <w:rPr>
          <w:rFonts w:hint="eastAsia" w:ascii="Times New Roman" w:hAnsi="Times New Roman"/>
          <w:bCs/>
          <w:spacing w:val="-2"/>
        </w:rPr>
        <w:t>%，生物+生态联合处理工艺占1</w:t>
      </w:r>
      <w:r>
        <w:rPr>
          <w:rFonts w:ascii="Times New Roman" w:hAnsi="Times New Roman"/>
          <w:bCs/>
          <w:spacing w:val="-2"/>
        </w:rPr>
        <w:t>3</w:t>
      </w:r>
      <w:r>
        <w:rPr>
          <w:rFonts w:hint="eastAsia" w:ascii="Times New Roman" w:hAnsi="Times New Roman"/>
          <w:bCs/>
          <w:spacing w:val="-2"/>
        </w:rPr>
        <w:t>%，A/</w:t>
      </w:r>
      <w:r>
        <w:rPr>
          <w:rFonts w:ascii="Times New Roman" w:hAnsi="Times New Roman"/>
          <w:bCs/>
          <w:spacing w:val="-2"/>
        </w:rPr>
        <w:t>O</w:t>
      </w:r>
      <w:r>
        <w:rPr>
          <w:rFonts w:hint="eastAsia" w:ascii="Times New Roman" w:hAnsi="Times New Roman"/>
          <w:bCs/>
          <w:spacing w:val="-2"/>
        </w:rPr>
        <w:t>工艺运用较少，仅占3%。</w:t>
      </w:r>
    </w:p>
    <w:p>
      <w:pPr>
        <w:pStyle w:val="5"/>
        <w:rPr>
          <w:rFonts w:ascii="Times New Roman"/>
          <w:b w:val="0"/>
          <w:bCs/>
        </w:rPr>
      </w:pPr>
      <w:r>
        <w:rPr>
          <w:rFonts w:ascii="Times New Roman"/>
          <w:b w:val="0"/>
          <w:bCs/>
        </w:rPr>
        <w:t>（3）运行现状</w:t>
      </w:r>
    </w:p>
    <w:p>
      <w:pPr>
        <w:ind w:firstLine="624"/>
        <w:rPr>
          <w:rFonts w:ascii="Times New Roman" w:hAnsi="Times New Roman"/>
        </w:rPr>
      </w:pPr>
      <w:r>
        <w:rPr>
          <w:rFonts w:hint="eastAsia" w:ascii="Times New Roman" w:hAnsi="Times New Roman"/>
          <w:spacing w:val="-4"/>
        </w:rPr>
        <w:t>由于运维较差，部分农村污水处理设施无专业人员对其进行定期维护，现有农村污水处理设施未正常运行；</w:t>
      </w:r>
      <w:r>
        <w:rPr>
          <w:rFonts w:ascii="Times New Roman" w:hAnsi="Times New Roman"/>
        </w:rPr>
        <w:t>部分污水处理设施</w:t>
      </w:r>
      <w:r>
        <w:rPr>
          <w:rFonts w:hint="eastAsia" w:ascii="Times New Roman" w:hAnsi="Times New Roman"/>
        </w:rPr>
        <w:t>污水收集管网未完善及出现破损现象；部分集聚区由于雨污分流不完善，导致部分污水井有污水溢出、污水处理设施处理能力不足。</w:t>
      </w:r>
    </w:p>
    <w:p>
      <w:pPr>
        <w:pStyle w:val="3"/>
      </w:pPr>
      <w:bookmarkStart w:id="127" w:name="_Toc4584"/>
      <w:bookmarkStart w:id="128" w:name="_Toc1562992"/>
      <w:bookmarkStart w:id="129" w:name="_Toc13757"/>
      <w:bookmarkStart w:id="130" w:name="_Toc13773"/>
      <w:bookmarkStart w:id="131" w:name="_Toc8956"/>
      <w:bookmarkStart w:id="132" w:name="_Toc2305"/>
      <w:bookmarkStart w:id="133" w:name="_Toc3882"/>
      <w:bookmarkStart w:id="134" w:name="_Toc17964114"/>
      <w:bookmarkStart w:id="135" w:name="_Toc18065710"/>
      <w:bookmarkStart w:id="136" w:name="_Toc32505"/>
      <w:bookmarkStart w:id="137" w:name="_Toc32358"/>
      <w:bookmarkStart w:id="138" w:name="_Toc14462"/>
      <w:bookmarkStart w:id="139" w:name="_Toc6844"/>
      <w:bookmarkStart w:id="140" w:name="_Toc3765"/>
      <w:r>
        <w:t xml:space="preserve">3.3 </w:t>
      </w:r>
      <w:r>
        <w:rPr>
          <w:rFonts w:hint="eastAsia"/>
        </w:rPr>
        <w:t>污染负荷量预测</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pPr>
        <w:ind w:firstLine="592"/>
        <w:rPr>
          <w:rFonts w:ascii="Times New Roman" w:hAnsi="Times New Roman"/>
          <w:spacing w:val="-12"/>
        </w:rPr>
      </w:pPr>
      <w:bookmarkStart w:id="141" w:name="_Toc28357"/>
      <w:bookmarkStart w:id="142" w:name="_Toc31260"/>
      <w:bookmarkStart w:id="143" w:name="_Toc30913"/>
      <w:bookmarkStart w:id="144" w:name="_Toc26"/>
      <w:bookmarkStart w:id="145" w:name="_Toc17964115"/>
      <w:bookmarkStart w:id="146" w:name="_Toc944"/>
      <w:bookmarkStart w:id="147" w:name="_Toc32656"/>
      <w:bookmarkStart w:id="148" w:name="_Toc20263"/>
      <w:bookmarkStart w:id="149" w:name="_Toc27076"/>
      <w:bookmarkStart w:id="150" w:name="_Toc1562994"/>
      <w:r>
        <w:rPr>
          <w:rFonts w:hint="eastAsia" w:ascii="Times New Roman" w:hAnsi="Times New Roman"/>
          <w:spacing w:val="-12"/>
        </w:rPr>
        <w:t>参考《重庆市农村生活污水及生活垃圾处理适宜技术推荐》中相关农村生活污水排放量的定额，奉节县农村生活污水排放量取值按人均65L/d测算</w:t>
      </w:r>
      <w:r>
        <w:rPr>
          <w:rFonts w:ascii="Times New Roman" w:hAnsi="Times New Roman"/>
          <w:spacing w:val="-12"/>
        </w:rPr>
        <w:t>，</w:t>
      </w:r>
      <w:r>
        <w:rPr>
          <w:rFonts w:hint="eastAsia" w:ascii="Times New Roman" w:hAnsi="Times New Roman"/>
          <w:spacing w:val="-12"/>
        </w:rPr>
        <w:t>场镇和村庄中含有学校的，走读师生按其实际人口的40%计算，住读师生按其实际人口的60%计算，此次统计中，学校人口均按其实际人口的50%计算。</w:t>
      </w:r>
    </w:p>
    <w:p>
      <w:pPr>
        <w:ind w:firstLine="640"/>
        <w:rPr>
          <w:rFonts w:ascii="Times New Roman" w:hAnsi="Times New Roman"/>
        </w:rPr>
      </w:pPr>
      <w:r>
        <w:rPr>
          <w:rFonts w:hint="eastAsia" w:ascii="Times New Roman" w:hAnsi="Times New Roman"/>
        </w:rPr>
        <w:t>综合考虑</w:t>
      </w:r>
      <w:r>
        <w:rPr>
          <w:rFonts w:ascii="Times New Roman" w:hAnsi="Times New Roman"/>
        </w:rPr>
        <w:t>奉节县</w:t>
      </w:r>
      <w:r>
        <w:rPr>
          <w:rFonts w:hint="eastAsia" w:ascii="Times New Roman" w:hAnsi="Times New Roman"/>
        </w:rPr>
        <w:t>农村地区用水</w:t>
      </w:r>
      <w:r>
        <w:rPr>
          <w:rFonts w:ascii="Times New Roman" w:hAnsi="Times New Roman"/>
        </w:rPr>
        <w:t>实际情况，</w:t>
      </w:r>
      <w:r>
        <w:rPr>
          <w:rFonts w:hint="eastAsia" w:ascii="Times New Roman" w:hAnsi="Times New Roman"/>
        </w:rPr>
        <w:t>通过农村居民生活污水及污染物产系数预、排污测</w:t>
      </w:r>
      <w:r>
        <w:rPr>
          <w:rFonts w:ascii="Times New Roman" w:hAnsi="Times New Roman"/>
        </w:rPr>
        <w:t>奉节县近期</w:t>
      </w:r>
      <w:r>
        <w:rPr>
          <w:rFonts w:hint="eastAsia" w:ascii="Times New Roman" w:hAnsi="Times New Roman"/>
        </w:rPr>
        <w:t>规划时期内农村</w:t>
      </w:r>
      <w:r>
        <w:rPr>
          <w:rFonts w:ascii="Times New Roman" w:hAnsi="Times New Roman"/>
        </w:rPr>
        <w:t>集聚点、</w:t>
      </w:r>
      <w:r>
        <w:rPr>
          <w:rFonts w:hint="eastAsia" w:ascii="Times New Roman" w:hAnsi="Times New Roman"/>
        </w:rPr>
        <w:t>乡村旅游集中区域</w:t>
      </w:r>
      <w:r>
        <w:rPr>
          <w:rFonts w:ascii="Times New Roman" w:hAnsi="Times New Roman"/>
        </w:rPr>
        <w:t>农家乐及民宿的污水排放量</w:t>
      </w:r>
      <w:r>
        <w:rPr>
          <w:rFonts w:hint="eastAsia" w:ascii="Times New Roman" w:hAnsi="Times New Roman"/>
        </w:rPr>
        <w:t>，经计算，奉节县</w:t>
      </w:r>
      <w:r>
        <w:rPr>
          <w:rFonts w:hint="eastAsia"/>
        </w:rPr>
        <w:t>近期重点任务中各聚居点农村生活污水预测排放总量为</w:t>
      </w:r>
      <w:r>
        <w:rPr>
          <w:rFonts w:hint="eastAsia" w:ascii="Times New Roman" w:hAnsi="Times New Roman"/>
        </w:rPr>
        <w:t>1840</w:t>
      </w:r>
      <w:r>
        <w:rPr>
          <w:rFonts w:ascii="Times New Roman" w:hAnsi="Times New Roman"/>
        </w:rPr>
        <w:t>t/d</w:t>
      </w:r>
      <w:r>
        <w:rPr>
          <w:rFonts w:hint="eastAsia" w:ascii="Times New Roman" w:hAnsi="Times New Roman"/>
        </w:rPr>
        <w:t>。</w:t>
      </w:r>
    </w:p>
    <w:p>
      <w:pPr>
        <w:pStyle w:val="2"/>
      </w:pPr>
      <w:bookmarkStart w:id="151" w:name="_Toc6868"/>
      <w:r>
        <w:t xml:space="preserve">4 </w:t>
      </w:r>
      <w:bookmarkEnd w:id="141"/>
      <w:bookmarkEnd w:id="142"/>
      <w:bookmarkEnd w:id="143"/>
      <w:bookmarkEnd w:id="144"/>
      <w:bookmarkEnd w:id="145"/>
      <w:bookmarkEnd w:id="146"/>
      <w:bookmarkEnd w:id="147"/>
      <w:bookmarkEnd w:id="148"/>
      <w:bookmarkEnd w:id="149"/>
      <w:r>
        <w:rPr>
          <w:rFonts w:hint="eastAsia"/>
        </w:rPr>
        <w:t>污水处理设施建设</w:t>
      </w:r>
      <w:bookmarkEnd w:id="151"/>
    </w:p>
    <w:bookmarkEnd w:id="150"/>
    <w:p>
      <w:pPr>
        <w:pStyle w:val="3"/>
      </w:pPr>
      <w:bookmarkStart w:id="152" w:name="_Toc30375"/>
      <w:bookmarkStart w:id="153" w:name="_Toc24802"/>
      <w:bookmarkStart w:id="154" w:name="_Toc17964123"/>
      <w:bookmarkStart w:id="155" w:name="_Toc11804"/>
      <w:r>
        <w:t xml:space="preserve">4.1 </w:t>
      </w:r>
      <w:r>
        <w:rPr>
          <w:rFonts w:hint="eastAsia"/>
        </w:rPr>
        <w:t>治理方式选择</w:t>
      </w:r>
      <w:bookmarkEnd w:id="152"/>
    </w:p>
    <w:p>
      <w:pPr>
        <w:pStyle w:val="4"/>
        <w:ind w:firstLine="640"/>
      </w:pPr>
      <w:bookmarkStart w:id="156" w:name="_Toc17964117"/>
      <w:bookmarkStart w:id="157" w:name="_Toc9462"/>
      <w:bookmarkStart w:id="158" w:name="_Toc7728"/>
      <w:bookmarkStart w:id="159" w:name="_Toc18065713"/>
      <w:bookmarkStart w:id="160" w:name="_Toc15520"/>
      <w:bookmarkStart w:id="161" w:name="_Toc20542"/>
      <w:r>
        <w:t>4.1.1 治理模式简介</w:t>
      </w:r>
    </w:p>
    <w:p>
      <w:pPr>
        <w:ind w:firstLine="640"/>
        <w:rPr>
          <w:rFonts w:ascii="Times New Roman" w:hAnsi="Times New Roman"/>
        </w:rPr>
      </w:pPr>
      <w:r>
        <w:rPr>
          <w:rFonts w:ascii="Times New Roman" w:hAnsi="Times New Roman"/>
        </w:rPr>
        <w:t>农村生活污水处理终端模式的分类、特点及适用条件各不相同，主要由以下四类处理模式组成：</w:t>
      </w:r>
    </w:p>
    <w:p>
      <w:pPr>
        <w:pStyle w:val="5"/>
        <w:rPr>
          <w:rFonts w:ascii="Times New Roman"/>
          <w:b w:val="0"/>
          <w:bCs/>
        </w:rPr>
      </w:pPr>
      <w:r>
        <w:rPr>
          <w:rFonts w:ascii="Times New Roman"/>
          <w:b w:val="0"/>
          <w:bCs/>
        </w:rPr>
        <w:t>（1）纳管处理模式</w:t>
      </w:r>
    </w:p>
    <w:p>
      <w:pPr>
        <w:ind w:firstLine="640"/>
        <w:rPr>
          <w:rFonts w:ascii="Times New Roman" w:hAnsi="Times New Roman"/>
          <w:bCs/>
        </w:rPr>
      </w:pPr>
      <w:r>
        <w:rPr>
          <w:rFonts w:ascii="Times New Roman" w:hAnsi="Times New Roman"/>
          <w:bCs/>
        </w:rPr>
        <w:t>距离污水管网（一般1公里以内）</w:t>
      </w:r>
      <w:r>
        <w:rPr>
          <w:rFonts w:hint="eastAsia" w:ascii="Times New Roman" w:hAnsi="Times New Roman"/>
          <w:bCs/>
        </w:rPr>
        <w:t>或</w:t>
      </w:r>
      <w:r>
        <w:rPr>
          <w:rFonts w:ascii="Times New Roman" w:hAnsi="Times New Roman"/>
          <w:bCs/>
        </w:rPr>
        <w:t>集中污水处理设施较近，地势符合高程接入要求的</w:t>
      </w:r>
      <w:r>
        <w:rPr>
          <w:rFonts w:hint="eastAsia" w:ascii="Times New Roman" w:hAnsi="Times New Roman"/>
          <w:bCs/>
        </w:rPr>
        <w:t>聚居点</w:t>
      </w:r>
      <w:r>
        <w:rPr>
          <w:rFonts w:ascii="Times New Roman" w:hAnsi="Times New Roman"/>
          <w:bCs/>
        </w:rPr>
        <w:t>、农民安置新村等，可将污水纳管，进入集中污水处理设施处理。</w:t>
      </w:r>
    </w:p>
    <w:p>
      <w:pPr>
        <w:pStyle w:val="5"/>
        <w:rPr>
          <w:rFonts w:ascii="Times New Roman"/>
          <w:b w:val="0"/>
          <w:bCs/>
        </w:rPr>
      </w:pPr>
      <w:r>
        <w:rPr>
          <w:rFonts w:ascii="Times New Roman"/>
          <w:b w:val="0"/>
          <w:bCs/>
        </w:rPr>
        <w:t>（2）村域自建区域型模式</w:t>
      </w:r>
    </w:p>
    <w:p>
      <w:pPr>
        <w:ind w:firstLine="640"/>
      </w:pPr>
      <w:r>
        <w:t>根据村域内农户分布情况、地势地形特点进行科学合理的技术评估后，将一个村庄中符合管网建设、污水集中收集的区域、单个或多个</w:t>
      </w:r>
      <w:r>
        <w:rPr>
          <w:rFonts w:hint="eastAsia" w:ascii="Times New Roman" w:hAnsi="Times New Roman"/>
          <w:bCs/>
        </w:rPr>
        <w:t>聚居点</w:t>
      </w:r>
      <w:r>
        <w:t>，通过建设村域内局部管网收集系统，将该区域、</w:t>
      </w:r>
      <w:r>
        <w:rPr>
          <w:rFonts w:hint="eastAsia" w:ascii="Times New Roman" w:hAnsi="Times New Roman"/>
          <w:bCs/>
        </w:rPr>
        <w:t>聚居点</w:t>
      </w:r>
      <w:r>
        <w:t>的农户所产生的污水进行集中收集，建设单独的污水处理设施集中处理。</w:t>
      </w:r>
    </w:p>
    <w:p>
      <w:pPr>
        <w:pStyle w:val="5"/>
        <w:rPr>
          <w:rFonts w:ascii="Times New Roman"/>
          <w:b w:val="0"/>
          <w:bCs/>
        </w:rPr>
      </w:pPr>
      <w:r>
        <w:rPr>
          <w:rFonts w:ascii="Times New Roman"/>
          <w:b w:val="0"/>
          <w:bCs/>
        </w:rPr>
        <w:t>（3）村域自建联户型模式</w:t>
      </w:r>
    </w:p>
    <w:p>
      <w:pPr>
        <w:ind w:firstLine="640"/>
        <w:rPr>
          <w:rFonts w:ascii="Times New Roman" w:hAnsi="Times New Roman"/>
          <w:bCs/>
        </w:rPr>
      </w:pPr>
      <w:r>
        <w:rPr>
          <w:rFonts w:ascii="Times New Roman" w:hAnsi="Times New Roman"/>
          <w:bCs/>
        </w:rPr>
        <w:t>根据村庄地形地势、布局情况等进行科学设计，将村庄内无法大规模集中处理的区域，合理分片采取小规模联合收集处理，每个片区污水单独处理。污水分片收集后，就近建设污水处理设施，一般采用中小型污水处理设备或生态处理等形式进行处理。</w:t>
      </w:r>
    </w:p>
    <w:p>
      <w:pPr>
        <w:pStyle w:val="5"/>
        <w:rPr>
          <w:rFonts w:ascii="Times New Roman"/>
          <w:b w:val="0"/>
          <w:bCs/>
        </w:rPr>
      </w:pPr>
      <w:r>
        <w:rPr>
          <w:rFonts w:ascii="Times New Roman"/>
          <w:b w:val="0"/>
          <w:bCs/>
        </w:rPr>
        <w:t>（4）村域自建分户型模式</w:t>
      </w:r>
    </w:p>
    <w:p>
      <w:pPr>
        <w:ind w:firstLine="640"/>
        <w:rPr>
          <w:rFonts w:ascii="Times New Roman" w:hAnsi="Times New Roman"/>
        </w:rPr>
      </w:pPr>
      <w:r>
        <w:rPr>
          <w:rFonts w:ascii="Times New Roman" w:hAnsi="Times New Roman"/>
          <w:bCs/>
        </w:rPr>
        <w:t>针对无法进行污水集中处理的</w:t>
      </w:r>
      <w:r>
        <w:rPr>
          <w:rFonts w:ascii="Times New Roman" w:hAnsi="Times New Roman"/>
        </w:rPr>
        <w:t>自然村落、或不适宜建设管网收集的单一农户，采用单户型污水处理设备或生态处理形式进行单独处理的模式。鼓励人口较少、污水产生量较少的地区，以卫生厕所改造为重点推进农村生活污水治理，在杜绝化粪池出水直排的基础上，就地就近实现资源化利用。</w:t>
      </w:r>
    </w:p>
    <w:p>
      <w:pPr>
        <w:pStyle w:val="4"/>
        <w:ind w:firstLine="640"/>
      </w:pPr>
      <w:r>
        <w:t>4.1.2 奉节县治理模式的选择</w:t>
      </w:r>
    </w:p>
    <w:p>
      <w:pPr>
        <w:ind w:firstLine="640"/>
        <w:rPr>
          <w:rFonts w:ascii="Times New Roman" w:hAnsi="Times New Roman"/>
          <w:highlight w:val="yellow"/>
        </w:rPr>
      </w:pPr>
      <w:r>
        <w:rPr>
          <w:rFonts w:ascii="Times New Roman" w:hAnsi="Times New Roman"/>
        </w:rPr>
        <w:t>奉节县综合乡村发展规划，通盘布局。根据</w:t>
      </w:r>
      <w:r>
        <w:rPr>
          <w:rFonts w:hint="eastAsia" w:ascii="Times New Roman" w:hAnsi="Times New Roman"/>
        </w:rPr>
        <w:t>能</w:t>
      </w:r>
      <w:r>
        <w:rPr>
          <w:rFonts w:ascii="Times New Roman" w:hAnsi="Times New Roman"/>
        </w:rPr>
        <w:t>接尽接的目标，规划分期实施对靠近管网及集中污水处理设施的竹园镇岔河村岔河新农村、</w:t>
      </w:r>
      <w:r>
        <w:rPr>
          <w:rFonts w:hint="eastAsia" w:ascii="Times New Roman" w:hAnsi="Times New Roman"/>
        </w:rPr>
        <w:t>鹤峰乡长连村徐家坝、五马镇大木村等聚居点</w:t>
      </w:r>
      <w:r>
        <w:rPr>
          <w:rFonts w:ascii="Times New Roman" w:hAnsi="Times New Roman"/>
        </w:rPr>
        <w:t>优先纳入集中污水处理厂（站）处理；对康乐镇长沙村团包、</w:t>
      </w:r>
      <w:r>
        <w:rPr>
          <w:rFonts w:hint="eastAsia" w:ascii="Times New Roman" w:hAnsi="Times New Roman"/>
        </w:rPr>
        <w:t>兴隆镇庙湾社区庙湾场镇</w:t>
      </w:r>
      <w:r>
        <w:rPr>
          <w:rFonts w:ascii="Times New Roman" w:hAnsi="Times New Roman"/>
        </w:rPr>
        <w:t>等</w:t>
      </w:r>
      <w:r>
        <w:rPr>
          <w:rFonts w:hint="eastAsia" w:ascii="Times New Roman" w:hAnsi="Times New Roman"/>
        </w:rPr>
        <w:t>24</w:t>
      </w:r>
      <w:r>
        <w:rPr>
          <w:rFonts w:ascii="Times New Roman" w:hAnsi="Times New Roman"/>
        </w:rPr>
        <w:t>个聚居点采取村域自建区域型模式</w:t>
      </w:r>
      <w:r>
        <w:rPr>
          <w:rFonts w:ascii="Times New Roman" w:hAnsi="Times New Roman"/>
          <w:spacing w:val="-3"/>
        </w:rPr>
        <w:t>进行集中处理；</w:t>
      </w:r>
      <w:r>
        <w:rPr>
          <w:rFonts w:ascii="Times New Roman" w:hAnsi="Times New Roman"/>
        </w:rPr>
        <w:t>对居住较为分散、地形地貌复杂的农村区域，就近就地进行分散处理</w:t>
      </w:r>
      <w:r>
        <w:rPr>
          <w:rFonts w:ascii="Times New Roman" w:hAnsi="Times New Roman"/>
          <w:spacing w:val="-3"/>
        </w:rPr>
        <w:t>。</w:t>
      </w:r>
    </w:p>
    <w:p>
      <w:pPr>
        <w:pStyle w:val="3"/>
      </w:pPr>
      <w:bookmarkStart w:id="162" w:name="_Toc3242"/>
      <w:r>
        <w:t>4.</w:t>
      </w:r>
      <w:r>
        <w:rPr>
          <w:rFonts w:hint="eastAsia"/>
        </w:rPr>
        <w:t>2</w:t>
      </w:r>
      <w:r>
        <w:t>设施布局选址</w:t>
      </w:r>
      <w:bookmarkEnd w:id="156"/>
      <w:bookmarkEnd w:id="157"/>
      <w:bookmarkEnd w:id="158"/>
      <w:bookmarkEnd w:id="159"/>
      <w:bookmarkEnd w:id="160"/>
      <w:bookmarkEnd w:id="161"/>
      <w:bookmarkEnd w:id="162"/>
    </w:p>
    <w:p>
      <w:pPr>
        <w:ind w:firstLine="640"/>
        <w:rPr>
          <w:rFonts w:ascii="Times New Roman" w:hAnsi="Times New Roman"/>
        </w:rPr>
      </w:pPr>
      <w:r>
        <w:rPr>
          <w:rFonts w:ascii="Times New Roman" w:hAnsi="Times New Roman"/>
        </w:rPr>
        <w:t>已建设施符合选址要求并能够正常运行的，应统筹考虑并充分利用，避免设施重复建设；对不能正常运行的农村生活污水处理设施，应根据情况进行修缮改造。</w:t>
      </w:r>
    </w:p>
    <w:p>
      <w:pPr>
        <w:ind w:firstLine="640"/>
        <w:rPr>
          <w:rFonts w:ascii="Times New Roman" w:hAnsi="Times New Roman"/>
        </w:rPr>
      </w:pPr>
      <w:r>
        <w:rPr>
          <w:rFonts w:ascii="Times New Roman" w:hAnsi="Times New Roman"/>
        </w:rPr>
        <w:t>新建污水处理设施选址建议满足下列条件：</w:t>
      </w:r>
      <w:r>
        <w:rPr>
          <w:rFonts w:hint="eastAsia" w:ascii="Times New Roman" w:hAnsi="Times New Roman"/>
        </w:rPr>
        <w:t>①</w:t>
      </w:r>
      <w:r>
        <w:rPr>
          <w:rFonts w:ascii="Times New Roman" w:hAnsi="Times New Roman"/>
        </w:rPr>
        <w:t>污水处理设施要符合村庄发展规划要求；</w:t>
      </w:r>
      <w:r>
        <w:rPr>
          <w:rFonts w:hint="eastAsia" w:ascii="Times New Roman" w:hAnsi="Times New Roman"/>
        </w:rPr>
        <w:t>②</w:t>
      </w:r>
      <w:r>
        <w:rPr>
          <w:rFonts w:ascii="Times New Roman" w:hAnsi="Times New Roman"/>
        </w:rPr>
        <w:t>宜设在村庄低处，便于污水自流，沿途尽量不设或少设提升泵站；</w:t>
      </w:r>
      <w:r>
        <w:rPr>
          <w:rFonts w:hint="eastAsia" w:ascii="Times New Roman" w:hAnsi="Times New Roman"/>
        </w:rPr>
        <w:t>③</w:t>
      </w:r>
      <w:r>
        <w:rPr>
          <w:rFonts w:ascii="Times New Roman" w:hAnsi="Times New Roman"/>
        </w:rPr>
        <w:t>污水处理设施要与村庄有一定的距离，尽量注意废水处理过程中产生的臭气、蚊蝇及设备噪音对住户的影响；</w:t>
      </w:r>
      <w:r>
        <w:rPr>
          <w:rFonts w:hint="eastAsia" w:ascii="Times New Roman" w:hAnsi="Times New Roman"/>
        </w:rPr>
        <w:t>④</w:t>
      </w:r>
      <w:r>
        <w:rPr>
          <w:rFonts w:ascii="Times New Roman" w:hAnsi="Times New Roman"/>
        </w:rPr>
        <w:t>处理实施要考虑洪水的影响；建造要考虑雨水汇聚的影响；</w:t>
      </w:r>
      <w:r>
        <w:rPr>
          <w:rFonts w:hint="eastAsia" w:ascii="Times New Roman" w:hAnsi="Times New Roman"/>
        </w:rPr>
        <w:t>⑤</w:t>
      </w:r>
      <w:r>
        <w:rPr>
          <w:rFonts w:ascii="Times New Roman" w:hAnsi="Times New Roman"/>
        </w:rPr>
        <w:t>尽量利用废弃的土地，节约用地；</w:t>
      </w:r>
      <w:r>
        <w:rPr>
          <w:rFonts w:hint="eastAsia" w:ascii="Times New Roman" w:hAnsi="Times New Roman"/>
        </w:rPr>
        <w:t>⑥</w:t>
      </w:r>
      <w:r>
        <w:rPr>
          <w:rFonts w:ascii="Times New Roman" w:hAnsi="Times New Roman"/>
        </w:rPr>
        <w:t>有便利的交通、运输和水电条件。</w:t>
      </w:r>
    </w:p>
    <w:p>
      <w:pPr>
        <w:ind w:firstLine="640"/>
        <w:rPr>
          <w:rFonts w:ascii="Times New Roman" w:hAnsi="Times New Roman"/>
          <w:lang w:bidi="ar"/>
        </w:rPr>
      </w:pPr>
      <w:r>
        <w:rPr>
          <w:rFonts w:hint="eastAsia" w:ascii="Times New Roman" w:hAnsi="Times New Roman"/>
          <w:lang w:bidi="ar"/>
        </w:rPr>
        <w:t>新建</w:t>
      </w:r>
      <w:r>
        <w:rPr>
          <w:rFonts w:ascii="Times New Roman" w:hAnsi="Times New Roman"/>
          <w:lang w:bidi="ar"/>
        </w:rPr>
        <w:t>污水处理设施主体工程（厂区建设用地线，非红线）占地指标，按不同规模控制等级：</w:t>
      </w:r>
    </w:p>
    <w:p>
      <w:pPr>
        <w:ind w:firstLine="640"/>
        <w:rPr>
          <w:rFonts w:ascii="Times New Roman" w:hAnsi="Times New Roman"/>
          <w:lang w:bidi="ar"/>
        </w:rPr>
      </w:pPr>
      <w:r>
        <w:rPr>
          <w:rFonts w:ascii="Times New Roman" w:hAnsi="Times New Roman"/>
          <w:lang w:bidi="ar"/>
        </w:rPr>
        <w:t>（</w:t>
      </w:r>
      <w:r>
        <w:rPr>
          <w:rFonts w:hint="eastAsia" w:ascii="Times New Roman" w:hAnsi="Times New Roman"/>
          <w:lang w:bidi="ar"/>
        </w:rPr>
        <w:t>1</w:t>
      </w:r>
      <w:r>
        <w:rPr>
          <w:rFonts w:ascii="Times New Roman" w:hAnsi="Times New Roman"/>
          <w:lang w:bidi="ar"/>
        </w:rPr>
        <w:t>）设计规模100m</w:t>
      </w:r>
      <w:r>
        <w:rPr>
          <w:rFonts w:ascii="Times New Roman" w:hAnsi="Times New Roman"/>
          <w:vertAlign w:val="superscript"/>
          <w:lang w:bidi="ar"/>
        </w:rPr>
        <w:t>3</w:t>
      </w:r>
      <w:r>
        <w:rPr>
          <w:rFonts w:ascii="Times New Roman" w:hAnsi="Times New Roman"/>
          <w:lang w:bidi="ar"/>
        </w:rPr>
        <w:t>/d</w:t>
      </w:r>
      <w:r>
        <w:rPr>
          <w:rFonts w:hint="eastAsia" w:ascii="Times New Roman" w:hAnsi="Times New Roman"/>
          <w:lang w:bidi="ar"/>
        </w:rPr>
        <w:t>以上</w:t>
      </w:r>
      <w:r>
        <w:rPr>
          <w:rFonts w:ascii="Times New Roman" w:hAnsi="Times New Roman"/>
          <w:lang w:bidi="ar"/>
        </w:rPr>
        <w:t>、占地不大于</w:t>
      </w:r>
      <w:r>
        <w:rPr>
          <w:rFonts w:hint="eastAsia" w:ascii="Times New Roman" w:hAnsi="Times New Roman"/>
          <w:lang w:bidi="ar"/>
        </w:rPr>
        <w:t>10</w:t>
      </w:r>
      <w:r>
        <w:rPr>
          <w:rFonts w:ascii="Times New Roman" w:hAnsi="Times New Roman"/>
          <w:lang w:bidi="ar"/>
        </w:rPr>
        <w:t>m</w:t>
      </w:r>
      <w:r>
        <w:rPr>
          <w:rFonts w:ascii="Times New Roman" w:hAnsi="Times New Roman"/>
          <w:vertAlign w:val="superscript"/>
          <w:lang w:bidi="ar"/>
        </w:rPr>
        <w:t>2</w:t>
      </w:r>
      <w:r>
        <w:rPr>
          <w:rFonts w:ascii="Times New Roman" w:hAnsi="Times New Roman"/>
          <w:lang w:bidi="ar"/>
        </w:rPr>
        <w:t>/m</w:t>
      </w:r>
      <w:r>
        <w:rPr>
          <w:rFonts w:ascii="Times New Roman" w:hAnsi="Times New Roman"/>
          <w:vertAlign w:val="superscript"/>
          <w:lang w:bidi="ar"/>
        </w:rPr>
        <w:t>3</w:t>
      </w:r>
      <w:r>
        <w:rPr>
          <w:rFonts w:ascii="Times New Roman" w:hAnsi="Times New Roman"/>
          <w:lang w:bidi="ar"/>
        </w:rPr>
        <w:t>；微动力工艺可适当放大占地系数。</w:t>
      </w:r>
    </w:p>
    <w:p>
      <w:pPr>
        <w:ind w:firstLine="640"/>
        <w:rPr>
          <w:rFonts w:ascii="Times New Roman" w:hAnsi="Times New Roman"/>
          <w:lang w:bidi="ar"/>
        </w:rPr>
      </w:pPr>
      <w:r>
        <w:rPr>
          <w:rFonts w:ascii="Times New Roman" w:hAnsi="Times New Roman"/>
          <w:lang w:bidi="ar"/>
        </w:rPr>
        <w:t>（</w:t>
      </w:r>
      <w:r>
        <w:rPr>
          <w:rFonts w:hint="eastAsia" w:ascii="Times New Roman" w:hAnsi="Times New Roman"/>
          <w:lang w:bidi="ar"/>
        </w:rPr>
        <w:t>2</w:t>
      </w:r>
      <w:r>
        <w:rPr>
          <w:rFonts w:ascii="Times New Roman" w:hAnsi="Times New Roman"/>
          <w:lang w:bidi="ar"/>
        </w:rPr>
        <w:t>）设计规模50（含）-100m</w:t>
      </w:r>
      <w:r>
        <w:rPr>
          <w:rFonts w:ascii="Times New Roman" w:hAnsi="Times New Roman"/>
          <w:vertAlign w:val="superscript"/>
          <w:lang w:bidi="ar"/>
        </w:rPr>
        <w:t>3</w:t>
      </w:r>
      <w:r>
        <w:rPr>
          <w:rFonts w:ascii="Times New Roman" w:hAnsi="Times New Roman"/>
          <w:lang w:bidi="ar"/>
        </w:rPr>
        <w:t>/d、占地不大于5m</w:t>
      </w:r>
      <w:r>
        <w:rPr>
          <w:rFonts w:ascii="Times New Roman" w:hAnsi="Times New Roman"/>
          <w:vertAlign w:val="superscript"/>
          <w:lang w:bidi="ar"/>
        </w:rPr>
        <w:t>2</w:t>
      </w:r>
      <w:r>
        <w:rPr>
          <w:rFonts w:ascii="Times New Roman" w:hAnsi="Times New Roman"/>
          <w:lang w:bidi="ar"/>
        </w:rPr>
        <w:t>/m</w:t>
      </w:r>
      <w:r>
        <w:rPr>
          <w:rFonts w:ascii="Times New Roman" w:hAnsi="Times New Roman"/>
          <w:vertAlign w:val="superscript"/>
          <w:lang w:bidi="ar"/>
        </w:rPr>
        <w:t>3</w:t>
      </w:r>
      <w:r>
        <w:rPr>
          <w:rFonts w:ascii="Times New Roman" w:hAnsi="Times New Roman"/>
          <w:lang w:bidi="ar"/>
        </w:rPr>
        <w:t>；微动力工艺可适当放大占地系数。</w:t>
      </w:r>
    </w:p>
    <w:p>
      <w:pPr>
        <w:ind w:firstLine="640"/>
        <w:rPr>
          <w:rFonts w:ascii="Times New Roman" w:hAnsi="Times New Roman"/>
        </w:rPr>
      </w:pPr>
      <w:r>
        <w:rPr>
          <w:rFonts w:ascii="Times New Roman" w:hAnsi="Times New Roman"/>
          <w:lang w:bidi="ar"/>
        </w:rPr>
        <w:t>（</w:t>
      </w:r>
      <w:r>
        <w:rPr>
          <w:rFonts w:hint="eastAsia" w:ascii="Times New Roman" w:hAnsi="Times New Roman"/>
          <w:lang w:bidi="ar"/>
        </w:rPr>
        <w:t>3</w:t>
      </w:r>
      <w:r>
        <w:rPr>
          <w:rFonts w:ascii="Times New Roman" w:hAnsi="Times New Roman"/>
          <w:lang w:bidi="ar"/>
        </w:rPr>
        <w:t>）设计规模50m</w:t>
      </w:r>
      <w:r>
        <w:rPr>
          <w:rFonts w:ascii="Times New Roman" w:hAnsi="Times New Roman"/>
          <w:vertAlign w:val="superscript"/>
          <w:lang w:bidi="ar"/>
        </w:rPr>
        <w:t>3</w:t>
      </w:r>
      <w:r>
        <w:rPr>
          <w:rFonts w:ascii="Times New Roman" w:hAnsi="Times New Roman"/>
          <w:lang w:bidi="ar"/>
        </w:rPr>
        <w:t>/d以下的微动力处理工艺、占地不大于10m</w:t>
      </w:r>
      <w:r>
        <w:rPr>
          <w:rFonts w:ascii="Times New Roman" w:hAnsi="Times New Roman"/>
          <w:vertAlign w:val="superscript"/>
          <w:lang w:bidi="ar"/>
        </w:rPr>
        <w:t>2</w:t>
      </w:r>
      <w:r>
        <w:rPr>
          <w:rFonts w:ascii="Times New Roman" w:hAnsi="Times New Roman"/>
          <w:lang w:bidi="ar"/>
        </w:rPr>
        <w:t>/m</w:t>
      </w:r>
      <w:r>
        <w:rPr>
          <w:rFonts w:ascii="Times New Roman" w:hAnsi="Times New Roman"/>
          <w:vertAlign w:val="superscript"/>
          <w:lang w:bidi="ar"/>
        </w:rPr>
        <w:t>3</w:t>
      </w:r>
      <w:r>
        <w:rPr>
          <w:rFonts w:ascii="Times New Roman" w:hAnsi="Times New Roman"/>
          <w:lang w:bidi="ar"/>
        </w:rPr>
        <w:t>。</w:t>
      </w:r>
    </w:p>
    <w:p>
      <w:pPr>
        <w:pStyle w:val="3"/>
      </w:pPr>
      <w:bookmarkStart w:id="163" w:name="_Toc5665"/>
      <w:bookmarkStart w:id="164" w:name="_Toc21519"/>
      <w:bookmarkStart w:id="165" w:name="_Toc18065714"/>
      <w:bookmarkStart w:id="166" w:name="_Toc16564"/>
      <w:bookmarkStart w:id="167" w:name="_Toc32355"/>
      <w:bookmarkStart w:id="168" w:name="_Toc26813"/>
      <w:bookmarkStart w:id="169" w:name="_Toc27813"/>
      <w:bookmarkStart w:id="170" w:name="_Toc7257"/>
      <w:bookmarkStart w:id="171" w:name="_Toc26788"/>
      <w:bookmarkStart w:id="172" w:name="_Toc3909"/>
      <w:bookmarkStart w:id="173" w:name="_Toc17964118"/>
      <w:bookmarkStart w:id="174" w:name="_Toc7995"/>
      <w:bookmarkStart w:id="175" w:name="_Toc5220"/>
      <w:r>
        <w:t xml:space="preserve">4.3 </w:t>
      </w:r>
      <w:r>
        <w:rPr>
          <w:rFonts w:hint="eastAsia"/>
        </w:rPr>
        <w:t>污水收集系统建设</w:t>
      </w:r>
      <w:bookmarkEnd w:id="163"/>
      <w:bookmarkEnd w:id="164"/>
      <w:bookmarkEnd w:id="165"/>
      <w:bookmarkEnd w:id="166"/>
      <w:bookmarkEnd w:id="167"/>
      <w:bookmarkEnd w:id="168"/>
      <w:bookmarkEnd w:id="169"/>
      <w:bookmarkEnd w:id="170"/>
      <w:bookmarkEnd w:id="171"/>
      <w:bookmarkEnd w:id="172"/>
      <w:bookmarkEnd w:id="173"/>
      <w:bookmarkEnd w:id="174"/>
      <w:bookmarkEnd w:id="175"/>
    </w:p>
    <w:p>
      <w:pPr>
        <w:ind w:firstLine="640"/>
        <w:rPr>
          <w:rFonts w:ascii="Times New Roman" w:hAnsi="Times New Roman"/>
        </w:rPr>
      </w:pPr>
      <w:r>
        <w:rPr>
          <w:rFonts w:ascii="Times New Roman" w:hAnsi="Times New Roman"/>
        </w:rPr>
        <w:t>参照《室外排水设计规范》（GB 50014）《建筑给水排水设计规范》（GB 50015）等规范，结合农村实际设计污水收集系统，对不完善的管网进行改造，尽量实现雨污分流。</w:t>
      </w:r>
    </w:p>
    <w:p>
      <w:pPr>
        <w:ind w:firstLine="640"/>
        <w:rPr>
          <w:rFonts w:ascii="Times New Roman" w:hAnsi="Times New Roman"/>
        </w:rPr>
      </w:pPr>
      <w:r>
        <w:rPr>
          <w:rFonts w:ascii="Times New Roman" w:hAnsi="Times New Roman"/>
        </w:rPr>
        <w:t>优先采用顺坡就势等建设成本低、施工速度快的管道布设方式。结合村庄规划、地形标高、排水流向，按照接管短、埋深合理、尽可能利用重力自流的原则布置污水管道。对不能利用重力自流排水的地区，根据服务范围和处理设施位置确定提升设施的位置。污水主管优先采用HDPE材质的钢带波纹管，接户支管采用PE材质等材质较好的管材，提升管网使用年限，降低管网运维成本。</w:t>
      </w:r>
    </w:p>
    <w:p>
      <w:pPr>
        <w:pStyle w:val="3"/>
      </w:pPr>
      <w:bookmarkStart w:id="176" w:name="_Toc22987"/>
      <w:bookmarkStart w:id="177" w:name="_Toc4358"/>
      <w:bookmarkStart w:id="178" w:name="_Toc12178"/>
      <w:bookmarkStart w:id="179" w:name="_Toc18065715"/>
      <w:bookmarkStart w:id="180" w:name="_Toc24201"/>
      <w:bookmarkStart w:id="181" w:name="_Toc17893"/>
      <w:bookmarkStart w:id="182" w:name="_Toc4184"/>
      <w:bookmarkStart w:id="183" w:name="_Toc17964119"/>
      <w:bookmarkStart w:id="184" w:name="_Toc5189"/>
      <w:bookmarkStart w:id="185" w:name="_Toc631"/>
      <w:bookmarkStart w:id="186" w:name="_Toc19863"/>
      <w:bookmarkStart w:id="187" w:name="_Toc32216"/>
      <w:bookmarkStart w:id="188" w:name="_Toc7331"/>
      <w:r>
        <w:t xml:space="preserve">4.4 </w:t>
      </w:r>
      <w:r>
        <w:rPr>
          <w:rFonts w:hint="eastAsia"/>
        </w:rPr>
        <w:t>污水处理技术工艺</w:t>
      </w:r>
      <w:bookmarkEnd w:id="176"/>
      <w:bookmarkStart w:id="189" w:name="_Toc4487"/>
      <w:r>
        <w:rPr>
          <w:rFonts w:hint="eastAsia"/>
        </w:rPr>
        <w:t>选择</w:t>
      </w:r>
      <w:bookmarkEnd w:id="177"/>
      <w:bookmarkEnd w:id="178"/>
      <w:bookmarkEnd w:id="179"/>
      <w:bookmarkEnd w:id="180"/>
      <w:bookmarkEnd w:id="181"/>
      <w:bookmarkEnd w:id="182"/>
      <w:bookmarkEnd w:id="183"/>
      <w:bookmarkEnd w:id="184"/>
      <w:bookmarkEnd w:id="185"/>
      <w:bookmarkEnd w:id="186"/>
      <w:bookmarkEnd w:id="187"/>
      <w:bookmarkEnd w:id="188"/>
      <w:bookmarkEnd w:id="189"/>
    </w:p>
    <w:p>
      <w:pPr>
        <w:ind w:firstLine="640"/>
        <w:rPr>
          <w:rFonts w:ascii="Times New Roman" w:hAnsi="Times New Roman"/>
        </w:rPr>
      </w:pPr>
      <w:r>
        <w:rPr>
          <w:rFonts w:ascii="Times New Roman" w:hAnsi="Times New Roman"/>
        </w:rPr>
        <w:t>污水处理技术工艺主要分为有动力处理技术（组合式复合生物滤池+高负荷活性生物滤床、净化槽、SBR、A/O、A</w:t>
      </w:r>
      <w:r>
        <w:rPr>
          <w:rFonts w:ascii="Times New Roman" w:hAnsi="Times New Roman"/>
          <w:vertAlign w:val="superscript"/>
        </w:rPr>
        <w:t>2</w:t>
      </w:r>
      <w:r>
        <w:rPr>
          <w:rFonts w:ascii="Times New Roman" w:hAnsi="Times New Roman"/>
        </w:rPr>
        <w:t>/O等）、地埋式微动力一体化污水处理设施、无动力处理技术（无动力、地埋式分散式厌氧系统，无动力一体化设施，厌氧+人工湿地，厌氧）等。</w:t>
      </w:r>
    </w:p>
    <w:p>
      <w:pPr>
        <w:ind w:firstLine="640"/>
        <w:rPr>
          <w:rFonts w:ascii="Times New Roman" w:hAnsi="Times New Roman"/>
        </w:rPr>
      </w:pPr>
      <w:r>
        <w:rPr>
          <w:rFonts w:ascii="Times New Roman" w:hAnsi="Times New Roman"/>
        </w:rPr>
        <w:t>根据各行政村社自然地理条件、居民分布、污水治理规模、排放标准、经济水平等因素，奉节县农村生活污水</w:t>
      </w:r>
      <w:r>
        <w:rPr>
          <w:rFonts w:hint="eastAsia" w:ascii="Times New Roman" w:hAnsi="Times New Roman"/>
        </w:rPr>
        <w:t>集中处理设施</w:t>
      </w:r>
      <w:r>
        <w:rPr>
          <w:rFonts w:ascii="Times New Roman" w:hAnsi="Times New Roman"/>
        </w:rPr>
        <w:t>主要选择AO</w:t>
      </w:r>
      <w:r>
        <w:rPr>
          <w:rFonts w:hint="eastAsia" w:ascii="Times New Roman" w:hAnsi="Times New Roman"/>
        </w:rPr>
        <w:t>、</w:t>
      </w:r>
      <w:r>
        <w:rPr>
          <w:rFonts w:ascii="Times New Roman" w:hAnsi="Times New Roman"/>
        </w:rPr>
        <w:t>A</w:t>
      </w:r>
      <w:r>
        <w:rPr>
          <w:rFonts w:ascii="Times New Roman" w:hAnsi="Times New Roman"/>
          <w:vertAlign w:val="superscript"/>
        </w:rPr>
        <w:t>2</w:t>
      </w:r>
      <w:r>
        <w:rPr>
          <w:rFonts w:ascii="Times New Roman" w:hAnsi="Times New Roman"/>
        </w:rPr>
        <w:t>/O污水处理技术工艺。</w:t>
      </w:r>
    </w:p>
    <w:p>
      <w:pPr>
        <w:pStyle w:val="3"/>
      </w:pPr>
      <w:bookmarkStart w:id="190" w:name="_Toc42598942"/>
      <w:bookmarkStart w:id="191" w:name="_Toc22697"/>
      <w:r>
        <w:t>4.5 现有设施管网维护整治</w:t>
      </w:r>
      <w:bookmarkEnd w:id="190"/>
      <w:bookmarkEnd w:id="191"/>
    </w:p>
    <w:p>
      <w:pPr>
        <w:ind w:firstLine="640"/>
        <w:rPr>
          <w:rFonts w:ascii="Times New Roman" w:hAnsi="Times New Roman"/>
        </w:rPr>
      </w:pPr>
      <w:r>
        <w:rPr>
          <w:rFonts w:hint="eastAsia" w:ascii="Times New Roman" w:hAnsi="Times New Roman"/>
        </w:rPr>
        <w:t>对奉节县现有设施管网运行情况进行排查，竹园镇华吉村污水处理站由于设计能力不足，无法达到使用要求，对其进行改扩建；草堂镇柑子社区柑子苑、竹园镇华吉村华吉场镇由于管网破损严重，导致生活污水外渗，影响周边区域，因此对其进行管网整治，完善污水收集系统。</w:t>
      </w:r>
    </w:p>
    <w:p>
      <w:pPr>
        <w:pStyle w:val="3"/>
      </w:pPr>
      <w:bookmarkStart w:id="192" w:name="_Toc23553"/>
      <w:bookmarkStart w:id="193" w:name="_Toc42598943"/>
      <w:r>
        <w:t>4.6</w:t>
      </w:r>
      <w:r>
        <w:rPr>
          <w:rFonts w:hint="eastAsia"/>
        </w:rPr>
        <w:t xml:space="preserve"> </w:t>
      </w:r>
      <w:r>
        <w:t>设施出水排放要求</w:t>
      </w:r>
      <w:bookmarkEnd w:id="192"/>
      <w:bookmarkEnd w:id="193"/>
    </w:p>
    <w:p>
      <w:pPr>
        <w:pStyle w:val="4"/>
        <w:ind w:firstLine="640"/>
      </w:pPr>
      <w:bookmarkStart w:id="194" w:name="_Toc40772844"/>
      <w:bookmarkStart w:id="195" w:name="_Toc42089783"/>
      <w:bookmarkStart w:id="196" w:name="_Toc42090081"/>
      <w:bookmarkStart w:id="197" w:name="_Toc40772745"/>
      <w:bookmarkStart w:id="198" w:name="_Toc42598944"/>
      <w:r>
        <w:t>4.6.1 废水排放标准</w:t>
      </w:r>
      <w:bookmarkEnd w:id="194"/>
      <w:bookmarkEnd w:id="195"/>
      <w:bookmarkEnd w:id="196"/>
      <w:bookmarkEnd w:id="197"/>
      <w:bookmarkEnd w:id="198"/>
    </w:p>
    <w:p>
      <w:pPr>
        <w:ind w:firstLine="640"/>
        <w:rPr>
          <w:rFonts w:ascii="Times New Roman" w:hAnsi="Times New Roman"/>
        </w:rPr>
      </w:pPr>
      <w:r>
        <w:rPr>
          <w:rFonts w:ascii="Times New Roman" w:hAnsi="Times New Roman"/>
        </w:rPr>
        <w:t>新建或改造的农村生活污水处理设施的污水排放需满足《农村生活污水集中处理设施水污染物排放标准》（DB50/848）对相应规模生活污水集中处理设施的废水排放标准适用要求。</w:t>
      </w:r>
      <w:r>
        <w:rPr>
          <w:rFonts w:hint="eastAsia"/>
        </w:rPr>
        <w:t>纳入</w:t>
      </w:r>
      <w:r>
        <w:rPr>
          <w:rFonts w:hint="eastAsia" w:ascii="Times New Roman" w:hAnsi="Times New Roman"/>
        </w:rPr>
        <w:t>城镇污水处理厂（站）处理的农村生活污水执行《城镇污水处理厂污染物排放标准》（GB18918）排放标准。环境敏感区域农村生活污水排放执行《城镇污水处理厂污染物排放标准》（GB18918）中的一级A标准。</w:t>
      </w:r>
    </w:p>
    <w:p>
      <w:pPr>
        <w:pStyle w:val="4"/>
        <w:ind w:firstLine="640"/>
      </w:pPr>
      <w:bookmarkStart w:id="199" w:name="_Toc42089784"/>
      <w:bookmarkStart w:id="200" w:name="_Toc42090082"/>
      <w:bookmarkStart w:id="201" w:name="_Toc40772845"/>
      <w:bookmarkStart w:id="202" w:name="_Toc42598945"/>
      <w:bookmarkStart w:id="203" w:name="_Toc40772746"/>
      <w:r>
        <w:t>4.6.2 尾水处置</w:t>
      </w:r>
      <w:bookmarkEnd w:id="199"/>
      <w:bookmarkEnd w:id="200"/>
      <w:bookmarkEnd w:id="201"/>
      <w:bookmarkEnd w:id="202"/>
      <w:bookmarkEnd w:id="203"/>
    </w:p>
    <w:p>
      <w:pPr>
        <w:ind w:firstLine="640"/>
        <w:rPr>
          <w:rFonts w:ascii="Times New Roman" w:hAnsi="Times New Roman"/>
        </w:rPr>
      </w:pPr>
      <w:r>
        <w:rPr>
          <w:rFonts w:ascii="Times New Roman" w:hAnsi="Times New Roman"/>
        </w:rPr>
        <w:t>污水的治理由处理后达标排放到无害化排放，发展到处理后再利用，是控制出水二次污染、保护水资源的重大进步，也是节约用水的重要途径。</w:t>
      </w:r>
    </w:p>
    <w:p>
      <w:pPr>
        <w:ind w:firstLine="640"/>
        <w:rPr>
          <w:rFonts w:ascii="Times New Roman" w:hAnsi="Times New Roman"/>
        </w:rPr>
      </w:pPr>
      <w:r>
        <w:rPr>
          <w:rFonts w:ascii="Times New Roman" w:hAnsi="Times New Roman"/>
        </w:rPr>
        <w:t>污水经处理后的出路主要有：</w:t>
      </w:r>
    </w:p>
    <w:p>
      <w:pPr>
        <w:ind w:firstLine="640"/>
        <w:rPr>
          <w:rFonts w:ascii="Times New Roman" w:hAnsi="Times New Roman"/>
        </w:rPr>
      </w:pPr>
      <w:r>
        <w:rPr>
          <w:rFonts w:hint="eastAsia" w:ascii="宋体" w:hAnsi="宋体" w:eastAsia="宋体" w:cs="宋体"/>
        </w:rPr>
        <w:t>①</w:t>
      </w:r>
      <w:r>
        <w:rPr>
          <w:rFonts w:ascii="Times New Roman" w:hAnsi="Times New Roman"/>
        </w:rPr>
        <w:t>排放水体：自然水体对达标排放的污水有一定的稀释和净化能力。</w:t>
      </w:r>
    </w:p>
    <w:p>
      <w:pPr>
        <w:ind w:firstLine="640"/>
      </w:pPr>
      <w:r>
        <w:rPr>
          <w:rFonts w:hint="eastAsia" w:ascii="宋体" w:hAnsi="宋体" w:eastAsia="宋体" w:cs="宋体"/>
        </w:rPr>
        <w:t>②</w:t>
      </w:r>
      <w:r>
        <w:rPr>
          <w:rFonts w:hint="eastAsia"/>
        </w:rPr>
        <w:t>资源化利用</w:t>
      </w:r>
      <w:r>
        <w:t>：残留有机物的“肥水”重新用于蔬菜基地</w:t>
      </w:r>
      <w:r>
        <w:rPr>
          <w:rFonts w:hint="eastAsia"/>
        </w:rPr>
        <w:t>或景观</w:t>
      </w:r>
      <w:r>
        <w:t>灌溉，实现了终端肥水利用与农业产业相结合，有效减少了化学肥料，从而降低了农业面源污染。</w:t>
      </w:r>
    </w:p>
    <w:p>
      <w:pPr>
        <w:ind w:firstLine="640"/>
        <w:rPr>
          <w:rFonts w:ascii="Times New Roman" w:hAnsi="Times New Roman"/>
        </w:rPr>
      </w:pPr>
      <w:r>
        <w:rPr>
          <w:rFonts w:ascii="Times New Roman" w:hAnsi="Times New Roman"/>
        </w:rPr>
        <w:t>各行政村农村生活污水设施尾水处置方式见附</w:t>
      </w:r>
      <w:r>
        <w:rPr>
          <w:rFonts w:hint="eastAsia" w:ascii="Times New Roman" w:hAnsi="Times New Roman"/>
        </w:rPr>
        <w:t>件5</w:t>
      </w:r>
      <w:r>
        <w:rPr>
          <w:rFonts w:ascii="Times New Roman" w:hAnsi="Times New Roman"/>
        </w:rPr>
        <w:t>。</w:t>
      </w:r>
    </w:p>
    <w:p>
      <w:pPr>
        <w:pStyle w:val="3"/>
      </w:pPr>
      <w:bookmarkStart w:id="204" w:name="_Toc8576"/>
      <w:bookmarkStart w:id="205" w:name="_Toc17964121"/>
      <w:bookmarkStart w:id="206" w:name="_Toc42598946"/>
      <w:bookmarkStart w:id="207" w:name="_Toc3669"/>
      <w:bookmarkStart w:id="208" w:name="_Toc18899"/>
      <w:bookmarkStart w:id="209" w:name="_Toc25538"/>
      <w:bookmarkStart w:id="210" w:name="_Toc27121"/>
      <w:bookmarkStart w:id="211" w:name="_Toc21903"/>
      <w:bookmarkStart w:id="212" w:name="_Toc18065717"/>
      <w:bookmarkStart w:id="213" w:name="_Toc11847"/>
      <w:bookmarkStart w:id="214" w:name="_Toc24599"/>
      <w:bookmarkStart w:id="215" w:name="_Toc10108"/>
      <w:bookmarkStart w:id="216" w:name="_Toc497"/>
      <w:bookmarkStart w:id="217" w:name="_Toc23000"/>
      <w:bookmarkStart w:id="218" w:name="_Toc40772747"/>
      <w:r>
        <w:t>4.</w:t>
      </w:r>
      <w:r>
        <w:rPr>
          <w:rFonts w:hint="eastAsia"/>
        </w:rPr>
        <w:t>7</w:t>
      </w:r>
      <w:r>
        <w:t xml:space="preserve"> 固体废物处理处置</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pPr>
        <w:ind w:firstLine="640"/>
        <w:rPr>
          <w:rFonts w:ascii="Times New Roman" w:hAnsi="Times New Roman"/>
          <w:sz w:val="10"/>
        </w:rPr>
      </w:pPr>
      <w:r>
        <w:rPr>
          <w:rFonts w:ascii="Times New Roman" w:hAnsi="Times New Roman"/>
        </w:rPr>
        <w:t>固体废弃物含有大量的有机物和N、P、K等农作物与植物生长所必需的营养元素，对土壤的改良具有非常重要的作用，因此，对固体废弃物进行处理，除了避免其对环境造成污染之外，更重要的是要将这些有机废弃物中的资源进行有效的利用。</w:t>
      </w:r>
    </w:p>
    <w:p>
      <w:pPr>
        <w:ind w:firstLine="640"/>
        <w:rPr>
          <w:rFonts w:ascii="Times New Roman" w:hAnsi="Times New Roman"/>
        </w:rPr>
      </w:pPr>
      <w:r>
        <w:rPr>
          <w:rFonts w:ascii="Times New Roman" w:hAnsi="Times New Roman"/>
        </w:rPr>
        <w:t>奉节县农村污水处理厂数量较少，污水收集量不多，</w:t>
      </w:r>
      <w:r>
        <w:rPr>
          <w:rFonts w:hint="eastAsia" w:ascii="Times New Roman" w:hAnsi="Times New Roman"/>
        </w:rPr>
        <w:t>且奉节县农用地面积占比高，固体废弃物可有效用于还田，</w:t>
      </w:r>
      <w:r>
        <w:rPr>
          <w:rFonts w:ascii="Times New Roman" w:hAnsi="Times New Roman"/>
        </w:rPr>
        <w:t>目前部分污泥采用土地消纳模式处置。综合考虑各污水处理设施的固体废弃物产生量、地理位置等，奉节县各涉农行政村、社区污水处理设施的固体废弃物拟通过土地消纳的方式处置。</w:t>
      </w:r>
    </w:p>
    <w:p>
      <w:pPr>
        <w:pStyle w:val="3"/>
      </w:pPr>
      <w:bookmarkStart w:id="219" w:name="_Toc16690"/>
      <w:bookmarkStart w:id="220" w:name="_Toc3220"/>
      <w:bookmarkStart w:id="221" w:name="_Toc40772751"/>
      <w:bookmarkStart w:id="222" w:name="_Toc42598950"/>
      <w:bookmarkStart w:id="223" w:name="_Toc17964122"/>
      <w:bookmarkStart w:id="224" w:name="_Toc27357"/>
      <w:bookmarkStart w:id="225" w:name="_Toc18065718"/>
      <w:r>
        <w:t>4.</w:t>
      </w:r>
      <w:r>
        <w:rPr>
          <w:rFonts w:hint="eastAsia"/>
        </w:rPr>
        <w:t>8</w:t>
      </w:r>
      <w:r>
        <w:t xml:space="preserve"> 验收移交</w:t>
      </w:r>
      <w:bookmarkEnd w:id="219"/>
      <w:bookmarkEnd w:id="220"/>
      <w:bookmarkEnd w:id="221"/>
      <w:bookmarkEnd w:id="222"/>
      <w:bookmarkEnd w:id="223"/>
      <w:bookmarkEnd w:id="224"/>
      <w:bookmarkEnd w:id="225"/>
    </w:p>
    <w:p>
      <w:pPr>
        <w:ind w:firstLine="640"/>
        <w:rPr>
          <w:rFonts w:ascii="Times New Roman" w:hAnsi="Times New Roman"/>
        </w:rPr>
      </w:pPr>
      <w:r>
        <w:rPr>
          <w:rFonts w:ascii="Times New Roman" w:hAnsi="Times New Roman"/>
        </w:rPr>
        <w:t>农村生活污水处理设施建设既要保证工程质量合格，也要保证出水水质达标。工程验收后，项目实施及管理部门应妥善保管竣工图等相关资料，以备查验。环保验收和运维移交应确保污水处理水质水量、工艺、规模与设计相符，设备材料完整。对生活污水处理设施建设和运维统一打包、不存在运维移交环节的，各地应因地制宜进行管理。</w:t>
      </w:r>
    </w:p>
    <w:p>
      <w:pPr>
        <w:pStyle w:val="2"/>
      </w:pPr>
      <w:bookmarkStart w:id="226" w:name="_Toc26600"/>
      <w:r>
        <w:t xml:space="preserve">5 </w:t>
      </w:r>
      <w:r>
        <w:rPr>
          <w:rFonts w:hint="eastAsia"/>
        </w:rPr>
        <w:t>设施运行管</w:t>
      </w:r>
      <w:bookmarkEnd w:id="153"/>
      <w:bookmarkEnd w:id="154"/>
      <w:bookmarkEnd w:id="155"/>
      <w:r>
        <w:rPr>
          <w:rFonts w:hint="eastAsia"/>
        </w:rPr>
        <w:t>理</w:t>
      </w:r>
      <w:bookmarkEnd w:id="226"/>
    </w:p>
    <w:p>
      <w:pPr>
        <w:pStyle w:val="3"/>
      </w:pPr>
      <w:bookmarkStart w:id="227" w:name="_Toc12624"/>
      <w:bookmarkStart w:id="228" w:name="_Toc1182"/>
      <w:bookmarkStart w:id="229" w:name="_Toc15941"/>
      <w:bookmarkStart w:id="230" w:name="_Toc17964124"/>
      <w:bookmarkStart w:id="231" w:name="_Toc18065720"/>
      <w:r>
        <w:t xml:space="preserve">5.1 </w:t>
      </w:r>
      <w:r>
        <w:rPr>
          <w:rFonts w:hint="eastAsia"/>
        </w:rPr>
        <w:t>运维管理</w:t>
      </w:r>
      <w:bookmarkEnd w:id="227"/>
      <w:bookmarkEnd w:id="228"/>
      <w:bookmarkEnd w:id="229"/>
      <w:bookmarkEnd w:id="230"/>
      <w:bookmarkEnd w:id="231"/>
    </w:p>
    <w:p>
      <w:pPr>
        <w:pStyle w:val="4"/>
        <w:ind w:firstLine="640"/>
      </w:pPr>
      <w:r>
        <w:t>5.1.1 运维管理现状</w:t>
      </w:r>
    </w:p>
    <w:p>
      <w:pPr>
        <w:ind w:firstLine="640"/>
        <w:rPr>
          <w:rFonts w:ascii="Times New Roman" w:hAnsi="Times New Roman"/>
        </w:rPr>
      </w:pPr>
      <w:r>
        <w:rPr>
          <w:rFonts w:ascii="Times New Roman" w:hAnsi="Times New Roman"/>
        </w:rPr>
        <w:t>2015年10月，经市政府第99次常务会审议并经市委第147次常委会审定，市政府办公厅印发《重庆市乡镇污水处理设施建设运营实施方案》（渝府办发〔2015〕166号），明确由重庆环保投资有限公司（以下简称“市环投公司”）具体负责全市乡镇污水处理设施建设“投、建、管、运”一体化运营。</w:t>
      </w:r>
    </w:p>
    <w:p>
      <w:pPr>
        <w:ind w:firstLine="640"/>
        <w:rPr>
          <w:rFonts w:ascii="Times New Roman" w:hAnsi="Times New Roman"/>
          <w:szCs w:val="32"/>
        </w:rPr>
      </w:pPr>
      <w:r>
        <w:rPr>
          <w:rFonts w:hint="eastAsia" w:ascii="Times New Roman" w:hAnsi="Times New Roman"/>
          <w:szCs w:val="32"/>
        </w:rPr>
        <w:t>奉节县目前共39座农村污水处理厂，其中6座污水处理厂（站）已移交给</w:t>
      </w:r>
      <w:r>
        <w:rPr>
          <w:rFonts w:ascii="Times New Roman" w:hAnsi="Times New Roman"/>
        </w:rPr>
        <w:t>市环投公司</w:t>
      </w:r>
      <w:r>
        <w:rPr>
          <w:rFonts w:hint="eastAsia" w:ascii="Times New Roman" w:hAnsi="Times New Roman"/>
          <w:szCs w:val="32"/>
        </w:rPr>
        <w:t>运维；23座污水处理厂（站）由乡镇政府运维；2座污水处理厂（站）由村社自行运维；8座污水处理厂（站）无运维。</w:t>
      </w:r>
    </w:p>
    <w:p>
      <w:pPr>
        <w:pStyle w:val="4"/>
        <w:ind w:firstLine="640"/>
      </w:pPr>
      <w:bookmarkStart w:id="232" w:name="_Toc42089793"/>
      <w:bookmarkStart w:id="233" w:name="_Toc42090091"/>
      <w:bookmarkStart w:id="234" w:name="_Toc42598954"/>
      <w:r>
        <w:t>5.1.2 运维管理规划</w:t>
      </w:r>
      <w:bookmarkEnd w:id="232"/>
      <w:bookmarkEnd w:id="233"/>
      <w:bookmarkEnd w:id="234"/>
    </w:p>
    <w:p>
      <w:pPr>
        <w:ind w:firstLine="640"/>
      </w:pPr>
      <w:r>
        <w:t>为切实加强农村生活污水治理设施的运行维护管理，保障农村生活污水治理设施持续运行，改善农村生态环境和人居环境，奉节县拟采取委托</w:t>
      </w:r>
      <w:r>
        <w:rPr>
          <w:rFonts w:hint="eastAsia"/>
        </w:rPr>
        <w:t>平台公司及乡镇</w:t>
      </w:r>
      <w:r>
        <w:t>负责全</w:t>
      </w:r>
      <w:r>
        <w:rPr>
          <w:rFonts w:hint="eastAsia"/>
        </w:rPr>
        <w:t>县</w:t>
      </w:r>
      <w:r>
        <w:t>农村生活污水处理设施建设“投、建、管、运”一体化运营。</w:t>
      </w:r>
    </w:p>
    <w:p>
      <w:pPr>
        <w:ind w:firstLine="640"/>
        <w:rPr>
          <w:rFonts w:ascii="Times New Roman" w:hAnsi="Times New Roman"/>
        </w:rPr>
      </w:pPr>
      <w:r>
        <w:rPr>
          <w:rFonts w:hint="eastAsia"/>
        </w:rPr>
        <w:t>草堂镇竹坪村污水处理厂、平安乡文昌村安置点简易污水处理站、康乐镇横路污水处理厂等6座已建污水处理设施</w:t>
      </w:r>
      <w:r>
        <w:rPr>
          <w:rFonts w:ascii="Times New Roman" w:hAnsi="Times New Roman"/>
        </w:rPr>
        <w:t>将继续由市环投公司运维；</w:t>
      </w:r>
      <w:r>
        <w:rPr>
          <w:rFonts w:hint="eastAsia" w:ascii="Times New Roman" w:hAnsi="Times New Roman"/>
        </w:rPr>
        <w:t>鹤峰乡青杠村安置点简易污水处理站</w:t>
      </w:r>
      <w:r>
        <w:rPr>
          <w:rFonts w:ascii="Times New Roman" w:hAnsi="Times New Roman"/>
        </w:rPr>
        <w:t>、</w:t>
      </w:r>
      <w:r>
        <w:rPr>
          <w:rFonts w:hint="eastAsia" w:ascii="Times New Roman" w:hAnsi="Times New Roman"/>
        </w:rPr>
        <w:t>甲高镇红龙安置点简易污水处理站</w:t>
      </w:r>
      <w:r>
        <w:rPr>
          <w:rFonts w:ascii="Times New Roman" w:hAnsi="Times New Roman"/>
        </w:rPr>
        <w:t>等</w:t>
      </w:r>
      <w:r>
        <w:rPr>
          <w:rFonts w:hint="eastAsia" w:ascii="Times New Roman" w:hAnsi="Times New Roman"/>
        </w:rPr>
        <w:t>23</w:t>
      </w:r>
      <w:r>
        <w:rPr>
          <w:rFonts w:ascii="Times New Roman" w:hAnsi="Times New Roman"/>
        </w:rPr>
        <w:t>座已建污水处理设施的运维将维持现状，由</w:t>
      </w:r>
      <w:r>
        <w:rPr>
          <w:rFonts w:hint="eastAsia" w:ascii="Times New Roman" w:hAnsi="Times New Roman"/>
        </w:rPr>
        <w:t>乡镇</w:t>
      </w:r>
      <w:r>
        <w:rPr>
          <w:rFonts w:ascii="Times New Roman" w:hAnsi="Times New Roman"/>
        </w:rPr>
        <w:t>运维；白帝镇九盘村污水处理站、</w:t>
      </w:r>
      <w:r>
        <w:rPr>
          <w:rFonts w:hint="eastAsia" w:ascii="Times New Roman" w:hAnsi="Times New Roman"/>
        </w:rPr>
        <w:t>平安乡双店村安置点简易污水处理站等10座由村社运维及无运维的污水处理设施</w:t>
      </w:r>
      <w:r>
        <w:rPr>
          <w:rFonts w:ascii="Times New Roman" w:hAnsi="Times New Roman"/>
        </w:rPr>
        <w:t>委托</w:t>
      </w:r>
      <w:r>
        <w:rPr>
          <w:rFonts w:hint="eastAsia"/>
        </w:rPr>
        <w:t>平台公司及</w:t>
      </w:r>
      <w:r>
        <w:rPr>
          <w:rFonts w:hint="eastAsia" w:ascii="Times New Roman" w:hAnsi="Times New Roman"/>
        </w:rPr>
        <w:t>乡镇</w:t>
      </w:r>
      <w:r>
        <w:rPr>
          <w:rFonts w:ascii="Times New Roman" w:hAnsi="Times New Roman"/>
        </w:rPr>
        <w:t>负责运维；康乐镇长沙村污水处理站、安坪镇合一村污水处理站等</w:t>
      </w:r>
      <w:r>
        <w:rPr>
          <w:rFonts w:hint="eastAsia" w:ascii="Times New Roman" w:hAnsi="Times New Roman"/>
        </w:rPr>
        <w:t>22</w:t>
      </w:r>
      <w:r>
        <w:rPr>
          <w:rFonts w:ascii="Times New Roman" w:hAnsi="Times New Roman"/>
        </w:rPr>
        <w:t>座新建污水处理设施委托</w:t>
      </w:r>
      <w:r>
        <w:rPr>
          <w:rFonts w:hint="eastAsia"/>
        </w:rPr>
        <w:t>平台公司及</w:t>
      </w:r>
      <w:r>
        <w:rPr>
          <w:rFonts w:hint="eastAsia" w:ascii="Times New Roman" w:hAnsi="Times New Roman"/>
        </w:rPr>
        <w:t>乡镇</w:t>
      </w:r>
      <w:r>
        <w:rPr>
          <w:rFonts w:ascii="Times New Roman" w:hAnsi="Times New Roman"/>
        </w:rPr>
        <w:t>负责运维。</w:t>
      </w:r>
    </w:p>
    <w:p>
      <w:pPr>
        <w:pStyle w:val="3"/>
      </w:pPr>
      <w:bookmarkStart w:id="235" w:name="_Toc28588"/>
      <w:r>
        <w:rPr>
          <w:rFonts w:hint="eastAsia"/>
        </w:rPr>
        <w:t>5.2 水质监测</w:t>
      </w:r>
      <w:bookmarkEnd w:id="235"/>
    </w:p>
    <w:p>
      <w:pPr>
        <w:ind w:firstLine="640"/>
        <w:rPr>
          <w:rFonts w:ascii="Times New Roman" w:hAnsi="Times New Roman"/>
        </w:rPr>
      </w:pPr>
      <w:r>
        <w:rPr>
          <w:rFonts w:ascii="Times New Roman" w:hAnsi="Times New Roman"/>
        </w:rPr>
        <w:t>建立农村生活污水监测制度，加强对农村生活污水处理设施水质、水量执法监测。对于</w:t>
      </w:r>
      <w:r>
        <w:rPr>
          <w:rFonts w:hint="eastAsia" w:ascii="Times New Roman" w:hAnsi="Times New Roman"/>
        </w:rPr>
        <w:t>白帝镇九庙村污水处理站、平安乡桃树村污水处理厂等</w:t>
      </w:r>
      <w:r>
        <w:rPr>
          <w:rFonts w:ascii="Times New Roman" w:hAnsi="Times New Roman"/>
        </w:rPr>
        <w:t>污水处理设施设计处理能力20吨/日—100吨/日（含）的，每年至少监测一次；</w:t>
      </w:r>
      <w:r>
        <w:rPr>
          <w:rFonts w:hint="eastAsia" w:ascii="Times New Roman" w:hAnsi="Times New Roman"/>
        </w:rPr>
        <w:t>对于竹园镇九龙村竹园高治污水处理厂、康乐镇横路社区污水处理厂等</w:t>
      </w:r>
      <w:r>
        <w:rPr>
          <w:rFonts w:ascii="Times New Roman" w:hAnsi="Times New Roman"/>
        </w:rPr>
        <w:t>污水处理设施设计处理能力超过100吨/日的，每半年至少监测一次。</w:t>
      </w:r>
      <w:r>
        <w:rPr>
          <w:rFonts w:ascii="Times New Roman" w:hAnsi="Times New Roman"/>
          <w:bCs/>
        </w:rPr>
        <w:t>可以委托有资质的单位开展监测工作，</w:t>
      </w:r>
      <w:r>
        <w:rPr>
          <w:rFonts w:ascii="Times New Roman" w:hAnsi="Times New Roman"/>
        </w:rPr>
        <w:t>建立和完善管理台账，掌握区域农村生活污水处理设施分布和运行情况。</w:t>
      </w:r>
    </w:p>
    <w:p>
      <w:pPr>
        <w:pStyle w:val="2"/>
      </w:pPr>
      <w:bookmarkStart w:id="236" w:name="_Toc21874"/>
      <w:bookmarkStart w:id="237" w:name="_Toc20713"/>
      <w:bookmarkStart w:id="238" w:name="_Toc24449"/>
      <w:bookmarkStart w:id="239" w:name="_Toc19702"/>
      <w:bookmarkStart w:id="240" w:name="_Toc9216"/>
      <w:bookmarkStart w:id="241" w:name="_Toc40772759"/>
      <w:bookmarkStart w:id="242" w:name="_Toc17964126"/>
      <w:bookmarkStart w:id="243" w:name="_Toc1563001"/>
      <w:bookmarkStart w:id="244" w:name="_Toc19288"/>
      <w:bookmarkStart w:id="245" w:name="_Toc2634"/>
      <w:bookmarkStart w:id="246" w:name="_Toc16253"/>
      <w:bookmarkStart w:id="247" w:name="_Toc4172"/>
      <w:bookmarkStart w:id="248" w:name="_Toc42598956"/>
      <w:r>
        <w:t xml:space="preserve">6 </w:t>
      </w:r>
      <w:bookmarkEnd w:id="236"/>
      <w:bookmarkEnd w:id="237"/>
      <w:bookmarkEnd w:id="238"/>
      <w:bookmarkEnd w:id="239"/>
      <w:bookmarkEnd w:id="240"/>
      <w:bookmarkEnd w:id="241"/>
      <w:bookmarkEnd w:id="242"/>
      <w:bookmarkEnd w:id="243"/>
      <w:bookmarkEnd w:id="244"/>
      <w:bookmarkEnd w:id="245"/>
      <w:bookmarkEnd w:id="246"/>
      <w:r>
        <w:rPr>
          <w:rFonts w:hint="eastAsia"/>
        </w:rPr>
        <w:t>规划重点项目</w:t>
      </w:r>
      <w:bookmarkEnd w:id="247"/>
      <w:bookmarkEnd w:id="248"/>
    </w:p>
    <w:p>
      <w:pPr>
        <w:pStyle w:val="3"/>
      </w:pPr>
      <w:bookmarkStart w:id="249" w:name="_Toc31992"/>
      <w:bookmarkStart w:id="250" w:name="_Toc27588"/>
      <w:bookmarkStart w:id="251" w:name="_Toc1563002"/>
      <w:bookmarkStart w:id="252" w:name="_Toc8701"/>
      <w:bookmarkStart w:id="253" w:name="_Toc13414"/>
      <w:bookmarkStart w:id="254" w:name="_Toc7707"/>
      <w:bookmarkStart w:id="255" w:name="_Toc17964127"/>
      <w:bookmarkStart w:id="256" w:name="_Toc10169"/>
      <w:bookmarkStart w:id="257" w:name="_Toc18065723"/>
      <w:bookmarkStart w:id="258" w:name="_Toc40772760"/>
      <w:bookmarkStart w:id="259" w:name="_Toc9472"/>
      <w:bookmarkStart w:id="260" w:name="_Toc20458"/>
      <w:bookmarkStart w:id="261" w:name="_Toc27717"/>
      <w:bookmarkStart w:id="262" w:name="_Toc95"/>
      <w:bookmarkStart w:id="263" w:name="_Toc22787"/>
      <w:bookmarkStart w:id="264" w:name="_Toc42598957"/>
      <w:r>
        <w:t xml:space="preserve">6.1 </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Pr>
          <w:rFonts w:hint="eastAsia"/>
        </w:rPr>
        <w:t>重点项目</w:t>
      </w:r>
      <w:bookmarkEnd w:id="263"/>
      <w:bookmarkEnd w:id="264"/>
    </w:p>
    <w:p>
      <w:pPr>
        <w:ind w:firstLine="640"/>
        <w:rPr>
          <w:rFonts w:ascii="Times New Roman" w:hAnsi="Times New Roman"/>
        </w:rPr>
      </w:pPr>
      <w:r>
        <w:rPr>
          <w:rFonts w:hint="eastAsia" w:ascii="Times New Roman" w:hAnsi="Times New Roman"/>
        </w:rPr>
        <w:t>奉节县</w:t>
      </w:r>
      <w:r>
        <w:rPr>
          <w:rFonts w:ascii="Times New Roman" w:hAnsi="Times New Roman"/>
        </w:rPr>
        <w:t>农村生活污水治理工程规划共实施</w:t>
      </w:r>
      <w:r>
        <w:rPr>
          <w:rFonts w:hint="eastAsia" w:ascii="Times New Roman" w:hAnsi="Times New Roman"/>
        </w:rPr>
        <w:t>五</w:t>
      </w:r>
      <w:r>
        <w:rPr>
          <w:rFonts w:ascii="Times New Roman" w:hAnsi="Times New Roman"/>
        </w:rPr>
        <w:t>类项目，提升</w:t>
      </w:r>
      <w:r>
        <w:rPr>
          <w:rFonts w:hint="eastAsia" w:ascii="Times New Roman" w:hAnsi="Times New Roman"/>
        </w:rPr>
        <w:t>奉节县</w:t>
      </w:r>
      <w:r>
        <w:rPr>
          <w:rFonts w:ascii="Times New Roman" w:hAnsi="Times New Roman"/>
        </w:rPr>
        <w:t>农村生活污水治理率，改善农村生态环境、提高农民生活品质。</w:t>
      </w:r>
    </w:p>
    <w:p>
      <w:pPr>
        <w:ind w:firstLine="640"/>
        <w:rPr>
          <w:rFonts w:ascii="Times New Roman" w:hAnsi="Times New Roman"/>
        </w:rPr>
      </w:pPr>
      <w:r>
        <w:rPr>
          <w:rFonts w:ascii="Times New Roman" w:hAnsi="Times New Roman"/>
        </w:rPr>
        <w:t>（1）管网整治：整治管网</w:t>
      </w:r>
      <w:r>
        <w:rPr>
          <w:rFonts w:hint="eastAsia" w:ascii="Times New Roman" w:hAnsi="Times New Roman"/>
        </w:rPr>
        <w:t>2千米，</w:t>
      </w:r>
      <w:r>
        <w:rPr>
          <w:rFonts w:ascii="Times New Roman" w:hAnsi="Times New Roman"/>
        </w:rPr>
        <w:t>改造</w:t>
      </w:r>
      <w:r>
        <w:rPr>
          <w:rFonts w:hint="eastAsia" w:ascii="Times New Roman" w:hAnsi="Times New Roman"/>
        </w:rPr>
        <w:t>2</w:t>
      </w:r>
      <w:r>
        <w:rPr>
          <w:rFonts w:ascii="Times New Roman" w:hAnsi="Times New Roman"/>
        </w:rPr>
        <w:t>处</w:t>
      </w:r>
      <w:r>
        <w:rPr>
          <w:rFonts w:hint="eastAsia" w:ascii="Times New Roman" w:hAnsi="Times New Roman"/>
        </w:rPr>
        <w:t>聚居点</w:t>
      </w:r>
      <w:r>
        <w:rPr>
          <w:rFonts w:ascii="Times New Roman" w:hAnsi="Times New Roman"/>
        </w:rPr>
        <w:t>管网；</w:t>
      </w:r>
    </w:p>
    <w:p>
      <w:pPr>
        <w:ind w:firstLine="640"/>
        <w:rPr>
          <w:rFonts w:ascii="Times New Roman" w:hAnsi="Times New Roman"/>
        </w:rPr>
      </w:pPr>
      <w:r>
        <w:rPr>
          <w:rFonts w:ascii="Times New Roman" w:hAnsi="Times New Roman"/>
        </w:rPr>
        <w:t>（2）纳管处理：建设管网</w:t>
      </w:r>
      <w:r>
        <w:rPr>
          <w:rFonts w:hint="eastAsia" w:ascii="Times New Roman" w:hAnsi="Times New Roman"/>
        </w:rPr>
        <w:t>6.2千米</w:t>
      </w:r>
      <w:r>
        <w:rPr>
          <w:rFonts w:ascii="Times New Roman" w:hAnsi="Times New Roman"/>
        </w:rPr>
        <w:t>，将</w:t>
      </w:r>
      <w:r>
        <w:rPr>
          <w:rFonts w:hint="eastAsia" w:ascii="Times New Roman" w:hAnsi="Times New Roman"/>
        </w:rPr>
        <w:t>约1900</w:t>
      </w:r>
      <w:r>
        <w:rPr>
          <w:rFonts w:ascii="Times New Roman" w:hAnsi="Times New Roman"/>
        </w:rPr>
        <w:t>户居民生活污水纳管处理；</w:t>
      </w:r>
    </w:p>
    <w:p>
      <w:pPr>
        <w:ind w:firstLine="640"/>
        <w:rPr>
          <w:rFonts w:ascii="Times New Roman" w:hAnsi="Times New Roman"/>
        </w:rPr>
      </w:pPr>
      <w:r>
        <w:rPr>
          <w:rFonts w:ascii="Times New Roman" w:hAnsi="Times New Roman"/>
        </w:rPr>
        <w:t>（3）新建</w:t>
      </w:r>
      <w:r>
        <w:rPr>
          <w:rFonts w:hint="eastAsia" w:ascii="Times New Roman" w:hAnsi="Times New Roman"/>
        </w:rPr>
        <w:t>污水处理</w:t>
      </w:r>
      <w:r>
        <w:rPr>
          <w:rFonts w:ascii="Times New Roman" w:hAnsi="Times New Roman"/>
        </w:rPr>
        <w:t>设施：新建</w:t>
      </w:r>
      <w:r>
        <w:rPr>
          <w:rFonts w:hint="eastAsia" w:ascii="Times New Roman" w:hAnsi="Times New Roman"/>
        </w:rPr>
        <w:t>24</w:t>
      </w:r>
      <w:r>
        <w:rPr>
          <w:rFonts w:ascii="Times New Roman" w:hAnsi="Times New Roman"/>
        </w:rPr>
        <w:t>座污水处理设施、污水管网</w:t>
      </w:r>
      <w:r>
        <w:rPr>
          <w:rFonts w:hint="eastAsia" w:ascii="Times New Roman" w:hAnsi="Times New Roman"/>
        </w:rPr>
        <w:t>49.5千</w:t>
      </w:r>
      <w:r>
        <w:rPr>
          <w:rFonts w:ascii="Times New Roman" w:hAnsi="Times New Roman"/>
        </w:rPr>
        <w:t>米</w:t>
      </w:r>
      <w:r>
        <w:rPr>
          <w:rFonts w:hint="eastAsia" w:ascii="Times New Roman" w:hAnsi="Times New Roman"/>
        </w:rPr>
        <w:t>，收集处理约7710户居民生活污水</w:t>
      </w:r>
      <w:r>
        <w:rPr>
          <w:rFonts w:ascii="Times New Roman" w:hAnsi="Times New Roman"/>
        </w:rPr>
        <w:t>；</w:t>
      </w:r>
    </w:p>
    <w:p>
      <w:pPr>
        <w:ind w:firstLine="640"/>
        <w:rPr>
          <w:rFonts w:ascii="Times New Roman" w:hAnsi="Times New Roman"/>
        </w:rPr>
      </w:pPr>
      <w:r>
        <w:rPr>
          <w:rFonts w:hint="eastAsia" w:ascii="Times New Roman" w:hAnsi="Times New Roman"/>
        </w:rPr>
        <w:t>（4）现有污水处理设施改扩建：</w:t>
      </w:r>
      <w:r>
        <w:rPr>
          <w:rFonts w:hint="eastAsia"/>
        </w:rPr>
        <w:t>竹园镇华吉村污水处理站由于设计能力不足，无法满足使用要求，对其进行改扩建</w:t>
      </w:r>
      <w:r>
        <w:rPr>
          <w:rFonts w:hint="eastAsia" w:ascii="Times New Roman" w:hAnsi="Times New Roman"/>
        </w:rPr>
        <w:t>；</w:t>
      </w:r>
    </w:p>
    <w:p>
      <w:pPr>
        <w:ind w:firstLine="640"/>
        <w:rPr>
          <w:rFonts w:ascii="Times New Roman" w:hAnsi="Times New Roman"/>
        </w:rPr>
      </w:pPr>
      <w:r>
        <w:rPr>
          <w:rFonts w:ascii="Times New Roman" w:hAnsi="Times New Roman"/>
        </w:rPr>
        <w:t>（</w:t>
      </w:r>
      <w:r>
        <w:rPr>
          <w:rFonts w:hint="eastAsia" w:ascii="Times New Roman" w:hAnsi="Times New Roman"/>
        </w:rPr>
        <w:t>5</w:t>
      </w:r>
      <w:r>
        <w:rPr>
          <w:rFonts w:ascii="Times New Roman" w:hAnsi="Times New Roman"/>
        </w:rPr>
        <w:t>）卫生改厕</w:t>
      </w:r>
      <w:r>
        <w:rPr>
          <w:rFonts w:hint="eastAsia" w:ascii="Times New Roman" w:hAnsi="Times New Roman"/>
        </w:rPr>
        <w:t>：2021-2025年卫生改厕户数全县逐年增加</w:t>
      </w:r>
      <w:r>
        <w:rPr>
          <w:rFonts w:ascii="Times New Roman" w:hAnsi="Times New Roman"/>
        </w:rPr>
        <w:t>。</w:t>
      </w:r>
    </w:p>
    <w:p>
      <w:pPr>
        <w:pStyle w:val="3"/>
      </w:pPr>
      <w:bookmarkStart w:id="265" w:name="_Toc42598958"/>
      <w:bookmarkStart w:id="266" w:name="_Toc1550"/>
      <w:r>
        <w:rPr>
          <w:rFonts w:hint="eastAsia"/>
        </w:rPr>
        <w:t>6</w:t>
      </w:r>
      <w:r>
        <w:t xml:space="preserve">.2 </w:t>
      </w:r>
      <w:r>
        <w:rPr>
          <w:rFonts w:hint="eastAsia"/>
        </w:rPr>
        <w:t>目标可达性分析</w:t>
      </w:r>
      <w:bookmarkEnd w:id="265"/>
      <w:bookmarkEnd w:id="266"/>
    </w:p>
    <w:p>
      <w:pPr>
        <w:ind w:firstLine="640"/>
        <w:rPr>
          <w:rFonts w:ascii="Times New Roman" w:hAnsi="Times New Roman"/>
        </w:rPr>
      </w:pPr>
      <w:r>
        <w:rPr>
          <w:rFonts w:hint="eastAsia" w:ascii="Times New Roman" w:hAnsi="Times New Roman"/>
        </w:rPr>
        <w:t>农村生活污水治理规划主要指标为：农村生活污水治理率、农村生活污水得到治理的农户覆盖率。到2025年，通过实施纳管处理、新建污水处理设施等规划重点项目，将1900户居民生活污水纳管处理、7710户居民生活污水得到集中设施处理，农村生活污水得到治理的农户覆盖率达到80.14%(提升3.39%)；将约331</w:t>
      </w:r>
      <w:r>
        <w:rPr>
          <w:rFonts w:ascii="Times New Roman" w:hAnsi="Times New Roman"/>
        </w:rPr>
        <w:t>t/d</w:t>
      </w:r>
      <w:r>
        <w:rPr>
          <w:rFonts w:hint="eastAsia" w:ascii="Times New Roman" w:hAnsi="Times New Roman"/>
        </w:rPr>
        <w:t>生活污水纳管处理、1509t</w:t>
      </w:r>
      <w:r>
        <w:rPr>
          <w:rFonts w:ascii="Times New Roman" w:hAnsi="Times New Roman"/>
        </w:rPr>
        <w:t>/d</w:t>
      </w:r>
      <w:r>
        <w:rPr>
          <w:rFonts w:hint="eastAsia" w:ascii="Times New Roman" w:hAnsi="Times New Roman"/>
        </w:rPr>
        <w:t>生活污水得到集中处理，奉节县农村生活污水治理率达到47.06%（提升3.91%）。</w:t>
      </w:r>
    </w:p>
    <w:p>
      <w:pPr>
        <w:pStyle w:val="3"/>
      </w:pPr>
      <w:bookmarkStart w:id="267" w:name="_Toc42598959"/>
      <w:bookmarkStart w:id="268" w:name="_Toc5256"/>
      <w:r>
        <w:rPr>
          <w:rFonts w:hint="eastAsia"/>
        </w:rPr>
        <w:t>6</w:t>
      </w:r>
      <w:r>
        <w:t xml:space="preserve">.3 </w:t>
      </w:r>
      <w:r>
        <w:rPr>
          <w:rFonts w:hint="eastAsia"/>
        </w:rPr>
        <w:t>工程估算及资金筹措</w:t>
      </w:r>
      <w:bookmarkEnd w:id="267"/>
      <w:bookmarkEnd w:id="268"/>
    </w:p>
    <w:p>
      <w:pPr>
        <w:ind w:firstLine="640"/>
        <w:rPr>
          <w:rFonts w:ascii="Times New Roman" w:hAnsi="Times New Roman"/>
        </w:rPr>
      </w:pPr>
      <w:r>
        <w:rPr>
          <w:rFonts w:ascii="Times New Roman" w:hAnsi="Times New Roman"/>
        </w:rPr>
        <w:t>奉节</w:t>
      </w:r>
      <w:r>
        <w:rPr>
          <w:rFonts w:ascii="Times New Roman" w:hAnsi="Times New Roman"/>
          <w:szCs w:val="32"/>
        </w:rPr>
        <w:t>县农村生活污水治理工程及运维总投资</w:t>
      </w:r>
      <w:r>
        <w:rPr>
          <w:rFonts w:hint="eastAsia" w:ascii="Times New Roman" w:hAnsi="Times New Roman"/>
          <w:szCs w:val="32"/>
        </w:rPr>
        <w:t>13266</w:t>
      </w:r>
      <w:r>
        <w:rPr>
          <w:rFonts w:ascii="Times New Roman" w:hAnsi="Times New Roman"/>
          <w:szCs w:val="32"/>
        </w:rPr>
        <w:t>万元，建筑工程费用</w:t>
      </w:r>
      <w:r>
        <w:rPr>
          <w:rFonts w:hint="eastAsia" w:ascii="Times New Roman" w:hAnsi="Times New Roman"/>
          <w:szCs w:val="32"/>
        </w:rPr>
        <w:t>10572</w:t>
      </w:r>
      <w:r>
        <w:rPr>
          <w:rFonts w:ascii="Times New Roman" w:hAnsi="Times New Roman"/>
          <w:szCs w:val="32"/>
        </w:rPr>
        <w:t>万元，运维费用26</w:t>
      </w:r>
      <w:r>
        <w:rPr>
          <w:rFonts w:hint="eastAsia" w:ascii="Times New Roman" w:hAnsi="Times New Roman"/>
          <w:szCs w:val="32"/>
        </w:rPr>
        <w:t>94</w:t>
      </w:r>
      <w:r>
        <w:rPr>
          <w:rFonts w:ascii="Times New Roman" w:hAnsi="Times New Roman"/>
          <w:szCs w:val="32"/>
        </w:rPr>
        <w:t>万元。</w:t>
      </w:r>
    </w:p>
    <w:p>
      <w:pPr>
        <w:ind w:firstLine="640"/>
        <w:rPr>
          <w:rFonts w:ascii="Times New Roman" w:hAnsi="Times New Roman"/>
        </w:rPr>
      </w:pPr>
      <w:r>
        <w:rPr>
          <w:rFonts w:ascii="Times New Roman" w:hAnsi="Times New Roman"/>
        </w:rPr>
        <w:t>奉节县在实施农村生活污水规划中，需积极拓宽融资渠道，采取多元投资、多方参与等方式筹措建设资金。各级财政应加大对污水处理设施建设的扶持力度，建设及运维资金纳入年度财政预算，并积极申请国家和市级相关经费补助，同时鼓励引导和支持企业、社会团体、个人等社会力量，通过投资、捐助、认建等形式，参与农村生活污水治理设施建设与改造。</w:t>
      </w:r>
    </w:p>
    <w:p>
      <w:pPr>
        <w:pStyle w:val="2"/>
      </w:pPr>
      <w:bookmarkStart w:id="269" w:name="_Toc2482"/>
      <w:bookmarkStart w:id="270" w:name="_Toc18520"/>
      <w:bookmarkStart w:id="271" w:name="_Toc32187"/>
      <w:bookmarkStart w:id="272" w:name="_Toc30792"/>
      <w:bookmarkStart w:id="273" w:name="_Toc14797"/>
      <w:bookmarkStart w:id="274" w:name="_Toc1563004"/>
      <w:bookmarkStart w:id="275" w:name="_Toc17964129"/>
      <w:bookmarkStart w:id="276" w:name="_Toc10763"/>
      <w:bookmarkStart w:id="277" w:name="_Toc26292"/>
      <w:bookmarkStart w:id="278" w:name="_Toc24106"/>
      <w:bookmarkStart w:id="279" w:name="_Toc29866"/>
      <w:r>
        <w:t xml:space="preserve">7 </w:t>
      </w:r>
      <w:r>
        <w:rPr>
          <w:rFonts w:hint="eastAsia"/>
        </w:rPr>
        <w:t>效益分析</w:t>
      </w:r>
      <w:bookmarkEnd w:id="269"/>
      <w:bookmarkEnd w:id="270"/>
      <w:bookmarkEnd w:id="271"/>
      <w:bookmarkEnd w:id="272"/>
      <w:bookmarkEnd w:id="273"/>
      <w:bookmarkEnd w:id="274"/>
      <w:bookmarkEnd w:id="275"/>
      <w:bookmarkEnd w:id="276"/>
      <w:bookmarkEnd w:id="277"/>
      <w:bookmarkEnd w:id="278"/>
      <w:bookmarkEnd w:id="279"/>
    </w:p>
    <w:p>
      <w:pPr>
        <w:pStyle w:val="3"/>
      </w:pPr>
      <w:bookmarkStart w:id="280" w:name="_Toc40772763"/>
      <w:bookmarkStart w:id="281" w:name="_Toc525226309"/>
      <w:bookmarkStart w:id="282" w:name="_Toc42598961"/>
      <w:bookmarkStart w:id="283" w:name="_Toc27221575"/>
      <w:bookmarkStart w:id="284" w:name="_Toc31764"/>
      <w:bookmarkStart w:id="285" w:name="_Toc1563005"/>
      <w:bookmarkStart w:id="286" w:name="_Toc28050"/>
      <w:bookmarkStart w:id="287" w:name="_Toc6935"/>
      <w:bookmarkStart w:id="288" w:name="_Toc24765"/>
      <w:bookmarkStart w:id="289" w:name="_Toc11617"/>
      <w:bookmarkStart w:id="290" w:name="_Toc3085"/>
      <w:bookmarkStart w:id="291" w:name="_Toc20636"/>
      <w:bookmarkStart w:id="292" w:name="_Toc17964130"/>
      <w:bookmarkStart w:id="293" w:name="_Toc14156"/>
      <w:bookmarkStart w:id="294" w:name="_Toc5869"/>
      <w:r>
        <w:t xml:space="preserve">7.1 </w:t>
      </w:r>
      <w:r>
        <w:rPr>
          <w:rFonts w:hint="eastAsia"/>
        </w:rPr>
        <w:t>环境效益</w:t>
      </w:r>
      <w:bookmarkEnd w:id="280"/>
      <w:bookmarkEnd w:id="281"/>
      <w:bookmarkEnd w:id="282"/>
      <w:bookmarkEnd w:id="283"/>
      <w:bookmarkEnd w:id="284"/>
    </w:p>
    <w:p>
      <w:pPr>
        <w:ind w:firstLine="640"/>
        <w:rPr>
          <w:rFonts w:ascii="Times New Roman" w:hAnsi="Times New Roman"/>
          <w:szCs w:val="32"/>
        </w:rPr>
      </w:pPr>
      <w:r>
        <w:rPr>
          <w:rFonts w:ascii="Times New Roman" w:hAnsi="Times New Roman"/>
          <w:szCs w:val="32"/>
        </w:rPr>
        <w:t>农村生活污水得到有效收集、治理的最直接效果就是，改善农村人居环境的改善，通过</w:t>
      </w:r>
      <w:r>
        <w:rPr>
          <w:rFonts w:hint="eastAsia" w:ascii="Times New Roman" w:hAnsi="Times New Roman"/>
          <w:szCs w:val="32"/>
        </w:rPr>
        <w:t>对</w:t>
      </w:r>
      <w:r>
        <w:rPr>
          <w:rFonts w:ascii="Times New Roman" w:hAnsi="Times New Roman"/>
          <w:szCs w:val="32"/>
        </w:rPr>
        <w:t>居民区生态环境的综合治理，可提高农村居民的生活环境质量。</w:t>
      </w:r>
    </w:p>
    <w:p>
      <w:pPr>
        <w:ind w:firstLine="640"/>
        <w:rPr>
          <w:rFonts w:ascii="Times New Roman" w:hAnsi="Times New Roman"/>
          <w:szCs w:val="32"/>
        </w:rPr>
      </w:pPr>
      <w:r>
        <w:rPr>
          <w:rFonts w:ascii="Times New Roman" w:hAnsi="Times New Roman"/>
          <w:szCs w:val="32"/>
        </w:rPr>
        <w:t>将</w:t>
      </w:r>
      <w:r>
        <w:rPr>
          <w:rFonts w:hint="eastAsia" w:ascii="Times New Roman" w:hAnsi="Times New Roman"/>
          <w:szCs w:val="32"/>
        </w:rPr>
        <w:t>约1840t/d</w:t>
      </w:r>
      <w:r>
        <w:rPr>
          <w:rFonts w:ascii="Times New Roman" w:hAnsi="Times New Roman"/>
          <w:szCs w:val="32"/>
        </w:rPr>
        <w:t>原排入外环境</w:t>
      </w:r>
      <w:r>
        <w:rPr>
          <w:rFonts w:hint="eastAsia" w:ascii="Times New Roman" w:hAnsi="Times New Roman"/>
          <w:szCs w:val="32"/>
        </w:rPr>
        <w:t>的</w:t>
      </w:r>
      <w:r>
        <w:rPr>
          <w:rFonts w:ascii="Times New Roman" w:hAnsi="Times New Roman"/>
          <w:szCs w:val="32"/>
        </w:rPr>
        <w:t>生活污水进行集中收集处理</w:t>
      </w:r>
      <w:r>
        <w:rPr>
          <w:rFonts w:hint="eastAsia" w:ascii="Times New Roman" w:hAnsi="Times New Roman"/>
          <w:szCs w:val="32"/>
        </w:rPr>
        <w:t>和</w:t>
      </w:r>
      <w:r>
        <w:rPr>
          <w:rFonts w:ascii="Times New Roman" w:hAnsi="Times New Roman"/>
          <w:szCs w:val="32"/>
        </w:rPr>
        <w:t>分散</w:t>
      </w:r>
      <w:r>
        <w:rPr>
          <w:rFonts w:hint="eastAsia" w:ascii="Times New Roman" w:hAnsi="Times New Roman"/>
          <w:szCs w:val="32"/>
        </w:rPr>
        <w:t>处置</w:t>
      </w:r>
      <w:r>
        <w:rPr>
          <w:rFonts w:ascii="Times New Roman" w:hAnsi="Times New Roman"/>
          <w:szCs w:val="32"/>
        </w:rPr>
        <w:t>，可改善生态环境、改善水质，削减污染物、降低水环境污染风险，维护人居保护生态环境</w:t>
      </w:r>
      <w:r>
        <w:rPr>
          <w:rFonts w:ascii="Times New Roman" w:hAnsi="Times New Roman"/>
        </w:rPr>
        <w:t>。</w:t>
      </w:r>
    </w:p>
    <w:p>
      <w:pPr>
        <w:pStyle w:val="3"/>
      </w:pPr>
      <w:bookmarkStart w:id="295" w:name="_Toc42598962"/>
      <w:bookmarkStart w:id="296" w:name="_Toc27221576"/>
      <w:bookmarkStart w:id="297" w:name="_Toc19000"/>
      <w:bookmarkStart w:id="298" w:name="_Toc40772764"/>
      <w:bookmarkStart w:id="299" w:name="_Toc525226310"/>
      <w:r>
        <w:t xml:space="preserve">7.2 </w:t>
      </w:r>
      <w:r>
        <w:rPr>
          <w:rFonts w:hint="eastAsia"/>
        </w:rPr>
        <w:t>社会效益</w:t>
      </w:r>
      <w:bookmarkEnd w:id="295"/>
      <w:bookmarkEnd w:id="296"/>
      <w:bookmarkEnd w:id="297"/>
      <w:bookmarkEnd w:id="298"/>
      <w:bookmarkEnd w:id="299"/>
    </w:p>
    <w:p>
      <w:pPr>
        <w:ind w:firstLine="640"/>
        <w:rPr>
          <w:rFonts w:ascii="Times New Roman" w:hAnsi="Times New Roman"/>
          <w:szCs w:val="32"/>
        </w:rPr>
      </w:pPr>
      <w:r>
        <w:rPr>
          <w:rFonts w:ascii="Times New Roman" w:hAnsi="Times New Roman"/>
          <w:szCs w:val="32"/>
        </w:rPr>
        <w:t>提高居民生活质量。农村生活污水处理既可提高水资源的重复利用率、缓解水资源供需矛盾、促进农业生产的发展，又可改善农村地区的生态环境条件，提高居民生活质量，提升人民群众满意度，促进区域社会稳定及经济发展。</w:t>
      </w:r>
    </w:p>
    <w:p>
      <w:pPr>
        <w:ind w:firstLine="640"/>
        <w:rPr>
          <w:rFonts w:ascii="Times New Roman" w:hAnsi="Times New Roman"/>
        </w:rPr>
      </w:pPr>
      <w:r>
        <w:rPr>
          <w:rFonts w:ascii="Times New Roman" w:hAnsi="Times New Roman"/>
          <w:szCs w:val="32"/>
        </w:rPr>
        <w:t>提高人民群众环境保护意识。农村生活污水处理设施实施过程是一次深刻、生动的环境保护宣传过程，通过具体的环境保护行动，使人们能够深刻认识环境保护的重要性，使人们懂得环境污染的严重后果，包括经济损失、健康损失、资源流失等，并自觉加入到保护环境的行动中。人们认识理解环境保护的深刻含义，环境保护将产生质的飞跃，保护环境、节约资源将成为居民的自觉行为</w:t>
      </w:r>
      <w:r>
        <w:rPr>
          <w:rFonts w:ascii="Times New Roman" w:hAnsi="Times New Roman"/>
        </w:rPr>
        <w:t>。</w:t>
      </w:r>
    </w:p>
    <w:p>
      <w:pPr>
        <w:pStyle w:val="3"/>
      </w:pPr>
      <w:bookmarkStart w:id="300" w:name="_Toc27221577"/>
      <w:bookmarkStart w:id="301" w:name="_Toc40772765"/>
      <w:bookmarkStart w:id="302" w:name="_Toc525226311"/>
      <w:bookmarkStart w:id="303" w:name="_Toc24366"/>
      <w:bookmarkStart w:id="304" w:name="_Toc42598963"/>
      <w:r>
        <w:t xml:space="preserve">7.3 </w:t>
      </w:r>
      <w:r>
        <w:rPr>
          <w:rFonts w:hint="eastAsia"/>
        </w:rPr>
        <w:t>经济效益</w:t>
      </w:r>
      <w:bookmarkEnd w:id="300"/>
      <w:bookmarkEnd w:id="301"/>
      <w:bookmarkEnd w:id="302"/>
      <w:bookmarkEnd w:id="303"/>
      <w:bookmarkEnd w:id="304"/>
    </w:p>
    <w:p>
      <w:pPr>
        <w:ind w:firstLine="640"/>
        <w:rPr>
          <w:rFonts w:ascii="Times New Roman" w:hAnsi="Times New Roman"/>
          <w:szCs w:val="32"/>
        </w:rPr>
      </w:pPr>
      <w:r>
        <w:rPr>
          <w:rFonts w:ascii="Times New Roman" w:hAnsi="Times New Roman"/>
          <w:szCs w:val="32"/>
        </w:rPr>
        <w:t>农村地区环境条件的改善可降低与污染有关疾病的传播，减少由此</w:t>
      </w:r>
      <w:r>
        <w:rPr>
          <w:rFonts w:ascii="Times New Roman" w:hAnsi="Times New Roman"/>
        </w:rPr>
        <w:t>引起的经济损失。同时，改善环境质量，避免污水排放对农业生产和区域经济发展造成经济损失，对当地农业和旅游业的发展有积极意义。</w:t>
      </w:r>
    </w:p>
    <w:p>
      <w:pPr>
        <w:pStyle w:val="2"/>
      </w:pPr>
      <w:bookmarkStart w:id="305" w:name="_Toc25495"/>
      <w:r>
        <w:t xml:space="preserve">8 </w:t>
      </w:r>
      <w:r>
        <w:rPr>
          <w:rFonts w:hint="eastAsia"/>
        </w:rPr>
        <w:t>保障措施</w:t>
      </w:r>
      <w:bookmarkEnd w:id="285"/>
      <w:bookmarkEnd w:id="286"/>
      <w:bookmarkEnd w:id="287"/>
      <w:bookmarkEnd w:id="288"/>
      <w:bookmarkEnd w:id="289"/>
      <w:bookmarkEnd w:id="290"/>
      <w:bookmarkEnd w:id="291"/>
      <w:bookmarkEnd w:id="292"/>
      <w:bookmarkEnd w:id="293"/>
      <w:bookmarkEnd w:id="294"/>
      <w:bookmarkEnd w:id="305"/>
    </w:p>
    <w:p>
      <w:pPr>
        <w:pStyle w:val="3"/>
      </w:pPr>
      <w:bookmarkStart w:id="306" w:name="_Toc533775951"/>
      <w:bookmarkStart w:id="307" w:name="_Toc7079282"/>
      <w:bookmarkStart w:id="308" w:name="_Toc2091"/>
      <w:bookmarkStart w:id="309" w:name="_Toc17964131"/>
      <w:bookmarkStart w:id="310" w:name="_Toc19361"/>
      <w:bookmarkStart w:id="311" w:name="_Toc23721"/>
      <w:bookmarkStart w:id="312" w:name="_Toc15016"/>
      <w:bookmarkStart w:id="313" w:name="_Toc8823"/>
      <w:bookmarkStart w:id="314" w:name="_Toc31768"/>
      <w:bookmarkStart w:id="315" w:name="_Toc17921"/>
      <w:bookmarkStart w:id="316" w:name="_Toc26725"/>
      <w:bookmarkStart w:id="317" w:name="_Toc31034"/>
      <w:bookmarkStart w:id="318" w:name="_Toc16366"/>
      <w:bookmarkStart w:id="319" w:name="_Toc1563007"/>
      <w:r>
        <w:t xml:space="preserve">8.1 </w:t>
      </w:r>
      <w:r>
        <w:rPr>
          <w:rFonts w:hint="eastAsia"/>
        </w:rPr>
        <w:t>加强领导，落实责任</w:t>
      </w:r>
      <w:bookmarkEnd w:id="306"/>
      <w:bookmarkEnd w:id="307"/>
      <w:bookmarkEnd w:id="308"/>
    </w:p>
    <w:p>
      <w:pPr>
        <w:ind w:firstLine="640"/>
        <w:rPr>
          <w:rFonts w:ascii="Times New Roman" w:hAnsi="Times New Roman"/>
        </w:rPr>
      </w:pPr>
      <w:r>
        <w:rPr>
          <w:rFonts w:ascii="Times New Roman" w:hAnsi="Times New Roman"/>
        </w:rPr>
        <w:t>县生态环境局牵头开展农村污水治理工作，各乡镇（街道）及相关部门要切实落实农村生活污水治理要求，按照规划的要求，明确目标任务，细化工作计划，落实工作责任，确保组织计划到位、责任落实到位、任务完成到位。</w:t>
      </w:r>
    </w:p>
    <w:p>
      <w:pPr>
        <w:pStyle w:val="3"/>
      </w:pPr>
      <w:bookmarkStart w:id="320" w:name="_Toc533775953"/>
      <w:bookmarkStart w:id="321" w:name="_Toc7079283"/>
      <w:bookmarkStart w:id="322" w:name="_Toc20979"/>
      <w:r>
        <w:t xml:space="preserve">8.2 </w:t>
      </w:r>
      <w:r>
        <w:rPr>
          <w:rFonts w:hint="eastAsia"/>
        </w:rPr>
        <w:t>强化考核，确保目标</w:t>
      </w:r>
      <w:bookmarkEnd w:id="320"/>
      <w:bookmarkEnd w:id="321"/>
      <w:bookmarkEnd w:id="322"/>
    </w:p>
    <w:p>
      <w:pPr>
        <w:ind w:firstLine="640"/>
        <w:rPr>
          <w:rFonts w:ascii="Times New Roman" w:hAnsi="Times New Roman"/>
        </w:rPr>
      </w:pPr>
      <w:r>
        <w:rPr>
          <w:rFonts w:ascii="Times New Roman" w:hAnsi="Times New Roman"/>
        </w:rPr>
        <w:t>将农村生活污水治理工作纳入年度目标管理考核。各牵头部门要强化工作调度，建立月调度、季通报制度，建立科学合理的评价体系，建立健全奖罚机制。各级各部门要深入推进“放管服”工作，对农村生活污水治理设施运行维护管理所涉及的统一招投标和政府采购等事项，尽量简化审批手续，开辟绿色通道，优化服务质量。各乡镇（街道）分别制定实施细则，细化职责分工，落实政策措施，建立治理项目实效检测评价和情况通报制度，严格目标管理。资金分配向工作成效突出的</w:t>
      </w:r>
      <w:r>
        <w:rPr>
          <w:rFonts w:hint="eastAsia" w:ascii="Times New Roman" w:hAnsi="Times New Roman"/>
        </w:rPr>
        <w:t>乡镇（街道）</w:t>
      </w:r>
      <w:r>
        <w:rPr>
          <w:rFonts w:ascii="Times New Roman" w:hAnsi="Times New Roman"/>
        </w:rPr>
        <w:t>倾斜；对工作推进不力的，进行通报。</w:t>
      </w:r>
    </w:p>
    <w:p>
      <w:pPr>
        <w:pStyle w:val="3"/>
      </w:pPr>
      <w:bookmarkStart w:id="323" w:name="_Toc10045"/>
      <w:bookmarkStart w:id="324" w:name="_Toc7079284"/>
      <w:bookmarkStart w:id="325" w:name="_Toc533775954"/>
      <w:r>
        <w:t xml:space="preserve">8.3 </w:t>
      </w:r>
      <w:r>
        <w:rPr>
          <w:rFonts w:hint="eastAsia"/>
        </w:rPr>
        <w:t>加强宣传，营造氛围</w:t>
      </w:r>
      <w:bookmarkEnd w:id="323"/>
      <w:bookmarkEnd w:id="324"/>
      <w:bookmarkEnd w:id="325"/>
    </w:p>
    <w:p>
      <w:pPr>
        <w:ind w:firstLine="640"/>
        <w:rPr>
          <w:rFonts w:ascii="Times New Roman" w:hAnsi="Times New Roman"/>
        </w:rPr>
      </w:pPr>
      <w:r>
        <w:rPr>
          <w:rFonts w:ascii="Times New Roman" w:hAnsi="Times New Roman"/>
        </w:rPr>
        <w:t>充分发挥电视、广播、报刊、网络等媒体的作用，通过群众喜闻乐见的形式，大力宣传农村生活污水治理的重要意义、政策措施，强化环境卫生意识，引导农民群众形成健康文明的生活方式，动员广大农民和社会各界积极参与农村生活污水治理，增强广大农民环保意识和治污意识，努力形成全社会关心、支持和参与农村生活污水治理的良好氛围。</w:t>
      </w:r>
    </w:p>
    <w:p>
      <w:pPr>
        <w:pStyle w:val="2"/>
        <w:keepNext w:val="0"/>
        <w:keepLines w:val="0"/>
        <w:topLinePunct/>
        <w:adjustRightInd w:val="0"/>
        <w:snapToGrid w:val="0"/>
        <w:ind w:firstLine="602"/>
        <w:rPr>
          <w:rFonts w:eastAsia="黑体"/>
          <w:b/>
          <w:bCs w:val="0"/>
          <w:sz w:val="30"/>
          <w:szCs w:val="30"/>
        </w:rPr>
        <w:sectPr>
          <w:footerReference r:id="rId11" w:type="default"/>
          <w:pgSz w:w="11906" w:h="16838"/>
          <w:pgMar w:top="2098" w:right="1531" w:bottom="1985" w:left="1531" w:header="851" w:footer="1474" w:gutter="0"/>
          <w:pgNumType w:start="1"/>
          <w:cols w:space="425" w:num="1"/>
          <w:docGrid w:type="lines" w:linePitch="435" w:charSpace="0"/>
        </w:sectPr>
      </w:pPr>
    </w:p>
    <w:p>
      <w:pPr>
        <w:pStyle w:val="2"/>
      </w:pPr>
      <w:bookmarkStart w:id="326" w:name="_Toc17385"/>
      <w:r>
        <w:rPr>
          <w:rFonts w:hint="eastAsia"/>
        </w:rPr>
        <w:t>附</w:t>
      </w:r>
      <w:bookmarkEnd w:id="326"/>
      <w:r>
        <w:rPr>
          <w:rFonts w:hint="eastAsia"/>
        </w:rPr>
        <w:t>件</w:t>
      </w:r>
    </w:p>
    <w:p>
      <w:pPr>
        <w:pStyle w:val="4"/>
        <w:ind w:firstLine="640"/>
      </w:pPr>
      <w:r>
        <w:rPr>
          <w:rFonts w:hint="eastAsia"/>
        </w:rPr>
        <w:t>附</w:t>
      </w:r>
      <w:bookmarkEnd w:id="309"/>
      <w:bookmarkEnd w:id="310"/>
      <w:bookmarkEnd w:id="311"/>
      <w:bookmarkEnd w:id="312"/>
      <w:bookmarkEnd w:id="313"/>
      <w:bookmarkEnd w:id="314"/>
      <w:bookmarkEnd w:id="315"/>
      <w:bookmarkEnd w:id="316"/>
      <w:r>
        <w:rPr>
          <w:rFonts w:hint="eastAsia"/>
        </w:rPr>
        <w:t>件1 重点任务分解表</w:t>
      </w:r>
    </w:p>
    <w:tbl>
      <w:tblPr>
        <w:tblStyle w:val="43"/>
        <w:tblW w:w="127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6662"/>
        <w:gridCol w:w="1134"/>
        <w:gridCol w:w="1559"/>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jc w:val="center"/>
        </w:trPr>
        <w:tc>
          <w:tcPr>
            <w:tcW w:w="2122" w:type="dxa"/>
            <w:vAlign w:val="center"/>
          </w:tcPr>
          <w:p>
            <w:pPr>
              <w:pStyle w:val="48"/>
              <w:rPr>
                <w:rFonts w:eastAsia="方正仿宋_GBK"/>
                <w:b/>
                <w:bCs/>
                <w:color w:val="auto"/>
                <w:kern w:val="2"/>
                <w:szCs w:val="21"/>
                <w:lang w:val="en-US"/>
              </w:rPr>
            </w:pPr>
            <w:r>
              <w:rPr>
                <w:rFonts w:hint="eastAsia" w:eastAsia="方正仿宋_GBK"/>
                <w:b/>
                <w:bCs/>
                <w:color w:val="auto"/>
                <w:kern w:val="2"/>
                <w:szCs w:val="21"/>
                <w:lang w:val="en-US"/>
              </w:rPr>
              <w:t>重点任务</w:t>
            </w:r>
          </w:p>
        </w:tc>
        <w:tc>
          <w:tcPr>
            <w:tcW w:w="6662" w:type="dxa"/>
            <w:shd w:val="clear" w:color="auto" w:fill="auto"/>
            <w:vAlign w:val="center"/>
          </w:tcPr>
          <w:p>
            <w:pPr>
              <w:pStyle w:val="48"/>
              <w:rPr>
                <w:rFonts w:eastAsia="方正仿宋_GBK"/>
                <w:b/>
                <w:bCs/>
                <w:color w:val="auto"/>
                <w:kern w:val="2"/>
                <w:szCs w:val="21"/>
                <w:lang w:val="en-US"/>
              </w:rPr>
            </w:pPr>
            <w:r>
              <w:rPr>
                <w:rFonts w:hint="eastAsia" w:eastAsia="方正仿宋_GBK"/>
                <w:b/>
                <w:bCs/>
                <w:color w:val="auto"/>
                <w:kern w:val="2"/>
                <w:szCs w:val="21"/>
                <w:lang w:val="en-US"/>
              </w:rPr>
              <w:t>任务内容</w:t>
            </w:r>
          </w:p>
        </w:tc>
        <w:tc>
          <w:tcPr>
            <w:tcW w:w="1134" w:type="dxa"/>
            <w:shd w:val="clear" w:color="auto" w:fill="auto"/>
            <w:vAlign w:val="center"/>
          </w:tcPr>
          <w:p>
            <w:pPr>
              <w:pStyle w:val="48"/>
              <w:rPr>
                <w:rFonts w:eastAsia="方正仿宋_GBK"/>
                <w:b/>
                <w:bCs/>
                <w:color w:val="auto"/>
                <w:kern w:val="2"/>
                <w:szCs w:val="21"/>
                <w:lang w:val="en-US"/>
              </w:rPr>
            </w:pPr>
            <w:r>
              <w:rPr>
                <w:rFonts w:hint="eastAsia" w:eastAsia="方正仿宋_GBK"/>
                <w:b/>
                <w:bCs/>
                <w:color w:val="auto"/>
                <w:kern w:val="2"/>
                <w:szCs w:val="21"/>
                <w:lang w:val="en-US"/>
              </w:rPr>
              <w:t>完成年限</w:t>
            </w:r>
          </w:p>
        </w:tc>
        <w:tc>
          <w:tcPr>
            <w:tcW w:w="1559" w:type="dxa"/>
            <w:shd w:val="clear" w:color="auto" w:fill="auto"/>
            <w:vAlign w:val="center"/>
          </w:tcPr>
          <w:p>
            <w:pPr>
              <w:pStyle w:val="48"/>
              <w:rPr>
                <w:rFonts w:eastAsia="方正仿宋_GBK"/>
                <w:b/>
                <w:bCs/>
                <w:color w:val="auto"/>
                <w:kern w:val="2"/>
                <w:szCs w:val="21"/>
                <w:lang w:val="en-US"/>
              </w:rPr>
            </w:pPr>
            <w:r>
              <w:rPr>
                <w:rFonts w:hint="eastAsia" w:eastAsia="方正仿宋_GBK"/>
                <w:b/>
                <w:bCs/>
                <w:color w:val="auto"/>
                <w:kern w:val="2"/>
                <w:szCs w:val="21"/>
                <w:lang w:val="en-US"/>
              </w:rPr>
              <w:t>牵头单位</w:t>
            </w:r>
          </w:p>
        </w:tc>
        <w:tc>
          <w:tcPr>
            <w:tcW w:w="1268" w:type="dxa"/>
            <w:shd w:val="clear" w:color="auto" w:fill="auto"/>
            <w:vAlign w:val="center"/>
          </w:tcPr>
          <w:p>
            <w:pPr>
              <w:pStyle w:val="48"/>
              <w:rPr>
                <w:rFonts w:eastAsia="方正仿宋_GBK"/>
                <w:b/>
                <w:bCs/>
                <w:color w:val="auto"/>
                <w:kern w:val="2"/>
                <w:szCs w:val="21"/>
                <w:lang w:val="en-US"/>
              </w:rPr>
            </w:pPr>
            <w:r>
              <w:rPr>
                <w:rFonts w:hint="eastAsia" w:eastAsia="方正仿宋_GBK"/>
                <w:b/>
                <w:bCs/>
                <w:color w:val="auto"/>
                <w:kern w:val="2"/>
                <w:szCs w:val="21"/>
                <w:lang w:val="en-US"/>
              </w:rPr>
              <w:t>配合单位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2745" w:type="dxa"/>
            <w:gridSpan w:val="5"/>
            <w:vAlign w:val="center"/>
          </w:tcPr>
          <w:p>
            <w:pPr>
              <w:pStyle w:val="48"/>
              <w:jc w:val="left"/>
              <w:rPr>
                <w:rFonts w:eastAsia="方正仿宋_GBK"/>
                <w:b/>
                <w:bCs/>
                <w:color w:val="auto"/>
                <w:kern w:val="2"/>
                <w:szCs w:val="21"/>
                <w:lang w:val="en-US"/>
              </w:rPr>
            </w:pPr>
            <w:r>
              <w:rPr>
                <w:rFonts w:hint="eastAsia" w:eastAsia="方正仿宋_GBK"/>
                <w:b/>
                <w:bCs/>
                <w:color w:val="auto"/>
                <w:kern w:val="2"/>
                <w:szCs w:val="21"/>
                <w:lang w:val="en-US"/>
              </w:rPr>
              <w:t xml:space="preserve">一 农村生活污水治理设施——近期重点任务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122" w:type="dxa"/>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管网整治</w:t>
            </w:r>
          </w:p>
        </w:tc>
        <w:tc>
          <w:tcPr>
            <w:tcW w:w="6662" w:type="dxa"/>
            <w:shd w:val="clear" w:color="auto" w:fill="auto"/>
            <w:vAlign w:val="center"/>
          </w:tcPr>
          <w:p>
            <w:pPr>
              <w:pStyle w:val="47"/>
              <w:jc w:val="both"/>
            </w:pPr>
            <w:r>
              <w:rPr>
                <w:rFonts w:hint="eastAsia"/>
              </w:rPr>
              <w:t>草堂镇柑子社区柑子苑、竹园镇华吉村华吉场镇管网堵塞、破损严重，对其进行整治（详见附件2）。</w:t>
            </w:r>
          </w:p>
        </w:tc>
        <w:tc>
          <w:tcPr>
            <w:tcW w:w="1134"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2023-2025</w:t>
            </w:r>
          </w:p>
        </w:tc>
        <w:tc>
          <w:tcPr>
            <w:tcW w:w="1559"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1268"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县生态环境局、相关乡镇（街道）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122" w:type="dxa"/>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现有污水处理设施改扩建</w:t>
            </w:r>
          </w:p>
        </w:tc>
        <w:tc>
          <w:tcPr>
            <w:tcW w:w="6662" w:type="dxa"/>
            <w:shd w:val="clear" w:color="auto" w:fill="auto"/>
            <w:vAlign w:val="center"/>
          </w:tcPr>
          <w:p>
            <w:pPr>
              <w:pStyle w:val="47"/>
              <w:jc w:val="both"/>
            </w:pPr>
            <w:r>
              <w:rPr>
                <w:rFonts w:hint="eastAsia"/>
              </w:rPr>
              <w:t>竹园镇华吉村污水处理站改扩建，扩大污水处理规模（详见附件3）。</w:t>
            </w:r>
          </w:p>
        </w:tc>
        <w:tc>
          <w:tcPr>
            <w:tcW w:w="1134"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2023</w:t>
            </w:r>
          </w:p>
        </w:tc>
        <w:tc>
          <w:tcPr>
            <w:tcW w:w="1559"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1268"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县生态环境局、相关乡镇（街道）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122" w:type="dxa"/>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纳管处理</w:t>
            </w:r>
          </w:p>
        </w:tc>
        <w:tc>
          <w:tcPr>
            <w:tcW w:w="6662" w:type="dxa"/>
            <w:shd w:val="clear" w:color="auto" w:fill="auto"/>
            <w:vAlign w:val="center"/>
          </w:tcPr>
          <w:p>
            <w:pPr>
              <w:pStyle w:val="47"/>
              <w:jc w:val="both"/>
            </w:pPr>
            <w:r>
              <w:t>竹园镇岔河村岔河新农村、</w:t>
            </w:r>
            <w:r>
              <w:rPr>
                <w:rFonts w:hint="eastAsia"/>
              </w:rPr>
              <w:t>鹤峰乡长连村徐家坝、五马镇大木村等聚居点新建管网接入就近管网或污水处理设施（详见附件4）。</w:t>
            </w:r>
          </w:p>
        </w:tc>
        <w:tc>
          <w:tcPr>
            <w:tcW w:w="1134"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2024-2025</w:t>
            </w:r>
          </w:p>
        </w:tc>
        <w:tc>
          <w:tcPr>
            <w:tcW w:w="1559"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1268"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县生态环境局、相关乡镇（街道）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122" w:type="dxa"/>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新建污水处理设施及配套管网</w:t>
            </w:r>
          </w:p>
        </w:tc>
        <w:tc>
          <w:tcPr>
            <w:tcW w:w="6662" w:type="dxa"/>
            <w:shd w:val="clear" w:color="auto" w:fill="auto"/>
            <w:vAlign w:val="center"/>
          </w:tcPr>
          <w:p>
            <w:pPr>
              <w:pStyle w:val="47"/>
              <w:jc w:val="both"/>
            </w:pPr>
            <w:r>
              <w:rPr>
                <w:rFonts w:hint="eastAsia"/>
              </w:rPr>
              <w:t>康乐镇长沙村团包、兴隆镇庙湾社区庙湾场镇等聚居点新建污水处理设施及配套管网（详见附件5）。</w:t>
            </w:r>
          </w:p>
        </w:tc>
        <w:tc>
          <w:tcPr>
            <w:tcW w:w="1134"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2021-2025</w:t>
            </w:r>
          </w:p>
        </w:tc>
        <w:tc>
          <w:tcPr>
            <w:tcW w:w="1559"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1268"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县生态环境局、相关乡镇（街道）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92" w:hRule="atLeast"/>
          <w:jc w:val="center"/>
        </w:trPr>
        <w:tc>
          <w:tcPr>
            <w:tcW w:w="2122" w:type="dxa"/>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卫生改厕</w:t>
            </w:r>
          </w:p>
        </w:tc>
        <w:tc>
          <w:tcPr>
            <w:tcW w:w="6662" w:type="dxa"/>
            <w:shd w:val="clear" w:color="auto" w:fill="auto"/>
            <w:vAlign w:val="center"/>
          </w:tcPr>
          <w:p>
            <w:pPr>
              <w:pStyle w:val="47"/>
              <w:jc w:val="both"/>
            </w:pPr>
            <w:r>
              <w:rPr>
                <w:rFonts w:hint="eastAsia"/>
              </w:rPr>
              <w:t>全县规划范围内农村卫生改厕户数逐年提升（详见附件6）。</w:t>
            </w:r>
          </w:p>
        </w:tc>
        <w:tc>
          <w:tcPr>
            <w:tcW w:w="1134"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2021-2025</w:t>
            </w:r>
          </w:p>
        </w:tc>
        <w:tc>
          <w:tcPr>
            <w:tcW w:w="1559"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县农业农村委、县卫生健康委</w:t>
            </w:r>
          </w:p>
        </w:tc>
        <w:tc>
          <w:tcPr>
            <w:tcW w:w="1268"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县生态环境局、相关乡镇（街道）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745" w:type="dxa"/>
            <w:gridSpan w:val="5"/>
            <w:vAlign w:val="center"/>
          </w:tcPr>
          <w:p>
            <w:pPr>
              <w:pStyle w:val="48"/>
              <w:jc w:val="left"/>
            </w:pPr>
            <w:r>
              <w:rPr>
                <w:rFonts w:hint="eastAsia" w:eastAsia="方正仿宋_GBK"/>
                <w:b/>
                <w:bCs/>
                <w:color w:val="auto"/>
                <w:kern w:val="2"/>
                <w:szCs w:val="21"/>
                <w:lang w:val="en-US"/>
              </w:rPr>
              <w:t>二 管理措施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122" w:type="dxa"/>
            <w:vMerge w:val="restart"/>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运维管理</w:t>
            </w:r>
          </w:p>
        </w:tc>
        <w:tc>
          <w:tcPr>
            <w:tcW w:w="6662" w:type="dxa"/>
            <w:shd w:val="clear" w:color="auto" w:fill="auto"/>
            <w:vAlign w:val="center"/>
          </w:tcPr>
          <w:p>
            <w:pPr>
              <w:pStyle w:val="47"/>
              <w:jc w:val="both"/>
            </w:pPr>
            <w:r>
              <w:rPr>
                <w:rFonts w:hint="eastAsia"/>
              </w:rPr>
              <w:t>加强草堂镇竹坪村污水处理厂、平安乡文昌村安置点简易污水处理站、康乐镇横路污水处理厂等6座已建污水处理设施的运行维护管理，保障农村生活污水治理设施持续运行。</w:t>
            </w:r>
          </w:p>
        </w:tc>
        <w:tc>
          <w:tcPr>
            <w:tcW w:w="1134"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2021-远期</w:t>
            </w:r>
          </w:p>
        </w:tc>
        <w:tc>
          <w:tcPr>
            <w:tcW w:w="1559"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市环投公司</w:t>
            </w:r>
          </w:p>
        </w:tc>
        <w:tc>
          <w:tcPr>
            <w:tcW w:w="1268"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县生态环境局、相关乡镇（街道）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122" w:type="dxa"/>
            <w:vMerge w:val="continue"/>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662" w:type="dxa"/>
            <w:shd w:val="clear" w:color="auto" w:fill="auto"/>
            <w:vAlign w:val="center"/>
          </w:tcPr>
          <w:p>
            <w:pPr>
              <w:pStyle w:val="47"/>
              <w:jc w:val="both"/>
            </w:pPr>
            <w:r>
              <w:rPr>
                <w:rFonts w:hint="eastAsia"/>
              </w:rPr>
              <w:t>加强鹤峰乡青杠村安置点简易污水处理站、甲高镇红龙安置点简易污水处理站等23座已建污水处理设施运行维护管理，保障农村生活污水治理设施持续运行。</w:t>
            </w:r>
          </w:p>
        </w:tc>
        <w:tc>
          <w:tcPr>
            <w:tcW w:w="1134"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2021-远期</w:t>
            </w:r>
          </w:p>
        </w:tc>
        <w:tc>
          <w:tcPr>
            <w:tcW w:w="1559"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相关乡镇（街道）</w:t>
            </w:r>
          </w:p>
        </w:tc>
        <w:tc>
          <w:tcPr>
            <w:tcW w:w="1268"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县生态环境局、相关乡镇（街道）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122" w:type="dxa"/>
            <w:vMerge w:val="continue"/>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662" w:type="dxa"/>
            <w:shd w:val="clear" w:color="auto" w:fill="auto"/>
            <w:vAlign w:val="center"/>
          </w:tcPr>
          <w:p>
            <w:pPr>
              <w:pStyle w:val="47"/>
              <w:jc w:val="both"/>
            </w:pPr>
            <w:r>
              <w:rPr>
                <w:rFonts w:hint="eastAsia"/>
              </w:rPr>
              <w:t>加强白帝镇九盘村污水处理站、平安乡双店村安置点简易污水处理站等10座由村社或无运维及康乐镇长沙村污水处理站、安坪镇合一村污水处理站等22座新建污水处理设施运行维护管理，保障农村生活污水治理设施持续运行。</w:t>
            </w:r>
          </w:p>
        </w:tc>
        <w:tc>
          <w:tcPr>
            <w:tcW w:w="1134"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2021-远期</w:t>
            </w:r>
          </w:p>
        </w:tc>
        <w:tc>
          <w:tcPr>
            <w:tcW w:w="1559"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相关乡镇（街道）等运维单位</w:t>
            </w:r>
          </w:p>
        </w:tc>
        <w:tc>
          <w:tcPr>
            <w:tcW w:w="1268"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县生态环境局、相关乡镇（街道）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73" w:hRule="atLeast"/>
          <w:jc w:val="center"/>
        </w:trPr>
        <w:tc>
          <w:tcPr>
            <w:tcW w:w="2122" w:type="dxa"/>
            <w:vMerge w:val="restart"/>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水质监测</w:t>
            </w:r>
          </w:p>
        </w:tc>
        <w:tc>
          <w:tcPr>
            <w:tcW w:w="6662" w:type="dxa"/>
            <w:shd w:val="clear" w:color="auto" w:fill="auto"/>
            <w:vAlign w:val="center"/>
          </w:tcPr>
          <w:p>
            <w:pPr>
              <w:pStyle w:val="47"/>
              <w:jc w:val="both"/>
            </w:pPr>
            <w:r>
              <w:rPr>
                <w:rFonts w:hint="eastAsia"/>
              </w:rPr>
              <w:t>白帝镇九盘村污水处理站、草堂镇竹坪村污水处理站等污水处理设施设计处理能力20吨/日—100吨/日（含）的，每年至少监测一次。</w:t>
            </w:r>
          </w:p>
        </w:tc>
        <w:tc>
          <w:tcPr>
            <w:tcW w:w="1134" w:type="dxa"/>
            <w:vMerge w:val="restart"/>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2021-远期</w:t>
            </w:r>
          </w:p>
        </w:tc>
        <w:tc>
          <w:tcPr>
            <w:tcW w:w="1559" w:type="dxa"/>
            <w:vMerge w:val="restart"/>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县生态环境局</w:t>
            </w:r>
          </w:p>
        </w:tc>
        <w:tc>
          <w:tcPr>
            <w:tcW w:w="1268" w:type="dxa"/>
            <w:vMerge w:val="restart"/>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各污水处理厂（站）、相关乡镇（街道）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0" w:hRule="atLeast"/>
          <w:jc w:val="center"/>
        </w:trPr>
        <w:tc>
          <w:tcPr>
            <w:tcW w:w="2122" w:type="dxa"/>
            <w:vMerge w:val="continue"/>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662" w:type="dxa"/>
            <w:shd w:val="clear" w:color="auto" w:fill="auto"/>
            <w:vAlign w:val="center"/>
          </w:tcPr>
          <w:p>
            <w:pPr>
              <w:pStyle w:val="47"/>
              <w:jc w:val="both"/>
            </w:pPr>
            <w:r>
              <w:rPr>
                <w:rFonts w:hint="eastAsia"/>
              </w:rPr>
              <w:t>公平镇公平社区简易污水处理站、康乐镇铁佛珠海安置点简易污水处理站等污水处理设施设计处理能力超过100吨/日的，每半年至少监测一次。</w:t>
            </w:r>
          </w:p>
        </w:tc>
        <w:tc>
          <w:tcPr>
            <w:tcW w:w="1134" w:type="dxa"/>
            <w:vMerge w:val="continue"/>
            <w:shd w:val="clear" w:color="auto" w:fill="auto"/>
            <w:vAlign w:val="center"/>
          </w:tcPr>
          <w:p>
            <w:pPr>
              <w:pStyle w:val="47"/>
            </w:pPr>
          </w:p>
        </w:tc>
        <w:tc>
          <w:tcPr>
            <w:tcW w:w="1559" w:type="dxa"/>
            <w:vMerge w:val="continue"/>
            <w:shd w:val="clear" w:color="auto" w:fill="auto"/>
            <w:vAlign w:val="center"/>
          </w:tcPr>
          <w:p>
            <w:pPr>
              <w:pStyle w:val="47"/>
            </w:pPr>
          </w:p>
        </w:tc>
        <w:tc>
          <w:tcPr>
            <w:tcW w:w="1268" w:type="dxa"/>
            <w:vMerge w:val="continue"/>
            <w:shd w:val="clear" w:color="auto" w:fill="auto"/>
            <w:vAlign w:val="center"/>
          </w:tcPr>
          <w:p>
            <w:pPr>
              <w:pStyle w:val="47"/>
            </w:pPr>
          </w:p>
        </w:tc>
      </w:tr>
    </w:tbl>
    <w:p>
      <w:pPr>
        <w:ind w:firstLine="0" w:firstLineChars="0"/>
        <w:rPr>
          <w:rFonts w:ascii="Times New Roman" w:hAnsi="Times New Roman"/>
        </w:rPr>
        <w:sectPr>
          <w:pgSz w:w="16838" w:h="11906" w:orient="landscape"/>
          <w:pgMar w:top="1531" w:right="1985" w:bottom="1531" w:left="2098" w:header="851" w:footer="1474" w:gutter="0"/>
          <w:cols w:space="425" w:num="1"/>
          <w:docGrid w:type="lines" w:linePitch="435" w:charSpace="0"/>
        </w:sectPr>
      </w:pPr>
    </w:p>
    <w:p>
      <w:pPr>
        <w:pStyle w:val="4"/>
        <w:ind w:firstLine="640"/>
      </w:pPr>
      <w:r>
        <w:t>附</w:t>
      </w:r>
      <w:r>
        <w:rPr>
          <w:rFonts w:hint="eastAsia"/>
        </w:rPr>
        <w:t>件2 奉节县农村生活污水治理设施项目一览表-管网整治</w:t>
      </w:r>
    </w:p>
    <w:tbl>
      <w:tblPr>
        <w:tblStyle w:val="43"/>
        <w:tblW w:w="12769" w:type="dxa"/>
        <w:jc w:val="center"/>
        <w:tblInd w:w="0" w:type="dxa"/>
        <w:tblLayout w:type="fixed"/>
        <w:tblCellMar>
          <w:top w:w="0" w:type="dxa"/>
          <w:left w:w="0" w:type="dxa"/>
          <w:bottom w:w="0" w:type="dxa"/>
          <w:right w:w="0" w:type="dxa"/>
        </w:tblCellMar>
      </w:tblPr>
      <w:tblGrid>
        <w:gridCol w:w="557"/>
        <w:gridCol w:w="557"/>
        <w:gridCol w:w="631"/>
        <w:gridCol w:w="557"/>
        <w:gridCol w:w="700"/>
        <w:gridCol w:w="700"/>
        <w:gridCol w:w="691"/>
        <w:gridCol w:w="746"/>
        <w:gridCol w:w="871"/>
        <w:gridCol w:w="1257"/>
        <w:gridCol w:w="1495"/>
        <w:gridCol w:w="2126"/>
        <w:gridCol w:w="1881"/>
      </w:tblGrid>
      <w:tr>
        <w:tblPrEx>
          <w:tblLayout w:type="fixed"/>
          <w:tblCellMar>
            <w:top w:w="0" w:type="dxa"/>
            <w:left w:w="0" w:type="dxa"/>
            <w:bottom w:w="0" w:type="dxa"/>
            <w:right w:w="0" w:type="dxa"/>
          </w:tblCellMar>
        </w:tblPrEx>
        <w:trPr>
          <w:trHeight w:val="552" w:hRule="atLeast"/>
          <w:jc w:val="center"/>
        </w:trPr>
        <w:tc>
          <w:tcPr>
            <w:tcW w:w="557" w:type="dxa"/>
            <w:vMerge w:val="restart"/>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序号</w:t>
            </w:r>
          </w:p>
        </w:tc>
        <w:tc>
          <w:tcPr>
            <w:tcW w:w="557"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乡镇（街道）</w:t>
            </w:r>
          </w:p>
        </w:tc>
        <w:tc>
          <w:tcPr>
            <w:tcW w:w="631"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行政村（社区）</w:t>
            </w:r>
          </w:p>
        </w:tc>
        <w:tc>
          <w:tcPr>
            <w:tcW w:w="557"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聚居点名称</w:t>
            </w:r>
          </w:p>
        </w:tc>
        <w:tc>
          <w:tcPr>
            <w:tcW w:w="700"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常住户数（户）</w:t>
            </w:r>
          </w:p>
        </w:tc>
        <w:tc>
          <w:tcPr>
            <w:tcW w:w="700"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常住人口（人）</w:t>
            </w:r>
          </w:p>
        </w:tc>
        <w:tc>
          <w:tcPr>
            <w:tcW w:w="691"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污水排放量（t/d）</w:t>
            </w:r>
          </w:p>
        </w:tc>
        <w:tc>
          <w:tcPr>
            <w:tcW w:w="1617" w:type="dxa"/>
            <w:gridSpan w:val="2"/>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管网整治（</w:t>
            </w:r>
            <w:r>
              <w:rPr>
                <w:rFonts w:ascii="Times New Roman" w:hAnsi="Times New Roman" w:cs="宋体"/>
                <w:b/>
                <w:bCs/>
                <w:color w:val="000000"/>
                <w:kern w:val="0"/>
                <w:sz w:val="21"/>
                <w:szCs w:val="20"/>
              </w:rPr>
              <w:t>m)</w:t>
            </w:r>
          </w:p>
        </w:tc>
        <w:tc>
          <w:tcPr>
            <w:tcW w:w="1257"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完成年限</w:t>
            </w:r>
          </w:p>
        </w:tc>
        <w:tc>
          <w:tcPr>
            <w:tcW w:w="1495"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牵头单位</w:t>
            </w:r>
          </w:p>
        </w:tc>
        <w:tc>
          <w:tcPr>
            <w:tcW w:w="2126" w:type="dxa"/>
            <w:vMerge w:val="restart"/>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配合单位</w:t>
            </w:r>
          </w:p>
        </w:tc>
        <w:tc>
          <w:tcPr>
            <w:tcW w:w="1881" w:type="dxa"/>
            <w:vMerge w:val="restart"/>
            <w:tcBorders>
              <w:top w:val="single" w:color="000000" w:sz="8" w:space="0"/>
              <w:left w:val="nil"/>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项目类型</w:t>
            </w:r>
          </w:p>
        </w:tc>
      </w:tr>
      <w:tr>
        <w:tblPrEx>
          <w:tblLayout w:type="fixed"/>
          <w:tblCellMar>
            <w:top w:w="0" w:type="dxa"/>
            <w:left w:w="0" w:type="dxa"/>
            <w:bottom w:w="0" w:type="dxa"/>
            <w:right w:w="0" w:type="dxa"/>
          </w:tblCellMar>
        </w:tblPrEx>
        <w:trPr>
          <w:trHeight w:val="291" w:hRule="atLeast"/>
          <w:jc w:val="center"/>
        </w:trPr>
        <w:tc>
          <w:tcPr>
            <w:tcW w:w="557" w:type="dxa"/>
            <w:vMerge w:val="continue"/>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widowControl/>
              <w:spacing w:line="240" w:lineRule="atLeast"/>
              <w:ind w:firstLine="422"/>
              <w:jc w:val="center"/>
              <w:rPr>
                <w:rFonts w:ascii="方正仿宋_GBK" w:hAnsi="方正仿宋_GBK" w:cs="方正仿宋_GBK"/>
                <w:b/>
                <w:color w:val="000000"/>
                <w:sz w:val="21"/>
                <w:szCs w:val="21"/>
              </w:rPr>
            </w:pPr>
          </w:p>
        </w:tc>
        <w:tc>
          <w:tcPr>
            <w:tcW w:w="557"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pacing w:line="240" w:lineRule="atLeast"/>
              <w:ind w:firstLine="422"/>
              <w:jc w:val="center"/>
              <w:rPr>
                <w:rFonts w:ascii="方正仿宋_GBK" w:hAnsi="方正仿宋_GBK" w:cs="方正仿宋_GBK"/>
                <w:b/>
                <w:color w:val="000000"/>
                <w:sz w:val="21"/>
                <w:szCs w:val="21"/>
              </w:rPr>
            </w:pPr>
          </w:p>
        </w:tc>
        <w:tc>
          <w:tcPr>
            <w:tcW w:w="631"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pacing w:line="240" w:lineRule="atLeast"/>
              <w:ind w:firstLine="422"/>
              <w:jc w:val="center"/>
              <w:rPr>
                <w:rFonts w:ascii="方正仿宋_GBK" w:hAnsi="方正仿宋_GBK" w:cs="方正仿宋_GBK"/>
                <w:b/>
                <w:color w:val="000000"/>
                <w:sz w:val="21"/>
                <w:szCs w:val="21"/>
              </w:rPr>
            </w:pPr>
          </w:p>
        </w:tc>
        <w:tc>
          <w:tcPr>
            <w:tcW w:w="557"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pacing w:line="240" w:lineRule="atLeast"/>
              <w:ind w:firstLine="422"/>
              <w:jc w:val="center"/>
              <w:rPr>
                <w:rFonts w:ascii="方正仿宋_GBK" w:hAnsi="方正仿宋_GBK" w:cs="方正仿宋_GBK"/>
                <w:b/>
                <w:color w:val="000000"/>
                <w:sz w:val="21"/>
                <w:szCs w:val="21"/>
              </w:rPr>
            </w:pPr>
          </w:p>
        </w:tc>
        <w:tc>
          <w:tcPr>
            <w:tcW w:w="700"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pacing w:line="240" w:lineRule="atLeast"/>
              <w:ind w:firstLine="422"/>
              <w:jc w:val="center"/>
              <w:rPr>
                <w:rFonts w:ascii="方正仿宋_GBK" w:hAnsi="方正仿宋_GBK" w:cs="方正仿宋_GBK"/>
                <w:b/>
                <w:color w:val="000000"/>
                <w:sz w:val="21"/>
                <w:szCs w:val="21"/>
              </w:rPr>
            </w:pPr>
          </w:p>
        </w:tc>
        <w:tc>
          <w:tcPr>
            <w:tcW w:w="700"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pacing w:line="240" w:lineRule="atLeast"/>
              <w:ind w:firstLine="422"/>
              <w:jc w:val="center"/>
              <w:rPr>
                <w:rFonts w:ascii="方正仿宋_GBK" w:hAnsi="方正仿宋_GBK" w:cs="方正仿宋_GBK"/>
                <w:b/>
                <w:color w:val="000000"/>
                <w:sz w:val="21"/>
                <w:szCs w:val="21"/>
              </w:rPr>
            </w:pPr>
          </w:p>
        </w:tc>
        <w:tc>
          <w:tcPr>
            <w:tcW w:w="691"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pacing w:line="240" w:lineRule="atLeast"/>
              <w:ind w:firstLine="422"/>
              <w:jc w:val="center"/>
              <w:rPr>
                <w:rFonts w:ascii="方正仿宋_GBK" w:hAnsi="方正仿宋_GBK" w:cs="方正仿宋_GBK"/>
                <w:b/>
                <w:color w:val="000000"/>
                <w:sz w:val="21"/>
                <w:szCs w:val="21"/>
              </w:rPr>
            </w:pPr>
          </w:p>
        </w:tc>
        <w:tc>
          <w:tcPr>
            <w:tcW w:w="74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主管网</w:t>
            </w:r>
          </w:p>
        </w:tc>
        <w:tc>
          <w:tcPr>
            <w:tcW w:w="87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入户管网</w:t>
            </w:r>
          </w:p>
        </w:tc>
        <w:tc>
          <w:tcPr>
            <w:tcW w:w="1257"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pacing w:line="240" w:lineRule="atLeast"/>
              <w:ind w:firstLine="422"/>
              <w:jc w:val="center"/>
              <w:rPr>
                <w:rFonts w:ascii="方正仿宋_GBK" w:hAnsi="方正仿宋_GBK" w:cs="方正仿宋_GBK"/>
                <w:b/>
                <w:color w:val="000000"/>
                <w:sz w:val="21"/>
                <w:szCs w:val="21"/>
              </w:rPr>
            </w:pPr>
          </w:p>
        </w:tc>
        <w:tc>
          <w:tcPr>
            <w:tcW w:w="1495"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pacing w:line="240" w:lineRule="atLeast"/>
              <w:ind w:firstLine="422"/>
              <w:jc w:val="center"/>
              <w:rPr>
                <w:rFonts w:ascii="方正仿宋_GBK" w:hAnsi="方正仿宋_GBK" w:cs="方正仿宋_GBK"/>
                <w:b/>
                <w:color w:val="000000"/>
                <w:sz w:val="21"/>
                <w:szCs w:val="21"/>
              </w:rPr>
            </w:pPr>
          </w:p>
        </w:tc>
        <w:tc>
          <w:tcPr>
            <w:tcW w:w="2126" w:type="dxa"/>
            <w:vMerge w:val="continue"/>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pacing w:line="240" w:lineRule="atLeast"/>
              <w:ind w:firstLine="422"/>
              <w:jc w:val="center"/>
              <w:rPr>
                <w:rFonts w:ascii="方正仿宋_GBK" w:hAnsi="方正仿宋_GBK" w:cs="方正仿宋_GBK"/>
                <w:b/>
                <w:color w:val="000000"/>
                <w:sz w:val="21"/>
                <w:szCs w:val="21"/>
              </w:rPr>
            </w:pPr>
          </w:p>
        </w:tc>
        <w:tc>
          <w:tcPr>
            <w:tcW w:w="1881" w:type="dxa"/>
            <w:vMerge w:val="continue"/>
            <w:tcBorders>
              <w:left w:val="nil"/>
              <w:bottom w:val="single" w:color="000000" w:sz="8" w:space="0"/>
              <w:right w:val="single" w:color="000000" w:sz="8" w:space="0"/>
            </w:tcBorders>
            <w:shd w:val="clear" w:color="auto" w:fill="auto"/>
            <w:tcMar>
              <w:top w:w="12" w:type="dxa"/>
              <w:left w:w="12" w:type="dxa"/>
              <w:right w:w="12" w:type="dxa"/>
            </w:tcMar>
            <w:vAlign w:val="center"/>
          </w:tcPr>
          <w:p>
            <w:pPr>
              <w:widowControl/>
              <w:spacing w:line="240" w:lineRule="atLeast"/>
              <w:ind w:firstLine="422"/>
              <w:jc w:val="center"/>
              <w:rPr>
                <w:rFonts w:ascii="方正仿宋_GBK" w:hAnsi="方正仿宋_GBK" w:cs="方正仿宋_GBK"/>
                <w:b/>
                <w:color w:val="000000"/>
                <w:sz w:val="21"/>
                <w:szCs w:val="21"/>
              </w:rPr>
            </w:pPr>
          </w:p>
        </w:tc>
      </w:tr>
      <w:tr>
        <w:tblPrEx>
          <w:tblLayout w:type="fixed"/>
          <w:tblCellMar>
            <w:top w:w="0" w:type="dxa"/>
            <w:left w:w="0" w:type="dxa"/>
            <w:bottom w:w="0" w:type="dxa"/>
            <w:right w:w="0" w:type="dxa"/>
          </w:tblCellMar>
        </w:tblPrEx>
        <w:trPr>
          <w:trHeight w:val="567" w:hRule="atLeast"/>
          <w:jc w:val="center"/>
        </w:trPr>
        <w:tc>
          <w:tcPr>
            <w:tcW w:w="557"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1</w:t>
            </w:r>
          </w:p>
        </w:tc>
        <w:tc>
          <w:tcPr>
            <w:tcW w:w="55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竹园镇</w:t>
            </w:r>
          </w:p>
        </w:tc>
        <w:tc>
          <w:tcPr>
            <w:tcW w:w="63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华吉村</w:t>
            </w:r>
          </w:p>
        </w:tc>
        <w:tc>
          <w:tcPr>
            <w:tcW w:w="55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华吉村场镇</w:t>
            </w:r>
          </w:p>
        </w:tc>
        <w:tc>
          <w:tcPr>
            <w:tcW w:w="70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3</w:t>
            </w:r>
            <w:r>
              <w:rPr>
                <w:rFonts w:hint="eastAsia" w:ascii="Times New Roman" w:hAnsi="Times New Roman" w:cs="宋体"/>
                <w:color w:val="000000"/>
                <w:kern w:val="0"/>
                <w:sz w:val="21"/>
                <w:szCs w:val="22"/>
              </w:rPr>
              <w:t>00</w:t>
            </w:r>
          </w:p>
        </w:tc>
        <w:tc>
          <w:tcPr>
            <w:tcW w:w="70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800</w:t>
            </w:r>
          </w:p>
        </w:tc>
        <w:tc>
          <w:tcPr>
            <w:tcW w:w="69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52</w:t>
            </w:r>
          </w:p>
        </w:tc>
        <w:tc>
          <w:tcPr>
            <w:tcW w:w="74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800</w:t>
            </w:r>
          </w:p>
        </w:tc>
        <w:tc>
          <w:tcPr>
            <w:tcW w:w="87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w:t>
            </w:r>
          </w:p>
        </w:tc>
        <w:tc>
          <w:tcPr>
            <w:tcW w:w="125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202</w:t>
            </w:r>
            <w:r>
              <w:rPr>
                <w:rFonts w:hint="eastAsia" w:ascii="Times New Roman" w:hAnsi="Times New Roman" w:cs="宋体"/>
                <w:color w:val="000000"/>
                <w:kern w:val="0"/>
                <w:sz w:val="21"/>
                <w:szCs w:val="22"/>
              </w:rPr>
              <w:t>3</w:t>
            </w:r>
          </w:p>
        </w:tc>
        <w:tc>
          <w:tcPr>
            <w:tcW w:w="1495"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212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县生态环境局、竹园镇</w:t>
            </w:r>
          </w:p>
        </w:tc>
        <w:tc>
          <w:tcPr>
            <w:tcW w:w="188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Layout w:type="fixed"/>
          <w:tblCellMar>
            <w:top w:w="0" w:type="dxa"/>
            <w:left w:w="0" w:type="dxa"/>
            <w:bottom w:w="0" w:type="dxa"/>
            <w:right w:w="0" w:type="dxa"/>
          </w:tblCellMar>
        </w:tblPrEx>
        <w:trPr>
          <w:trHeight w:val="291" w:hRule="atLeast"/>
          <w:jc w:val="center"/>
        </w:trPr>
        <w:tc>
          <w:tcPr>
            <w:tcW w:w="557"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2</w:t>
            </w:r>
          </w:p>
        </w:tc>
        <w:tc>
          <w:tcPr>
            <w:tcW w:w="55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草堂镇</w:t>
            </w:r>
          </w:p>
        </w:tc>
        <w:tc>
          <w:tcPr>
            <w:tcW w:w="63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柑子社区</w:t>
            </w:r>
          </w:p>
        </w:tc>
        <w:tc>
          <w:tcPr>
            <w:tcW w:w="55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柑子苑</w:t>
            </w:r>
          </w:p>
        </w:tc>
        <w:tc>
          <w:tcPr>
            <w:tcW w:w="70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500</w:t>
            </w:r>
          </w:p>
        </w:tc>
        <w:tc>
          <w:tcPr>
            <w:tcW w:w="70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2100</w:t>
            </w:r>
          </w:p>
        </w:tc>
        <w:tc>
          <w:tcPr>
            <w:tcW w:w="69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137</w:t>
            </w:r>
          </w:p>
        </w:tc>
        <w:tc>
          <w:tcPr>
            <w:tcW w:w="74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800</w:t>
            </w:r>
          </w:p>
        </w:tc>
        <w:tc>
          <w:tcPr>
            <w:tcW w:w="87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w:t>
            </w:r>
          </w:p>
        </w:tc>
        <w:tc>
          <w:tcPr>
            <w:tcW w:w="125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202</w:t>
            </w:r>
            <w:r>
              <w:rPr>
                <w:rFonts w:hint="eastAsia" w:ascii="Times New Roman" w:hAnsi="Times New Roman" w:cs="宋体"/>
                <w:color w:val="000000"/>
                <w:kern w:val="0"/>
                <w:sz w:val="21"/>
                <w:szCs w:val="22"/>
              </w:rPr>
              <w:t>4</w:t>
            </w:r>
          </w:p>
        </w:tc>
        <w:tc>
          <w:tcPr>
            <w:tcW w:w="1495"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212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县生态环境局、草堂镇</w:t>
            </w:r>
          </w:p>
        </w:tc>
        <w:tc>
          <w:tcPr>
            <w:tcW w:w="188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Layout w:type="fixed"/>
          <w:tblCellMar>
            <w:top w:w="0" w:type="dxa"/>
            <w:left w:w="0" w:type="dxa"/>
            <w:bottom w:w="0" w:type="dxa"/>
            <w:right w:w="0" w:type="dxa"/>
          </w:tblCellMar>
        </w:tblPrEx>
        <w:trPr>
          <w:trHeight w:val="291" w:hRule="atLeast"/>
          <w:jc w:val="center"/>
        </w:trPr>
        <w:tc>
          <w:tcPr>
            <w:tcW w:w="557"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3</w:t>
            </w:r>
          </w:p>
        </w:tc>
        <w:tc>
          <w:tcPr>
            <w:tcW w:w="55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朱衣镇</w:t>
            </w:r>
          </w:p>
        </w:tc>
        <w:tc>
          <w:tcPr>
            <w:tcW w:w="63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狮子村</w:t>
            </w:r>
          </w:p>
        </w:tc>
        <w:tc>
          <w:tcPr>
            <w:tcW w:w="55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王家梁</w:t>
            </w:r>
          </w:p>
        </w:tc>
        <w:tc>
          <w:tcPr>
            <w:tcW w:w="70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60</w:t>
            </w:r>
          </w:p>
        </w:tc>
        <w:tc>
          <w:tcPr>
            <w:tcW w:w="70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200</w:t>
            </w:r>
          </w:p>
        </w:tc>
        <w:tc>
          <w:tcPr>
            <w:tcW w:w="69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13</w:t>
            </w:r>
          </w:p>
        </w:tc>
        <w:tc>
          <w:tcPr>
            <w:tcW w:w="74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400</w:t>
            </w:r>
          </w:p>
        </w:tc>
        <w:tc>
          <w:tcPr>
            <w:tcW w:w="87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125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202</w:t>
            </w:r>
            <w:r>
              <w:rPr>
                <w:rFonts w:hint="eastAsia" w:ascii="Times New Roman" w:hAnsi="Times New Roman" w:cs="宋体"/>
                <w:color w:val="000000"/>
                <w:kern w:val="0"/>
                <w:sz w:val="21"/>
                <w:szCs w:val="22"/>
              </w:rPr>
              <w:t>5</w:t>
            </w:r>
          </w:p>
        </w:tc>
        <w:tc>
          <w:tcPr>
            <w:tcW w:w="1495"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212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县生态环境局、朱衣镇</w:t>
            </w:r>
          </w:p>
        </w:tc>
        <w:tc>
          <w:tcPr>
            <w:tcW w:w="188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一般项目</w:t>
            </w:r>
          </w:p>
        </w:tc>
      </w:tr>
      <w:tr>
        <w:tblPrEx>
          <w:tblLayout w:type="fixed"/>
          <w:tblCellMar>
            <w:top w:w="0" w:type="dxa"/>
            <w:left w:w="0" w:type="dxa"/>
            <w:bottom w:w="0" w:type="dxa"/>
            <w:right w:w="0" w:type="dxa"/>
          </w:tblCellMar>
        </w:tblPrEx>
        <w:trPr>
          <w:trHeight w:val="291" w:hRule="atLeast"/>
          <w:jc w:val="center"/>
        </w:trPr>
        <w:tc>
          <w:tcPr>
            <w:tcW w:w="557"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4</w:t>
            </w:r>
          </w:p>
        </w:tc>
        <w:tc>
          <w:tcPr>
            <w:tcW w:w="55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甲高镇</w:t>
            </w:r>
          </w:p>
        </w:tc>
        <w:tc>
          <w:tcPr>
            <w:tcW w:w="63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合营村</w:t>
            </w:r>
          </w:p>
        </w:tc>
        <w:tc>
          <w:tcPr>
            <w:tcW w:w="55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巴渝新居</w:t>
            </w:r>
          </w:p>
        </w:tc>
        <w:tc>
          <w:tcPr>
            <w:tcW w:w="70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275</w:t>
            </w:r>
          </w:p>
        </w:tc>
        <w:tc>
          <w:tcPr>
            <w:tcW w:w="70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847</w:t>
            </w:r>
          </w:p>
        </w:tc>
        <w:tc>
          <w:tcPr>
            <w:tcW w:w="69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55</w:t>
            </w:r>
          </w:p>
        </w:tc>
        <w:tc>
          <w:tcPr>
            <w:tcW w:w="74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100</w:t>
            </w:r>
          </w:p>
        </w:tc>
        <w:tc>
          <w:tcPr>
            <w:tcW w:w="87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125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202</w:t>
            </w:r>
            <w:r>
              <w:rPr>
                <w:rFonts w:hint="eastAsia" w:ascii="Times New Roman" w:hAnsi="Times New Roman" w:cs="宋体"/>
                <w:color w:val="000000"/>
                <w:kern w:val="0"/>
                <w:sz w:val="21"/>
                <w:szCs w:val="22"/>
              </w:rPr>
              <w:t>5</w:t>
            </w:r>
          </w:p>
        </w:tc>
        <w:tc>
          <w:tcPr>
            <w:tcW w:w="1495"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2126"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县生态环境局、甲高镇</w:t>
            </w:r>
          </w:p>
        </w:tc>
        <w:tc>
          <w:tcPr>
            <w:tcW w:w="1881"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一般项目</w:t>
            </w:r>
          </w:p>
        </w:tc>
      </w:tr>
    </w:tbl>
    <w:p>
      <w:pPr>
        <w:ind w:firstLine="640"/>
      </w:pPr>
    </w:p>
    <w:p>
      <w:pPr>
        <w:widowControl/>
        <w:spacing w:line="240" w:lineRule="auto"/>
        <w:ind w:firstLine="0" w:firstLineChars="0"/>
        <w:jc w:val="left"/>
        <w:rPr>
          <w:rFonts w:ascii="宋体" w:hAnsi="宋体" w:eastAsia="宋体" w:cs="宋体"/>
        </w:rPr>
      </w:pPr>
      <w:r>
        <w:rPr>
          <w:rFonts w:ascii="宋体" w:hAnsi="宋体" w:eastAsia="宋体" w:cs="宋体"/>
        </w:rPr>
        <w:t xml:space="preserve"> </w:t>
      </w:r>
      <w:r>
        <w:rPr>
          <w:rFonts w:ascii="宋体" w:hAnsi="宋体" w:eastAsia="宋体" w:cs="宋体"/>
        </w:rPr>
        <w:br w:type="page"/>
      </w:r>
    </w:p>
    <w:p>
      <w:pPr>
        <w:pStyle w:val="4"/>
        <w:ind w:firstLine="640"/>
      </w:pPr>
      <w:r>
        <w:t>附</w:t>
      </w:r>
      <w:r>
        <w:rPr>
          <w:rFonts w:hint="eastAsia"/>
        </w:rPr>
        <w:t>件3 奉节县农村生活污水治理设施项目一览表-改扩建</w:t>
      </w:r>
    </w:p>
    <w:tbl>
      <w:tblPr>
        <w:tblStyle w:val="43"/>
        <w:tblW w:w="12971" w:type="dxa"/>
        <w:tblInd w:w="0" w:type="dxa"/>
        <w:tblLayout w:type="fixed"/>
        <w:tblCellMar>
          <w:top w:w="0" w:type="dxa"/>
          <w:left w:w="108" w:type="dxa"/>
          <w:bottom w:w="0" w:type="dxa"/>
          <w:right w:w="108" w:type="dxa"/>
        </w:tblCellMar>
      </w:tblPr>
      <w:tblGrid>
        <w:gridCol w:w="384"/>
        <w:gridCol w:w="734"/>
        <w:gridCol w:w="739"/>
        <w:gridCol w:w="724"/>
        <w:gridCol w:w="854"/>
        <w:gridCol w:w="740"/>
        <w:gridCol w:w="1118"/>
        <w:gridCol w:w="986"/>
        <w:gridCol w:w="1094"/>
        <w:gridCol w:w="994"/>
        <w:gridCol w:w="1151"/>
        <w:gridCol w:w="675"/>
        <w:gridCol w:w="708"/>
        <w:gridCol w:w="795"/>
        <w:gridCol w:w="1275"/>
      </w:tblGrid>
      <w:tr>
        <w:tblPrEx>
          <w:tblLayout w:type="fixed"/>
          <w:tblCellMar>
            <w:top w:w="0" w:type="dxa"/>
            <w:left w:w="108" w:type="dxa"/>
            <w:bottom w:w="0" w:type="dxa"/>
            <w:right w:w="108" w:type="dxa"/>
          </w:tblCellMar>
        </w:tblPrEx>
        <w:trPr>
          <w:trHeight w:val="401" w:hRule="atLeast"/>
        </w:trPr>
        <w:tc>
          <w:tcPr>
            <w:tcW w:w="3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序号</w:t>
            </w:r>
          </w:p>
        </w:tc>
        <w:tc>
          <w:tcPr>
            <w:tcW w:w="7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乡镇（街道）</w:t>
            </w:r>
          </w:p>
        </w:tc>
        <w:tc>
          <w:tcPr>
            <w:tcW w:w="73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行政村（社区）</w:t>
            </w:r>
          </w:p>
        </w:tc>
        <w:tc>
          <w:tcPr>
            <w:tcW w:w="72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聚居点名称</w:t>
            </w:r>
          </w:p>
        </w:tc>
        <w:tc>
          <w:tcPr>
            <w:tcW w:w="85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常住户数（户）</w:t>
            </w:r>
          </w:p>
        </w:tc>
        <w:tc>
          <w:tcPr>
            <w:tcW w:w="7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常住人口（人）</w:t>
            </w:r>
          </w:p>
        </w:tc>
        <w:tc>
          <w:tcPr>
            <w:tcW w:w="11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污水排放量（t/d）</w:t>
            </w:r>
          </w:p>
        </w:tc>
        <w:tc>
          <w:tcPr>
            <w:tcW w:w="4225" w:type="dxa"/>
            <w:gridSpan w:val="4"/>
            <w:tcBorders>
              <w:top w:val="single" w:color="auto" w:sz="4" w:space="0"/>
              <w:left w:val="nil"/>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污水处理设施</w:t>
            </w:r>
          </w:p>
        </w:tc>
        <w:tc>
          <w:tcPr>
            <w:tcW w:w="675" w:type="dxa"/>
            <w:vMerge w:val="restart"/>
            <w:tcBorders>
              <w:top w:val="single" w:color="auto" w:sz="4" w:space="0"/>
              <w:left w:val="nil"/>
              <w:right w:val="single" w:color="auto" w:sz="4" w:space="0"/>
            </w:tcBorders>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完成年限</w:t>
            </w:r>
          </w:p>
        </w:tc>
        <w:tc>
          <w:tcPr>
            <w:tcW w:w="708" w:type="dxa"/>
            <w:vMerge w:val="restart"/>
            <w:tcBorders>
              <w:top w:val="single" w:color="auto" w:sz="4" w:space="0"/>
              <w:left w:val="nil"/>
              <w:right w:val="single" w:color="auto" w:sz="4" w:space="0"/>
            </w:tcBorders>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牵头单位</w:t>
            </w:r>
          </w:p>
        </w:tc>
        <w:tc>
          <w:tcPr>
            <w:tcW w:w="795" w:type="dxa"/>
            <w:vMerge w:val="restart"/>
            <w:tcBorders>
              <w:top w:val="single" w:color="auto" w:sz="4" w:space="0"/>
              <w:left w:val="nil"/>
              <w:right w:val="single" w:color="auto" w:sz="4" w:space="0"/>
            </w:tcBorders>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配合单位</w:t>
            </w:r>
          </w:p>
        </w:tc>
        <w:tc>
          <w:tcPr>
            <w:tcW w:w="1275" w:type="dxa"/>
            <w:vMerge w:val="restart"/>
            <w:tcBorders>
              <w:top w:val="single" w:color="auto" w:sz="4" w:space="0"/>
              <w:left w:val="nil"/>
              <w:right w:val="single" w:color="auto" w:sz="4" w:space="0"/>
            </w:tcBorders>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项目类型</w:t>
            </w:r>
          </w:p>
        </w:tc>
      </w:tr>
      <w:tr>
        <w:tblPrEx>
          <w:tblLayout w:type="fixed"/>
          <w:tblCellMar>
            <w:top w:w="0" w:type="dxa"/>
            <w:left w:w="108" w:type="dxa"/>
            <w:bottom w:w="0" w:type="dxa"/>
            <w:right w:w="108" w:type="dxa"/>
          </w:tblCellMar>
        </w:tblPrEx>
        <w:trPr>
          <w:trHeight w:val="285" w:hRule="atLeast"/>
        </w:trPr>
        <w:tc>
          <w:tcPr>
            <w:tcW w:w="384"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left"/>
              <w:rPr>
                <w:rFonts w:ascii="Times New Roman" w:hAnsi="Times New Roman" w:cs="宋体"/>
                <w:color w:val="000000"/>
                <w:kern w:val="0"/>
                <w:sz w:val="21"/>
                <w:szCs w:val="20"/>
              </w:rPr>
            </w:pPr>
          </w:p>
        </w:tc>
        <w:tc>
          <w:tcPr>
            <w:tcW w:w="734"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left"/>
              <w:rPr>
                <w:rFonts w:ascii="Times New Roman" w:hAnsi="Times New Roman" w:cs="宋体"/>
                <w:color w:val="000000"/>
                <w:kern w:val="0"/>
                <w:sz w:val="21"/>
                <w:szCs w:val="20"/>
              </w:rPr>
            </w:pPr>
          </w:p>
        </w:tc>
        <w:tc>
          <w:tcPr>
            <w:tcW w:w="739"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left"/>
              <w:rPr>
                <w:rFonts w:ascii="Times New Roman" w:hAnsi="Times New Roman" w:cs="宋体"/>
                <w:color w:val="000000"/>
                <w:kern w:val="0"/>
                <w:sz w:val="21"/>
                <w:szCs w:val="20"/>
              </w:rPr>
            </w:pPr>
          </w:p>
        </w:tc>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left"/>
              <w:rPr>
                <w:rFonts w:ascii="Times New Roman" w:hAnsi="Times New Roman" w:cs="宋体"/>
                <w:color w:val="000000"/>
                <w:kern w:val="0"/>
                <w:sz w:val="21"/>
                <w:szCs w:val="20"/>
              </w:rPr>
            </w:pPr>
          </w:p>
        </w:tc>
        <w:tc>
          <w:tcPr>
            <w:tcW w:w="854"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left"/>
              <w:rPr>
                <w:rFonts w:ascii="Times New Roman" w:hAnsi="Times New Roman" w:cs="宋体"/>
                <w:color w:val="000000"/>
                <w:kern w:val="0"/>
                <w:sz w:val="21"/>
                <w:szCs w:val="20"/>
              </w:rPr>
            </w:pPr>
          </w:p>
        </w:tc>
        <w:tc>
          <w:tcPr>
            <w:tcW w:w="740"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left"/>
              <w:rPr>
                <w:rFonts w:ascii="Times New Roman" w:hAnsi="Times New Roman" w:cs="宋体"/>
                <w:color w:val="000000"/>
                <w:kern w:val="0"/>
                <w:sz w:val="21"/>
                <w:szCs w:val="20"/>
              </w:rPr>
            </w:pPr>
          </w:p>
        </w:tc>
        <w:tc>
          <w:tcPr>
            <w:tcW w:w="1118"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tLeast"/>
              <w:ind w:firstLine="0" w:firstLineChars="0"/>
              <w:jc w:val="left"/>
              <w:rPr>
                <w:rFonts w:ascii="Times New Roman" w:hAnsi="Times New Roman" w:cs="宋体"/>
                <w:color w:val="000000"/>
                <w:kern w:val="0"/>
                <w:sz w:val="21"/>
                <w:szCs w:val="20"/>
              </w:rPr>
            </w:pPr>
          </w:p>
        </w:tc>
        <w:tc>
          <w:tcPr>
            <w:tcW w:w="986" w:type="dxa"/>
            <w:tcBorders>
              <w:top w:val="nil"/>
              <w:left w:val="nil"/>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现有处理工艺</w:t>
            </w:r>
          </w:p>
        </w:tc>
        <w:tc>
          <w:tcPr>
            <w:tcW w:w="1094"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现有设计处理能力（t/d）</w:t>
            </w:r>
          </w:p>
        </w:tc>
        <w:tc>
          <w:tcPr>
            <w:tcW w:w="994" w:type="dxa"/>
            <w:tcBorders>
              <w:top w:val="nil"/>
              <w:left w:val="nil"/>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改扩建处理工艺</w:t>
            </w:r>
          </w:p>
        </w:tc>
        <w:tc>
          <w:tcPr>
            <w:tcW w:w="115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改扩建设计处理能力（t/d)</w:t>
            </w:r>
          </w:p>
        </w:tc>
        <w:tc>
          <w:tcPr>
            <w:tcW w:w="675" w:type="dxa"/>
            <w:vMerge w:val="continue"/>
            <w:tcBorders>
              <w:left w:val="nil"/>
              <w:bottom w:val="single" w:color="auto" w:sz="4" w:space="0"/>
              <w:right w:val="single" w:color="auto" w:sz="4" w:space="0"/>
            </w:tcBorders>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p>
        </w:tc>
        <w:tc>
          <w:tcPr>
            <w:tcW w:w="708" w:type="dxa"/>
            <w:vMerge w:val="continue"/>
            <w:tcBorders>
              <w:left w:val="nil"/>
              <w:bottom w:val="single" w:color="auto" w:sz="4" w:space="0"/>
              <w:right w:val="single" w:color="auto" w:sz="4" w:space="0"/>
            </w:tcBorders>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p>
        </w:tc>
        <w:tc>
          <w:tcPr>
            <w:tcW w:w="795" w:type="dxa"/>
            <w:vMerge w:val="continue"/>
            <w:tcBorders>
              <w:left w:val="nil"/>
              <w:bottom w:val="single" w:color="auto" w:sz="4" w:space="0"/>
              <w:right w:val="single" w:color="auto" w:sz="4" w:space="0"/>
            </w:tcBorders>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p>
        </w:tc>
        <w:tc>
          <w:tcPr>
            <w:tcW w:w="1275" w:type="dxa"/>
            <w:vMerge w:val="continue"/>
            <w:tcBorders>
              <w:left w:val="nil"/>
              <w:bottom w:val="single" w:color="auto" w:sz="4" w:space="0"/>
              <w:right w:val="single" w:color="auto" w:sz="4" w:space="0"/>
            </w:tcBorders>
            <w:vAlign w:val="center"/>
          </w:tcPr>
          <w:p>
            <w:pPr>
              <w:widowControl/>
              <w:snapToGrid w:val="0"/>
              <w:spacing w:line="240" w:lineRule="atLeast"/>
              <w:ind w:firstLine="0" w:firstLineChars="0"/>
              <w:jc w:val="center"/>
              <w:rPr>
                <w:rFonts w:ascii="Times New Roman" w:hAnsi="Times New Roman" w:cs="宋体"/>
                <w:b/>
                <w:bCs/>
                <w:color w:val="000000"/>
                <w:kern w:val="0"/>
                <w:sz w:val="21"/>
                <w:szCs w:val="20"/>
              </w:rPr>
            </w:pPr>
          </w:p>
        </w:tc>
      </w:tr>
      <w:tr>
        <w:tblPrEx>
          <w:tblLayout w:type="fixed"/>
          <w:tblCellMar>
            <w:top w:w="0" w:type="dxa"/>
            <w:left w:w="108" w:type="dxa"/>
            <w:bottom w:w="0" w:type="dxa"/>
            <w:right w:w="108" w:type="dxa"/>
          </w:tblCellMar>
        </w:tblPrEx>
        <w:trPr>
          <w:trHeight w:val="570" w:hRule="atLeast"/>
        </w:trPr>
        <w:tc>
          <w:tcPr>
            <w:tcW w:w="384"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734" w:type="dxa"/>
            <w:tcBorders>
              <w:top w:val="nil"/>
              <w:left w:val="nil"/>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竹园镇</w:t>
            </w:r>
          </w:p>
        </w:tc>
        <w:tc>
          <w:tcPr>
            <w:tcW w:w="739" w:type="dxa"/>
            <w:tcBorders>
              <w:top w:val="nil"/>
              <w:left w:val="nil"/>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华吉村</w:t>
            </w:r>
          </w:p>
        </w:tc>
        <w:tc>
          <w:tcPr>
            <w:tcW w:w="724" w:type="dxa"/>
            <w:tcBorders>
              <w:top w:val="nil"/>
              <w:left w:val="nil"/>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华吉村场镇</w:t>
            </w:r>
          </w:p>
        </w:tc>
        <w:tc>
          <w:tcPr>
            <w:tcW w:w="854" w:type="dxa"/>
            <w:tcBorders>
              <w:top w:val="nil"/>
              <w:left w:val="nil"/>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740" w:type="dxa"/>
            <w:tcBorders>
              <w:top w:val="nil"/>
              <w:left w:val="nil"/>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800</w:t>
            </w:r>
          </w:p>
        </w:tc>
        <w:tc>
          <w:tcPr>
            <w:tcW w:w="1118" w:type="dxa"/>
            <w:tcBorders>
              <w:top w:val="nil"/>
              <w:left w:val="nil"/>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52</w:t>
            </w:r>
          </w:p>
        </w:tc>
        <w:tc>
          <w:tcPr>
            <w:tcW w:w="986" w:type="dxa"/>
            <w:tcBorders>
              <w:top w:val="nil"/>
              <w:left w:val="nil"/>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生物处理</w:t>
            </w:r>
          </w:p>
        </w:tc>
        <w:tc>
          <w:tcPr>
            <w:tcW w:w="1094"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994" w:type="dxa"/>
            <w:tcBorders>
              <w:top w:val="nil"/>
              <w:left w:val="nil"/>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生物处理</w:t>
            </w:r>
          </w:p>
        </w:tc>
        <w:tc>
          <w:tcPr>
            <w:tcW w:w="1151" w:type="dxa"/>
            <w:tcBorders>
              <w:top w:val="nil"/>
              <w:left w:val="single" w:color="auto" w:sz="4" w:space="0"/>
              <w:bottom w:val="single" w:color="auto" w:sz="4" w:space="0"/>
              <w:right w:val="single" w:color="auto" w:sz="4" w:space="0"/>
            </w:tcBorders>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675" w:type="dxa"/>
            <w:tcBorders>
              <w:top w:val="nil"/>
              <w:left w:val="nil"/>
              <w:bottom w:val="single" w:color="auto" w:sz="4" w:space="0"/>
              <w:right w:val="single" w:color="auto" w:sz="4" w:space="0"/>
            </w:tcBorders>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2023</w:t>
            </w:r>
          </w:p>
        </w:tc>
        <w:tc>
          <w:tcPr>
            <w:tcW w:w="708" w:type="dxa"/>
            <w:tcBorders>
              <w:top w:val="nil"/>
              <w:left w:val="nil"/>
              <w:bottom w:val="single" w:color="auto" w:sz="4" w:space="0"/>
              <w:right w:val="single" w:color="auto" w:sz="4" w:space="0"/>
            </w:tcBorders>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795" w:type="dxa"/>
            <w:tcBorders>
              <w:top w:val="nil"/>
              <w:left w:val="nil"/>
              <w:bottom w:val="single" w:color="auto" w:sz="4" w:space="0"/>
              <w:right w:val="single" w:color="auto" w:sz="4" w:space="0"/>
            </w:tcBorders>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竹园镇、县生态环境局</w:t>
            </w:r>
          </w:p>
        </w:tc>
        <w:tc>
          <w:tcPr>
            <w:tcW w:w="1275" w:type="dxa"/>
            <w:tcBorders>
              <w:top w:val="nil"/>
              <w:left w:val="nil"/>
              <w:bottom w:val="single" w:color="auto" w:sz="4" w:space="0"/>
              <w:right w:val="single" w:color="auto" w:sz="4" w:space="0"/>
            </w:tcBorders>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bl>
    <w:p>
      <w:pPr>
        <w:widowControl/>
        <w:spacing w:line="240" w:lineRule="auto"/>
        <w:ind w:firstLine="0" w:firstLineChars="0"/>
        <w:jc w:val="left"/>
        <w:rPr>
          <w:rFonts w:ascii="宋体" w:hAnsi="宋体" w:eastAsia="宋体" w:cs="宋体"/>
        </w:rPr>
      </w:pPr>
      <w:r>
        <w:rPr>
          <w:rFonts w:ascii="宋体" w:hAnsi="宋体" w:eastAsia="宋体" w:cs="宋体"/>
        </w:rPr>
        <w:br w:type="page"/>
      </w:r>
    </w:p>
    <w:p>
      <w:pPr>
        <w:pStyle w:val="4"/>
        <w:ind w:firstLine="640"/>
      </w:pPr>
      <w:r>
        <w:t>附</w:t>
      </w:r>
      <w:r>
        <w:rPr>
          <w:rFonts w:hint="eastAsia"/>
        </w:rPr>
        <w:t>件4 奉节县农村生活污水治理设施项目一览表-纳管处理</w:t>
      </w:r>
    </w:p>
    <w:tbl>
      <w:tblPr>
        <w:tblStyle w:val="43"/>
        <w:tblW w:w="12774" w:type="dxa"/>
        <w:jc w:val="center"/>
        <w:tblInd w:w="0" w:type="dxa"/>
        <w:tblLayout w:type="fixed"/>
        <w:tblCellMar>
          <w:top w:w="0" w:type="dxa"/>
          <w:left w:w="0" w:type="dxa"/>
          <w:bottom w:w="0" w:type="dxa"/>
          <w:right w:w="0" w:type="dxa"/>
        </w:tblCellMar>
      </w:tblPr>
      <w:tblGrid>
        <w:gridCol w:w="760"/>
        <w:gridCol w:w="760"/>
        <w:gridCol w:w="760"/>
        <w:gridCol w:w="934"/>
        <w:gridCol w:w="723"/>
        <w:gridCol w:w="674"/>
        <w:gridCol w:w="709"/>
        <w:gridCol w:w="972"/>
        <w:gridCol w:w="947"/>
        <w:gridCol w:w="1185"/>
        <w:gridCol w:w="870"/>
        <w:gridCol w:w="870"/>
        <w:gridCol w:w="870"/>
        <w:gridCol w:w="870"/>
        <w:gridCol w:w="870"/>
      </w:tblGrid>
      <w:tr>
        <w:tblPrEx>
          <w:tblLayout w:type="fixed"/>
          <w:tblCellMar>
            <w:top w:w="0" w:type="dxa"/>
            <w:left w:w="0" w:type="dxa"/>
            <w:bottom w:w="0" w:type="dxa"/>
            <w:right w:w="0" w:type="dxa"/>
          </w:tblCellMar>
        </w:tblPrEx>
        <w:trPr>
          <w:trHeight w:val="843" w:hRule="atLeast"/>
          <w:jc w:val="center"/>
        </w:trPr>
        <w:tc>
          <w:tcPr>
            <w:tcW w:w="760" w:type="dxa"/>
            <w:tcBorders>
              <w:top w:val="single" w:color="000000" w:sz="8" w:space="0"/>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ascii="Times New Roman" w:hAnsi="Times New Roman" w:cs="宋体"/>
                <w:b/>
                <w:bCs/>
                <w:color w:val="000000"/>
                <w:kern w:val="0"/>
                <w:sz w:val="21"/>
                <w:szCs w:val="22"/>
              </w:rPr>
              <w:t>序号</w:t>
            </w:r>
          </w:p>
        </w:tc>
        <w:tc>
          <w:tcPr>
            <w:tcW w:w="76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乡镇（街道）</w:t>
            </w:r>
          </w:p>
        </w:tc>
        <w:tc>
          <w:tcPr>
            <w:tcW w:w="76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行政村（社区）</w:t>
            </w:r>
          </w:p>
        </w:tc>
        <w:tc>
          <w:tcPr>
            <w:tcW w:w="93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聚居点名称</w:t>
            </w:r>
          </w:p>
        </w:tc>
        <w:tc>
          <w:tcPr>
            <w:tcW w:w="723"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常住户数（户）</w:t>
            </w:r>
          </w:p>
        </w:tc>
        <w:tc>
          <w:tcPr>
            <w:tcW w:w="674"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常住人口（人）</w:t>
            </w:r>
          </w:p>
        </w:tc>
        <w:tc>
          <w:tcPr>
            <w:tcW w:w="709"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污水排放量（</w:t>
            </w:r>
            <w:r>
              <w:rPr>
                <w:rFonts w:ascii="Times New Roman" w:hAnsi="Times New Roman" w:cs="宋体"/>
                <w:b/>
                <w:bCs/>
                <w:color w:val="000000"/>
                <w:kern w:val="0"/>
                <w:sz w:val="21"/>
                <w:szCs w:val="22"/>
              </w:rPr>
              <w:t>t/d)</w:t>
            </w:r>
          </w:p>
        </w:tc>
        <w:tc>
          <w:tcPr>
            <w:tcW w:w="972"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主管网</w:t>
            </w:r>
          </w:p>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(m)</w:t>
            </w:r>
          </w:p>
        </w:tc>
        <w:tc>
          <w:tcPr>
            <w:tcW w:w="947"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管网口径</w:t>
            </w:r>
          </w:p>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（mm）</w:t>
            </w:r>
          </w:p>
        </w:tc>
        <w:tc>
          <w:tcPr>
            <w:tcW w:w="1185"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入户管网</w:t>
            </w:r>
          </w:p>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(m)</w:t>
            </w:r>
          </w:p>
        </w:tc>
        <w:tc>
          <w:tcPr>
            <w:tcW w:w="87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管网口径</w:t>
            </w:r>
          </w:p>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(mm)</w:t>
            </w:r>
          </w:p>
        </w:tc>
        <w:tc>
          <w:tcPr>
            <w:tcW w:w="87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完成年限</w:t>
            </w:r>
          </w:p>
        </w:tc>
        <w:tc>
          <w:tcPr>
            <w:tcW w:w="87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牵头单位</w:t>
            </w:r>
          </w:p>
        </w:tc>
        <w:tc>
          <w:tcPr>
            <w:tcW w:w="87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配合单位</w:t>
            </w:r>
          </w:p>
        </w:tc>
        <w:tc>
          <w:tcPr>
            <w:tcW w:w="870" w:type="dxa"/>
            <w:tcBorders>
              <w:top w:val="single" w:color="000000" w:sz="8" w:space="0"/>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项目类型</w:t>
            </w:r>
          </w:p>
        </w:tc>
      </w:tr>
      <w:tr>
        <w:tblPrEx>
          <w:tblLayout w:type="fixed"/>
          <w:tblCellMar>
            <w:top w:w="0" w:type="dxa"/>
            <w:left w:w="0" w:type="dxa"/>
            <w:bottom w:w="0" w:type="dxa"/>
            <w:right w:w="0" w:type="dxa"/>
          </w:tblCellMar>
        </w:tblPrEx>
        <w:trPr>
          <w:trHeight w:val="843" w:hRule="atLeast"/>
          <w:jc w:val="center"/>
        </w:trPr>
        <w:tc>
          <w:tcPr>
            <w:tcW w:w="760"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1</w:t>
            </w:r>
          </w:p>
        </w:tc>
        <w:tc>
          <w:tcPr>
            <w:tcW w:w="7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鹤峰乡</w:t>
            </w:r>
          </w:p>
        </w:tc>
        <w:tc>
          <w:tcPr>
            <w:tcW w:w="7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青杠村</w:t>
            </w:r>
          </w:p>
        </w:tc>
        <w:tc>
          <w:tcPr>
            <w:tcW w:w="93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丫口坪</w:t>
            </w:r>
          </w:p>
        </w:tc>
        <w:tc>
          <w:tcPr>
            <w:tcW w:w="72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100</w:t>
            </w:r>
          </w:p>
        </w:tc>
        <w:tc>
          <w:tcPr>
            <w:tcW w:w="67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300</w:t>
            </w:r>
          </w:p>
        </w:tc>
        <w:tc>
          <w:tcPr>
            <w:tcW w:w="70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20</w:t>
            </w:r>
          </w:p>
        </w:tc>
        <w:tc>
          <w:tcPr>
            <w:tcW w:w="97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200</w:t>
            </w:r>
          </w:p>
        </w:tc>
        <w:tc>
          <w:tcPr>
            <w:tcW w:w="94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1185"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202</w:t>
            </w:r>
            <w:r>
              <w:rPr>
                <w:rFonts w:hint="eastAsia" w:ascii="Times New Roman" w:hAnsi="Times New Roman" w:cs="宋体"/>
                <w:color w:val="000000"/>
                <w:kern w:val="0"/>
                <w:sz w:val="21"/>
                <w:szCs w:val="22"/>
              </w:rPr>
              <w:t>4</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鹤峰乡、县生态环境局</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Layout w:type="fixed"/>
          <w:tblCellMar>
            <w:top w:w="0" w:type="dxa"/>
            <w:left w:w="0" w:type="dxa"/>
            <w:bottom w:w="0" w:type="dxa"/>
            <w:right w:w="0" w:type="dxa"/>
          </w:tblCellMar>
        </w:tblPrEx>
        <w:trPr>
          <w:trHeight w:val="843" w:hRule="atLeast"/>
          <w:jc w:val="center"/>
        </w:trPr>
        <w:tc>
          <w:tcPr>
            <w:tcW w:w="760"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2</w:t>
            </w:r>
          </w:p>
        </w:tc>
        <w:tc>
          <w:tcPr>
            <w:tcW w:w="7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鹤峰乡</w:t>
            </w:r>
          </w:p>
        </w:tc>
        <w:tc>
          <w:tcPr>
            <w:tcW w:w="7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长连村</w:t>
            </w:r>
          </w:p>
        </w:tc>
        <w:tc>
          <w:tcPr>
            <w:tcW w:w="93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徐家坝</w:t>
            </w:r>
          </w:p>
        </w:tc>
        <w:tc>
          <w:tcPr>
            <w:tcW w:w="72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3</w:t>
            </w:r>
            <w:r>
              <w:rPr>
                <w:rFonts w:hint="eastAsia" w:ascii="Times New Roman" w:hAnsi="Times New Roman" w:cs="宋体"/>
                <w:color w:val="000000"/>
                <w:kern w:val="0"/>
                <w:sz w:val="21"/>
                <w:szCs w:val="22"/>
              </w:rPr>
              <w:t>00</w:t>
            </w:r>
          </w:p>
        </w:tc>
        <w:tc>
          <w:tcPr>
            <w:tcW w:w="67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8</w:t>
            </w:r>
            <w:r>
              <w:rPr>
                <w:rFonts w:ascii="Times New Roman" w:hAnsi="Times New Roman" w:cs="宋体"/>
                <w:color w:val="000000"/>
                <w:kern w:val="0"/>
                <w:sz w:val="21"/>
                <w:szCs w:val="22"/>
              </w:rPr>
              <w:t>00</w:t>
            </w:r>
          </w:p>
        </w:tc>
        <w:tc>
          <w:tcPr>
            <w:tcW w:w="70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52</w:t>
            </w:r>
          </w:p>
        </w:tc>
        <w:tc>
          <w:tcPr>
            <w:tcW w:w="97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400</w:t>
            </w:r>
          </w:p>
        </w:tc>
        <w:tc>
          <w:tcPr>
            <w:tcW w:w="94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1185"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202</w:t>
            </w:r>
            <w:r>
              <w:rPr>
                <w:rFonts w:hint="eastAsia" w:ascii="Times New Roman" w:hAnsi="Times New Roman" w:cs="宋体"/>
                <w:color w:val="000000"/>
                <w:kern w:val="0"/>
                <w:sz w:val="21"/>
                <w:szCs w:val="22"/>
              </w:rPr>
              <w:t>4</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鹤峰乡、县生态环境局</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Layout w:type="fixed"/>
          <w:tblCellMar>
            <w:top w:w="0" w:type="dxa"/>
            <w:left w:w="0" w:type="dxa"/>
            <w:bottom w:w="0" w:type="dxa"/>
            <w:right w:w="0" w:type="dxa"/>
          </w:tblCellMar>
        </w:tblPrEx>
        <w:trPr>
          <w:trHeight w:val="843" w:hRule="atLeast"/>
          <w:jc w:val="center"/>
        </w:trPr>
        <w:tc>
          <w:tcPr>
            <w:tcW w:w="760"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w:t>
            </w:r>
          </w:p>
        </w:tc>
        <w:tc>
          <w:tcPr>
            <w:tcW w:w="7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五马镇</w:t>
            </w:r>
          </w:p>
        </w:tc>
        <w:tc>
          <w:tcPr>
            <w:tcW w:w="7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大木村</w:t>
            </w:r>
          </w:p>
        </w:tc>
        <w:tc>
          <w:tcPr>
            <w:tcW w:w="93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大木村聚集点</w:t>
            </w:r>
          </w:p>
        </w:tc>
        <w:tc>
          <w:tcPr>
            <w:tcW w:w="72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360</w:t>
            </w:r>
          </w:p>
        </w:tc>
        <w:tc>
          <w:tcPr>
            <w:tcW w:w="67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950</w:t>
            </w:r>
          </w:p>
        </w:tc>
        <w:tc>
          <w:tcPr>
            <w:tcW w:w="70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62</w:t>
            </w:r>
          </w:p>
        </w:tc>
        <w:tc>
          <w:tcPr>
            <w:tcW w:w="97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500</w:t>
            </w:r>
          </w:p>
        </w:tc>
        <w:tc>
          <w:tcPr>
            <w:tcW w:w="94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1185"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202</w:t>
            </w:r>
            <w:r>
              <w:rPr>
                <w:rFonts w:hint="eastAsia" w:ascii="Times New Roman" w:hAnsi="Times New Roman" w:cs="宋体"/>
                <w:color w:val="000000"/>
                <w:kern w:val="0"/>
                <w:sz w:val="21"/>
                <w:szCs w:val="22"/>
              </w:rPr>
              <w:t>4</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五马镇、县生态环境局</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Layout w:type="fixed"/>
          <w:tblCellMar>
            <w:top w:w="0" w:type="dxa"/>
            <w:left w:w="0" w:type="dxa"/>
            <w:bottom w:w="0" w:type="dxa"/>
            <w:right w:w="0" w:type="dxa"/>
          </w:tblCellMar>
        </w:tblPrEx>
        <w:trPr>
          <w:trHeight w:val="843" w:hRule="atLeast"/>
          <w:jc w:val="center"/>
        </w:trPr>
        <w:tc>
          <w:tcPr>
            <w:tcW w:w="760"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4</w:t>
            </w:r>
          </w:p>
        </w:tc>
        <w:tc>
          <w:tcPr>
            <w:tcW w:w="7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甲高镇</w:t>
            </w:r>
          </w:p>
        </w:tc>
        <w:tc>
          <w:tcPr>
            <w:tcW w:w="7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红龙社区</w:t>
            </w:r>
          </w:p>
        </w:tc>
        <w:tc>
          <w:tcPr>
            <w:tcW w:w="93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红龙社区</w:t>
            </w:r>
          </w:p>
        </w:tc>
        <w:tc>
          <w:tcPr>
            <w:tcW w:w="72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180</w:t>
            </w:r>
          </w:p>
        </w:tc>
        <w:tc>
          <w:tcPr>
            <w:tcW w:w="67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480</w:t>
            </w:r>
          </w:p>
        </w:tc>
        <w:tc>
          <w:tcPr>
            <w:tcW w:w="70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31</w:t>
            </w:r>
          </w:p>
        </w:tc>
        <w:tc>
          <w:tcPr>
            <w:tcW w:w="97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300</w:t>
            </w:r>
          </w:p>
        </w:tc>
        <w:tc>
          <w:tcPr>
            <w:tcW w:w="94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1185"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202</w:t>
            </w:r>
            <w:r>
              <w:rPr>
                <w:rFonts w:hint="eastAsia" w:ascii="Times New Roman" w:hAnsi="Times New Roman" w:cs="宋体"/>
                <w:color w:val="000000"/>
                <w:kern w:val="0"/>
                <w:sz w:val="21"/>
                <w:szCs w:val="22"/>
              </w:rPr>
              <w:t>5</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甲高镇、县生态环境局</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Layout w:type="fixed"/>
          <w:tblCellMar>
            <w:top w:w="0" w:type="dxa"/>
            <w:left w:w="0" w:type="dxa"/>
            <w:bottom w:w="0" w:type="dxa"/>
            <w:right w:w="0" w:type="dxa"/>
          </w:tblCellMar>
        </w:tblPrEx>
        <w:trPr>
          <w:trHeight w:val="843" w:hRule="atLeast"/>
          <w:jc w:val="center"/>
        </w:trPr>
        <w:tc>
          <w:tcPr>
            <w:tcW w:w="760"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w:t>
            </w:r>
          </w:p>
        </w:tc>
        <w:tc>
          <w:tcPr>
            <w:tcW w:w="7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青莲镇</w:t>
            </w:r>
          </w:p>
        </w:tc>
        <w:tc>
          <w:tcPr>
            <w:tcW w:w="7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金凤村</w:t>
            </w:r>
          </w:p>
        </w:tc>
        <w:tc>
          <w:tcPr>
            <w:tcW w:w="93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金凤新村</w:t>
            </w:r>
          </w:p>
        </w:tc>
        <w:tc>
          <w:tcPr>
            <w:tcW w:w="72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w:t>
            </w:r>
            <w:r>
              <w:rPr>
                <w:rFonts w:ascii="Times New Roman" w:hAnsi="Times New Roman" w:cs="宋体"/>
                <w:color w:val="000000"/>
                <w:kern w:val="0"/>
                <w:sz w:val="21"/>
                <w:szCs w:val="22"/>
              </w:rPr>
              <w:t>00</w:t>
            </w:r>
          </w:p>
        </w:tc>
        <w:tc>
          <w:tcPr>
            <w:tcW w:w="67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8</w:t>
            </w:r>
            <w:r>
              <w:rPr>
                <w:rFonts w:ascii="Times New Roman" w:hAnsi="Times New Roman" w:cs="宋体"/>
                <w:color w:val="000000"/>
                <w:kern w:val="0"/>
                <w:sz w:val="21"/>
                <w:szCs w:val="22"/>
              </w:rPr>
              <w:t>00</w:t>
            </w:r>
          </w:p>
        </w:tc>
        <w:tc>
          <w:tcPr>
            <w:tcW w:w="70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52</w:t>
            </w:r>
          </w:p>
        </w:tc>
        <w:tc>
          <w:tcPr>
            <w:tcW w:w="97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300</w:t>
            </w:r>
          </w:p>
        </w:tc>
        <w:tc>
          <w:tcPr>
            <w:tcW w:w="94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1185"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202</w:t>
            </w:r>
            <w:r>
              <w:rPr>
                <w:rFonts w:hint="eastAsia" w:ascii="Times New Roman" w:hAnsi="Times New Roman" w:cs="宋体"/>
                <w:color w:val="000000"/>
                <w:kern w:val="0"/>
                <w:sz w:val="21"/>
                <w:szCs w:val="22"/>
              </w:rPr>
              <w:t>5</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青莲镇、县生态环境局</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Layout w:type="fixed"/>
          <w:tblCellMar>
            <w:top w:w="0" w:type="dxa"/>
            <w:left w:w="0" w:type="dxa"/>
            <w:bottom w:w="0" w:type="dxa"/>
            <w:right w:w="0" w:type="dxa"/>
          </w:tblCellMar>
        </w:tblPrEx>
        <w:trPr>
          <w:trHeight w:val="843" w:hRule="atLeast"/>
          <w:jc w:val="center"/>
        </w:trPr>
        <w:tc>
          <w:tcPr>
            <w:tcW w:w="760"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w:t>
            </w:r>
          </w:p>
        </w:tc>
        <w:tc>
          <w:tcPr>
            <w:tcW w:w="7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青莲镇</w:t>
            </w:r>
          </w:p>
        </w:tc>
        <w:tc>
          <w:tcPr>
            <w:tcW w:w="7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龙王庙社区</w:t>
            </w:r>
          </w:p>
        </w:tc>
        <w:tc>
          <w:tcPr>
            <w:tcW w:w="93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龙王庙场镇</w:t>
            </w:r>
          </w:p>
        </w:tc>
        <w:tc>
          <w:tcPr>
            <w:tcW w:w="72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280</w:t>
            </w:r>
          </w:p>
        </w:tc>
        <w:tc>
          <w:tcPr>
            <w:tcW w:w="67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85</w:t>
            </w:r>
            <w:r>
              <w:rPr>
                <w:rFonts w:ascii="Times New Roman" w:hAnsi="Times New Roman" w:cs="宋体"/>
                <w:color w:val="000000"/>
                <w:kern w:val="0"/>
                <w:sz w:val="21"/>
                <w:szCs w:val="22"/>
              </w:rPr>
              <w:t>0</w:t>
            </w:r>
          </w:p>
        </w:tc>
        <w:tc>
          <w:tcPr>
            <w:tcW w:w="70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55</w:t>
            </w:r>
          </w:p>
        </w:tc>
        <w:tc>
          <w:tcPr>
            <w:tcW w:w="97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1200</w:t>
            </w:r>
          </w:p>
        </w:tc>
        <w:tc>
          <w:tcPr>
            <w:tcW w:w="94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1185"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500</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202</w:t>
            </w:r>
            <w:r>
              <w:rPr>
                <w:rFonts w:hint="eastAsia" w:ascii="Times New Roman" w:hAnsi="Times New Roman" w:cs="宋体"/>
                <w:color w:val="000000"/>
                <w:kern w:val="0"/>
                <w:sz w:val="21"/>
                <w:szCs w:val="22"/>
              </w:rPr>
              <w:t>5</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青莲镇、县生态环境局</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Layout w:type="fixed"/>
          <w:tblCellMar>
            <w:top w:w="0" w:type="dxa"/>
            <w:left w:w="0" w:type="dxa"/>
            <w:bottom w:w="0" w:type="dxa"/>
            <w:right w:w="0" w:type="dxa"/>
          </w:tblCellMar>
        </w:tblPrEx>
        <w:trPr>
          <w:trHeight w:val="843" w:hRule="atLeast"/>
          <w:jc w:val="center"/>
        </w:trPr>
        <w:tc>
          <w:tcPr>
            <w:tcW w:w="760" w:type="dxa"/>
            <w:tcBorders>
              <w:top w:val="nil"/>
              <w:left w:val="single" w:color="000000" w:sz="8" w:space="0"/>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7</w:t>
            </w:r>
          </w:p>
        </w:tc>
        <w:tc>
          <w:tcPr>
            <w:tcW w:w="7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竹园镇</w:t>
            </w:r>
          </w:p>
        </w:tc>
        <w:tc>
          <w:tcPr>
            <w:tcW w:w="76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岔河村</w:t>
            </w:r>
          </w:p>
        </w:tc>
        <w:tc>
          <w:tcPr>
            <w:tcW w:w="93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岔河新农村</w:t>
            </w:r>
            <w:r>
              <w:rPr>
                <w:rFonts w:ascii="Times New Roman" w:hAnsi="Times New Roman" w:cs="宋体"/>
                <w:color w:val="000000"/>
                <w:kern w:val="0"/>
                <w:sz w:val="21"/>
                <w:szCs w:val="22"/>
              </w:rPr>
              <w:t>+</w:t>
            </w:r>
            <w:r>
              <w:rPr>
                <w:rFonts w:hint="eastAsia" w:ascii="Times New Roman" w:hAnsi="Times New Roman" w:cs="宋体"/>
                <w:color w:val="000000"/>
                <w:kern w:val="0"/>
                <w:sz w:val="21"/>
                <w:szCs w:val="22"/>
              </w:rPr>
              <w:t>岔河老街</w:t>
            </w:r>
          </w:p>
        </w:tc>
        <w:tc>
          <w:tcPr>
            <w:tcW w:w="723"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380</w:t>
            </w:r>
          </w:p>
        </w:tc>
        <w:tc>
          <w:tcPr>
            <w:tcW w:w="674"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900</w:t>
            </w:r>
          </w:p>
        </w:tc>
        <w:tc>
          <w:tcPr>
            <w:tcW w:w="709"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59</w:t>
            </w:r>
          </w:p>
        </w:tc>
        <w:tc>
          <w:tcPr>
            <w:tcW w:w="972"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1500</w:t>
            </w:r>
          </w:p>
        </w:tc>
        <w:tc>
          <w:tcPr>
            <w:tcW w:w="947"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1185"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500</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202</w:t>
            </w:r>
            <w:r>
              <w:rPr>
                <w:rFonts w:hint="eastAsia" w:ascii="Times New Roman" w:hAnsi="Times New Roman" w:cs="宋体"/>
                <w:color w:val="000000"/>
                <w:kern w:val="0"/>
                <w:sz w:val="21"/>
                <w:szCs w:val="22"/>
              </w:rPr>
              <w:t>5</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竹园镇、县生态环境局</w:t>
            </w:r>
          </w:p>
        </w:tc>
        <w:tc>
          <w:tcPr>
            <w:tcW w:w="870" w:type="dxa"/>
            <w:tcBorders>
              <w:top w:val="nil"/>
              <w:left w:val="nil"/>
              <w:bottom w:val="single" w:color="000000" w:sz="8" w:space="0"/>
              <w:right w:val="single" w:color="000000" w:sz="8" w:space="0"/>
            </w:tcBorders>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bl>
    <w:p>
      <w:pPr>
        <w:pStyle w:val="4"/>
        <w:ind w:firstLine="640"/>
      </w:pPr>
      <w:r>
        <w:rPr>
          <w:rFonts w:hint="eastAsia"/>
        </w:rPr>
        <w:t>附件5 奉节县农村生活污水治理设施项目一览表-新建污水处理设施及配套管网</w:t>
      </w:r>
    </w:p>
    <w:tbl>
      <w:tblPr>
        <w:tblStyle w:val="43"/>
        <w:tblW w:w="12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9"/>
        <w:gridCol w:w="626"/>
        <w:gridCol w:w="457"/>
        <w:gridCol w:w="516"/>
        <w:gridCol w:w="600"/>
        <w:gridCol w:w="621"/>
        <w:gridCol w:w="603"/>
        <w:gridCol w:w="393"/>
        <w:gridCol w:w="593"/>
        <w:gridCol w:w="539"/>
        <w:gridCol w:w="694"/>
        <w:gridCol w:w="558"/>
        <w:gridCol w:w="691"/>
        <w:gridCol w:w="559"/>
        <w:gridCol w:w="1003"/>
        <w:gridCol w:w="625"/>
        <w:gridCol w:w="509"/>
        <w:gridCol w:w="477"/>
        <w:gridCol w:w="477"/>
        <w:gridCol w:w="493"/>
        <w:gridCol w:w="937"/>
        <w:gridCol w:w="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21" w:hRule="atLeast"/>
          <w:tblHeader/>
        </w:trPr>
        <w:tc>
          <w:tcPr>
            <w:tcW w:w="3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序号</w:t>
            </w:r>
          </w:p>
        </w:tc>
        <w:tc>
          <w:tcPr>
            <w:tcW w:w="62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乡镇（街道）</w:t>
            </w:r>
          </w:p>
        </w:tc>
        <w:tc>
          <w:tcPr>
            <w:tcW w:w="45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行政村（社区）</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聚居点名称</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常住户数（户）</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常住人口（人）</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ascii="Times New Roman" w:hAnsi="Times New Roman" w:cs="宋体"/>
                <w:b/>
                <w:bCs/>
                <w:color w:val="000000"/>
                <w:kern w:val="0"/>
                <w:sz w:val="21"/>
                <w:szCs w:val="22"/>
              </w:rPr>
              <w:t>污水排放量（t/d)</w:t>
            </w:r>
          </w:p>
        </w:tc>
        <w:tc>
          <w:tcPr>
            <w:tcW w:w="3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数量</w:t>
            </w:r>
          </w:p>
        </w:tc>
        <w:tc>
          <w:tcPr>
            <w:tcW w:w="5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设计处理能力（</w:t>
            </w:r>
            <w:r>
              <w:rPr>
                <w:rFonts w:ascii="Times New Roman" w:hAnsi="Times New Roman" w:cs="宋体"/>
                <w:b/>
                <w:bCs/>
                <w:color w:val="000000"/>
                <w:kern w:val="0"/>
                <w:sz w:val="21"/>
                <w:szCs w:val="22"/>
              </w:rPr>
              <w:t>t/d)</w:t>
            </w:r>
          </w:p>
        </w:tc>
        <w:tc>
          <w:tcPr>
            <w:tcW w:w="53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主管网</w:t>
            </w:r>
            <w:r>
              <w:rPr>
                <w:rFonts w:hint="eastAsia" w:cs="宋体"/>
                <w:b/>
                <w:bCs/>
                <w:color w:val="000000"/>
                <w:kern w:val="0"/>
                <w:sz w:val="21"/>
                <w:szCs w:val="22"/>
              </w:rPr>
              <w:t>(m)</w:t>
            </w:r>
          </w:p>
        </w:tc>
        <w:tc>
          <w:tcPr>
            <w:tcW w:w="69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cs="宋体"/>
                <w:b/>
                <w:bCs/>
                <w:color w:val="000000"/>
                <w:kern w:val="0"/>
                <w:sz w:val="21"/>
                <w:szCs w:val="22"/>
              </w:rPr>
            </w:pPr>
            <w:r>
              <w:rPr>
                <w:rFonts w:hint="eastAsia" w:cs="宋体"/>
                <w:b/>
                <w:bCs/>
                <w:color w:val="000000"/>
                <w:kern w:val="0"/>
                <w:sz w:val="21"/>
                <w:szCs w:val="22"/>
              </w:rPr>
              <w:t>管网</w:t>
            </w:r>
          </w:p>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cs="宋体"/>
                <w:b/>
                <w:bCs/>
                <w:color w:val="000000"/>
                <w:kern w:val="0"/>
                <w:sz w:val="21"/>
                <w:szCs w:val="22"/>
              </w:rPr>
              <w:t>口径（mm）</w:t>
            </w:r>
          </w:p>
        </w:tc>
        <w:tc>
          <w:tcPr>
            <w:tcW w:w="55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入户管网</w:t>
            </w:r>
            <w:r>
              <w:rPr>
                <w:rFonts w:hint="eastAsia" w:cs="宋体"/>
                <w:b/>
                <w:bCs/>
                <w:color w:val="000000"/>
                <w:kern w:val="0"/>
                <w:sz w:val="21"/>
                <w:szCs w:val="22"/>
              </w:rPr>
              <w:t>(m)</w:t>
            </w:r>
          </w:p>
        </w:tc>
        <w:tc>
          <w:tcPr>
            <w:tcW w:w="69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cs="宋体"/>
                <w:b/>
                <w:bCs/>
                <w:color w:val="000000"/>
                <w:kern w:val="0"/>
                <w:sz w:val="21"/>
                <w:szCs w:val="22"/>
              </w:rPr>
            </w:pPr>
            <w:r>
              <w:rPr>
                <w:rFonts w:hint="eastAsia" w:cs="宋体"/>
                <w:b/>
                <w:bCs/>
                <w:color w:val="000000"/>
                <w:kern w:val="0"/>
                <w:sz w:val="21"/>
                <w:szCs w:val="22"/>
              </w:rPr>
              <w:t>管网</w:t>
            </w:r>
          </w:p>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cs="宋体"/>
                <w:b/>
                <w:bCs/>
                <w:color w:val="000000"/>
                <w:kern w:val="0"/>
                <w:sz w:val="21"/>
                <w:szCs w:val="22"/>
              </w:rPr>
              <w:t>口径（mm）</w:t>
            </w:r>
          </w:p>
        </w:tc>
        <w:tc>
          <w:tcPr>
            <w:tcW w:w="55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推荐工艺</w:t>
            </w:r>
          </w:p>
        </w:tc>
        <w:tc>
          <w:tcPr>
            <w:tcW w:w="10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废水排放标准</w:t>
            </w:r>
          </w:p>
        </w:tc>
        <w:tc>
          <w:tcPr>
            <w:tcW w:w="625"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尾水处置方式</w:t>
            </w:r>
          </w:p>
        </w:tc>
        <w:tc>
          <w:tcPr>
            <w:tcW w:w="50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固体废弃物处置方式</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占地面积</w:t>
            </w:r>
          </w:p>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(m</w:t>
            </w:r>
            <w:r>
              <w:rPr>
                <w:rFonts w:hint="eastAsia" w:ascii="Times New Roman" w:hAnsi="Times New Roman" w:cs="宋体"/>
                <w:b/>
                <w:bCs/>
                <w:color w:val="000000"/>
                <w:kern w:val="0"/>
                <w:sz w:val="21"/>
                <w:szCs w:val="22"/>
                <w:vertAlign w:val="superscript"/>
              </w:rPr>
              <w:t>3</w:t>
            </w:r>
            <w:r>
              <w:rPr>
                <w:rFonts w:hint="eastAsia" w:ascii="Times New Roman" w:hAnsi="Times New Roman" w:cs="宋体"/>
                <w:b/>
                <w:bCs/>
                <w:color w:val="000000"/>
                <w:kern w:val="0"/>
                <w:sz w:val="21"/>
                <w:szCs w:val="22"/>
              </w:rPr>
              <w:t>)</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完成年限</w:t>
            </w:r>
          </w:p>
        </w:tc>
        <w:tc>
          <w:tcPr>
            <w:tcW w:w="4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牵头单位</w:t>
            </w:r>
          </w:p>
        </w:tc>
        <w:tc>
          <w:tcPr>
            <w:tcW w:w="93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配合单位</w:t>
            </w:r>
          </w:p>
        </w:tc>
        <w:tc>
          <w:tcPr>
            <w:tcW w:w="46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b/>
                <w:bCs/>
                <w:color w:val="000000"/>
                <w:kern w:val="0"/>
                <w:sz w:val="21"/>
                <w:szCs w:val="22"/>
              </w:rPr>
            </w:pPr>
            <w:r>
              <w:rPr>
                <w:rFonts w:hint="eastAsia" w:ascii="Times New Roman" w:hAnsi="Times New Roman" w:cs="宋体"/>
                <w:b/>
                <w:bCs/>
                <w:color w:val="000000"/>
                <w:kern w:val="0"/>
                <w:sz w:val="21"/>
                <w:szCs w:val="22"/>
              </w:rPr>
              <w:t>项目类型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trPr>
        <w:tc>
          <w:tcPr>
            <w:tcW w:w="3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62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康乐镇</w:t>
            </w:r>
          </w:p>
        </w:tc>
        <w:tc>
          <w:tcPr>
            <w:tcW w:w="45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长沙村</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团包</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600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130</w:t>
            </w:r>
          </w:p>
        </w:tc>
        <w:tc>
          <w:tcPr>
            <w:tcW w:w="3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150</w:t>
            </w:r>
          </w:p>
        </w:tc>
        <w:tc>
          <w:tcPr>
            <w:tcW w:w="53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500</w:t>
            </w:r>
          </w:p>
        </w:tc>
        <w:tc>
          <w:tcPr>
            <w:tcW w:w="69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w:t>
            </w:r>
          </w:p>
        </w:tc>
        <w:tc>
          <w:tcPr>
            <w:tcW w:w="69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A2/O</w:t>
            </w:r>
          </w:p>
        </w:tc>
        <w:tc>
          <w:tcPr>
            <w:tcW w:w="10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r>
              <w:rPr>
                <w:rFonts w:ascii="Times New Roman" w:hAnsi="Times New Roman" w:cs="宋体"/>
                <w:color w:val="000000"/>
                <w:kern w:val="0"/>
                <w:sz w:val="21"/>
                <w:szCs w:val="22"/>
              </w:rPr>
              <w:t>DB50/848</w:t>
            </w:r>
            <w:r>
              <w:rPr>
                <w:rFonts w:hint="eastAsia" w:ascii="Times New Roman" w:hAnsi="Times New Roman" w:cs="宋体"/>
                <w:color w:val="000000"/>
                <w:kern w:val="0"/>
                <w:sz w:val="21"/>
                <w:szCs w:val="22"/>
              </w:rPr>
              <w:t>）一级标准及以上</w:t>
            </w:r>
          </w:p>
        </w:tc>
        <w:tc>
          <w:tcPr>
            <w:tcW w:w="625"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排放水体</w:t>
            </w:r>
          </w:p>
        </w:tc>
        <w:tc>
          <w:tcPr>
            <w:tcW w:w="50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2021</w:t>
            </w:r>
          </w:p>
        </w:tc>
        <w:tc>
          <w:tcPr>
            <w:tcW w:w="4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康乐镇、县生态环境局</w:t>
            </w:r>
          </w:p>
        </w:tc>
        <w:tc>
          <w:tcPr>
            <w:tcW w:w="46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16" w:hRule="atLeast"/>
        </w:trPr>
        <w:tc>
          <w:tcPr>
            <w:tcW w:w="31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w:t>
            </w:r>
          </w:p>
        </w:tc>
        <w:tc>
          <w:tcPr>
            <w:tcW w:w="62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草堂镇</w:t>
            </w:r>
          </w:p>
        </w:tc>
        <w:tc>
          <w:tcPr>
            <w:tcW w:w="45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桂兴村</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桂竹坝</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150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400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26</w:t>
            </w:r>
          </w:p>
        </w:tc>
        <w:tc>
          <w:tcPr>
            <w:tcW w:w="393"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150</w:t>
            </w:r>
          </w:p>
        </w:tc>
        <w:tc>
          <w:tcPr>
            <w:tcW w:w="53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3000</w:t>
            </w:r>
          </w:p>
        </w:tc>
        <w:tc>
          <w:tcPr>
            <w:tcW w:w="694"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2000</w:t>
            </w:r>
          </w:p>
        </w:tc>
        <w:tc>
          <w:tcPr>
            <w:tcW w:w="691"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A2/O</w:t>
            </w:r>
          </w:p>
        </w:tc>
        <w:tc>
          <w:tcPr>
            <w:tcW w:w="1003"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r>
              <w:rPr>
                <w:rFonts w:ascii="Times New Roman" w:hAnsi="Times New Roman" w:cs="宋体"/>
                <w:color w:val="000000"/>
                <w:kern w:val="0"/>
                <w:sz w:val="21"/>
                <w:szCs w:val="22"/>
              </w:rPr>
              <w:t>DB50/848</w:t>
            </w:r>
            <w:r>
              <w:rPr>
                <w:rFonts w:hint="eastAsia" w:ascii="Times New Roman" w:hAnsi="Times New Roman" w:cs="宋体"/>
                <w:color w:val="000000"/>
                <w:kern w:val="0"/>
                <w:sz w:val="21"/>
                <w:szCs w:val="22"/>
              </w:rPr>
              <w:t>）一级标准及以上</w:t>
            </w:r>
          </w:p>
        </w:tc>
        <w:tc>
          <w:tcPr>
            <w:tcW w:w="625"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排放水体</w:t>
            </w:r>
          </w:p>
        </w:tc>
        <w:tc>
          <w:tcPr>
            <w:tcW w:w="50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477"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2021</w:t>
            </w:r>
          </w:p>
        </w:tc>
        <w:tc>
          <w:tcPr>
            <w:tcW w:w="493"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草堂镇、县生态环境局</w:t>
            </w:r>
          </w:p>
        </w:tc>
        <w:tc>
          <w:tcPr>
            <w:tcW w:w="46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3" w:hRule="atLeast"/>
        </w:trPr>
        <w:tc>
          <w:tcPr>
            <w:tcW w:w="31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2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草堂镇</w:t>
            </w:r>
          </w:p>
        </w:tc>
        <w:tc>
          <w:tcPr>
            <w:tcW w:w="45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桂兴村</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椿树坪</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400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1400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91</w:t>
            </w:r>
          </w:p>
        </w:tc>
        <w:tc>
          <w:tcPr>
            <w:tcW w:w="393"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93"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3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94"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58"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91"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5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1003"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25"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0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77"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77"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93"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937"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6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16" w:hRule="atLeast"/>
        </w:trPr>
        <w:tc>
          <w:tcPr>
            <w:tcW w:w="31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w:t>
            </w:r>
          </w:p>
        </w:tc>
        <w:tc>
          <w:tcPr>
            <w:tcW w:w="626"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兴隆镇</w:t>
            </w:r>
          </w:p>
        </w:tc>
        <w:tc>
          <w:tcPr>
            <w:tcW w:w="457"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庙湾社区</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庙湾小学</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250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16</w:t>
            </w:r>
          </w:p>
        </w:tc>
        <w:tc>
          <w:tcPr>
            <w:tcW w:w="393"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250</w:t>
            </w:r>
          </w:p>
        </w:tc>
        <w:tc>
          <w:tcPr>
            <w:tcW w:w="53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2000</w:t>
            </w:r>
          </w:p>
        </w:tc>
        <w:tc>
          <w:tcPr>
            <w:tcW w:w="694"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1500</w:t>
            </w:r>
          </w:p>
        </w:tc>
        <w:tc>
          <w:tcPr>
            <w:tcW w:w="691"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A2/O</w:t>
            </w:r>
          </w:p>
        </w:tc>
        <w:tc>
          <w:tcPr>
            <w:tcW w:w="1003"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r>
              <w:rPr>
                <w:rFonts w:ascii="Times New Roman" w:hAnsi="Times New Roman" w:cs="宋体"/>
                <w:color w:val="000000"/>
                <w:kern w:val="0"/>
                <w:sz w:val="21"/>
                <w:szCs w:val="22"/>
              </w:rPr>
              <w:t>DB50/848</w:t>
            </w:r>
            <w:r>
              <w:rPr>
                <w:rFonts w:hint="eastAsia" w:ascii="Times New Roman" w:hAnsi="Times New Roman" w:cs="宋体"/>
                <w:color w:val="000000"/>
                <w:kern w:val="0"/>
                <w:sz w:val="21"/>
                <w:szCs w:val="22"/>
              </w:rPr>
              <w:t>）一级标准及以上</w:t>
            </w:r>
          </w:p>
        </w:tc>
        <w:tc>
          <w:tcPr>
            <w:tcW w:w="625"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还田</w:t>
            </w:r>
          </w:p>
        </w:tc>
        <w:tc>
          <w:tcPr>
            <w:tcW w:w="50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477"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2021</w:t>
            </w:r>
          </w:p>
        </w:tc>
        <w:tc>
          <w:tcPr>
            <w:tcW w:w="493"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兴隆镇、县生态环境局</w:t>
            </w:r>
          </w:p>
        </w:tc>
        <w:tc>
          <w:tcPr>
            <w:tcW w:w="46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31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26"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57"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庙湾场镇</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3500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228</w:t>
            </w:r>
          </w:p>
        </w:tc>
        <w:tc>
          <w:tcPr>
            <w:tcW w:w="393"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93"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3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94"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58"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91"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5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1003"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25"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0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77"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77"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93"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937"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6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52" w:hRule="atLeast"/>
        </w:trPr>
        <w:tc>
          <w:tcPr>
            <w:tcW w:w="31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4</w:t>
            </w:r>
          </w:p>
        </w:tc>
        <w:tc>
          <w:tcPr>
            <w:tcW w:w="626"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永乐镇</w:t>
            </w:r>
          </w:p>
        </w:tc>
        <w:tc>
          <w:tcPr>
            <w:tcW w:w="457"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酒溜村</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lang w:eastAsia="zh-CN"/>
              </w:rPr>
              <w:t>幸</w:t>
            </w:r>
            <w:r>
              <w:rPr>
                <w:rFonts w:hint="eastAsia" w:ascii="Times New Roman" w:hAnsi="Times New Roman" w:cs="宋体"/>
                <w:color w:val="000000"/>
                <w:kern w:val="0"/>
                <w:sz w:val="21"/>
                <w:szCs w:val="22"/>
              </w:rPr>
              <w:t>福中学</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33</w:t>
            </w:r>
          </w:p>
        </w:tc>
        <w:tc>
          <w:tcPr>
            <w:tcW w:w="393"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w:t>
            </w:r>
          </w:p>
        </w:tc>
        <w:tc>
          <w:tcPr>
            <w:tcW w:w="53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1500</w:t>
            </w:r>
          </w:p>
        </w:tc>
        <w:tc>
          <w:tcPr>
            <w:tcW w:w="694"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500</w:t>
            </w:r>
          </w:p>
        </w:tc>
        <w:tc>
          <w:tcPr>
            <w:tcW w:w="691"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A2/O</w:t>
            </w:r>
          </w:p>
        </w:tc>
        <w:tc>
          <w:tcPr>
            <w:tcW w:w="1003"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r>
              <w:rPr>
                <w:rFonts w:ascii="Times New Roman" w:hAnsi="Times New Roman" w:cs="宋体"/>
                <w:color w:val="000000"/>
                <w:kern w:val="0"/>
                <w:sz w:val="21"/>
                <w:szCs w:val="22"/>
              </w:rPr>
              <w:t>DB50/848</w:t>
            </w:r>
            <w:r>
              <w:rPr>
                <w:rFonts w:hint="eastAsia" w:ascii="Times New Roman" w:hAnsi="Times New Roman" w:cs="宋体"/>
                <w:color w:val="000000"/>
                <w:kern w:val="0"/>
                <w:sz w:val="21"/>
                <w:szCs w:val="22"/>
              </w:rPr>
              <w:t>）一级标准及以上</w:t>
            </w:r>
          </w:p>
        </w:tc>
        <w:tc>
          <w:tcPr>
            <w:tcW w:w="625"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排放水体</w:t>
            </w:r>
          </w:p>
        </w:tc>
        <w:tc>
          <w:tcPr>
            <w:tcW w:w="50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477"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2021</w:t>
            </w:r>
          </w:p>
        </w:tc>
        <w:tc>
          <w:tcPr>
            <w:tcW w:w="493"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永乐镇、县生态环境局</w:t>
            </w:r>
          </w:p>
        </w:tc>
        <w:tc>
          <w:tcPr>
            <w:tcW w:w="46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4" w:hRule="atLeast"/>
        </w:trPr>
        <w:tc>
          <w:tcPr>
            <w:tcW w:w="31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26"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57"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还建房</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600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2105</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137</w:t>
            </w:r>
          </w:p>
        </w:tc>
        <w:tc>
          <w:tcPr>
            <w:tcW w:w="393"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93"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3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94"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58"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91"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5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1003"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25"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0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77"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77"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93"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937"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6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31" w:hRule="atLeast"/>
        </w:trPr>
        <w:tc>
          <w:tcPr>
            <w:tcW w:w="3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w:t>
            </w:r>
          </w:p>
        </w:tc>
        <w:tc>
          <w:tcPr>
            <w:tcW w:w="62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安坪镇</w:t>
            </w:r>
          </w:p>
        </w:tc>
        <w:tc>
          <w:tcPr>
            <w:tcW w:w="45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海角村</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新农村+</w:t>
            </w:r>
            <w:r>
              <w:rPr>
                <w:rFonts w:hint="eastAsia" w:ascii="Times New Roman" w:hAnsi="Times New Roman" w:cs="宋体"/>
                <w:color w:val="000000"/>
                <w:kern w:val="0"/>
                <w:sz w:val="21"/>
                <w:szCs w:val="22"/>
              </w:rPr>
              <w:t>农村聚集区域</w:t>
            </w:r>
            <w:r>
              <w:rPr>
                <w:rFonts w:ascii="Times New Roman" w:hAnsi="Times New Roman" w:cs="宋体"/>
                <w:color w:val="000000"/>
                <w:kern w:val="0"/>
                <w:sz w:val="21"/>
                <w:szCs w:val="22"/>
              </w:rPr>
              <w:t>+</w:t>
            </w:r>
            <w:r>
              <w:rPr>
                <w:rFonts w:hint="eastAsia" w:ascii="Times New Roman" w:hAnsi="Times New Roman" w:cs="宋体"/>
                <w:color w:val="000000"/>
                <w:kern w:val="0"/>
                <w:sz w:val="21"/>
                <w:szCs w:val="22"/>
              </w:rPr>
              <w:t>学校</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420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27</w:t>
            </w:r>
          </w:p>
        </w:tc>
        <w:tc>
          <w:tcPr>
            <w:tcW w:w="3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w:t>
            </w:r>
          </w:p>
        </w:tc>
        <w:tc>
          <w:tcPr>
            <w:tcW w:w="53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c>
          <w:tcPr>
            <w:tcW w:w="69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2500</w:t>
            </w:r>
          </w:p>
        </w:tc>
        <w:tc>
          <w:tcPr>
            <w:tcW w:w="69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三格化粪池</w:t>
            </w:r>
          </w:p>
        </w:tc>
        <w:tc>
          <w:tcPr>
            <w:tcW w:w="10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c>
          <w:tcPr>
            <w:tcW w:w="625"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还田</w:t>
            </w:r>
          </w:p>
        </w:tc>
        <w:tc>
          <w:tcPr>
            <w:tcW w:w="50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2022</w:t>
            </w:r>
          </w:p>
        </w:tc>
        <w:tc>
          <w:tcPr>
            <w:tcW w:w="4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安坪镇、县生态环境局</w:t>
            </w:r>
          </w:p>
        </w:tc>
        <w:tc>
          <w:tcPr>
            <w:tcW w:w="46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trPr>
        <w:tc>
          <w:tcPr>
            <w:tcW w:w="3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w:t>
            </w:r>
          </w:p>
        </w:tc>
        <w:tc>
          <w:tcPr>
            <w:tcW w:w="62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康乐镇</w:t>
            </w:r>
          </w:p>
        </w:tc>
        <w:tc>
          <w:tcPr>
            <w:tcW w:w="45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河水村</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肖家包安置点</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950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62</w:t>
            </w:r>
          </w:p>
        </w:tc>
        <w:tc>
          <w:tcPr>
            <w:tcW w:w="3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80</w:t>
            </w:r>
          </w:p>
        </w:tc>
        <w:tc>
          <w:tcPr>
            <w:tcW w:w="53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69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w:t>
            </w:r>
          </w:p>
        </w:tc>
        <w:tc>
          <w:tcPr>
            <w:tcW w:w="69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AO</w:t>
            </w:r>
          </w:p>
        </w:tc>
        <w:tc>
          <w:tcPr>
            <w:tcW w:w="10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r>
              <w:rPr>
                <w:rFonts w:ascii="Times New Roman" w:hAnsi="Times New Roman" w:cs="宋体"/>
                <w:color w:val="000000"/>
                <w:kern w:val="0"/>
                <w:sz w:val="21"/>
                <w:szCs w:val="22"/>
              </w:rPr>
              <w:t>DB50/848</w:t>
            </w:r>
            <w:r>
              <w:rPr>
                <w:rFonts w:hint="eastAsia" w:ascii="Times New Roman" w:hAnsi="Times New Roman" w:cs="宋体"/>
                <w:color w:val="000000"/>
                <w:kern w:val="0"/>
                <w:sz w:val="21"/>
                <w:szCs w:val="22"/>
              </w:rPr>
              <w:t>）一级标准及以上</w:t>
            </w:r>
          </w:p>
        </w:tc>
        <w:tc>
          <w:tcPr>
            <w:tcW w:w="625"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排放水体</w:t>
            </w:r>
          </w:p>
        </w:tc>
        <w:tc>
          <w:tcPr>
            <w:tcW w:w="50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2022</w:t>
            </w:r>
          </w:p>
        </w:tc>
        <w:tc>
          <w:tcPr>
            <w:tcW w:w="4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康乐镇、县生态环境局</w:t>
            </w:r>
          </w:p>
        </w:tc>
        <w:tc>
          <w:tcPr>
            <w:tcW w:w="46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trPr>
        <w:tc>
          <w:tcPr>
            <w:tcW w:w="3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7</w:t>
            </w:r>
          </w:p>
        </w:tc>
        <w:tc>
          <w:tcPr>
            <w:tcW w:w="62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安坪镇</w:t>
            </w:r>
          </w:p>
        </w:tc>
        <w:tc>
          <w:tcPr>
            <w:tcW w:w="45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合一村</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合一村农村聚集区</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340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850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55</w:t>
            </w:r>
          </w:p>
        </w:tc>
        <w:tc>
          <w:tcPr>
            <w:tcW w:w="3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60</w:t>
            </w:r>
          </w:p>
        </w:tc>
        <w:tc>
          <w:tcPr>
            <w:tcW w:w="53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2000</w:t>
            </w:r>
          </w:p>
        </w:tc>
        <w:tc>
          <w:tcPr>
            <w:tcW w:w="69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600</w:t>
            </w:r>
          </w:p>
        </w:tc>
        <w:tc>
          <w:tcPr>
            <w:tcW w:w="69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AO</w:t>
            </w:r>
          </w:p>
        </w:tc>
        <w:tc>
          <w:tcPr>
            <w:tcW w:w="10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r>
              <w:rPr>
                <w:rFonts w:ascii="Times New Roman" w:hAnsi="Times New Roman" w:cs="宋体"/>
                <w:color w:val="000000"/>
                <w:kern w:val="0"/>
                <w:sz w:val="21"/>
                <w:szCs w:val="22"/>
              </w:rPr>
              <w:t>DB50/848</w:t>
            </w:r>
            <w:r>
              <w:rPr>
                <w:rFonts w:hint="eastAsia" w:ascii="Times New Roman" w:hAnsi="Times New Roman" w:cs="宋体"/>
                <w:color w:val="000000"/>
                <w:kern w:val="0"/>
                <w:sz w:val="21"/>
                <w:szCs w:val="22"/>
              </w:rPr>
              <w:t>）一级标准及以上</w:t>
            </w:r>
          </w:p>
        </w:tc>
        <w:tc>
          <w:tcPr>
            <w:tcW w:w="625"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还田</w:t>
            </w:r>
          </w:p>
        </w:tc>
        <w:tc>
          <w:tcPr>
            <w:tcW w:w="50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2022</w:t>
            </w:r>
          </w:p>
        </w:tc>
        <w:tc>
          <w:tcPr>
            <w:tcW w:w="4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安坪镇、县生态环境局</w:t>
            </w:r>
          </w:p>
        </w:tc>
        <w:tc>
          <w:tcPr>
            <w:tcW w:w="46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43" w:hRule="atLeast"/>
        </w:trPr>
        <w:tc>
          <w:tcPr>
            <w:tcW w:w="3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8</w:t>
            </w:r>
          </w:p>
        </w:tc>
        <w:tc>
          <w:tcPr>
            <w:tcW w:w="62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康乐镇</w:t>
            </w:r>
          </w:p>
        </w:tc>
        <w:tc>
          <w:tcPr>
            <w:tcW w:w="45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雪花村</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大红包</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320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21</w:t>
            </w:r>
          </w:p>
        </w:tc>
        <w:tc>
          <w:tcPr>
            <w:tcW w:w="3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25</w:t>
            </w:r>
          </w:p>
        </w:tc>
        <w:tc>
          <w:tcPr>
            <w:tcW w:w="53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69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w:t>
            </w:r>
          </w:p>
        </w:tc>
        <w:tc>
          <w:tcPr>
            <w:tcW w:w="69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三格化粪池</w:t>
            </w:r>
          </w:p>
        </w:tc>
        <w:tc>
          <w:tcPr>
            <w:tcW w:w="10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c>
          <w:tcPr>
            <w:tcW w:w="625"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还田</w:t>
            </w:r>
          </w:p>
        </w:tc>
        <w:tc>
          <w:tcPr>
            <w:tcW w:w="50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2023</w:t>
            </w:r>
          </w:p>
        </w:tc>
        <w:tc>
          <w:tcPr>
            <w:tcW w:w="4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康乐镇、县生态环境局</w:t>
            </w:r>
          </w:p>
        </w:tc>
        <w:tc>
          <w:tcPr>
            <w:tcW w:w="46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trPr>
        <w:tc>
          <w:tcPr>
            <w:tcW w:w="3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9</w:t>
            </w:r>
          </w:p>
        </w:tc>
        <w:tc>
          <w:tcPr>
            <w:tcW w:w="62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五马镇</w:t>
            </w:r>
          </w:p>
        </w:tc>
        <w:tc>
          <w:tcPr>
            <w:tcW w:w="45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大竹村</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大竹场镇</w:t>
            </w:r>
            <w:r>
              <w:rPr>
                <w:rFonts w:ascii="Times New Roman" w:hAnsi="Times New Roman" w:cs="宋体"/>
                <w:color w:val="000000"/>
                <w:kern w:val="0"/>
                <w:sz w:val="21"/>
                <w:szCs w:val="22"/>
              </w:rPr>
              <w:t>+</w:t>
            </w:r>
            <w:r>
              <w:rPr>
                <w:rFonts w:hint="eastAsia" w:ascii="Times New Roman" w:hAnsi="Times New Roman" w:cs="宋体"/>
                <w:color w:val="000000"/>
                <w:kern w:val="0"/>
                <w:sz w:val="21"/>
                <w:szCs w:val="22"/>
              </w:rPr>
              <w:t>周边散户</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380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960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62</w:t>
            </w:r>
          </w:p>
        </w:tc>
        <w:tc>
          <w:tcPr>
            <w:tcW w:w="3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80</w:t>
            </w:r>
          </w:p>
        </w:tc>
        <w:tc>
          <w:tcPr>
            <w:tcW w:w="53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1000</w:t>
            </w:r>
          </w:p>
        </w:tc>
        <w:tc>
          <w:tcPr>
            <w:tcW w:w="69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400</w:t>
            </w:r>
          </w:p>
        </w:tc>
        <w:tc>
          <w:tcPr>
            <w:tcW w:w="69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AO</w:t>
            </w:r>
          </w:p>
        </w:tc>
        <w:tc>
          <w:tcPr>
            <w:tcW w:w="10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r>
              <w:rPr>
                <w:rFonts w:ascii="Times New Roman" w:hAnsi="Times New Roman" w:cs="宋体"/>
                <w:color w:val="000000"/>
                <w:kern w:val="0"/>
                <w:sz w:val="21"/>
                <w:szCs w:val="22"/>
              </w:rPr>
              <w:t>DB50/848</w:t>
            </w:r>
            <w:r>
              <w:rPr>
                <w:rFonts w:hint="eastAsia" w:ascii="Times New Roman" w:hAnsi="Times New Roman" w:cs="宋体"/>
                <w:color w:val="000000"/>
                <w:kern w:val="0"/>
                <w:sz w:val="21"/>
                <w:szCs w:val="22"/>
              </w:rPr>
              <w:t>）二级标准</w:t>
            </w:r>
          </w:p>
        </w:tc>
        <w:tc>
          <w:tcPr>
            <w:tcW w:w="625"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还田</w:t>
            </w:r>
          </w:p>
        </w:tc>
        <w:tc>
          <w:tcPr>
            <w:tcW w:w="50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2023</w:t>
            </w:r>
          </w:p>
        </w:tc>
        <w:tc>
          <w:tcPr>
            <w:tcW w:w="4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五马镇、县生态环境局</w:t>
            </w:r>
          </w:p>
        </w:tc>
        <w:tc>
          <w:tcPr>
            <w:tcW w:w="46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trPr>
        <w:tc>
          <w:tcPr>
            <w:tcW w:w="3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w:t>
            </w:r>
          </w:p>
        </w:tc>
        <w:tc>
          <w:tcPr>
            <w:tcW w:w="62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青龙镇</w:t>
            </w:r>
          </w:p>
        </w:tc>
        <w:tc>
          <w:tcPr>
            <w:tcW w:w="45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大窝社区</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大窝新农村</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900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59</w:t>
            </w:r>
          </w:p>
        </w:tc>
        <w:tc>
          <w:tcPr>
            <w:tcW w:w="3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60</w:t>
            </w:r>
          </w:p>
        </w:tc>
        <w:tc>
          <w:tcPr>
            <w:tcW w:w="53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1000</w:t>
            </w:r>
          </w:p>
        </w:tc>
        <w:tc>
          <w:tcPr>
            <w:tcW w:w="69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500</w:t>
            </w:r>
          </w:p>
        </w:tc>
        <w:tc>
          <w:tcPr>
            <w:tcW w:w="69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AO</w:t>
            </w:r>
          </w:p>
        </w:tc>
        <w:tc>
          <w:tcPr>
            <w:tcW w:w="10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r>
              <w:rPr>
                <w:rFonts w:ascii="Times New Roman" w:hAnsi="Times New Roman" w:cs="宋体"/>
                <w:color w:val="000000"/>
                <w:kern w:val="0"/>
                <w:sz w:val="21"/>
                <w:szCs w:val="22"/>
              </w:rPr>
              <w:t>DB50/848</w:t>
            </w:r>
            <w:r>
              <w:rPr>
                <w:rFonts w:hint="eastAsia" w:ascii="Times New Roman" w:hAnsi="Times New Roman" w:cs="宋体"/>
                <w:color w:val="000000"/>
                <w:kern w:val="0"/>
                <w:sz w:val="21"/>
                <w:szCs w:val="22"/>
              </w:rPr>
              <w:t>）一级标准及以上</w:t>
            </w:r>
          </w:p>
        </w:tc>
        <w:tc>
          <w:tcPr>
            <w:tcW w:w="625"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还田</w:t>
            </w:r>
          </w:p>
        </w:tc>
        <w:tc>
          <w:tcPr>
            <w:tcW w:w="50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2023</w:t>
            </w:r>
          </w:p>
        </w:tc>
        <w:tc>
          <w:tcPr>
            <w:tcW w:w="4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青龙镇、县生态环境局</w:t>
            </w:r>
          </w:p>
        </w:tc>
        <w:tc>
          <w:tcPr>
            <w:tcW w:w="46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trPr>
        <w:tc>
          <w:tcPr>
            <w:tcW w:w="3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11</w:t>
            </w:r>
          </w:p>
        </w:tc>
        <w:tc>
          <w:tcPr>
            <w:tcW w:w="62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新民镇</w:t>
            </w:r>
          </w:p>
        </w:tc>
        <w:tc>
          <w:tcPr>
            <w:tcW w:w="45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李湾村</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李湾新农村</w:t>
            </w:r>
            <w:r>
              <w:rPr>
                <w:rFonts w:ascii="Times New Roman" w:hAnsi="Times New Roman" w:cs="宋体"/>
                <w:color w:val="000000"/>
                <w:kern w:val="0"/>
                <w:sz w:val="21"/>
                <w:szCs w:val="22"/>
              </w:rPr>
              <w:t>+</w:t>
            </w:r>
            <w:r>
              <w:rPr>
                <w:rFonts w:hint="eastAsia" w:ascii="Times New Roman" w:hAnsi="Times New Roman" w:cs="宋体"/>
                <w:color w:val="000000"/>
                <w:kern w:val="0"/>
                <w:sz w:val="21"/>
                <w:szCs w:val="22"/>
              </w:rPr>
              <w:t>周边散户</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280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850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55</w:t>
            </w:r>
          </w:p>
        </w:tc>
        <w:tc>
          <w:tcPr>
            <w:tcW w:w="3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60</w:t>
            </w:r>
          </w:p>
        </w:tc>
        <w:tc>
          <w:tcPr>
            <w:tcW w:w="53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500</w:t>
            </w:r>
          </w:p>
        </w:tc>
        <w:tc>
          <w:tcPr>
            <w:tcW w:w="69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69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AO</w:t>
            </w:r>
          </w:p>
        </w:tc>
        <w:tc>
          <w:tcPr>
            <w:tcW w:w="10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r>
              <w:rPr>
                <w:rFonts w:ascii="Times New Roman" w:hAnsi="Times New Roman" w:cs="宋体"/>
                <w:color w:val="000000"/>
                <w:kern w:val="0"/>
                <w:sz w:val="21"/>
                <w:szCs w:val="22"/>
              </w:rPr>
              <w:t>DB50/848</w:t>
            </w:r>
            <w:r>
              <w:rPr>
                <w:rFonts w:hint="eastAsia" w:ascii="Times New Roman" w:hAnsi="Times New Roman" w:cs="宋体"/>
                <w:color w:val="000000"/>
                <w:kern w:val="0"/>
                <w:sz w:val="21"/>
                <w:szCs w:val="22"/>
              </w:rPr>
              <w:t>）一级标准及以上</w:t>
            </w:r>
          </w:p>
        </w:tc>
        <w:tc>
          <w:tcPr>
            <w:tcW w:w="625"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还田</w:t>
            </w:r>
          </w:p>
        </w:tc>
        <w:tc>
          <w:tcPr>
            <w:tcW w:w="50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2023</w:t>
            </w:r>
          </w:p>
        </w:tc>
        <w:tc>
          <w:tcPr>
            <w:tcW w:w="4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新民镇、县生态环境局</w:t>
            </w:r>
          </w:p>
        </w:tc>
        <w:tc>
          <w:tcPr>
            <w:tcW w:w="46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16" w:hRule="atLeast"/>
        </w:trPr>
        <w:tc>
          <w:tcPr>
            <w:tcW w:w="31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12</w:t>
            </w:r>
          </w:p>
        </w:tc>
        <w:tc>
          <w:tcPr>
            <w:tcW w:w="626"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鹤峰乡</w:t>
            </w:r>
          </w:p>
        </w:tc>
        <w:tc>
          <w:tcPr>
            <w:tcW w:w="457"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观斗村</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观斗村小学</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7</w:t>
            </w:r>
          </w:p>
        </w:tc>
        <w:tc>
          <w:tcPr>
            <w:tcW w:w="393"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60</w:t>
            </w:r>
          </w:p>
        </w:tc>
        <w:tc>
          <w:tcPr>
            <w:tcW w:w="53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1400</w:t>
            </w:r>
          </w:p>
        </w:tc>
        <w:tc>
          <w:tcPr>
            <w:tcW w:w="694"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600</w:t>
            </w:r>
          </w:p>
        </w:tc>
        <w:tc>
          <w:tcPr>
            <w:tcW w:w="691"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AO</w:t>
            </w:r>
          </w:p>
        </w:tc>
        <w:tc>
          <w:tcPr>
            <w:tcW w:w="1003"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r>
              <w:rPr>
                <w:rFonts w:ascii="Times New Roman" w:hAnsi="Times New Roman" w:cs="宋体"/>
                <w:color w:val="000000"/>
                <w:kern w:val="0"/>
                <w:sz w:val="21"/>
                <w:szCs w:val="22"/>
              </w:rPr>
              <w:t>DB50/848</w:t>
            </w:r>
            <w:r>
              <w:rPr>
                <w:rFonts w:hint="eastAsia" w:ascii="Times New Roman" w:hAnsi="Times New Roman" w:cs="宋体"/>
                <w:color w:val="000000"/>
                <w:kern w:val="0"/>
                <w:sz w:val="21"/>
                <w:szCs w:val="22"/>
              </w:rPr>
              <w:t>）一级标准及以上</w:t>
            </w:r>
          </w:p>
        </w:tc>
        <w:tc>
          <w:tcPr>
            <w:tcW w:w="625"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还田</w:t>
            </w:r>
          </w:p>
        </w:tc>
        <w:tc>
          <w:tcPr>
            <w:tcW w:w="50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477"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2023</w:t>
            </w:r>
          </w:p>
        </w:tc>
        <w:tc>
          <w:tcPr>
            <w:tcW w:w="493"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鹤峰乡、县生态环境局</w:t>
            </w:r>
          </w:p>
        </w:tc>
        <w:tc>
          <w:tcPr>
            <w:tcW w:w="46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3" w:hRule="atLeast"/>
        </w:trPr>
        <w:tc>
          <w:tcPr>
            <w:tcW w:w="31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26"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57"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鹤峰槽</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290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820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53</w:t>
            </w:r>
          </w:p>
        </w:tc>
        <w:tc>
          <w:tcPr>
            <w:tcW w:w="393"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93"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3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94"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58"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91"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5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1003"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25"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0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77"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77"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93"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937"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6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33" w:hRule="atLeast"/>
        </w:trPr>
        <w:tc>
          <w:tcPr>
            <w:tcW w:w="3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13</w:t>
            </w:r>
          </w:p>
        </w:tc>
        <w:tc>
          <w:tcPr>
            <w:tcW w:w="62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白帝镇</w:t>
            </w:r>
          </w:p>
        </w:tc>
        <w:tc>
          <w:tcPr>
            <w:tcW w:w="45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八阵村</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大桥片</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33</w:t>
            </w:r>
          </w:p>
        </w:tc>
        <w:tc>
          <w:tcPr>
            <w:tcW w:w="3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53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2000</w:t>
            </w:r>
          </w:p>
        </w:tc>
        <w:tc>
          <w:tcPr>
            <w:tcW w:w="69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1800</w:t>
            </w:r>
          </w:p>
        </w:tc>
        <w:tc>
          <w:tcPr>
            <w:tcW w:w="69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AO</w:t>
            </w:r>
          </w:p>
        </w:tc>
        <w:tc>
          <w:tcPr>
            <w:tcW w:w="10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r>
              <w:rPr>
                <w:rFonts w:ascii="Times New Roman" w:hAnsi="Times New Roman" w:cs="宋体"/>
                <w:color w:val="000000"/>
                <w:kern w:val="0"/>
                <w:sz w:val="21"/>
                <w:szCs w:val="22"/>
              </w:rPr>
              <w:t>DB50/848</w:t>
            </w:r>
            <w:r>
              <w:rPr>
                <w:rFonts w:hint="eastAsia" w:ascii="Times New Roman" w:hAnsi="Times New Roman" w:cs="宋体"/>
                <w:color w:val="000000"/>
                <w:kern w:val="0"/>
                <w:sz w:val="21"/>
                <w:szCs w:val="22"/>
              </w:rPr>
              <w:t>）一级标准及以上</w:t>
            </w:r>
          </w:p>
        </w:tc>
        <w:tc>
          <w:tcPr>
            <w:tcW w:w="625"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排放水体</w:t>
            </w:r>
          </w:p>
        </w:tc>
        <w:tc>
          <w:tcPr>
            <w:tcW w:w="50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2024</w:t>
            </w:r>
          </w:p>
        </w:tc>
        <w:tc>
          <w:tcPr>
            <w:tcW w:w="4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白帝镇、县生态环境局</w:t>
            </w:r>
          </w:p>
        </w:tc>
        <w:tc>
          <w:tcPr>
            <w:tcW w:w="46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33" w:hRule="atLeast"/>
        </w:trPr>
        <w:tc>
          <w:tcPr>
            <w:tcW w:w="3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14</w:t>
            </w:r>
          </w:p>
        </w:tc>
        <w:tc>
          <w:tcPr>
            <w:tcW w:w="62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夔门街道</w:t>
            </w:r>
          </w:p>
        </w:tc>
        <w:tc>
          <w:tcPr>
            <w:tcW w:w="45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百梯社区</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百梯新农村</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250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600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39</w:t>
            </w:r>
          </w:p>
        </w:tc>
        <w:tc>
          <w:tcPr>
            <w:tcW w:w="3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53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1500</w:t>
            </w:r>
          </w:p>
        </w:tc>
        <w:tc>
          <w:tcPr>
            <w:tcW w:w="69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1000</w:t>
            </w:r>
          </w:p>
        </w:tc>
        <w:tc>
          <w:tcPr>
            <w:tcW w:w="69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AO</w:t>
            </w:r>
          </w:p>
        </w:tc>
        <w:tc>
          <w:tcPr>
            <w:tcW w:w="10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r>
              <w:rPr>
                <w:rFonts w:ascii="Times New Roman" w:hAnsi="Times New Roman" w:cs="宋体"/>
                <w:color w:val="000000"/>
                <w:kern w:val="0"/>
                <w:sz w:val="21"/>
                <w:szCs w:val="22"/>
              </w:rPr>
              <w:t>DB50/848</w:t>
            </w:r>
            <w:r>
              <w:rPr>
                <w:rFonts w:hint="eastAsia" w:ascii="Times New Roman" w:hAnsi="Times New Roman" w:cs="宋体"/>
                <w:color w:val="000000"/>
                <w:kern w:val="0"/>
                <w:sz w:val="21"/>
                <w:szCs w:val="22"/>
              </w:rPr>
              <w:t>）一级标准及以上</w:t>
            </w:r>
          </w:p>
        </w:tc>
        <w:tc>
          <w:tcPr>
            <w:tcW w:w="625"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还田</w:t>
            </w:r>
          </w:p>
        </w:tc>
        <w:tc>
          <w:tcPr>
            <w:tcW w:w="50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2024</w:t>
            </w:r>
          </w:p>
        </w:tc>
        <w:tc>
          <w:tcPr>
            <w:tcW w:w="4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夔门街道、县生态环境局</w:t>
            </w:r>
          </w:p>
        </w:tc>
        <w:tc>
          <w:tcPr>
            <w:tcW w:w="46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33" w:hRule="atLeast"/>
        </w:trPr>
        <w:tc>
          <w:tcPr>
            <w:tcW w:w="3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15</w:t>
            </w:r>
          </w:p>
        </w:tc>
        <w:tc>
          <w:tcPr>
            <w:tcW w:w="62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夔门街道</w:t>
            </w:r>
          </w:p>
        </w:tc>
        <w:tc>
          <w:tcPr>
            <w:tcW w:w="45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金盆社区</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金盆小区</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900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59</w:t>
            </w:r>
          </w:p>
        </w:tc>
        <w:tc>
          <w:tcPr>
            <w:tcW w:w="3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60</w:t>
            </w:r>
          </w:p>
        </w:tc>
        <w:tc>
          <w:tcPr>
            <w:tcW w:w="53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2000</w:t>
            </w:r>
          </w:p>
        </w:tc>
        <w:tc>
          <w:tcPr>
            <w:tcW w:w="69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2000</w:t>
            </w:r>
          </w:p>
        </w:tc>
        <w:tc>
          <w:tcPr>
            <w:tcW w:w="69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AO</w:t>
            </w:r>
          </w:p>
        </w:tc>
        <w:tc>
          <w:tcPr>
            <w:tcW w:w="10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r>
              <w:rPr>
                <w:rFonts w:ascii="Times New Roman" w:hAnsi="Times New Roman" w:cs="宋体"/>
                <w:color w:val="000000"/>
                <w:kern w:val="0"/>
                <w:sz w:val="21"/>
                <w:szCs w:val="22"/>
              </w:rPr>
              <w:t>DB50/848</w:t>
            </w:r>
            <w:r>
              <w:rPr>
                <w:rFonts w:hint="eastAsia" w:ascii="Times New Roman" w:hAnsi="Times New Roman" w:cs="宋体"/>
                <w:color w:val="000000"/>
                <w:kern w:val="0"/>
                <w:sz w:val="21"/>
                <w:szCs w:val="22"/>
              </w:rPr>
              <w:t>）一级标准及以上</w:t>
            </w:r>
          </w:p>
        </w:tc>
        <w:tc>
          <w:tcPr>
            <w:tcW w:w="625"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排放水体</w:t>
            </w:r>
          </w:p>
        </w:tc>
        <w:tc>
          <w:tcPr>
            <w:tcW w:w="50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2024</w:t>
            </w:r>
          </w:p>
        </w:tc>
        <w:tc>
          <w:tcPr>
            <w:tcW w:w="4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夔门街道、县生态环境局</w:t>
            </w:r>
          </w:p>
        </w:tc>
        <w:tc>
          <w:tcPr>
            <w:tcW w:w="46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133" w:hRule="atLeast"/>
        </w:trPr>
        <w:tc>
          <w:tcPr>
            <w:tcW w:w="3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16</w:t>
            </w:r>
          </w:p>
        </w:tc>
        <w:tc>
          <w:tcPr>
            <w:tcW w:w="62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鹤峰乡</w:t>
            </w:r>
          </w:p>
        </w:tc>
        <w:tc>
          <w:tcPr>
            <w:tcW w:w="45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招峰村</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招峰村安置点</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290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900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59</w:t>
            </w:r>
          </w:p>
        </w:tc>
        <w:tc>
          <w:tcPr>
            <w:tcW w:w="3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60</w:t>
            </w:r>
          </w:p>
        </w:tc>
        <w:tc>
          <w:tcPr>
            <w:tcW w:w="53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2000</w:t>
            </w:r>
          </w:p>
        </w:tc>
        <w:tc>
          <w:tcPr>
            <w:tcW w:w="69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2000</w:t>
            </w:r>
          </w:p>
        </w:tc>
        <w:tc>
          <w:tcPr>
            <w:tcW w:w="69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AO</w:t>
            </w:r>
          </w:p>
        </w:tc>
        <w:tc>
          <w:tcPr>
            <w:tcW w:w="10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r>
              <w:rPr>
                <w:rFonts w:ascii="Times New Roman" w:hAnsi="Times New Roman" w:cs="宋体"/>
                <w:color w:val="000000"/>
                <w:kern w:val="0"/>
                <w:sz w:val="21"/>
                <w:szCs w:val="22"/>
              </w:rPr>
              <w:t>DB50/848</w:t>
            </w:r>
            <w:r>
              <w:rPr>
                <w:rFonts w:hint="eastAsia" w:ascii="Times New Roman" w:hAnsi="Times New Roman" w:cs="宋体"/>
                <w:color w:val="000000"/>
                <w:kern w:val="0"/>
                <w:sz w:val="21"/>
                <w:szCs w:val="22"/>
              </w:rPr>
              <w:t>）一级标准及以上</w:t>
            </w:r>
          </w:p>
        </w:tc>
        <w:tc>
          <w:tcPr>
            <w:tcW w:w="625"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排放水体</w:t>
            </w:r>
          </w:p>
        </w:tc>
        <w:tc>
          <w:tcPr>
            <w:tcW w:w="50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2024</w:t>
            </w:r>
          </w:p>
        </w:tc>
        <w:tc>
          <w:tcPr>
            <w:tcW w:w="4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鹤峰乡、县生态环境局</w:t>
            </w:r>
          </w:p>
        </w:tc>
        <w:tc>
          <w:tcPr>
            <w:tcW w:w="46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88" w:hRule="atLeast"/>
        </w:trPr>
        <w:tc>
          <w:tcPr>
            <w:tcW w:w="3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17</w:t>
            </w:r>
          </w:p>
        </w:tc>
        <w:tc>
          <w:tcPr>
            <w:tcW w:w="62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公平镇</w:t>
            </w:r>
          </w:p>
        </w:tc>
        <w:tc>
          <w:tcPr>
            <w:tcW w:w="45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桂坝村</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新店子安置点</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250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650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42</w:t>
            </w:r>
          </w:p>
        </w:tc>
        <w:tc>
          <w:tcPr>
            <w:tcW w:w="3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53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1000</w:t>
            </w:r>
          </w:p>
        </w:tc>
        <w:tc>
          <w:tcPr>
            <w:tcW w:w="69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500</w:t>
            </w:r>
          </w:p>
        </w:tc>
        <w:tc>
          <w:tcPr>
            <w:tcW w:w="69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AO</w:t>
            </w:r>
          </w:p>
        </w:tc>
        <w:tc>
          <w:tcPr>
            <w:tcW w:w="10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r>
              <w:rPr>
                <w:rFonts w:ascii="Times New Roman" w:hAnsi="Times New Roman" w:cs="宋体"/>
                <w:color w:val="000000"/>
                <w:kern w:val="0"/>
                <w:sz w:val="21"/>
                <w:szCs w:val="22"/>
              </w:rPr>
              <w:t>DB50/848</w:t>
            </w:r>
            <w:r>
              <w:rPr>
                <w:rFonts w:hint="eastAsia" w:ascii="Times New Roman" w:hAnsi="Times New Roman" w:cs="宋体"/>
                <w:color w:val="000000"/>
                <w:kern w:val="0"/>
                <w:sz w:val="21"/>
                <w:szCs w:val="22"/>
              </w:rPr>
              <w:t>）一级标准及以上</w:t>
            </w:r>
          </w:p>
        </w:tc>
        <w:tc>
          <w:tcPr>
            <w:tcW w:w="625"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还田</w:t>
            </w:r>
          </w:p>
        </w:tc>
        <w:tc>
          <w:tcPr>
            <w:tcW w:w="50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2025</w:t>
            </w:r>
          </w:p>
        </w:tc>
        <w:tc>
          <w:tcPr>
            <w:tcW w:w="4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公平镇、县生态环境局</w:t>
            </w:r>
          </w:p>
        </w:tc>
        <w:tc>
          <w:tcPr>
            <w:tcW w:w="46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6" w:hRule="atLeast"/>
        </w:trPr>
        <w:tc>
          <w:tcPr>
            <w:tcW w:w="31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18</w:t>
            </w:r>
          </w:p>
        </w:tc>
        <w:tc>
          <w:tcPr>
            <w:tcW w:w="626"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朱衣镇</w:t>
            </w:r>
          </w:p>
        </w:tc>
        <w:tc>
          <w:tcPr>
            <w:tcW w:w="457"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蓼叶村</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黄井小学</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7</w:t>
            </w:r>
          </w:p>
        </w:tc>
        <w:tc>
          <w:tcPr>
            <w:tcW w:w="393"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53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2000</w:t>
            </w:r>
          </w:p>
        </w:tc>
        <w:tc>
          <w:tcPr>
            <w:tcW w:w="694"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1000</w:t>
            </w:r>
          </w:p>
        </w:tc>
        <w:tc>
          <w:tcPr>
            <w:tcW w:w="691"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AO</w:t>
            </w:r>
          </w:p>
        </w:tc>
        <w:tc>
          <w:tcPr>
            <w:tcW w:w="1003"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r>
              <w:rPr>
                <w:rFonts w:ascii="Times New Roman" w:hAnsi="Times New Roman" w:cs="宋体"/>
                <w:color w:val="000000"/>
                <w:kern w:val="0"/>
                <w:sz w:val="21"/>
                <w:szCs w:val="22"/>
              </w:rPr>
              <w:t>DB50/848</w:t>
            </w:r>
            <w:r>
              <w:rPr>
                <w:rFonts w:hint="eastAsia" w:ascii="Times New Roman" w:hAnsi="Times New Roman" w:cs="宋体"/>
                <w:color w:val="000000"/>
                <w:kern w:val="0"/>
                <w:sz w:val="21"/>
                <w:szCs w:val="22"/>
              </w:rPr>
              <w:t>）一级标准及以上</w:t>
            </w:r>
          </w:p>
        </w:tc>
        <w:tc>
          <w:tcPr>
            <w:tcW w:w="625"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排放水体</w:t>
            </w:r>
          </w:p>
        </w:tc>
        <w:tc>
          <w:tcPr>
            <w:tcW w:w="50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w:t>
            </w:r>
          </w:p>
        </w:tc>
        <w:tc>
          <w:tcPr>
            <w:tcW w:w="477"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2025</w:t>
            </w:r>
          </w:p>
        </w:tc>
        <w:tc>
          <w:tcPr>
            <w:tcW w:w="493"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朱衣镇、县生态环境局</w:t>
            </w:r>
          </w:p>
        </w:tc>
        <w:tc>
          <w:tcPr>
            <w:tcW w:w="469" w:type="dxa"/>
            <w:vMerge w:val="restart"/>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31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26"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57"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黄井场镇</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250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600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39</w:t>
            </w:r>
          </w:p>
        </w:tc>
        <w:tc>
          <w:tcPr>
            <w:tcW w:w="393"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93"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3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94"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58"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91"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5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1003"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625"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50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77"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77"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93"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937"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c>
          <w:tcPr>
            <w:tcW w:w="469" w:type="dxa"/>
            <w:vMerge w:val="continue"/>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trPr>
        <w:tc>
          <w:tcPr>
            <w:tcW w:w="3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19</w:t>
            </w:r>
          </w:p>
        </w:tc>
        <w:tc>
          <w:tcPr>
            <w:tcW w:w="62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康乐镇</w:t>
            </w:r>
          </w:p>
        </w:tc>
        <w:tc>
          <w:tcPr>
            <w:tcW w:w="45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李坪村</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ascii="Times New Roman" w:hAnsi="Times New Roman" w:cs="宋体"/>
                <w:color w:val="000000"/>
                <w:kern w:val="0"/>
                <w:sz w:val="21"/>
                <w:szCs w:val="22"/>
              </w:rPr>
              <w:t>李坪新农村+</w:t>
            </w:r>
            <w:r>
              <w:rPr>
                <w:rFonts w:hint="eastAsia" w:ascii="Times New Roman" w:hAnsi="Times New Roman" w:cs="宋体"/>
                <w:color w:val="000000"/>
                <w:kern w:val="0"/>
                <w:sz w:val="21"/>
                <w:szCs w:val="22"/>
              </w:rPr>
              <w:t>李坪场镇</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230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700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46</w:t>
            </w:r>
          </w:p>
        </w:tc>
        <w:tc>
          <w:tcPr>
            <w:tcW w:w="3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53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500</w:t>
            </w:r>
          </w:p>
        </w:tc>
        <w:tc>
          <w:tcPr>
            <w:tcW w:w="69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w:t>
            </w:r>
          </w:p>
        </w:tc>
        <w:tc>
          <w:tcPr>
            <w:tcW w:w="69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AO</w:t>
            </w:r>
          </w:p>
        </w:tc>
        <w:tc>
          <w:tcPr>
            <w:tcW w:w="10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r>
              <w:rPr>
                <w:rFonts w:ascii="Times New Roman" w:hAnsi="Times New Roman" w:cs="宋体"/>
                <w:color w:val="000000"/>
                <w:kern w:val="0"/>
                <w:sz w:val="21"/>
                <w:szCs w:val="22"/>
              </w:rPr>
              <w:t>DB50/848</w:t>
            </w:r>
            <w:r>
              <w:rPr>
                <w:rFonts w:hint="eastAsia" w:ascii="Times New Roman" w:hAnsi="Times New Roman" w:cs="宋体"/>
                <w:color w:val="000000"/>
                <w:kern w:val="0"/>
                <w:sz w:val="21"/>
                <w:szCs w:val="22"/>
              </w:rPr>
              <w:t>）二级标准</w:t>
            </w:r>
          </w:p>
        </w:tc>
        <w:tc>
          <w:tcPr>
            <w:tcW w:w="625"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还田</w:t>
            </w:r>
          </w:p>
        </w:tc>
        <w:tc>
          <w:tcPr>
            <w:tcW w:w="50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2025</w:t>
            </w:r>
          </w:p>
        </w:tc>
        <w:tc>
          <w:tcPr>
            <w:tcW w:w="4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康乐镇、县生态环境局</w:t>
            </w:r>
          </w:p>
        </w:tc>
        <w:tc>
          <w:tcPr>
            <w:tcW w:w="46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43" w:hRule="atLeast"/>
        </w:trPr>
        <w:tc>
          <w:tcPr>
            <w:tcW w:w="3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w:t>
            </w:r>
          </w:p>
        </w:tc>
        <w:tc>
          <w:tcPr>
            <w:tcW w:w="62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草堂镇</w:t>
            </w:r>
          </w:p>
        </w:tc>
        <w:tc>
          <w:tcPr>
            <w:tcW w:w="45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柑子社区</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太白苑</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800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52</w:t>
            </w:r>
          </w:p>
        </w:tc>
        <w:tc>
          <w:tcPr>
            <w:tcW w:w="3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60</w:t>
            </w:r>
          </w:p>
        </w:tc>
        <w:tc>
          <w:tcPr>
            <w:tcW w:w="53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800</w:t>
            </w:r>
          </w:p>
        </w:tc>
        <w:tc>
          <w:tcPr>
            <w:tcW w:w="69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400</w:t>
            </w:r>
          </w:p>
        </w:tc>
        <w:tc>
          <w:tcPr>
            <w:tcW w:w="69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三格化粪池</w:t>
            </w:r>
          </w:p>
        </w:tc>
        <w:tc>
          <w:tcPr>
            <w:tcW w:w="10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c>
          <w:tcPr>
            <w:tcW w:w="625"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还田</w:t>
            </w:r>
          </w:p>
        </w:tc>
        <w:tc>
          <w:tcPr>
            <w:tcW w:w="50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60</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2025</w:t>
            </w:r>
          </w:p>
        </w:tc>
        <w:tc>
          <w:tcPr>
            <w:tcW w:w="4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草堂镇、县生态环境局</w:t>
            </w:r>
          </w:p>
        </w:tc>
        <w:tc>
          <w:tcPr>
            <w:tcW w:w="46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trPr>
        <w:tc>
          <w:tcPr>
            <w:tcW w:w="3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21</w:t>
            </w:r>
          </w:p>
        </w:tc>
        <w:tc>
          <w:tcPr>
            <w:tcW w:w="62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朱衣镇</w:t>
            </w:r>
          </w:p>
        </w:tc>
        <w:tc>
          <w:tcPr>
            <w:tcW w:w="45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三江村</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三江口</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33</w:t>
            </w:r>
          </w:p>
        </w:tc>
        <w:tc>
          <w:tcPr>
            <w:tcW w:w="3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53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500</w:t>
            </w:r>
          </w:p>
        </w:tc>
        <w:tc>
          <w:tcPr>
            <w:tcW w:w="69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800</w:t>
            </w:r>
          </w:p>
        </w:tc>
        <w:tc>
          <w:tcPr>
            <w:tcW w:w="69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AO</w:t>
            </w:r>
          </w:p>
        </w:tc>
        <w:tc>
          <w:tcPr>
            <w:tcW w:w="10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r>
              <w:rPr>
                <w:rFonts w:ascii="Times New Roman" w:hAnsi="Times New Roman" w:cs="宋体"/>
                <w:color w:val="000000"/>
                <w:kern w:val="0"/>
                <w:sz w:val="21"/>
                <w:szCs w:val="22"/>
              </w:rPr>
              <w:t>DB50/848</w:t>
            </w:r>
            <w:r>
              <w:rPr>
                <w:rFonts w:hint="eastAsia" w:ascii="Times New Roman" w:hAnsi="Times New Roman" w:cs="宋体"/>
                <w:color w:val="000000"/>
                <w:kern w:val="0"/>
                <w:sz w:val="21"/>
                <w:szCs w:val="22"/>
              </w:rPr>
              <w:t>）一级标准及以上</w:t>
            </w:r>
          </w:p>
        </w:tc>
        <w:tc>
          <w:tcPr>
            <w:tcW w:w="625"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排放水体</w:t>
            </w:r>
          </w:p>
        </w:tc>
        <w:tc>
          <w:tcPr>
            <w:tcW w:w="50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2025</w:t>
            </w:r>
          </w:p>
        </w:tc>
        <w:tc>
          <w:tcPr>
            <w:tcW w:w="4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朱衣镇、县生态环境局</w:t>
            </w:r>
          </w:p>
        </w:tc>
        <w:tc>
          <w:tcPr>
            <w:tcW w:w="46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trPr>
        <w:tc>
          <w:tcPr>
            <w:tcW w:w="3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22</w:t>
            </w:r>
          </w:p>
        </w:tc>
        <w:tc>
          <w:tcPr>
            <w:tcW w:w="62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冯坪乡</w:t>
            </w:r>
          </w:p>
        </w:tc>
        <w:tc>
          <w:tcPr>
            <w:tcW w:w="45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百福村</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百福新农村</w:t>
            </w:r>
            <w:r>
              <w:rPr>
                <w:rFonts w:ascii="Times New Roman" w:hAnsi="Times New Roman" w:cs="宋体"/>
                <w:color w:val="000000"/>
                <w:kern w:val="0"/>
                <w:sz w:val="21"/>
                <w:szCs w:val="22"/>
              </w:rPr>
              <w:t>+</w:t>
            </w:r>
            <w:r>
              <w:rPr>
                <w:rFonts w:hint="eastAsia" w:ascii="Times New Roman" w:hAnsi="Times New Roman" w:cs="宋体"/>
                <w:color w:val="000000"/>
                <w:kern w:val="0"/>
                <w:sz w:val="21"/>
                <w:szCs w:val="22"/>
              </w:rPr>
              <w:t>周边散户</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w:t>
            </w:r>
          </w:p>
        </w:tc>
        <w:tc>
          <w:tcPr>
            <w:tcW w:w="3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25</w:t>
            </w:r>
          </w:p>
        </w:tc>
        <w:tc>
          <w:tcPr>
            <w:tcW w:w="53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1500</w:t>
            </w:r>
          </w:p>
        </w:tc>
        <w:tc>
          <w:tcPr>
            <w:tcW w:w="69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1000</w:t>
            </w:r>
          </w:p>
        </w:tc>
        <w:tc>
          <w:tcPr>
            <w:tcW w:w="69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三格化粪池</w:t>
            </w:r>
          </w:p>
        </w:tc>
        <w:tc>
          <w:tcPr>
            <w:tcW w:w="10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c>
          <w:tcPr>
            <w:tcW w:w="625"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还田</w:t>
            </w:r>
          </w:p>
        </w:tc>
        <w:tc>
          <w:tcPr>
            <w:tcW w:w="50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2025</w:t>
            </w:r>
          </w:p>
        </w:tc>
        <w:tc>
          <w:tcPr>
            <w:tcW w:w="4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冯坪乡、县生态环境局</w:t>
            </w:r>
          </w:p>
        </w:tc>
        <w:tc>
          <w:tcPr>
            <w:tcW w:w="46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trPr>
        <w:tc>
          <w:tcPr>
            <w:tcW w:w="3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23</w:t>
            </w:r>
          </w:p>
        </w:tc>
        <w:tc>
          <w:tcPr>
            <w:tcW w:w="62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太和土家族乡</w:t>
            </w:r>
          </w:p>
        </w:tc>
        <w:tc>
          <w:tcPr>
            <w:tcW w:w="45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良家村</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良家新农村</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33</w:t>
            </w:r>
          </w:p>
        </w:tc>
        <w:tc>
          <w:tcPr>
            <w:tcW w:w="3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53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w:t>
            </w:r>
          </w:p>
        </w:tc>
        <w:tc>
          <w:tcPr>
            <w:tcW w:w="69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w:t>
            </w:r>
          </w:p>
        </w:tc>
        <w:tc>
          <w:tcPr>
            <w:tcW w:w="69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AO</w:t>
            </w:r>
          </w:p>
        </w:tc>
        <w:tc>
          <w:tcPr>
            <w:tcW w:w="10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r>
              <w:rPr>
                <w:rFonts w:ascii="Times New Roman" w:hAnsi="Times New Roman" w:cs="宋体"/>
                <w:color w:val="000000"/>
                <w:kern w:val="0"/>
                <w:sz w:val="21"/>
                <w:szCs w:val="22"/>
              </w:rPr>
              <w:t>DB50/848</w:t>
            </w:r>
            <w:r>
              <w:rPr>
                <w:rFonts w:hint="eastAsia" w:ascii="Times New Roman" w:hAnsi="Times New Roman" w:cs="宋体"/>
                <w:color w:val="000000"/>
                <w:kern w:val="0"/>
                <w:sz w:val="21"/>
                <w:szCs w:val="22"/>
              </w:rPr>
              <w:t>）一级标准及以上</w:t>
            </w:r>
          </w:p>
        </w:tc>
        <w:tc>
          <w:tcPr>
            <w:tcW w:w="625"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还田</w:t>
            </w:r>
          </w:p>
        </w:tc>
        <w:tc>
          <w:tcPr>
            <w:tcW w:w="50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2025</w:t>
            </w:r>
          </w:p>
        </w:tc>
        <w:tc>
          <w:tcPr>
            <w:tcW w:w="4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太和土家族乡、县生态环境局</w:t>
            </w:r>
          </w:p>
        </w:tc>
        <w:tc>
          <w:tcPr>
            <w:tcW w:w="46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trPr>
        <w:tc>
          <w:tcPr>
            <w:tcW w:w="3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24</w:t>
            </w:r>
          </w:p>
        </w:tc>
        <w:tc>
          <w:tcPr>
            <w:tcW w:w="62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公平镇</w:t>
            </w:r>
          </w:p>
        </w:tc>
        <w:tc>
          <w:tcPr>
            <w:tcW w:w="45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大田村</w:t>
            </w:r>
          </w:p>
        </w:tc>
        <w:tc>
          <w:tcPr>
            <w:tcW w:w="51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大田移民安置点</w:t>
            </w:r>
          </w:p>
        </w:tc>
        <w:tc>
          <w:tcPr>
            <w:tcW w:w="60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62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770</w:t>
            </w:r>
          </w:p>
        </w:tc>
        <w:tc>
          <w:tcPr>
            <w:tcW w:w="6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3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5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53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1500</w:t>
            </w:r>
          </w:p>
        </w:tc>
        <w:tc>
          <w:tcPr>
            <w:tcW w:w="69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300</w:t>
            </w:r>
          </w:p>
        </w:tc>
        <w:tc>
          <w:tcPr>
            <w:tcW w:w="55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500</w:t>
            </w:r>
          </w:p>
        </w:tc>
        <w:tc>
          <w:tcPr>
            <w:tcW w:w="69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55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AO</w:t>
            </w:r>
          </w:p>
        </w:tc>
        <w:tc>
          <w:tcPr>
            <w:tcW w:w="100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r>
              <w:rPr>
                <w:rFonts w:ascii="Times New Roman" w:hAnsi="Times New Roman" w:cs="宋体"/>
                <w:color w:val="000000"/>
                <w:kern w:val="0"/>
                <w:sz w:val="21"/>
                <w:szCs w:val="22"/>
              </w:rPr>
              <w:t>DB50/848</w:t>
            </w:r>
            <w:r>
              <w:rPr>
                <w:rFonts w:hint="eastAsia" w:ascii="Times New Roman" w:hAnsi="Times New Roman" w:cs="宋体"/>
                <w:color w:val="000000"/>
                <w:kern w:val="0"/>
                <w:sz w:val="21"/>
                <w:szCs w:val="22"/>
              </w:rPr>
              <w:t>）一级标准及以上</w:t>
            </w:r>
          </w:p>
        </w:tc>
        <w:tc>
          <w:tcPr>
            <w:tcW w:w="625"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还田</w:t>
            </w:r>
          </w:p>
        </w:tc>
        <w:tc>
          <w:tcPr>
            <w:tcW w:w="50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土地消纳</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w:t>
            </w:r>
          </w:p>
        </w:tc>
        <w:tc>
          <w:tcPr>
            <w:tcW w:w="47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2025</w:t>
            </w:r>
          </w:p>
        </w:tc>
        <w:tc>
          <w:tcPr>
            <w:tcW w:w="493"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县住房城乡建委</w:t>
            </w:r>
          </w:p>
        </w:tc>
        <w:tc>
          <w:tcPr>
            <w:tcW w:w="937"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公平镇、县生态环境局</w:t>
            </w:r>
          </w:p>
        </w:tc>
        <w:tc>
          <w:tcPr>
            <w:tcW w:w="46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重点项目</w:t>
            </w:r>
          </w:p>
        </w:tc>
      </w:tr>
    </w:tbl>
    <w:p>
      <w:pPr>
        <w:widowControl/>
        <w:spacing w:line="240" w:lineRule="auto"/>
        <w:ind w:firstLine="0" w:firstLineChars="0"/>
        <w:jc w:val="left"/>
        <w:rPr>
          <w:rFonts w:ascii="宋体" w:hAnsi="宋体" w:eastAsia="宋体" w:cs="宋体"/>
        </w:rPr>
      </w:pPr>
      <w:r>
        <w:rPr>
          <w:rFonts w:ascii="宋体" w:hAnsi="宋体" w:eastAsia="宋体" w:cs="宋体"/>
        </w:rPr>
        <w:br w:type="page"/>
      </w:r>
    </w:p>
    <w:p>
      <w:pPr>
        <w:pStyle w:val="4"/>
        <w:ind w:firstLine="640"/>
      </w:pPr>
      <w:r>
        <w:rPr>
          <w:rFonts w:hint="eastAsia"/>
        </w:rPr>
        <w:t>附件6 奉节县农村生活污水治理设施项目一览表-卫生改厕</w:t>
      </w:r>
      <w:r>
        <w:t xml:space="preserve"> </w:t>
      </w:r>
    </w:p>
    <w:tbl>
      <w:tblPr>
        <w:tblStyle w:val="43"/>
        <w:tblW w:w="129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836"/>
        <w:gridCol w:w="1409"/>
        <w:gridCol w:w="1160"/>
        <w:gridCol w:w="1337"/>
        <w:gridCol w:w="1874"/>
        <w:gridCol w:w="2995"/>
        <w:gridCol w:w="1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jc w:val="center"/>
        </w:trPr>
        <w:tc>
          <w:tcPr>
            <w:tcW w:w="1634" w:type="dxa"/>
            <w:shd w:val="clear" w:color="auto" w:fill="auto"/>
            <w:vAlign w:val="center"/>
          </w:tcPr>
          <w:p>
            <w:pPr>
              <w:widowControl/>
              <w:spacing w:line="240" w:lineRule="atLeast"/>
              <w:ind w:firstLine="0" w:firstLineChars="0"/>
              <w:jc w:val="center"/>
              <w:rPr>
                <w:rFonts w:ascii="方正仿宋_GBK" w:hAnsi="等线" w:cs="宋体"/>
                <w:b/>
                <w:bCs/>
                <w:color w:val="000000"/>
                <w:kern w:val="0"/>
                <w:sz w:val="22"/>
                <w:szCs w:val="22"/>
              </w:rPr>
            </w:pPr>
            <w:r>
              <w:rPr>
                <w:rFonts w:hint="eastAsia" w:ascii="方正仿宋_GBK" w:hAnsi="等线" w:cs="宋体"/>
                <w:b/>
                <w:bCs/>
                <w:color w:val="000000"/>
                <w:kern w:val="0"/>
                <w:sz w:val="22"/>
                <w:szCs w:val="22"/>
              </w:rPr>
              <w:t>乡镇</w:t>
            </w:r>
            <w:r>
              <w:rPr>
                <w:rFonts w:hint="eastAsia" w:ascii="Times New Roman" w:hAnsi="Times New Roman" w:cs="宋体"/>
                <w:b/>
                <w:bCs/>
                <w:color w:val="000000"/>
                <w:kern w:val="0"/>
                <w:sz w:val="21"/>
                <w:szCs w:val="22"/>
              </w:rPr>
              <w:t>（街道）</w:t>
            </w:r>
          </w:p>
        </w:tc>
        <w:tc>
          <w:tcPr>
            <w:tcW w:w="836" w:type="dxa"/>
            <w:shd w:val="clear" w:color="auto" w:fill="auto"/>
            <w:vAlign w:val="center"/>
          </w:tcPr>
          <w:p>
            <w:pPr>
              <w:widowControl/>
              <w:spacing w:line="240" w:lineRule="atLeast"/>
              <w:ind w:firstLine="0" w:firstLineChars="0"/>
              <w:jc w:val="center"/>
              <w:rPr>
                <w:rFonts w:ascii="方正仿宋_GBK" w:hAnsi="等线" w:cs="宋体"/>
                <w:b/>
                <w:bCs/>
                <w:color w:val="000000"/>
                <w:kern w:val="0"/>
                <w:sz w:val="22"/>
                <w:szCs w:val="22"/>
              </w:rPr>
            </w:pPr>
            <w:r>
              <w:rPr>
                <w:rFonts w:hint="eastAsia" w:ascii="方正仿宋_GBK" w:hAnsi="等线" w:cs="宋体"/>
                <w:b/>
                <w:bCs/>
                <w:color w:val="000000"/>
                <w:kern w:val="0"/>
                <w:sz w:val="22"/>
                <w:szCs w:val="22"/>
              </w:rPr>
              <w:t>居民类型</w:t>
            </w:r>
          </w:p>
        </w:tc>
        <w:tc>
          <w:tcPr>
            <w:tcW w:w="1409" w:type="dxa"/>
            <w:shd w:val="clear" w:color="auto" w:fill="auto"/>
            <w:vAlign w:val="center"/>
          </w:tcPr>
          <w:p>
            <w:pPr>
              <w:widowControl/>
              <w:spacing w:line="240" w:lineRule="atLeast"/>
              <w:ind w:firstLine="0" w:firstLineChars="0"/>
              <w:jc w:val="center"/>
              <w:rPr>
                <w:rFonts w:ascii="方正仿宋_GBK" w:hAnsi="等线" w:cs="宋体"/>
                <w:b/>
                <w:bCs/>
                <w:color w:val="000000"/>
                <w:kern w:val="0"/>
                <w:sz w:val="22"/>
                <w:szCs w:val="22"/>
              </w:rPr>
            </w:pPr>
            <w:r>
              <w:rPr>
                <w:rFonts w:hint="eastAsia" w:ascii="方正仿宋_GBK" w:hAnsi="等线" w:cs="宋体"/>
                <w:b/>
                <w:bCs/>
                <w:color w:val="000000"/>
                <w:kern w:val="0"/>
                <w:sz w:val="22"/>
                <w:szCs w:val="22"/>
              </w:rPr>
              <w:t>污水治理现状</w:t>
            </w:r>
          </w:p>
        </w:tc>
        <w:tc>
          <w:tcPr>
            <w:tcW w:w="1160" w:type="dxa"/>
            <w:shd w:val="clear" w:color="auto" w:fill="auto"/>
            <w:vAlign w:val="center"/>
          </w:tcPr>
          <w:p>
            <w:pPr>
              <w:widowControl/>
              <w:spacing w:line="240" w:lineRule="atLeast"/>
              <w:ind w:firstLine="0" w:firstLineChars="0"/>
              <w:jc w:val="center"/>
              <w:rPr>
                <w:rFonts w:ascii="方正仿宋_GBK" w:hAnsi="等线" w:cs="宋体"/>
                <w:b/>
                <w:bCs/>
                <w:color w:val="000000"/>
                <w:kern w:val="0"/>
                <w:sz w:val="22"/>
                <w:szCs w:val="22"/>
              </w:rPr>
            </w:pPr>
            <w:r>
              <w:rPr>
                <w:rFonts w:hint="eastAsia" w:ascii="方正仿宋_GBK" w:hAnsi="等线" w:cs="宋体"/>
                <w:b/>
                <w:bCs/>
                <w:color w:val="000000"/>
                <w:kern w:val="0"/>
                <w:sz w:val="22"/>
                <w:szCs w:val="22"/>
              </w:rPr>
              <w:t>项目</w:t>
            </w:r>
          </w:p>
        </w:tc>
        <w:tc>
          <w:tcPr>
            <w:tcW w:w="1337" w:type="dxa"/>
            <w:shd w:val="clear" w:color="auto" w:fill="auto"/>
            <w:vAlign w:val="center"/>
          </w:tcPr>
          <w:p>
            <w:pPr>
              <w:widowControl/>
              <w:spacing w:line="240" w:lineRule="atLeast"/>
              <w:ind w:firstLine="0" w:firstLineChars="0"/>
              <w:jc w:val="center"/>
              <w:rPr>
                <w:rFonts w:ascii="方正仿宋_GBK" w:hAnsi="等线" w:cs="宋体"/>
                <w:b/>
                <w:bCs/>
                <w:color w:val="000000"/>
                <w:kern w:val="0"/>
                <w:sz w:val="22"/>
                <w:szCs w:val="22"/>
              </w:rPr>
            </w:pPr>
            <w:r>
              <w:rPr>
                <w:rFonts w:hint="eastAsia" w:ascii="方正仿宋_GBK" w:hAnsi="等线" w:cs="宋体"/>
                <w:b/>
                <w:bCs/>
                <w:color w:val="000000"/>
                <w:kern w:val="0"/>
                <w:sz w:val="22"/>
                <w:szCs w:val="22"/>
              </w:rPr>
              <w:t>任务目标</w:t>
            </w:r>
          </w:p>
        </w:tc>
        <w:tc>
          <w:tcPr>
            <w:tcW w:w="1874" w:type="dxa"/>
            <w:shd w:val="clear" w:color="auto" w:fill="auto"/>
            <w:vAlign w:val="center"/>
          </w:tcPr>
          <w:p>
            <w:pPr>
              <w:widowControl/>
              <w:spacing w:line="240" w:lineRule="atLeast"/>
              <w:ind w:firstLine="0" w:firstLineChars="0"/>
              <w:jc w:val="center"/>
              <w:rPr>
                <w:rFonts w:ascii="方正仿宋_GBK" w:hAnsi="等线" w:cs="宋体"/>
                <w:b/>
                <w:bCs/>
                <w:color w:val="000000"/>
                <w:kern w:val="0"/>
                <w:sz w:val="22"/>
                <w:szCs w:val="22"/>
              </w:rPr>
            </w:pPr>
            <w:r>
              <w:rPr>
                <w:rFonts w:hint="eastAsia" w:ascii="方正仿宋_GBK" w:hAnsi="等线" w:cs="宋体"/>
                <w:b/>
                <w:bCs/>
                <w:color w:val="000000"/>
                <w:kern w:val="0"/>
                <w:sz w:val="22"/>
                <w:szCs w:val="22"/>
              </w:rPr>
              <w:t>完成年限</w:t>
            </w:r>
          </w:p>
        </w:tc>
        <w:tc>
          <w:tcPr>
            <w:tcW w:w="2995" w:type="dxa"/>
            <w:shd w:val="clear" w:color="auto" w:fill="auto"/>
            <w:vAlign w:val="center"/>
          </w:tcPr>
          <w:p>
            <w:pPr>
              <w:widowControl/>
              <w:spacing w:line="240" w:lineRule="atLeast"/>
              <w:ind w:firstLine="0" w:firstLineChars="0"/>
              <w:jc w:val="center"/>
              <w:rPr>
                <w:rFonts w:ascii="方正仿宋_GBK" w:hAnsi="等线" w:cs="宋体"/>
                <w:b/>
                <w:bCs/>
                <w:color w:val="000000"/>
                <w:kern w:val="0"/>
                <w:sz w:val="22"/>
                <w:szCs w:val="22"/>
              </w:rPr>
            </w:pPr>
            <w:r>
              <w:rPr>
                <w:rFonts w:hint="eastAsia" w:ascii="方正仿宋_GBK" w:hAnsi="等线" w:cs="宋体"/>
                <w:b/>
                <w:bCs/>
                <w:color w:val="000000"/>
                <w:kern w:val="0"/>
                <w:sz w:val="22"/>
                <w:szCs w:val="22"/>
              </w:rPr>
              <w:t>牵头单位</w:t>
            </w:r>
          </w:p>
        </w:tc>
        <w:tc>
          <w:tcPr>
            <w:tcW w:w="1721" w:type="dxa"/>
            <w:shd w:val="clear" w:color="auto" w:fill="auto"/>
            <w:vAlign w:val="center"/>
          </w:tcPr>
          <w:p>
            <w:pPr>
              <w:widowControl/>
              <w:spacing w:line="240" w:lineRule="atLeast"/>
              <w:ind w:firstLine="0" w:firstLineChars="0"/>
              <w:jc w:val="center"/>
              <w:rPr>
                <w:rFonts w:ascii="方正仿宋_GBK" w:hAnsi="等线" w:cs="宋体"/>
                <w:b/>
                <w:bCs/>
                <w:color w:val="000000"/>
                <w:kern w:val="0"/>
                <w:sz w:val="22"/>
                <w:szCs w:val="22"/>
              </w:rPr>
            </w:pPr>
            <w:r>
              <w:rPr>
                <w:rFonts w:hint="eastAsia" w:ascii="方正仿宋_GBK" w:hAnsi="等线" w:cs="宋体"/>
                <w:b/>
                <w:bCs/>
                <w:color w:val="000000"/>
                <w:kern w:val="0"/>
                <w:sz w:val="22"/>
                <w:szCs w:val="22"/>
              </w:rPr>
              <w:t>责任主体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634" w:type="dxa"/>
            <w:shd w:val="clear" w:color="auto" w:fill="auto"/>
            <w:vAlign w:val="center"/>
          </w:tcPr>
          <w:p>
            <w:pPr>
              <w:widowControl/>
              <w:spacing w:line="240" w:lineRule="atLeast"/>
              <w:ind w:firstLine="0" w:firstLineChars="0"/>
              <w:jc w:val="center"/>
              <w:rPr>
                <w:rFonts w:ascii="方正仿宋_GBK" w:hAnsi="等线" w:cs="宋体"/>
                <w:color w:val="000000"/>
                <w:kern w:val="0"/>
                <w:sz w:val="21"/>
                <w:szCs w:val="21"/>
              </w:rPr>
            </w:pPr>
            <w:r>
              <w:rPr>
                <w:rFonts w:hint="eastAsia" w:ascii="方正仿宋_GBK" w:hAnsi="等线" w:cs="宋体"/>
                <w:color w:val="000000"/>
                <w:kern w:val="0"/>
                <w:sz w:val="21"/>
                <w:szCs w:val="21"/>
              </w:rPr>
              <w:t>奉节县涉农乡镇（街道）</w:t>
            </w:r>
          </w:p>
        </w:tc>
        <w:tc>
          <w:tcPr>
            <w:tcW w:w="836" w:type="dxa"/>
            <w:shd w:val="clear" w:color="auto" w:fill="auto"/>
            <w:vAlign w:val="center"/>
          </w:tcPr>
          <w:p>
            <w:pPr>
              <w:widowControl/>
              <w:spacing w:line="240" w:lineRule="atLeast"/>
              <w:ind w:firstLine="0" w:firstLineChars="0"/>
              <w:jc w:val="center"/>
              <w:rPr>
                <w:rFonts w:ascii="方正仿宋_GBK" w:hAnsi="等线" w:cs="宋体"/>
                <w:color w:val="000000"/>
                <w:kern w:val="0"/>
                <w:sz w:val="21"/>
                <w:szCs w:val="21"/>
              </w:rPr>
            </w:pPr>
            <w:r>
              <w:rPr>
                <w:rFonts w:hint="eastAsia" w:ascii="方正仿宋_GBK" w:hAnsi="等线" w:cs="宋体"/>
                <w:color w:val="000000"/>
                <w:kern w:val="0"/>
                <w:sz w:val="21"/>
                <w:szCs w:val="21"/>
              </w:rPr>
              <w:t>散户</w:t>
            </w:r>
          </w:p>
        </w:tc>
        <w:tc>
          <w:tcPr>
            <w:tcW w:w="1409" w:type="dxa"/>
            <w:shd w:val="clear" w:color="auto" w:fill="auto"/>
            <w:vAlign w:val="center"/>
          </w:tcPr>
          <w:p>
            <w:pPr>
              <w:widowControl/>
              <w:spacing w:line="240" w:lineRule="atLeast"/>
              <w:ind w:firstLine="0" w:firstLineChars="0"/>
              <w:jc w:val="center"/>
              <w:rPr>
                <w:rFonts w:ascii="方正仿宋_GBK" w:hAnsi="等线" w:cs="宋体"/>
                <w:color w:val="000000"/>
                <w:kern w:val="0"/>
                <w:sz w:val="21"/>
                <w:szCs w:val="21"/>
              </w:rPr>
            </w:pPr>
            <w:r>
              <w:rPr>
                <w:rFonts w:hint="eastAsia" w:ascii="方正仿宋_GBK" w:hAnsi="等线" w:cs="宋体"/>
                <w:color w:val="000000"/>
                <w:kern w:val="0"/>
                <w:sz w:val="21"/>
                <w:szCs w:val="21"/>
              </w:rPr>
              <w:t>化粪池</w:t>
            </w:r>
            <w:r>
              <w:rPr>
                <w:rFonts w:ascii="方正仿宋_GBK" w:hAnsi="等线" w:cs="宋体"/>
                <w:color w:val="000000"/>
                <w:kern w:val="0"/>
                <w:sz w:val="21"/>
              </w:rPr>
              <w:t>+还田</w:t>
            </w:r>
          </w:p>
        </w:tc>
        <w:tc>
          <w:tcPr>
            <w:tcW w:w="1160" w:type="dxa"/>
            <w:shd w:val="clear" w:color="auto" w:fill="auto"/>
            <w:vAlign w:val="center"/>
          </w:tcPr>
          <w:p>
            <w:pPr>
              <w:widowControl/>
              <w:spacing w:line="240" w:lineRule="atLeast"/>
              <w:ind w:firstLine="0" w:firstLineChars="0"/>
              <w:jc w:val="center"/>
              <w:rPr>
                <w:rFonts w:ascii="方正仿宋_GBK" w:hAnsi="等线" w:cs="宋体"/>
                <w:color w:val="000000"/>
                <w:kern w:val="0"/>
                <w:sz w:val="21"/>
                <w:szCs w:val="21"/>
              </w:rPr>
            </w:pPr>
            <w:r>
              <w:rPr>
                <w:rFonts w:hint="eastAsia" w:ascii="方正仿宋_GBK" w:hAnsi="等线" w:cs="宋体"/>
                <w:color w:val="000000"/>
                <w:kern w:val="0"/>
                <w:sz w:val="21"/>
                <w:szCs w:val="21"/>
              </w:rPr>
              <w:t>卫生改厕</w:t>
            </w:r>
          </w:p>
        </w:tc>
        <w:tc>
          <w:tcPr>
            <w:tcW w:w="1337"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逐年提升</w:t>
            </w:r>
          </w:p>
        </w:tc>
        <w:tc>
          <w:tcPr>
            <w:tcW w:w="1874" w:type="dxa"/>
            <w:shd w:val="clear" w:color="auto" w:fill="auto"/>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2021-2025</w:t>
            </w:r>
          </w:p>
        </w:tc>
        <w:tc>
          <w:tcPr>
            <w:tcW w:w="2995" w:type="dxa"/>
            <w:shd w:val="clear" w:color="auto" w:fill="auto"/>
            <w:vAlign w:val="center"/>
          </w:tcPr>
          <w:p>
            <w:pPr>
              <w:widowControl/>
              <w:spacing w:line="240" w:lineRule="atLeast"/>
              <w:ind w:firstLine="0" w:firstLineChars="0"/>
              <w:jc w:val="center"/>
              <w:rPr>
                <w:rFonts w:ascii="方正仿宋_GBK" w:hAnsi="等线" w:cs="宋体"/>
                <w:color w:val="000000"/>
                <w:kern w:val="0"/>
                <w:sz w:val="21"/>
                <w:szCs w:val="21"/>
              </w:rPr>
            </w:pPr>
            <w:r>
              <w:rPr>
                <w:rFonts w:hint="eastAsia" w:ascii="方正仿宋_GBK" w:hAnsi="等线" w:cs="宋体"/>
                <w:color w:val="000000"/>
                <w:kern w:val="0"/>
                <w:sz w:val="21"/>
                <w:szCs w:val="21"/>
              </w:rPr>
              <w:t>县农业农村委、</w:t>
            </w:r>
            <w:r>
              <w:rPr>
                <w:rFonts w:hint="eastAsia" w:ascii="Times New Roman" w:hAnsi="Times New Roman" w:cs="宋体"/>
                <w:color w:val="000000"/>
                <w:kern w:val="0"/>
                <w:sz w:val="21"/>
                <w:szCs w:val="22"/>
              </w:rPr>
              <w:t>县卫生健康委</w:t>
            </w:r>
          </w:p>
        </w:tc>
        <w:tc>
          <w:tcPr>
            <w:tcW w:w="1721" w:type="dxa"/>
            <w:shd w:val="clear" w:color="auto" w:fill="auto"/>
            <w:vAlign w:val="center"/>
          </w:tcPr>
          <w:p>
            <w:pPr>
              <w:widowControl/>
              <w:spacing w:line="240" w:lineRule="atLeast"/>
              <w:ind w:firstLine="0" w:firstLineChars="0"/>
              <w:jc w:val="center"/>
              <w:rPr>
                <w:rFonts w:ascii="方正仿宋_GBK" w:hAnsi="等线" w:cs="宋体"/>
                <w:color w:val="000000"/>
                <w:kern w:val="0"/>
                <w:sz w:val="21"/>
                <w:szCs w:val="21"/>
              </w:rPr>
            </w:pPr>
            <w:r>
              <w:rPr>
                <w:rFonts w:hint="eastAsia" w:ascii="方正仿宋_GBK" w:hAnsi="等线" w:cs="宋体"/>
                <w:color w:val="000000"/>
                <w:kern w:val="0"/>
                <w:sz w:val="21"/>
                <w:szCs w:val="21"/>
              </w:rPr>
              <w:t>涉农乡镇（街道）</w:t>
            </w:r>
          </w:p>
        </w:tc>
      </w:tr>
    </w:tbl>
    <w:p>
      <w:pPr>
        <w:widowControl/>
        <w:spacing w:line="240" w:lineRule="auto"/>
        <w:ind w:firstLine="0" w:firstLineChars="0"/>
        <w:jc w:val="left"/>
        <w:rPr>
          <w:rFonts w:ascii="宋体" w:hAnsi="宋体" w:eastAsia="宋体" w:cs="宋体"/>
        </w:rPr>
      </w:pPr>
      <w:r>
        <w:rPr>
          <w:rFonts w:ascii="宋体" w:hAnsi="宋体" w:eastAsia="宋体" w:cs="宋体"/>
        </w:rPr>
        <w:br w:type="page"/>
      </w:r>
    </w:p>
    <w:p>
      <w:pPr>
        <w:pStyle w:val="4"/>
        <w:ind w:firstLine="640"/>
      </w:pPr>
      <w:r>
        <w:rPr>
          <w:rFonts w:hint="eastAsia"/>
        </w:rPr>
        <w:t>附件7 奉节县现有农村生活污水处理设施基本情况一览表</w:t>
      </w:r>
    </w:p>
    <w:tbl>
      <w:tblPr>
        <w:tblStyle w:val="43"/>
        <w:tblW w:w="127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9"/>
        <w:gridCol w:w="1212"/>
        <w:gridCol w:w="951"/>
        <w:gridCol w:w="1519"/>
        <w:gridCol w:w="1468"/>
        <w:gridCol w:w="1140"/>
        <w:gridCol w:w="1186"/>
        <w:gridCol w:w="1110"/>
        <w:gridCol w:w="1422"/>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00" w:hRule="atLeast"/>
          <w:tblHeader/>
          <w:jc w:val="center"/>
        </w:trPr>
        <w:tc>
          <w:tcPr>
            <w:tcW w:w="999" w:type="dxa"/>
            <w:vMerge w:val="restart"/>
            <w:shd w:val="clear" w:color="auto" w:fill="auto"/>
            <w:tcMar>
              <w:top w:w="12" w:type="dxa"/>
              <w:left w:w="12" w:type="dxa"/>
              <w:right w:w="12" w:type="dxa"/>
            </w:tcMar>
            <w:vAlign w:val="center"/>
          </w:tcPr>
          <w:p>
            <w:pPr>
              <w:widowControl/>
              <w:adjustRightInd w:val="0"/>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序号</w:t>
            </w:r>
          </w:p>
        </w:tc>
        <w:tc>
          <w:tcPr>
            <w:tcW w:w="1212" w:type="dxa"/>
            <w:vMerge w:val="restart"/>
            <w:shd w:val="clear" w:color="auto" w:fill="auto"/>
            <w:tcMar>
              <w:top w:w="12" w:type="dxa"/>
              <w:left w:w="12" w:type="dxa"/>
              <w:right w:w="12" w:type="dxa"/>
            </w:tcMar>
            <w:vAlign w:val="center"/>
          </w:tcPr>
          <w:p>
            <w:pPr>
              <w:widowControl/>
              <w:adjustRightInd w:val="0"/>
              <w:snapToGrid w:val="0"/>
              <w:spacing w:line="240" w:lineRule="atLeast"/>
              <w:ind w:firstLine="0" w:firstLineChars="0"/>
              <w:jc w:val="center"/>
              <w:rPr>
                <w:rFonts w:ascii="Times New Roman" w:hAnsi="Times New Roman" w:cs="宋体"/>
                <w:b/>
                <w:bCs/>
                <w:color w:val="000000"/>
                <w:kern w:val="0"/>
                <w:sz w:val="21"/>
                <w:szCs w:val="20"/>
              </w:rPr>
            </w:pPr>
            <w:r>
              <w:rPr>
                <w:rFonts w:ascii="Times New Roman" w:hAnsi="Times New Roman" w:cs="宋体"/>
                <w:b/>
                <w:bCs/>
                <w:color w:val="000000"/>
                <w:kern w:val="0"/>
                <w:sz w:val="21"/>
                <w:szCs w:val="20"/>
              </w:rPr>
              <w:t>乡镇</w:t>
            </w:r>
            <w:r>
              <w:rPr>
                <w:rFonts w:hint="eastAsia" w:ascii="Times New Roman" w:hAnsi="Times New Roman" w:cs="宋体"/>
                <w:b/>
                <w:bCs/>
                <w:color w:val="000000"/>
                <w:kern w:val="0"/>
                <w:sz w:val="21"/>
                <w:szCs w:val="22"/>
              </w:rPr>
              <w:t>（街道）</w:t>
            </w:r>
          </w:p>
        </w:tc>
        <w:tc>
          <w:tcPr>
            <w:tcW w:w="951" w:type="dxa"/>
            <w:vMerge w:val="restart"/>
            <w:shd w:val="clear" w:color="auto" w:fill="auto"/>
            <w:tcMar>
              <w:top w:w="12" w:type="dxa"/>
              <w:left w:w="12" w:type="dxa"/>
              <w:right w:w="12" w:type="dxa"/>
            </w:tcMar>
            <w:vAlign w:val="center"/>
          </w:tcPr>
          <w:p>
            <w:pPr>
              <w:widowControl/>
              <w:adjustRightInd w:val="0"/>
              <w:snapToGrid w:val="0"/>
              <w:spacing w:line="240" w:lineRule="atLeast"/>
              <w:ind w:firstLine="0" w:firstLineChars="0"/>
              <w:jc w:val="center"/>
              <w:rPr>
                <w:rFonts w:ascii="Times New Roman" w:hAnsi="Times New Roman" w:cs="宋体"/>
                <w:b/>
                <w:bCs/>
                <w:color w:val="000000"/>
                <w:kern w:val="0"/>
                <w:sz w:val="21"/>
                <w:szCs w:val="20"/>
              </w:rPr>
            </w:pPr>
            <w:r>
              <w:rPr>
                <w:rFonts w:ascii="Times New Roman" w:hAnsi="Times New Roman" w:cs="宋体"/>
                <w:b/>
                <w:bCs/>
                <w:color w:val="000000"/>
                <w:kern w:val="0"/>
                <w:sz w:val="21"/>
                <w:szCs w:val="20"/>
              </w:rPr>
              <w:t>村(</w:t>
            </w:r>
            <w:r>
              <w:rPr>
                <w:rFonts w:hint="eastAsia" w:ascii="Times New Roman" w:hAnsi="Times New Roman" w:cs="宋体"/>
                <w:b/>
                <w:bCs/>
                <w:color w:val="000000"/>
                <w:kern w:val="0"/>
                <w:sz w:val="21"/>
                <w:szCs w:val="20"/>
              </w:rPr>
              <w:t>社区</w:t>
            </w:r>
            <w:r>
              <w:rPr>
                <w:rFonts w:ascii="Times New Roman" w:hAnsi="Times New Roman" w:cs="宋体"/>
                <w:b/>
                <w:bCs/>
                <w:color w:val="000000"/>
                <w:kern w:val="0"/>
                <w:sz w:val="21"/>
                <w:szCs w:val="20"/>
              </w:rPr>
              <w:t>)</w:t>
            </w:r>
          </w:p>
        </w:tc>
        <w:tc>
          <w:tcPr>
            <w:tcW w:w="1519" w:type="dxa"/>
            <w:vMerge w:val="restart"/>
            <w:shd w:val="clear" w:color="auto" w:fill="auto"/>
            <w:tcMar>
              <w:top w:w="12" w:type="dxa"/>
              <w:left w:w="12" w:type="dxa"/>
              <w:right w:w="12" w:type="dxa"/>
            </w:tcMar>
            <w:vAlign w:val="center"/>
          </w:tcPr>
          <w:p>
            <w:pPr>
              <w:widowControl/>
              <w:adjustRightInd w:val="0"/>
              <w:snapToGrid w:val="0"/>
              <w:spacing w:line="240" w:lineRule="atLeast"/>
              <w:ind w:firstLine="0" w:firstLineChars="0"/>
              <w:jc w:val="center"/>
              <w:rPr>
                <w:rFonts w:ascii="Times New Roman" w:hAnsi="Times New Roman" w:cs="宋体"/>
                <w:b/>
                <w:bCs/>
                <w:color w:val="000000"/>
                <w:kern w:val="0"/>
                <w:sz w:val="21"/>
                <w:szCs w:val="20"/>
              </w:rPr>
            </w:pPr>
            <w:r>
              <w:rPr>
                <w:rFonts w:ascii="Times New Roman" w:hAnsi="Times New Roman" w:cs="宋体"/>
                <w:b/>
                <w:bCs/>
                <w:color w:val="000000"/>
                <w:kern w:val="0"/>
                <w:sz w:val="21"/>
                <w:szCs w:val="20"/>
              </w:rPr>
              <w:t>名称</w:t>
            </w:r>
          </w:p>
        </w:tc>
        <w:tc>
          <w:tcPr>
            <w:tcW w:w="1468" w:type="dxa"/>
            <w:vMerge w:val="restart"/>
            <w:shd w:val="clear" w:color="auto" w:fill="auto"/>
            <w:tcMar>
              <w:top w:w="12" w:type="dxa"/>
              <w:left w:w="12" w:type="dxa"/>
              <w:right w:w="12" w:type="dxa"/>
            </w:tcMar>
            <w:vAlign w:val="center"/>
          </w:tcPr>
          <w:p>
            <w:pPr>
              <w:widowControl/>
              <w:adjustRightInd w:val="0"/>
              <w:snapToGrid w:val="0"/>
              <w:spacing w:line="240" w:lineRule="atLeast"/>
              <w:ind w:firstLine="0" w:firstLineChars="0"/>
              <w:jc w:val="center"/>
              <w:rPr>
                <w:rFonts w:ascii="Times New Roman" w:hAnsi="Times New Roman" w:cs="宋体"/>
                <w:b/>
                <w:bCs/>
                <w:color w:val="000000"/>
                <w:kern w:val="0"/>
                <w:sz w:val="21"/>
                <w:szCs w:val="20"/>
              </w:rPr>
            </w:pPr>
            <w:r>
              <w:rPr>
                <w:rFonts w:ascii="Times New Roman" w:hAnsi="Times New Roman" w:cs="宋体"/>
                <w:b/>
                <w:bCs/>
                <w:color w:val="000000"/>
                <w:kern w:val="0"/>
                <w:sz w:val="21"/>
                <w:szCs w:val="20"/>
              </w:rPr>
              <w:t>处理工艺</w:t>
            </w:r>
          </w:p>
        </w:tc>
        <w:tc>
          <w:tcPr>
            <w:tcW w:w="1140" w:type="dxa"/>
            <w:vMerge w:val="restart"/>
            <w:shd w:val="clear" w:color="auto" w:fill="auto"/>
            <w:tcMar>
              <w:top w:w="12" w:type="dxa"/>
              <w:left w:w="12" w:type="dxa"/>
              <w:right w:w="12" w:type="dxa"/>
            </w:tcMar>
            <w:vAlign w:val="center"/>
          </w:tcPr>
          <w:p>
            <w:pPr>
              <w:widowControl/>
              <w:adjustRightInd w:val="0"/>
              <w:snapToGrid w:val="0"/>
              <w:spacing w:line="240" w:lineRule="atLeast"/>
              <w:ind w:firstLine="0" w:firstLineChars="0"/>
              <w:jc w:val="center"/>
              <w:rPr>
                <w:rFonts w:ascii="Times New Roman" w:hAnsi="Times New Roman" w:cs="宋体"/>
                <w:b/>
                <w:bCs/>
                <w:color w:val="000000"/>
                <w:kern w:val="0"/>
                <w:sz w:val="21"/>
                <w:szCs w:val="20"/>
              </w:rPr>
            </w:pPr>
            <w:r>
              <w:rPr>
                <w:rFonts w:ascii="Times New Roman" w:hAnsi="Times New Roman" w:cs="宋体"/>
                <w:b/>
                <w:bCs/>
                <w:color w:val="000000"/>
                <w:kern w:val="0"/>
                <w:sz w:val="21"/>
                <w:szCs w:val="20"/>
              </w:rPr>
              <w:t>处理规模</w:t>
            </w:r>
          </w:p>
          <w:p>
            <w:pPr>
              <w:widowControl/>
              <w:adjustRightInd w:val="0"/>
              <w:snapToGrid w:val="0"/>
              <w:spacing w:line="240" w:lineRule="atLeast"/>
              <w:ind w:firstLine="0" w:firstLineChars="0"/>
              <w:jc w:val="center"/>
              <w:rPr>
                <w:rFonts w:ascii="Times New Roman" w:hAnsi="Times New Roman" w:cs="宋体"/>
                <w:b/>
                <w:bCs/>
                <w:color w:val="000000"/>
                <w:kern w:val="0"/>
                <w:sz w:val="21"/>
                <w:szCs w:val="20"/>
              </w:rPr>
            </w:pPr>
            <w:r>
              <w:rPr>
                <w:rFonts w:hint="eastAsia" w:ascii="Times New Roman" w:hAnsi="Times New Roman" w:cs="宋体"/>
                <w:b/>
                <w:bCs/>
                <w:color w:val="000000"/>
                <w:kern w:val="0"/>
                <w:sz w:val="21"/>
                <w:szCs w:val="20"/>
              </w:rPr>
              <w:t>(t/d)</w:t>
            </w:r>
          </w:p>
        </w:tc>
        <w:tc>
          <w:tcPr>
            <w:tcW w:w="1186" w:type="dxa"/>
            <w:vMerge w:val="restart"/>
            <w:shd w:val="clear" w:color="auto" w:fill="auto"/>
            <w:tcMar>
              <w:top w:w="12" w:type="dxa"/>
              <w:left w:w="12" w:type="dxa"/>
              <w:right w:w="12" w:type="dxa"/>
            </w:tcMar>
            <w:vAlign w:val="center"/>
          </w:tcPr>
          <w:p>
            <w:pPr>
              <w:widowControl/>
              <w:adjustRightInd w:val="0"/>
              <w:snapToGrid w:val="0"/>
              <w:spacing w:line="240" w:lineRule="atLeast"/>
              <w:ind w:firstLine="0" w:firstLineChars="0"/>
              <w:jc w:val="center"/>
              <w:rPr>
                <w:rFonts w:ascii="Times New Roman" w:hAnsi="Times New Roman" w:cs="宋体"/>
                <w:b/>
                <w:bCs/>
                <w:color w:val="000000"/>
                <w:kern w:val="0"/>
                <w:sz w:val="21"/>
                <w:szCs w:val="20"/>
              </w:rPr>
            </w:pPr>
            <w:r>
              <w:rPr>
                <w:rFonts w:ascii="Times New Roman" w:hAnsi="Times New Roman" w:cs="宋体"/>
                <w:b/>
                <w:bCs/>
                <w:color w:val="000000"/>
                <w:kern w:val="0"/>
                <w:sz w:val="21"/>
                <w:szCs w:val="20"/>
              </w:rPr>
              <w:t>是否运行</w:t>
            </w:r>
          </w:p>
        </w:tc>
        <w:tc>
          <w:tcPr>
            <w:tcW w:w="1110" w:type="dxa"/>
            <w:vMerge w:val="restart"/>
            <w:shd w:val="clear" w:color="auto" w:fill="auto"/>
            <w:tcMar>
              <w:top w:w="12" w:type="dxa"/>
              <w:left w:w="12" w:type="dxa"/>
              <w:right w:w="12" w:type="dxa"/>
            </w:tcMar>
            <w:vAlign w:val="center"/>
          </w:tcPr>
          <w:p>
            <w:pPr>
              <w:widowControl/>
              <w:adjustRightInd w:val="0"/>
              <w:snapToGrid w:val="0"/>
              <w:spacing w:line="240" w:lineRule="atLeast"/>
              <w:ind w:firstLine="0" w:firstLineChars="0"/>
              <w:jc w:val="center"/>
              <w:rPr>
                <w:rFonts w:ascii="Times New Roman" w:hAnsi="Times New Roman" w:cs="宋体"/>
                <w:b/>
                <w:bCs/>
                <w:color w:val="000000"/>
                <w:kern w:val="0"/>
                <w:sz w:val="21"/>
                <w:szCs w:val="20"/>
              </w:rPr>
            </w:pPr>
            <w:r>
              <w:rPr>
                <w:rFonts w:ascii="Times New Roman" w:hAnsi="Times New Roman" w:cs="宋体"/>
                <w:b/>
                <w:bCs/>
                <w:color w:val="000000"/>
                <w:kern w:val="0"/>
                <w:sz w:val="21"/>
                <w:szCs w:val="20"/>
              </w:rPr>
              <w:t>是否运维</w:t>
            </w:r>
          </w:p>
        </w:tc>
        <w:tc>
          <w:tcPr>
            <w:tcW w:w="1422" w:type="dxa"/>
            <w:vMerge w:val="restart"/>
            <w:shd w:val="clear" w:color="auto" w:fill="auto"/>
            <w:tcMar>
              <w:top w:w="12" w:type="dxa"/>
              <w:left w:w="12" w:type="dxa"/>
              <w:right w:w="12" w:type="dxa"/>
            </w:tcMar>
            <w:vAlign w:val="center"/>
          </w:tcPr>
          <w:p>
            <w:pPr>
              <w:widowControl/>
              <w:adjustRightInd w:val="0"/>
              <w:snapToGrid w:val="0"/>
              <w:spacing w:line="240" w:lineRule="atLeast"/>
              <w:ind w:firstLine="0" w:firstLineChars="0"/>
              <w:jc w:val="center"/>
              <w:rPr>
                <w:rFonts w:ascii="Times New Roman" w:hAnsi="Times New Roman" w:cs="宋体"/>
                <w:b/>
                <w:bCs/>
                <w:color w:val="000000"/>
                <w:kern w:val="0"/>
                <w:sz w:val="21"/>
                <w:szCs w:val="20"/>
              </w:rPr>
            </w:pPr>
            <w:r>
              <w:rPr>
                <w:rFonts w:ascii="Times New Roman" w:hAnsi="Times New Roman" w:cs="宋体"/>
                <w:b/>
                <w:bCs/>
                <w:color w:val="000000"/>
                <w:kern w:val="0"/>
                <w:sz w:val="21"/>
                <w:szCs w:val="20"/>
              </w:rPr>
              <w:t>运营单位</w:t>
            </w:r>
          </w:p>
        </w:tc>
        <w:tc>
          <w:tcPr>
            <w:tcW w:w="1764" w:type="dxa"/>
            <w:vMerge w:val="restart"/>
            <w:shd w:val="clear" w:color="auto" w:fill="auto"/>
            <w:tcMar>
              <w:top w:w="12" w:type="dxa"/>
              <w:left w:w="12" w:type="dxa"/>
              <w:right w:w="12" w:type="dxa"/>
            </w:tcMar>
            <w:vAlign w:val="center"/>
          </w:tcPr>
          <w:p>
            <w:pPr>
              <w:widowControl/>
              <w:adjustRightInd w:val="0"/>
              <w:snapToGrid w:val="0"/>
              <w:spacing w:line="240" w:lineRule="atLeast"/>
              <w:ind w:firstLine="0" w:firstLineChars="0"/>
              <w:jc w:val="center"/>
              <w:rPr>
                <w:rFonts w:ascii="Times New Roman" w:hAnsi="Times New Roman" w:cs="宋体"/>
                <w:b/>
                <w:bCs/>
                <w:color w:val="000000"/>
                <w:kern w:val="0"/>
                <w:sz w:val="21"/>
                <w:szCs w:val="20"/>
              </w:rPr>
            </w:pPr>
            <w:r>
              <w:rPr>
                <w:rFonts w:ascii="Times New Roman" w:hAnsi="Times New Roman" w:cs="宋体"/>
                <w:b/>
                <w:bCs/>
                <w:color w:val="000000"/>
                <w:kern w:val="0"/>
                <w:sz w:val="21"/>
                <w:szCs w:val="20"/>
              </w:rPr>
              <w:t>主要问题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5" w:hRule="atLeast"/>
          <w:jc w:val="center"/>
        </w:trPr>
        <w:tc>
          <w:tcPr>
            <w:tcW w:w="999" w:type="dxa"/>
            <w:vMerge w:val="continue"/>
            <w:shd w:val="clear" w:color="auto" w:fill="auto"/>
            <w:tcMar>
              <w:top w:w="12" w:type="dxa"/>
              <w:left w:w="12" w:type="dxa"/>
              <w:right w:w="12" w:type="dxa"/>
            </w:tcMar>
            <w:vAlign w:val="center"/>
          </w:tcPr>
          <w:p>
            <w:pPr>
              <w:spacing w:line="240" w:lineRule="atLeast"/>
              <w:ind w:firstLine="422"/>
              <w:jc w:val="center"/>
              <w:rPr>
                <w:rFonts w:ascii="Times New Roman" w:hAnsi="Times New Roman" w:cs="方正仿宋_GBK"/>
                <w:b/>
                <w:color w:val="000000"/>
                <w:sz w:val="21"/>
                <w:szCs w:val="21"/>
              </w:rPr>
            </w:pPr>
          </w:p>
        </w:tc>
        <w:tc>
          <w:tcPr>
            <w:tcW w:w="1212" w:type="dxa"/>
            <w:vMerge w:val="continue"/>
            <w:shd w:val="clear" w:color="auto" w:fill="auto"/>
            <w:tcMar>
              <w:top w:w="12" w:type="dxa"/>
              <w:left w:w="12" w:type="dxa"/>
              <w:right w:w="12" w:type="dxa"/>
            </w:tcMar>
            <w:vAlign w:val="center"/>
          </w:tcPr>
          <w:p>
            <w:pPr>
              <w:spacing w:line="240" w:lineRule="atLeast"/>
              <w:ind w:firstLine="422"/>
              <w:jc w:val="center"/>
              <w:rPr>
                <w:rFonts w:ascii="Times New Roman" w:hAnsi="Times New Roman" w:eastAsia="宋体"/>
                <w:b/>
                <w:color w:val="000000"/>
                <w:sz w:val="21"/>
                <w:szCs w:val="21"/>
              </w:rPr>
            </w:pPr>
          </w:p>
        </w:tc>
        <w:tc>
          <w:tcPr>
            <w:tcW w:w="951" w:type="dxa"/>
            <w:vMerge w:val="continue"/>
            <w:shd w:val="clear" w:color="auto" w:fill="auto"/>
            <w:tcMar>
              <w:top w:w="12" w:type="dxa"/>
              <w:left w:w="12" w:type="dxa"/>
              <w:right w:w="12" w:type="dxa"/>
            </w:tcMar>
            <w:vAlign w:val="center"/>
          </w:tcPr>
          <w:p>
            <w:pPr>
              <w:spacing w:line="240" w:lineRule="atLeast"/>
              <w:ind w:firstLine="422"/>
              <w:jc w:val="center"/>
              <w:rPr>
                <w:rFonts w:ascii="Times New Roman" w:hAnsi="Times New Roman" w:eastAsia="宋体"/>
                <w:b/>
                <w:color w:val="000000"/>
                <w:sz w:val="21"/>
                <w:szCs w:val="21"/>
              </w:rPr>
            </w:pPr>
          </w:p>
        </w:tc>
        <w:tc>
          <w:tcPr>
            <w:tcW w:w="1519" w:type="dxa"/>
            <w:vMerge w:val="continue"/>
            <w:shd w:val="clear" w:color="auto" w:fill="auto"/>
            <w:tcMar>
              <w:top w:w="12" w:type="dxa"/>
              <w:left w:w="12" w:type="dxa"/>
              <w:right w:w="12" w:type="dxa"/>
            </w:tcMar>
            <w:vAlign w:val="center"/>
          </w:tcPr>
          <w:p>
            <w:pPr>
              <w:spacing w:line="240" w:lineRule="atLeast"/>
              <w:ind w:firstLine="422"/>
              <w:jc w:val="center"/>
              <w:rPr>
                <w:rFonts w:ascii="Times New Roman" w:hAnsi="Times New Roman" w:eastAsia="宋体"/>
                <w:b/>
                <w:color w:val="000000"/>
                <w:sz w:val="21"/>
                <w:szCs w:val="21"/>
              </w:rPr>
            </w:pPr>
          </w:p>
        </w:tc>
        <w:tc>
          <w:tcPr>
            <w:tcW w:w="1468" w:type="dxa"/>
            <w:vMerge w:val="continue"/>
            <w:shd w:val="clear" w:color="auto" w:fill="auto"/>
            <w:tcMar>
              <w:top w:w="12" w:type="dxa"/>
              <w:left w:w="12" w:type="dxa"/>
              <w:right w:w="12" w:type="dxa"/>
            </w:tcMar>
            <w:vAlign w:val="center"/>
          </w:tcPr>
          <w:p>
            <w:pPr>
              <w:spacing w:line="240" w:lineRule="atLeast"/>
              <w:ind w:firstLine="422"/>
              <w:jc w:val="center"/>
              <w:rPr>
                <w:rFonts w:ascii="Times New Roman" w:hAnsi="Times New Roman" w:eastAsia="宋体"/>
                <w:b/>
                <w:color w:val="000000"/>
                <w:sz w:val="21"/>
                <w:szCs w:val="21"/>
              </w:rPr>
            </w:pPr>
          </w:p>
        </w:tc>
        <w:tc>
          <w:tcPr>
            <w:tcW w:w="1140" w:type="dxa"/>
            <w:vMerge w:val="continue"/>
            <w:shd w:val="clear" w:color="auto" w:fill="auto"/>
            <w:tcMar>
              <w:top w:w="12" w:type="dxa"/>
              <w:left w:w="12" w:type="dxa"/>
              <w:right w:w="12" w:type="dxa"/>
            </w:tcMar>
            <w:vAlign w:val="center"/>
          </w:tcPr>
          <w:p>
            <w:pPr>
              <w:spacing w:line="240" w:lineRule="atLeast"/>
              <w:ind w:firstLine="422"/>
              <w:jc w:val="center"/>
              <w:rPr>
                <w:rFonts w:ascii="Times New Roman" w:hAnsi="Times New Roman" w:eastAsia="宋体"/>
                <w:b/>
                <w:color w:val="000000"/>
                <w:sz w:val="21"/>
                <w:szCs w:val="21"/>
              </w:rPr>
            </w:pPr>
          </w:p>
        </w:tc>
        <w:tc>
          <w:tcPr>
            <w:tcW w:w="1186" w:type="dxa"/>
            <w:vMerge w:val="continue"/>
            <w:shd w:val="clear" w:color="auto" w:fill="auto"/>
            <w:tcMar>
              <w:top w:w="12" w:type="dxa"/>
              <w:left w:w="12" w:type="dxa"/>
              <w:right w:w="12" w:type="dxa"/>
            </w:tcMar>
            <w:vAlign w:val="center"/>
          </w:tcPr>
          <w:p>
            <w:pPr>
              <w:spacing w:line="240" w:lineRule="atLeast"/>
              <w:ind w:firstLine="422"/>
              <w:jc w:val="center"/>
              <w:rPr>
                <w:rFonts w:ascii="Times New Roman" w:hAnsi="Times New Roman" w:eastAsia="宋体"/>
                <w:b/>
                <w:color w:val="000000"/>
                <w:sz w:val="21"/>
                <w:szCs w:val="21"/>
              </w:rPr>
            </w:pPr>
          </w:p>
        </w:tc>
        <w:tc>
          <w:tcPr>
            <w:tcW w:w="1110" w:type="dxa"/>
            <w:vMerge w:val="continue"/>
            <w:shd w:val="clear" w:color="auto" w:fill="auto"/>
            <w:tcMar>
              <w:top w:w="12" w:type="dxa"/>
              <w:left w:w="12" w:type="dxa"/>
              <w:right w:w="12" w:type="dxa"/>
            </w:tcMar>
            <w:vAlign w:val="center"/>
          </w:tcPr>
          <w:p>
            <w:pPr>
              <w:spacing w:line="240" w:lineRule="atLeast"/>
              <w:ind w:firstLine="422"/>
              <w:jc w:val="center"/>
              <w:rPr>
                <w:rFonts w:ascii="Times New Roman" w:hAnsi="Times New Roman" w:eastAsia="宋体"/>
                <w:b/>
                <w:color w:val="000000"/>
                <w:sz w:val="21"/>
                <w:szCs w:val="21"/>
              </w:rPr>
            </w:pPr>
          </w:p>
        </w:tc>
        <w:tc>
          <w:tcPr>
            <w:tcW w:w="1422" w:type="dxa"/>
            <w:vMerge w:val="continue"/>
            <w:shd w:val="clear" w:color="auto" w:fill="auto"/>
            <w:tcMar>
              <w:top w:w="12" w:type="dxa"/>
              <w:left w:w="12" w:type="dxa"/>
              <w:right w:w="12" w:type="dxa"/>
            </w:tcMar>
            <w:vAlign w:val="center"/>
          </w:tcPr>
          <w:p>
            <w:pPr>
              <w:spacing w:line="240" w:lineRule="atLeast"/>
              <w:ind w:firstLine="422"/>
              <w:jc w:val="center"/>
              <w:rPr>
                <w:rFonts w:ascii="Times New Roman" w:hAnsi="Times New Roman" w:eastAsia="宋体"/>
                <w:b/>
                <w:color w:val="000000"/>
                <w:sz w:val="21"/>
                <w:szCs w:val="21"/>
              </w:rPr>
            </w:pPr>
          </w:p>
        </w:tc>
        <w:tc>
          <w:tcPr>
            <w:tcW w:w="1764" w:type="dxa"/>
            <w:vMerge w:val="continue"/>
            <w:shd w:val="clear" w:color="auto" w:fill="auto"/>
            <w:tcMar>
              <w:top w:w="12" w:type="dxa"/>
              <w:left w:w="12" w:type="dxa"/>
              <w:right w:w="12" w:type="dxa"/>
            </w:tcMar>
            <w:vAlign w:val="center"/>
          </w:tcPr>
          <w:p>
            <w:pPr>
              <w:spacing w:line="240" w:lineRule="atLeast"/>
              <w:ind w:firstLine="422"/>
              <w:jc w:val="center"/>
              <w:rPr>
                <w:rFonts w:ascii="Times New Roman" w:hAnsi="Times New Roman" w:eastAsia="宋体"/>
                <w:b/>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安坪镇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小治村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小治村污水处理站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生物处理</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白帝镇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九盘村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九盘村污水处理厂</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生物+生态</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否</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草堂镇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竹坪村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竹坪村污水处理站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生物+生态</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80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市环投公司</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43"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4</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大树镇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青莲村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大树镇青莲村污水处理站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生态处理</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否</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43"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冯坪乡</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明堂村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冯坪乡明堂村污水处理厂</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生态处理</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市环投公司</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43"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公平镇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青正社区居</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青正社区污水处理站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生物+生态</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60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村社运行</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7</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公平镇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大寨村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大寨污水处理站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生物+生态</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村社运行</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8</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公平镇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公平社区居</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公平镇公平社区简易污水处理站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MBR</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9</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鹤峰乡</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青杠村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鹤峰乡青杠村安置点简易污水处理站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MBR</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否</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管网未接入污水处理站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鹤峰乡</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长连村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鹤峰乡长连安置点简易污水处理站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MBR</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否</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管网未接入污水处理站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11</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甲高镇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红龙社区居</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甲高镇红龙安置点简易污水处理站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MBR</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250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否</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管网建设不完善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95"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12</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甲高镇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合营村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甲高镇合营社区安置点简易污水处理站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MBR</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150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管网堵塞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13</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康乐镇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横路社区居</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奉节县康乐镇横路污水处理厂</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生物处理</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市环投公司</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95"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14</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康乐镇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铁佛村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康乐镇铁佛珠海安置点简易污水处理站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MBR</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150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15</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平安乡</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桃树村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平安乡桃树村安置点简易污水处理站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生物处理</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16</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平安乡</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文昌村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平安乡文昌村安置点简易污水处理站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生态处理</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市环投公司</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17</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平安乡</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双店村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平安乡双店村安置点简易污水处理站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生物处理</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否</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43"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18</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平安乡</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和平村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平安乡和平村安置点简易污水处理站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生物处理</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市环投公司</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19</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青莲镇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建民村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青莲镇建农安置点简易污水处理站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MBR</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32"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青莲镇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金凤村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青莲镇金凤安置点简易污水处理站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MBR</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部分居民点未接入污水处理站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43"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21</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青龙镇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苟家社区</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青龙镇苟家污水处理站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生物处理</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80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否</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否</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22</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青龙镇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覃家村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青龙镇柑坪安置点简易污水处理站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MBR</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否</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23</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石岗乡</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瓦坪村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瓦坪村污水处理站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生物处理</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140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95"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24</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太和土家族乡</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金子村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太和乡金子场镇安置点简易污水处理站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MBR</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25</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吐祥镇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白蜡村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白蜡污水处理厂</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生物处理</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32</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43"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26</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吐祥镇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燕子村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燕子污水处理厂</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生态处理</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25</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27</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吐祥镇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大庄村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吐祥镇大庄村安置点简易污水处理站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MBR</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否</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28</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五马镇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大木村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五马大木安置点简易污水处理站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MBR</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否</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管网未接入污水处理站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29</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五马镇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弘杨村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五马镇弘扬安置点简易污水处理站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MBR</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否</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43"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30</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新民镇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中兴村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中兴村4组污水处理站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生物处理</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43"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31</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新民镇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中兴村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中兴村1组污水处理站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MBR</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否</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43"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32</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新民镇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九树社区</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九树社区污水处理厂</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生态处理</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否</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43"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33</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兴隆镇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荆竹社区</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荆竹社区污水处理厂</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生态处理</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34</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永乐镇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铁甲村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铁甲污水处理站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生物+生态</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市环投公司</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95"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35</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永乐镇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陈家社区居</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永乐镇陈家社区安置点简易污水处理站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MBR</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40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36</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永乐镇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长凼村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永乐镇长凼安置点简易污水处理站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MBR</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100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37</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朱衣镇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双碾村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双碾村污水处理站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MBR</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200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否</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43"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38</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竹园镇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九龙村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竹园高治污水处理厂</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生物处理</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800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否</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9" w:hRule="atLeast"/>
          <w:jc w:val="center"/>
        </w:trPr>
        <w:tc>
          <w:tcPr>
            <w:tcW w:w="99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39</w:t>
            </w:r>
          </w:p>
        </w:tc>
        <w:tc>
          <w:tcPr>
            <w:tcW w:w="121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竹园镇</w:t>
            </w:r>
          </w:p>
        </w:tc>
        <w:tc>
          <w:tcPr>
            <w:tcW w:w="951"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华吉村</w:t>
            </w:r>
          </w:p>
        </w:tc>
        <w:tc>
          <w:tcPr>
            <w:tcW w:w="1519"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华吉污水处理站</w:t>
            </w:r>
          </w:p>
        </w:tc>
        <w:tc>
          <w:tcPr>
            <w:tcW w:w="1468"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生物处理</w:t>
            </w:r>
          </w:p>
        </w:tc>
        <w:tc>
          <w:tcPr>
            <w:tcW w:w="114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50</w:t>
            </w:r>
          </w:p>
        </w:tc>
        <w:tc>
          <w:tcPr>
            <w:tcW w:w="1186"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110"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是</w:t>
            </w:r>
          </w:p>
        </w:tc>
        <w:tc>
          <w:tcPr>
            <w:tcW w:w="1422"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乡镇政府</w:t>
            </w:r>
          </w:p>
        </w:tc>
        <w:tc>
          <w:tcPr>
            <w:tcW w:w="1764" w:type="dxa"/>
            <w:shd w:val="clear" w:color="auto" w:fill="auto"/>
            <w:tcMar>
              <w:top w:w="12" w:type="dxa"/>
              <w:left w:w="12" w:type="dxa"/>
              <w:right w:w="12" w:type="dxa"/>
            </w:tcMar>
            <w:vAlign w:val="center"/>
          </w:tcPr>
          <w:p>
            <w:pPr>
              <w:widowControl/>
              <w:snapToGrid w:val="0"/>
              <w:spacing w:line="240" w:lineRule="atLeast"/>
              <w:ind w:firstLine="0" w:firstLineChars="0"/>
              <w:jc w:val="center"/>
              <w:rPr>
                <w:rFonts w:ascii="Times New Roman" w:hAnsi="Times New Roman" w:cs="宋体"/>
                <w:color w:val="000000"/>
                <w:kern w:val="0"/>
                <w:sz w:val="21"/>
                <w:szCs w:val="22"/>
              </w:rPr>
            </w:pPr>
            <w:r>
              <w:rPr>
                <w:rFonts w:hint="eastAsia" w:ascii="Times New Roman" w:hAnsi="Times New Roman" w:cs="宋体"/>
                <w:color w:val="000000"/>
                <w:kern w:val="0"/>
                <w:sz w:val="21"/>
                <w:szCs w:val="22"/>
              </w:rPr>
              <w:t>管网不完善，处理规模满足不了使用</w:t>
            </w:r>
          </w:p>
        </w:tc>
      </w:tr>
    </w:tbl>
    <w:p>
      <w:pPr>
        <w:pStyle w:val="2"/>
        <w:sectPr>
          <w:pgSz w:w="16838" w:h="11906" w:orient="landscape"/>
          <w:pgMar w:top="1531" w:right="2098" w:bottom="1531" w:left="1985" w:header="851" w:footer="1474" w:gutter="0"/>
          <w:cols w:space="425" w:num="1"/>
          <w:docGrid w:type="lines" w:linePitch="435" w:charSpace="0"/>
        </w:sectPr>
      </w:pPr>
    </w:p>
    <w:p>
      <w:pPr>
        <w:pStyle w:val="2"/>
      </w:pPr>
      <w:bookmarkStart w:id="327" w:name="_Toc15100"/>
      <w:r>
        <w:rPr>
          <w:rFonts w:hint="eastAsia"/>
        </w:rPr>
        <w:t>附图</w:t>
      </w:r>
      <w:bookmarkEnd w:id="327"/>
    </w:p>
    <w:p>
      <w:pPr>
        <w:pStyle w:val="4"/>
        <w:ind w:firstLine="640"/>
      </w:pPr>
      <w:r>
        <w:rPr>
          <w:rFonts w:hint="eastAsia"/>
        </w:rPr>
        <w:t>附图</w:t>
      </w:r>
      <w:r>
        <w:t>1 奉节县行政区划图</w:t>
      </w:r>
    </w:p>
    <w:p>
      <w:pPr>
        <w:spacing w:line="240" w:lineRule="auto"/>
        <w:ind w:firstLine="640"/>
        <w:jc w:val="center"/>
        <w:rPr>
          <w:rFonts w:ascii="Times New Roman" w:hAnsi="Times New Roman"/>
        </w:rPr>
      </w:pPr>
      <w:r>
        <w:drawing>
          <wp:anchor distT="0" distB="0" distL="114300" distR="114300" simplePos="0" relativeHeight="251659264" behindDoc="0" locked="0" layoutInCell="1" allowOverlap="1">
            <wp:simplePos x="0" y="0"/>
            <wp:positionH relativeFrom="column">
              <wp:posOffset>4405630</wp:posOffset>
            </wp:positionH>
            <wp:positionV relativeFrom="paragraph">
              <wp:posOffset>5923280</wp:posOffset>
            </wp:positionV>
            <wp:extent cx="1378585" cy="1231265"/>
            <wp:effectExtent l="0" t="0" r="8255" b="3175"/>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1378585" cy="1231265"/>
                    </a:xfrm>
                    <a:prstGeom prst="rect">
                      <a:avLst/>
                    </a:prstGeom>
                    <a:noFill/>
                    <a:ln>
                      <a:noFill/>
                    </a:ln>
                  </pic:spPr>
                </pic:pic>
              </a:graphicData>
            </a:graphic>
          </wp:anchor>
        </w:drawing>
      </w:r>
      <w:r>
        <w:rPr>
          <w:rFonts w:ascii="Times New Roman" w:hAnsi="Times New Roman"/>
        </w:rPr>
        <w:drawing>
          <wp:inline distT="0" distB="0" distL="0" distR="0">
            <wp:extent cx="5400040" cy="7200265"/>
            <wp:effectExtent l="0" t="0" r="10160" b="8255"/>
            <wp:docPr id="31" name="图片 4" descr="D:\农村生活污水处理\奉节\其他资料\奉节农村生活污水\奉节县行政区划.jpg"/>
            <wp:cNvGraphicFramePr/>
            <a:graphic xmlns:a="http://schemas.openxmlformats.org/drawingml/2006/main">
              <a:graphicData uri="http://schemas.openxmlformats.org/drawingml/2006/picture">
                <pic:pic xmlns:pic="http://schemas.openxmlformats.org/drawingml/2006/picture">
                  <pic:nvPicPr>
                    <pic:cNvPr id="31" name="图片 4" descr="D:\农村生活污水处理\奉节\其他资料\奉节农村生活污水\奉节县行政区划.jpg"/>
                    <pic:cNvPicPr>
                      <a:picLocks noChangeArrowheads="1"/>
                    </pic:cNvPicPr>
                  </pic:nvPicPr>
                  <pic:blipFill>
                    <a:blip r:embed="rId14" cstate="print"/>
                    <a:srcRect/>
                    <a:stretch>
                      <a:fillRect/>
                    </a:stretch>
                  </pic:blipFill>
                  <pic:spPr>
                    <a:xfrm>
                      <a:off x="0" y="0"/>
                      <a:ext cx="5400040" cy="7200265"/>
                    </a:xfrm>
                    <a:prstGeom prst="rect">
                      <a:avLst/>
                    </a:prstGeom>
                    <a:noFill/>
                    <a:ln w="9525">
                      <a:noFill/>
                      <a:miter lim="800000"/>
                      <a:headEnd/>
                      <a:tailEnd/>
                    </a:ln>
                  </pic:spPr>
                </pic:pic>
              </a:graphicData>
            </a:graphic>
          </wp:inline>
        </w:drawing>
      </w:r>
    </w:p>
    <w:p>
      <w:pPr>
        <w:pStyle w:val="4"/>
        <w:ind w:firstLine="640"/>
      </w:pPr>
      <w:r>
        <w:rPr>
          <w:rFonts w:hint="eastAsia"/>
        </w:rPr>
        <w:t xml:space="preserve">附图2 </w:t>
      </w:r>
      <w:r>
        <w:t>奉节县</w:t>
      </w:r>
      <w:r>
        <w:rPr>
          <w:rFonts w:hint="eastAsia"/>
        </w:rPr>
        <w:t>现有污水治理设施分布图</w:t>
      </w:r>
    </w:p>
    <w:bookmarkEnd w:id="317"/>
    <w:bookmarkEnd w:id="318"/>
    <w:bookmarkEnd w:id="319"/>
    <w:p>
      <w:pPr>
        <w:spacing w:line="240" w:lineRule="auto"/>
        <w:ind w:firstLine="0" w:firstLineChars="0"/>
        <w:jc w:val="center"/>
        <w:rPr>
          <w:rFonts w:ascii="Times New Roman" w:hAnsi="Times New Roman"/>
        </w:rPr>
        <w:sectPr>
          <w:pgSz w:w="11906" w:h="16838"/>
          <w:pgMar w:top="2098" w:right="1531" w:bottom="1985" w:left="1531" w:header="851" w:footer="1474" w:gutter="0"/>
          <w:cols w:space="425" w:num="1"/>
          <w:docGrid w:type="lines" w:linePitch="435" w:charSpace="0"/>
        </w:sectPr>
      </w:pPr>
      <w:r>
        <w:rPr>
          <w:rFonts w:hint="eastAsia" w:ascii="Times New Roman" w:hAnsi="Times New Roman"/>
        </w:rPr>
        <w:drawing>
          <wp:inline distT="0" distB="0" distL="114300" distR="114300">
            <wp:extent cx="5400040" cy="7200265"/>
            <wp:effectExtent l="0" t="0" r="10160" b="8255"/>
            <wp:docPr id="3" name="图片 3" descr="生活污水处理设施图"/>
            <wp:cNvGraphicFramePr/>
            <a:graphic xmlns:a="http://schemas.openxmlformats.org/drawingml/2006/main">
              <a:graphicData uri="http://schemas.openxmlformats.org/drawingml/2006/picture">
                <pic:pic xmlns:pic="http://schemas.openxmlformats.org/drawingml/2006/picture">
                  <pic:nvPicPr>
                    <pic:cNvPr id="3" name="图片 3" descr="生活污水处理设施图"/>
                    <pic:cNvPicPr/>
                  </pic:nvPicPr>
                  <pic:blipFill>
                    <a:blip r:embed="rId15"/>
                    <a:stretch>
                      <a:fillRect/>
                    </a:stretch>
                  </pic:blipFill>
                  <pic:spPr>
                    <a:xfrm>
                      <a:off x="0" y="0"/>
                      <a:ext cx="5400040" cy="7200265"/>
                    </a:xfrm>
                    <a:prstGeom prst="rect">
                      <a:avLst/>
                    </a:prstGeom>
                  </pic:spPr>
                </pic:pic>
              </a:graphicData>
            </a:graphic>
          </wp:inline>
        </w:drawing>
      </w:r>
    </w:p>
    <w:p>
      <w:pPr>
        <w:pStyle w:val="4"/>
        <w:ind w:firstLine="640"/>
      </w:pPr>
      <w:r>
        <w:rPr>
          <w:rFonts w:hint="eastAsia"/>
        </w:rPr>
        <w:t>附图3 奉节县优先治理村分布图</w:t>
      </w:r>
    </w:p>
    <w:p>
      <w:pPr>
        <w:spacing w:line="240" w:lineRule="auto"/>
        <w:ind w:firstLine="640"/>
        <w:jc w:val="center"/>
        <w:rPr>
          <w:rFonts w:ascii="Times New Roman" w:hAnsi="Times New Roman"/>
        </w:rPr>
        <w:sectPr>
          <w:pgSz w:w="11906" w:h="16838"/>
          <w:pgMar w:top="2098" w:right="1531" w:bottom="1985" w:left="1531" w:header="851" w:footer="1474" w:gutter="0"/>
          <w:cols w:space="425" w:num="1"/>
          <w:docGrid w:type="lines" w:linePitch="326" w:charSpace="0"/>
        </w:sectPr>
      </w:pPr>
      <w:r>
        <w:rPr>
          <w:rFonts w:hint="eastAsia" w:ascii="Times New Roman" w:hAnsi="Times New Roman"/>
        </w:rPr>
        <w:drawing>
          <wp:inline distT="0" distB="0" distL="114300" distR="114300">
            <wp:extent cx="5400040" cy="7200265"/>
            <wp:effectExtent l="0" t="0" r="10160" b="8255"/>
            <wp:docPr id="4" name="图片 4" descr="优先治理村"/>
            <wp:cNvGraphicFramePr/>
            <a:graphic xmlns:a="http://schemas.openxmlformats.org/drawingml/2006/main">
              <a:graphicData uri="http://schemas.openxmlformats.org/drawingml/2006/picture">
                <pic:pic xmlns:pic="http://schemas.openxmlformats.org/drawingml/2006/picture">
                  <pic:nvPicPr>
                    <pic:cNvPr id="4" name="图片 4" descr="优先治理村"/>
                    <pic:cNvPicPr/>
                  </pic:nvPicPr>
                  <pic:blipFill>
                    <a:blip r:embed="rId16"/>
                    <a:stretch>
                      <a:fillRect/>
                    </a:stretch>
                  </pic:blipFill>
                  <pic:spPr>
                    <a:xfrm>
                      <a:off x="0" y="0"/>
                      <a:ext cx="5400040" cy="7200265"/>
                    </a:xfrm>
                    <a:prstGeom prst="rect">
                      <a:avLst/>
                    </a:prstGeom>
                  </pic:spPr>
                </pic:pic>
              </a:graphicData>
            </a:graphic>
          </wp:inline>
        </w:drawing>
      </w:r>
    </w:p>
    <w:p>
      <w:pPr>
        <w:pStyle w:val="4"/>
        <w:ind w:firstLine="640"/>
      </w:pPr>
      <w:r>
        <w:rPr>
          <w:rFonts w:hint="eastAsia"/>
        </w:rPr>
        <w:t>附图4-1 奉节县农村生活污水治理措施分布图（2021）</w:t>
      </w:r>
    </w:p>
    <w:p>
      <w:pPr>
        <w:spacing w:line="240" w:lineRule="auto"/>
        <w:ind w:firstLine="640"/>
        <w:jc w:val="center"/>
        <w:rPr>
          <w:rFonts w:ascii="Times New Roman" w:hAnsi="Times New Roman"/>
        </w:rPr>
      </w:pPr>
      <w:r>
        <w:rPr>
          <w:rFonts w:hint="eastAsia" w:ascii="Times New Roman" w:hAnsi="Times New Roman"/>
        </w:rPr>
        <w:drawing>
          <wp:inline distT="0" distB="0" distL="114300" distR="114300">
            <wp:extent cx="5400040" cy="7200265"/>
            <wp:effectExtent l="0" t="0" r="10160" b="8255"/>
            <wp:docPr id="5" name="图片 5" descr="奉节县农村生活污水治理措施分布图（2021）"/>
            <wp:cNvGraphicFramePr/>
            <a:graphic xmlns:a="http://schemas.openxmlformats.org/drawingml/2006/main">
              <a:graphicData uri="http://schemas.openxmlformats.org/drawingml/2006/picture">
                <pic:pic xmlns:pic="http://schemas.openxmlformats.org/drawingml/2006/picture">
                  <pic:nvPicPr>
                    <pic:cNvPr id="5" name="图片 5" descr="奉节县农村生活污水治理措施分布图（2021）"/>
                    <pic:cNvPicPr/>
                  </pic:nvPicPr>
                  <pic:blipFill>
                    <a:blip r:embed="rId17"/>
                    <a:stretch>
                      <a:fillRect/>
                    </a:stretch>
                  </pic:blipFill>
                  <pic:spPr>
                    <a:xfrm>
                      <a:off x="0" y="0"/>
                      <a:ext cx="5400040" cy="7200265"/>
                    </a:xfrm>
                    <a:prstGeom prst="rect">
                      <a:avLst/>
                    </a:prstGeom>
                  </pic:spPr>
                </pic:pic>
              </a:graphicData>
            </a:graphic>
          </wp:inline>
        </w:drawing>
      </w:r>
    </w:p>
    <w:p>
      <w:pPr>
        <w:pStyle w:val="4"/>
        <w:ind w:firstLine="640"/>
      </w:pPr>
      <w:r>
        <w:rPr>
          <w:rFonts w:hint="eastAsia"/>
        </w:rPr>
        <w:t>附图4-2 奉节县农村生活污水治理措施分布图（2022）</w:t>
      </w:r>
    </w:p>
    <w:p>
      <w:pPr>
        <w:spacing w:line="240" w:lineRule="auto"/>
        <w:ind w:firstLine="640"/>
        <w:jc w:val="center"/>
        <w:rPr>
          <w:rFonts w:ascii="Times New Roman" w:hAnsi="Times New Roman"/>
        </w:rPr>
      </w:pPr>
      <w:r>
        <w:rPr>
          <w:rFonts w:hint="eastAsia" w:ascii="Times New Roman" w:hAnsi="Times New Roman"/>
        </w:rPr>
        <w:drawing>
          <wp:inline distT="0" distB="0" distL="114300" distR="114300">
            <wp:extent cx="5400040" cy="7200265"/>
            <wp:effectExtent l="0" t="0" r="10160" b="8255"/>
            <wp:docPr id="8" name="图片 8" descr="奉节县农村生活污水治理措施分布图（2022）"/>
            <wp:cNvGraphicFramePr/>
            <a:graphic xmlns:a="http://schemas.openxmlformats.org/drawingml/2006/main">
              <a:graphicData uri="http://schemas.openxmlformats.org/drawingml/2006/picture">
                <pic:pic xmlns:pic="http://schemas.openxmlformats.org/drawingml/2006/picture">
                  <pic:nvPicPr>
                    <pic:cNvPr id="8" name="图片 8" descr="奉节县农村生活污水治理措施分布图（2022）"/>
                    <pic:cNvPicPr/>
                  </pic:nvPicPr>
                  <pic:blipFill>
                    <a:blip r:embed="rId18"/>
                    <a:stretch>
                      <a:fillRect/>
                    </a:stretch>
                  </pic:blipFill>
                  <pic:spPr>
                    <a:xfrm>
                      <a:off x="0" y="0"/>
                      <a:ext cx="5400040" cy="7200265"/>
                    </a:xfrm>
                    <a:prstGeom prst="rect">
                      <a:avLst/>
                    </a:prstGeom>
                  </pic:spPr>
                </pic:pic>
              </a:graphicData>
            </a:graphic>
          </wp:inline>
        </w:drawing>
      </w:r>
    </w:p>
    <w:p>
      <w:pPr>
        <w:pStyle w:val="4"/>
        <w:ind w:firstLine="640"/>
      </w:pPr>
      <w:r>
        <w:rPr>
          <w:rFonts w:hint="eastAsia"/>
        </w:rPr>
        <w:t>附图4-3 奉节县农村生活污水治理措施分布图（2023）</w:t>
      </w:r>
    </w:p>
    <w:p>
      <w:pPr>
        <w:spacing w:line="240" w:lineRule="auto"/>
        <w:ind w:firstLine="640"/>
        <w:rPr>
          <w:rFonts w:ascii="Times New Roman" w:hAnsi="Times New Roman"/>
        </w:rPr>
      </w:pPr>
      <w:r>
        <w:rPr>
          <w:rFonts w:hint="eastAsia" w:ascii="Times New Roman" w:hAnsi="Times New Roman"/>
        </w:rPr>
        <w:drawing>
          <wp:inline distT="0" distB="0" distL="114300" distR="114300">
            <wp:extent cx="5400040" cy="7200265"/>
            <wp:effectExtent l="0" t="0" r="10160" b="8255"/>
            <wp:docPr id="9" name="图片 9" descr="奉节县农村生活污水治理措施分布图（2023）"/>
            <wp:cNvGraphicFramePr/>
            <a:graphic xmlns:a="http://schemas.openxmlformats.org/drawingml/2006/main">
              <a:graphicData uri="http://schemas.openxmlformats.org/drawingml/2006/picture">
                <pic:pic xmlns:pic="http://schemas.openxmlformats.org/drawingml/2006/picture">
                  <pic:nvPicPr>
                    <pic:cNvPr id="9" name="图片 9" descr="奉节县农村生活污水治理措施分布图（2023）"/>
                    <pic:cNvPicPr/>
                  </pic:nvPicPr>
                  <pic:blipFill>
                    <a:blip r:embed="rId19"/>
                    <a:stretch>
                      <a:fillRect/>
                    </a:stretch>
                  </pic:blipFill>
                  <pic:spPr>
                    <a:xfrm>
                      <a:off x="0" y="0"/>
                      <a:ext cx="5400040" cy="7200265"/>
                    </a:xfrm>
                    <a:prstGeom prst="rect">
                      <a:avLst/>
                    </a:prstGeom>
                  </pic:spPr>
                </pic:pic>
              </a:graphicData>
            </a:graphic>
          </wp:inline>
        </w:drawing>
      </w:r>
    </w:p>
    <w:p>
      <w:pPr>
        <w:pStyle w:val="4"/>
        <w:ind w:firstLine="640"/>
      </w:pPr>
      <w:r>
        <w:rPr>
          <w:rFonts w:hint="eastAsia"/>
        </w:rPr>
        <w:t>附图4-4 奉节县农村生活污水治理措施分布图（2024）</w:t>
      </w:r>
    </w:p>
    <w:p>
      <w:pPr>
        <w:spacing w:line="240" w:lineRule="auto"/>
        <w:ind w:firstLine="640"/>
        <w:jc w:val="center"/>
        <w:rPr>
          <w:rFonts w:ascii="Times New Roman" w:hAnsi="Times New Roman"/>
        </w:rPr>
      </w:pPr>
      <w:r>
        <w:rPr>
          <w:rFonts w:hint="eastAsia" w:ascii="Times New Roman" w:hAnsi="Times New Roman"/>
        </w:rPr>
        <w:drawing>
          <wp:inline distT="0" distB="0" distL="114300" distR="114300">
            <wp:extent cx="5400040" cy="7200265"/>
            <wp:effectExtent l="0" t="0" r="10160" b="8255"/>
            <wp:docPr id="10" name="图片 10" descr="奉节县农村生活污水治理措施分布图（2024）"/>
            <wp:cNvGraphicFramePr/>
            <a:graphic xmlns:a="http://schemas.openxmlformats.org/drawingml/2006/main">
              <a:graphicData uri="http://schemas.openxmlformats.org/drawingml/2006/picture">
                <pic:pic xmlns:pic="http://schemas.openxmlformats.org/drawingml/2006/picture">
                  <pic:nvPicPr>
                    <pic:cNvPr id="10" name="图片 10" descr="奉节县农村生活污水治理措施分布图（2024）"/>
                    <pic:cNvPicPr/>
                  </pic:nvPicPr>
                  <pic:blipFill>
                    <a:blip r:embed="rId20"/>
                    <a:stretch>
                      <a:fillRect/>
                    </a:stretch>
                  </pic:blipFill>
                  <pic:spPr>
                    <a:xfrm>
                      <a:off x="0" y="0"/>
                      <a:ext cx="5400040" cy="7200265"/>
                    </a:xfrm>
                    <a:prstGeom prst="rect">
                      <a:avLst/>
                    </a:prstGeom>
                  </pic:spPr>
                </pic:pic>
              </a:graphicData>
            </a:graphic>
          </wp:inline>
        </w:drawing>
      </w:r>
    </w:p>
    <w:p>
      <w:pPr>
        <w:pStyle w:val="4"/>
        <w:ind w:firstLine="640"/>
      </w:pPr>
      <w:r>
        <w:rPr>
          <w:rFonts w:hint="eastAsia"/>
        </w:rPr>
        <w:t>附图4-5 奉节县农村生活污水治理措施分布图（2025）</w:t>
      </w:r>
    </w:p>
    <w:p>
      <w:pPr>
        <w:spacing w:line="240" w:lineRule="auto"/>
        <w:ind w:firstLine="640"/>
        <w:jc w:val="center"/>
        <w:rPr>
          <w:rFonts w:ascii="Times New Roman" w:hAnsi="Times New Roman"/>
        </w:rPr>
      </w:pPr>
      <w:r>
        <w:rPr>
          <w:rFonts w:hint="eastAsia" w:ascii="Times New Roman" w:hAnsi="Times New Roman"/>
        </w:rPr>
        <w:drawing>
          <wp:inline distT="0" distB="0" distL="114300" distR="114300">
            <wp:extent cx="5400040" cy="7200265"/>
            <wp:effectExtent l="0" t="0" r="10160" b="8255"/>
            <wp:docPr id="12" name="图片 12" descr="奉节县农村生活污水治理措施分布图（2025）"/>
            <wp:cNvGraphicFramePr/>
            <a:graphic xmlns:a="http://schemas.openxmlformats.org/drawingml/2006/main">
              <a:graphicData uri="http://schemas.openxmlformats.org/drawingml/2006/picture">
                <pic:pic xmlns:pic="http://schemas.openxmlformats.org/drawingml/2006/picture">
                  <pic:nvPicPr>
                    <pic:cNvPr id="12" name="图片 12" descr="奉节县农村生活污水治理措施分布图（2025）"/>
                    <pic:cNvPicPr/>
                  </pic:nvPicPr>
                  <pic:blipFill>
                    <a:blip r:embed="rId21"/>
                    <a:stretch>
                      <a:fillRect/>
                    </a:stretch>
                  </pic:blipFill>
                  <pic:spPr>
                    <a:xfrm>
                      <a:off x="0" y="0"/>
                      <a:ext cx="5400040" cy="7200265"/>
                    </a:xfrm>
                    <a:prstGeom prst="rect">
                      <a:avLst/>
                    </a:prstGeom>
                  </pic:spPr>
                </pic:pic>
              </a:graphicData>
            </a:graphic>
          </wp:inline>
        </w:drawing>
      </w:r>
    </w:p>
    <w:sectPr>
      <w:pgSz w:w="11906" w:h="16838"/>
      <w:pgMar w:top="2098" w:right="1531" w:bottom="1985" w:left="1531" w:header="851" w:footer="1474"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B05FB51-48D5-42FD-83C1-C4F3A3358FD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_GBK">
    <w:panose1 w:val="03000509000000000000"/>
    <w:charset w:val="86"/>
    <w:family w:val="script"/>
    <w:pitch w:val="default"/>
    <w:sig w:usb0="00000001" w:usb1="080E0000" w:usb2="00000000" w:usb3="00000000" w:csb0="00040000" w:csb1="00000000"/>
    <w:embedRegular r:id="rId2" w:fontKey="{875FB4EC-6331-4F4E-9CBA-3935BE786CBC}"/>
  </w:font>
  <w:font w:name="方正黑体_GBK">
    <w:panose1 w:val="03000509000000000000"/>
    <w:charset w:val="86"/>
    <w:family w:val="script"/>
    <w:pitch w:val="default"/>
    <w:sig w:usb0="00000001" w:usb1="080E0000" w:usb2="00000000" w:usb3="00000000" w:csb0="00040000" w:csb1="00000000"/>
    <w:embedRegular r:id="rId3" w:fontKey="{95234FCA-59F0-4F38-B42B-876C062BCD7D}"/>
  </w:font>
  <w:font w:name="方正楷体_GBK">
    <w:panose1 w:val="03000509000000000000"/>
    <w:charset w:val="86"/>
    <w:family w:val="script"/>
    <w:pitch w:val="default"/>
    <w:sig w:usb0="00000001" w:usb1="080E0000" w:usb2="00000000" w:usb3="00000000" w:csb0="00040000" w:csb1="00000000"/>
    <w:embedRegular r:id="rId4" w:fontKey="{21265A7A-5AAF-4E6B-8328-94D290271EB6}"/>
  </w:font>
  <w:font w:name="仿宋_GB2312">
    <w:altName w:val="仿宋"/>
    <w:panose1 w:val="02010609030101010101"/>
    <w:charset w:val="86"/>
    <w:family w:val="modern"/>
    <w:pitch w:val="default"/>
    <w:sig w:usb0="00000000" w:usb1="00000000" w:usb2="00000000" w:usb3="00000000" w:csb0="00040000" w:csb1="00000000"/>
  </w:font>
  <w:font w:name="等线 Light">
    <w:altName w:val="宋体"/>
    <w:panose1 w:val="00000000000000000000"/>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等线">
    <w:altName w:val="宋体"/>
    <w:panose1 w:val="00000000000000000000"/>
    <w:charset w:val="86"/>
    <w:family w:val="auto"/>
    <w:pitch w:val="default"/>
    <w:sig w:usb0="00000000" w:usb1="00000000" w:usb2="00000000" w:usb3="00000000" w:csb0="00040001" w:csb1="00000000"/>
    <w:embedRegular r:id="rId5" w:fontKey="{1B4E07AA-0CBA-4CE0-A389-16202E92D2A3}"/>
  </w:font>
  <w:font w:name="创艺简宋体">
    <w:altName w:val="宋体"/>
    <w:panose1 w:val="00000000000000000000"/>
    <w:charset w:val="86"/>
    <w:family w:val="auto"/>
    <w:pitch w:val="default"/>
    <w:sig w:usb0="00000000" w:usb1="00000000" w:usb2="00000010" w:usb3="00000000" w:csb0="00040000" w:csb1="00000000"/>
  </w:font>
  <w:font w:name="方正小标宋_GBK">
    <w:panose1 w:val="03000509000000000000"/>
    <w:charset w:val="86"/>
    <w:family w:val="script"/>
    <w:pitch w:val="default"/>
    <w:sig w:usb0="00000001" w:usb1="080E0000" w:usb2="00000000" w:usb3="00000000" w:csb0="00040000" w:csb1="00000000"/>
  </w:font>
  <w:font w:name="Calibri Light">
    <w:altName w:val="Calibri"/>
    <w:panose1 w:val="020F0302020204030204"/>
    <w:charset w:val="00"/>
    <w:family w:val="swiss"/>
    <w:pitch w:val="default"/>
    <w:sig w:usb0="00000000" w:usb1="00000000" w:usb2="00000000" w:usb3="00000000" w:csb0="2000019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p>
  <w:p>
    <w:pPr>
      <w:pStyle w:val="2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5"/>
                            <w:ind w:firstLine="360"/>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YpO9KFgIAABcEAAAOAAAAAAAA&#10;AAEAIAAAAB8BAABkcnMvZTJvRG9jLnhtbFBLBQYAAAAABgAGAFkBAACnBQAAAAA=&#10;">
              <v:fill on="f" focussize="0,0"/>
              <v:stroke on="f" weight="0.5pt"/>
              <v:imagedata o:title=""/>
              <o:lock v:ext="edit" aspectratio="f"/>
              <v:textbox inset="0mm,0mm,0mm,0mm" style="mso-fit-shape-to-text:t;">
                <w:txbxContent>
                  <w:p>
                    <w:pPr>
                      <w:pStyle w:val="25"/>
                      <w:ind w:firstLine="360"/>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5"/>
                            <w:ind w:firstLine="36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STa1QFgIAABcEAAAOAAAAAAAA&#10;AAEAIAAAAB8BAABkcnMvZTJvRG9jLnhtbFBLBQYAAAAABgAGAFkBAACnBQAAAAA=&#10;">
              <v:fill on="f" focussize="0,0"/>
              <v:stroke on="f" weight="0.5pt"/>
              <v:imagedata o:title=""/>
              <o:lock v:ext="edit" aspectratio="f"/>
              <v:textbox inset="0mm,0mm,0mm,0mm" style="mso-fit-shape-to-text:t;">
                <w:txbxContent>
                  <w:p>
                    <w:pPr>
                      <w:pStyle w:val="25"/>
                      <w:ind w:firstLine="360"/>
                    </w:pPr>
                    <w:r>
                      <w:fldChar w:fldCharType="begin"/>
                    </w:r>
                    <w:r>
                      <w:instrText xml:space="preserve"> PAGE  \* MERGEFORMAT </w:instrText>
                    </w:r>
                    <w:r>
                      <w:fldChar w:fldCharType="separate"/>
                    </w:r>
                    <w:r>
                      <w:t>4</w:t>
                    </w:r>
                    <w:r>
                      <w:fldChar w:fldCharType="end"/>
                    </w:r>
                  </w:p>
                </w:txbxContent>
              </v:textbox>
            </v:shape>
          </w:pict>
        </mc:Fallback>
      </mc:AlternateContent>
    </w:r>
  </w:p>
  <w:p>
    <w:pPr>
      <w:pStyle w:val="2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E9A2F8"/>
    <w:multiLevelType w:val="multilevel"/>
    <w:tmpl w:val="CDE9A2F8"/>
    <w:lvl w:ilvl="0" w:tentative="0">
      <w:start w:val="1"/>
      <w:numFmt w:val="decimal"/>
      <w:lvlText w:val="（%1）"/>
      <w:lvlJc w:val="left"/>
      <w:pPr>
        <w:ind w:left="1060" w:hanging="4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
    <w:nsid w:val="2E937936"/>
    <w:multiLevelType w:val="multilevel"/>
    <w:tmpl w:val="2E937936"/>
    <w:lvl w:ilvl="0" w:tentative="0">
      <w:start w:val="1"/>
      <w:numFmt w:val="decimal"/>
      <w:lvlText w:val="（%1）"/>
      <w:lvlJc w:val="left"/>
      <w:pPr>
        <w:ind w:left="1839" w:hanging="4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5094167A"/>
    <w:multiLevelType w:val="multilevel"/>
    <w:tmpl w:val="5094167A"/>
    <w:lvl w:ilvl="0" w:tentative="0">
      <w:start w:val="1"/>
      <w:numFmt w:val="decimal"/>
      <w:lvlText w:val="（%1）"/>
      <w:lvlJc w:val="left"/>
      <w:pPr>
        <w:ind w:left="1130" w:hanging="420"/>
      </w:pPr>
      <w:rPr>
        <w:rFonts w:hint="default"/>
        <w:sz w:val="32"/>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3">
    <w:nsid w:val="74716F4C"/>
    <w:multiLevelType w:val="multilevel"/>
    <w:tmpl w:val="74716F4C"/>
    <w:lvl w:ilvl="0" w:tentative="0">
      <w:start w:val="1"/>
      <w:numFmt w:val="decimal"/>
      <w:pStyle w:val="75"/>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9186D00"/>
    <w:multiLevelType w:val="multilevel"/>
    <w:tmpl w:val="79186D00"/>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pStyle w:val="103"/>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hideSpellingErrors/>
  <w:documentProtection w:enforcement="0"/>
  <w:defaultTabStop w:val="420"/>
  <w:drawingGridHorizontalSpacing w:val="160"/>
  <w:drawingGridVerticalSpacing w:val="435"/>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CD1"/>
    <w:rsid w:val="00002301"/>
    <w:rsid w:val="000023A8"/>
    <w:rsid w:val="000054BE"/>
    <w:rsid w:val="00005A0E"/>
    <w:rsid w:val="00014E7E"/>
    <w:rsid w:val="00015064"/>
    <w:rsid w:val="000270F1"/>
    <w:rsid w:val="00033D84"/>
    <w:rsid w:val="00045FB8"/>
    <w:rsid w:val="00050CB4"/>
    <w:rsid w:val="00051253"/>
    <w:rsid w:val="00053076"/>
    <w:rsid w:val="000549FE"/>
    <w:rsid w:val="00054BBA"/>
    <w:rsid w:val="00062A63"/>
    <w:rsid w:val="00073208"/>
    <w:rsid w:val="00074989"/>
    <w:rsid w:val="000818CB"/>
    <w:rsid w:val="00086587"/>
    <w:rsid w:val="00092A7B"/>
    <w:rsid w:val="000B1438"/>
    <w:rsid w:val="000B7A22"/>
    <w:rsid w:val="000C24DF"/>
    <w:rsid w:val="000C5162"/>
    <w:rsid w:val="000C7595"/>
    <w:rsid w:val="000C772A"/>
    <w:rsid w:val="000D2182"/>
    <w:rsid w:val="000E6979"/>
    <w:rsid w:val="000E772C"/>
    <w:rsid w:val="000F5DCD"/>
    <w:rsid w:val="0010274D"/>
    <w:rsid w:val="00116129"/>
    <w:rsid w:val="00120034"/>
    <w:rsid w:val="00120569"/>
    <w:rsid w:val="001213F0"/>
    <w:rsid w:val="00130385"/>
    <w:rsid w:val="001513EB"/>
    <w:rsid w:val="0015619E"/>
    <w:rsid w:val="0016174B"/>
    <w:rsid w:val="00161BC0"/>
    <w:rsid w:val="00161E02"/>
    <w:rsid w:val="00171D72"/>
    <w:rsid w:val="0017287B"/>
    <w:rsid w:val="0017452C"/>
    <w:rsid w:val="001751A1"/>
    <w:rsid w:val="00176978"/>
    <w:rsid w:val="001778D8"/>
    <w:rsid w:val="00177A3A"/>
    <w:rsid w:val="001830B1"/>
    <w:rsid w:val="00186165"/>
    <w:rsid w:val="00186F50"/>
    <w:rsid w:val="00190176"/>
    <w:rsid w:val="0019433B"/>
    <w:rsid w:val="001B0110"/>
    <w:rsid w:val="001B6EF8"/>
    <w:rsid w:val="001C2FE5"/>
    <w:rsid w:val="001C3B4E"/>
    <w:rsid w:val="001C5EE2"/>
    <w:rsid w:val="001D75E0"/>
    <w:rsid w:val="001D75E3"/>
    <w:rsid w:val="001D775C"/>
    <w:rsid w:val="001E1942"/>
    <w:rsid w:val="002055D7"/>
    <w:rsid w:val="0020579B"/>
    <w:rsid w:val="002131CC"/>
    <w:rsid w:val="00221006"/>
    <w:rsid w:val="002243FB"/>
    <w:rsid w:val="00224747"/>
    <w:rsid w:val="00224FE9"/>
    <w:rsid w:val="00226B0B"/>
    <w:rsid w:val="0023026B"/>
    <w:rsid w:val="00230DF5"/>
    <w:rsid w:val="002314B5"/>
    <w:rsid w:val="00242361"/>
    <w:rsid w:val="00243EF3"/>
    <w:rsid w:val="002475EF"/>
    <w:rsid w:val="00251DBB"/>
    <w:rsid w:val="002530B2"/>
    <w:rsid w:val="00254FD5"/>
    <w:rsid w:val="002575D6"/>
    <w:rsid w:val="00260D26"/>
    <w:rsid w:val="00261034"/>
    <w:rsid w:val="00264583"/>
    <w:rsid w:val="002654EF"/>
    <w:rsid w:val="002670F1"/>
    <w:rsid w:val="00267B64"/>
    <w:rsid w:val="00270350"/>
    <w:rsid w:val="002731C0"/>
    <w:rsid w:val="00283A9C"/>
    <w:rsid w:val="002879F3"/>
    <w:rsid w:val="00287D07"/>
    <w:rsid w:val="002A6D23"/>
    <w:rsid w:val="002A6D9B"/>
    <w:rsid w:val="002B0286"/>
    <w:rsid w:val="002B7C6E"/>
    <w:rsid w:val="002C3A44"/>
    <w:rsid w:val="002C492C"/>
    <w:rsid w:val="002D0F22"/>
    <w:rsid w:val="002D2F0B"/>
    <w:rsid w:val="002D4386"/>
    <w:rsid w:val="002D4794"/>
    <w:rsid w:val="002D49FF"/>
    <w:rsid w:val="002D5958"/>
    <w:rsid w:val="002E7BE2"/>
    <w:rsid w:val="0030129F"/>
    <w:rsid w:val="00303F27"/>
    <w:rsid w:val="00304131"/>
    <w:rsid w:val="003048B9"/>
    <w:rsid w:val="003076B1"/>
    <w:rsid w:val="00312B5B"/>
    <w:rsid w:val="00332A03"/>
    <w:rsid w:val="00334829"/>
    <w:rsid w:val="003421A0"/>
    <w:rsid w:val="00343A41"/>
    <w:rsid w:val="00344BD8"/>
    <w:rsid w:val="003534D9"/>
    <w:rsid w:val="00353BF2"/>
    <w:rsid w:val="00362126"/>
    <w:rsid w:val="0036317D"/>
    <w:rsid w:val="00370153"/>
    <w:rsid w:val="0037275C"/>
    <w:rsid w:val="00372C39"/>
    <w:rsid w:val="00384E5F"/>
    <w:rsid w:val="00385516"/>
    <w:rsid w:val="00385CB2"/>
    <w:rsid w:val="003910AC"/>
    <w:rsid w:val="003A0D17"/>
    <w:rsid w:val="003B264C"/>
    <w:rsid w:val="003B6496"/>
    <w:rsid w:val="003B66DD"/>
    <w:rsid w:val="003C0494"/>
    <w:rsid w:val="003C4003"/>
    <w:rsid w:val="003C4CD1"/>
    <w:rsid w:val="003C7C7B"/>
    <w:rsid w:val="003D038E"/>
    <w:rsid w:val="003D0C1B"/>
    <w:rsid w:val="003D5CEB"/>
    <w:rsid w:val="003E03BE"/>
    <w:rsid w:val="003E632B"/>
    <w:rsid w:val="003F111E"/>
    <w:rsid w:val="003F1CA5"/>
    <w:rsid w:val="003F4344"/>
    <w:rsid w:val="003F51CF"/>
    <w:rsid w:val="004023F8"/>
    <w:rsid w:val="0041290E"/>
    <w:rsid w:val="00417ED4"/>
    <w:rsid w:val="0042628F"/>
    <w:rsid w:val="00435E9D"/>
    <w:rsid w:val="00437E8E"/>
    <w:rsid w:val="004410B4"/>
    <w:rsid w:val="00441DF7"/>
    <w:rsid w:val="00444BB1"/>
    <w:rsid w:val="00450DAA"/>
    <w:rsid w:val="00450FC6"/>
    <w:rsid w:val="00456846"/>
    <w:rsid w:val="00456D5F"/>
    <w:rsid w:val="00462690"/>
    <w:rsid w:val="004653EF"/>
    <w:rsid w:val="004679EF"/>
    <w:rsid w:val="0048143B"/>
    <w:rsid w:val="00491B82"/>
    <w:rsid w:val="0049528F"/>
    <w:rsid w:val="0049647B"/>
    <w:rsid w:val="004B692B"/>
    <w:rsid w:val="004C3251"/>
    <w:rsid w:val="004C6362"/>
    <w:rsid w:val="004C75BB"/>
    <w:rsid w:val="004D0D92"/>
    <w:rsid w:val="004D791C"/>
    <w:rsid w:val="004E346A"/>
    <w:rsid w:val="004F354D"/>
    <w:rsid w:val="004F50DB"/>
    <w:rsid w:val="0050123D"/>
    <w:rsid w:val="00501B4C"/>
    <w:rsid w:val="0050737E"/>
    <w:rsid w:val="00510CD0"/>
    <w:rsid w:val="00512551"/>
    <w:rsid w:val="00517E9D"/>
    <w:rsid w:val="00526AA4"/>
    <w:rsid w:val="00526B7B"/>
    <w:rsid w:val="00532D04"/>
    <w:rsid w:val="00535C8A"/>
    <w:rsid w:val="00542D32"/>
    <w:rsid w:val="00545E70"/>
    <w:rsid w:val="0055050E"/>
    <w:rsid w:val="00550DB9"/>
    <w:rsid w:val="00552166"/>
    <w:rsid w:val="00552B5B"/>
    <w:rsid w:val="005570DD"/>
    <w:rsid w:val="00561F8D"/>
    <w:rsid w:val="00562F8C"/>
    <w:rsid w:val="005702BF"/>
    <w:rsid w:val="005703F3"/>
    <w:rsid w:val="00572772"/>
    <w:rsid w:val="005735DF"/>
    <w:rsid w:val="00577C38"/>
    <w:rsid w:val="00583587"/>
    <w:rsid w:val="0058688C"/>
    <w:rsid w:val="005958CC"/>
    <w:rsid w:val="0059636E"/>
    <w:rsid w:val="005A00C3"/>
    <w:rsid w:val="005A0640"/>
    <w:rsid w:val="005A1152"/>
    <w:rsid w:val="005A1DC7"/>
    <w:rsid w:val="005A3074"/>
    <w:rsid w:val="005A47CA"/>
    <w:rsid w:val="005B1ADA"/>
    <w:rsid w:val="005C1E4B"/>
    <w:rsid w:val="005C421E"/>
    <w:rsid w:val="005C71D1"/>
    <w:rsid w:val="005D2CA1"/>
    <w:rsid w:val="005E19B2"/>
    <w:rsid w:val="005E64FD"/>
    <w:rsid w:val="006025D8"/>
    <w:rsid w:val="00606621"/>
    <w:rsid w:val="0061044F"/>
    <w:rsid w:val="00626131"/>
    <w:rsid w:val="00631D5D"/>
    <w:rsid w:val="0063331B"/>
    <w:rsid w:val="0063572D"/>
    <w:rsid w:val="006446E4"/>
    <w:rsid w:val="00647F69"/>
    <w:rsid w:val="006524C0"/>
    <w:rsid w:val="00655EEC"/>
    <w:rsid w:val="00661D95"/>
    <w:rsid w:val="006625E5"/>
    <w:rsid w:val="006663D1"/>
    <w:rsid w:val="006664C8"/>
    <w:rsid w:val="00667D28"/>
    <w:rsid w:val="00670F6C"/>
    <w:rsid w:val="00671A8C"/>
    <w:rsid w:val="006734ED"/>
    <w:rsid w:val="00675CBA"/>
    <w:rsid w:val="0068683A"/>
    <w:rsid w:val="00686997"/>
    <w:rsid w:val="006B0D1B"/>
    <w:rsid w:val="006B3C32"/>
    <w:rsid w:val="006C27CC"/>
    <w:rsid w:val="006C297A"/>
    <w:rsid w:val="006C44F3"/>
    <w:rsid w:val="006C4BD4"/>
    <w:rsid w:val="006C5B2D"/>
    <w:rsid w:val="006C6ECB"/>
    <w:rsid w:val="006D17A4"/>
    <w:rsid w:val="006D3F5F"/>
    <w:rsid w:val="006D4BF9"/>
    <w:rsid w:val="006E1932"/>
    <w:rsid w:val="006E2266"/>
    <w:rsid w:val="006E269C"/>
    <w:rsid w:val="006F5954"/>
    <w:rsid w:val="006F6CEA"/>
    <w:rsid w:val="006F73BB"/>
    <w:rsid w:val="006F75FB"/>
    <w:rsid w:val="00705E68"/>
    <w:rsid w:val="00710EB0"/>
    <w:rsid w:val="007133EB"/>
    <w:rsid w:val="007161A8"/>
    <w:rsid w:val="007177F9"/>
    <w:rsid w:val="00723AA5"/>
    <w:rsid w:val="00730C19"/>
    <w:rsid w:val="00735664"/>
    <w:rsid w:val="00740C1E"/>
    <w:rsid w:val="00741BE0"/>
    <w:rsid w:val="00743521"/>
    <w:rsid w:val="00744650"/>
    <w:rsid w:val="00745B2A"/>
    <w:rsid w:val="00746444"/>
    <w:rsid w:val="00746957"/>
    <w:rsid w:val="007514F3"/>
    <w:rsid w:val="00752D14"/>
    <w:rsid w:val="007536DD"/>
    <w:rsid w:val="007574C2"/>
    <w:rsid w:val="007665EE"/>
    <w:rsid w:val="00774C00"/>
    <w:rsid w:val="00776772"/>
    <w:rsid w:val="007927AF"/>
    <w:rsid w:val="007963AA"/>
    <w:rsid w:val="007A0774"/>
    <w:rsid w:val="007B1A56"/>
    <w:rsid w:val="007B4BC4"/>
    <w:rsid w:val="007C1877"/>
    <w:rsid w:val="007D088F"/>
    <w:rsid w:val="007F2738"/>
    <w:rsid w:val="007F3FE2"/>
    <w:rsid w:val="007F5EA4"/>
    <w:rsid w:val="007F6DC5"/>
    <w:rsid w:val="00804C8B"/>
    <w:rsid w:val="00804E8F"/>
    <w:rsid w:val="008063F1"/>
    <w:rsid w:val="008143BE"/>
    <w:rsid w:val="00824778"/>
    <w:rsid w:val="008319ED"/>
    <w:rsid w:val="008362FE"/>
    <w:rsid w:val="008405CA"/>
    <w:rsid w:val="00846AEF"/>
    <w:rsid w:val="0086004C"/>
    <w:rsid w:val="00861728"/>
    <w:rsid w:val="00863777"/>
    <w:rsid w:val="008664BA"/>
    <w:rsid w:val="00874E64"/>
    <w:rsid w:val="00875EBD"/>
    <w:rsid w:val="00890DF4"/>
    <w:rsid w:val="00892900"/>
    <w:rsid w:val="00894691"/>
    <w:rsid w:val="00894879"/>
    <w:rsid w:val="00895E17"/>
    <w:rsid w:val="008A23C6"/>
    <w:rsid w:val="008B28E8"/>
    <w:rsid w:val="008B62A7"/>
    <w:rsid w:val="008B797B"/>
    <w:rsid w:val="008B7A20"/>
    <w:rsid w:val="008C7786"/>
    <w:rsid w:val="008D0B5C"/>
    <w:rsid w:val="008D6505"/>
    <w:rsid w:val="008D73FF"/>
    <w:rsid w:val="008E0CC2"/>
    <w:rsid w:val="008E3C3D"/>
    <w:rsid w:val="008E4C9B"/>
    <w:rsid w:val="008E57AD"/>
    <w:rsid w:val="008F09F9"/>
    <w:rsid w:val="008F2F25"/>
    <w:rsid w:val="008F2F49"/>
    <w:rsid w:val="008F71B8"/>
    <w:rsid w:val="009146EE"/>
    <w:rsid w:val="00916918"/>
    <w:rsid w:val="009213A4"/>
    <w:rsid w:val="00923149"/>
    <w:rsid w:val="00935247"/>
    <w:rsid w:val="00937953"/>
    <w:rsid w:val="00937F9A"/>
    <w:rsid w:val="00941CAC"/>
    <w:rsid w:val="009463AD"/>
    <w:rsid w:val="00956A46"/>
    <w:rsid w:val="0096049D"/>
    <w:rsid w:val="00961C87"/>
    <w:rsid w:val="00962367"/>
    <w:rsid w:val="00963FC6"/>
    <w:rsid w:val="00967C6B"/>
    <w:rsid w:val="009729DF"/>
    <w:rsid w:val="00992D6F"/>
    <w:rsid w:val="009950C8"/>
    <w:rsid w:val="009A1865"/>
    <w:rsid w:val="009A4D12"/>
    <w:rsid w:val="009A6009"/>
    <w:rsid w:val="009B0300"/>
    <w:rsid w:val="009B446C"/>
    <w:rsid w:val="009B469C"/>
    <w:rsid w:val="009C0CF4"/>
    <w:rsid w:val="009C13EC"/>
    <w:rsid w:val="009C654C"/>
    <w:rsid w:val="009D2680"/>
    <w:rsid w:val="009D4B41"/>
    <w:rsid w:val="009D7776"/>
    <w:rsid w:val="009E3039"/>
    <w:rsid w:val="009E494D"/>
    <w:rsid w:val="009F1267"/>
    <w:rsid w:val="009F754A"/>
    <w:rsid w:val="00A00C96"/>
    <w:rsid w:val="00A0147B"/>
    <w:rsid w:val="00A01DAD"/>
    <w:rsid w:val="00A06ABF"/>
    <w:rsid w:val="00A134C9"/>
    <w:rsid w:val="00A14C1C"/>
    <w:rsid w:val="00A152C5"/>
    <w:rsid w:val="00A248E7"/>
    <w:rsid w:val="00A24B22"/>
    <w:rsid w:val="00A253F1"/>
    <w:rsid w:val="00A279BA"/>
    <w:rsid w:val="00A30498"/>
    <w:rsid w:val="00A34008"/>
    <w:rsid w:val="00A34028"/>
    <w:rsid w:val="00A4082A"/>
    <w:rsid w:val="00A50B67"/>
    <w:rsid w:val="00A62A90"/>
    <w:rsid w:val="00A70C53"/>
    <w:rsid w:val="00A81309"/>
    <w:rsid w:val="00A8148C"/>
    <w:rsid w:val="00A87649"/>
    <w:rsid w:val="00A92E48"/>
    <w:rsid w:val="00A95820"/>
    <w:rsid w:val="00AA49C4"/>
    <w:rsid w:val="00AB471C"/>
    <w:rsid w:val="00AB57BF"/>
    <w:rsid w:val="00AC2151"/>
    <w:rsid w:val="00AC336C"/>
    <w:rsid w:val="00AC703C"/>
    <w:rsid w:val="00AD4DFE"/>
    <w:rsid w:val="00AD6223"/>
    <w:rsid w:val="00AE192F"/>
    <w:rsid w:val="00AE5A47"/>
    <w:rsid w:val="00AE6B2E"/>
    <w:rsid w:val="00AF16A8"/>
    <w:rsid w:val="00AF27EA"/>
    <w:rsid w:val="00AF3459"/>
    <w:rsid w:val="00B06DDD"/>
    <w:rsid w:val="00B14B6B"/>
    <w:rsid w:val="00B16678"/>
    <w:rsid w:val="00B24720"/>
    <w:rsid w:val="00B254FC"/>
    <w:rsid w:val="00B439BE"/>
    <w:rsid w:val="00B510B9"/>
    <w:rsid w:val="00B57CDD"/>
    <w:rsid w:val="00B61CCE"/>
    <w:rsid w:val="00B66B8E"/>
    <w:rsid w:val="00B725BA"/>
    <w:rsid w:val="00B75D6A"/>
    <w:rsid w:val="00B80FB7"/>
    <w:rsid w:val="00B9768B"/>
    <w:rsid w:val="00BA33AC"/>
    <w:rsid w:val="00BB02A1"/>
    <w:rsid w:val="00BB3C58"/>
    <w:rsid w:val="00BB4065"/>
    <w:rsid w:val="00BB6242"/>
    <w:rsid w:val="00BB7E5D"/>
    <w:rsid w:val="00BC54E4"/>
    <w:rsid w:val="00BD03DC"/>
    <w:rsid w:val="00BD06F2"/>
    <w:rsid w:val="00BD19CC"/>
    <w:rsid w:val="00BE12B8"/>
    <w:rsid w:val="00BE5564"/>
    <w:rsid w:val="00BE6652"/>
    <w:rsid w:val="00BE75D9"/>
    <w:rsid w:val="00BF187C"/>
    <w:rsid w:val="00BF5FC8"/>
    <w:rsid w:val="00C01EDA"/>
    <w:rsid w:val="00C03EE2"/>
    <w:rsid w:val="00C11FF5"/>
    <w:rsid w:val="00C248E9"/>
    <w:rsid w:val="00C25510"/>
    <w:rsid w:val="00C26C08"/>
    <w:rsid w:val="00C342AB"/>
    <w:rsid w:val="00C44D62"/>
    <w:rsid w:val="00C5178D"/>
    <w:rsid w:val="00C535D6"/>
    <w:rsid w:val="00C6185A"/>
    <w:rsid w:val="00C63B51"/>
    <w:rsid w:val="00C728C5"/>
    <w:rsid w:val="00C75162"/>
    <w:rsid w:val="00C82EC8"/>
    <w:rsid w:val="00CA21F2"/>
    <w:rsid w:val="00CB397F"/>
    <w:rsid w:val="00CB5285"/>
    <w:rsid w:val="00CC5F32"/>
    <w:rsid w:val="00CC7C89"/>
    <w:rsid w:val="00CD0B61"/>
    <w:rsid w:val="00CD259B"/>
    <w:rsid w:val="00CE0532"/>
    <w:rsid w:val="00CE67BA"/>
    <w:rsid w:val="00CF09C6"/>
    <w:rsid w:val="00CF2858"/>
    <w:rsid w:val="00CF297A"/>
    <w:rsid w:val="00CF6549"/>
    <w:rsid w:val="00CF749E"/>
    <w:rsid w:val="00D02940"/>
    <w:rsid w:val="00D1053B"/>
    <w:rsid w:val="00D106D9"/>
    <w:rsid w:val="00D10C00"/>
    <w:rsid w:val="00D136B8"/>
    <w:rsid w:val="00D15997"/>
    <w:rsid w:val="00D30D3F"/>
    <w:rsid w:val="00D40C7A"/>
    <w:rsid w:val="00D412B3"/>
    <w:rsid w:val="00D41476"/>
    <w:rsid w:val="00D41C93"/>
    <w:rsid w:val="00D459DB"/>
    <w:rsid w:val="00D45E4D"/>
    <w:rsid w:val="00D47769"/>
    <w:rsid w:val="00D5078A"/>
    <w:rsid w:val="00D67960"/>
    <w:rsid w:val="00D67AD6"/>
    <w:rsid w:val="00D82C94"/>
    <w:rsid w:val="00D8358D"/>
    <w:rsid w:val="00D92EF9"/>
    <w:rsid w:val="00D93DC2"/>
    <w:rsid w:val="00D96BDC"/>
    <w:rsid w:val="00D97D92"/>
    <w:rsid w:val="00DA2AB6"/>
    <w:rsid w:val="00DA4692"/>
    <w:rsid w:val="00DA553F"/>
    <w:rsid w:val="00DB03D7"/>
    <w:rsid w:val="00DB1F57"/>
    <w:rsid w:val="00DB3454"/>
    <w:rsid w:val="00DB472F"/>
    <w:rsid w:val="00DB5E96"/>
    <w:rsid w:val="00DD0E3F"/>
    <w:rsid w:val="00DD54FF"/>
    <w:rsid w:val="00DD56EC"/>
    <w:rsid w:val="00DE0AC2"/>
    <w:rsid w:val="00DE65FE"/>
    <w:rsid w:val="00DF31ED"/>
    <w:rsid w:val="00E05A51"/>
    <w:rsid w:val="00E070BF"/>
    <w:rsid w:val="00E10620"/>
    <w:rsid w:val="00E14EDB"/>
    <w:rsid w:val="00E16807"/>
    <w:rsid w:val="00E16B09"/>
    <w:rsid w:val="00E24688"/>
    <w:rsid w:val="00E2573A"/>
    <w:rsid w:val="00E32038"/>
    <w:rsid w:val="00E323F4"/>
    <w:rsid w:val="00E47792"/>
    <w:rsid w:val="00E53E11"/>
    <w:rsid w:val="00E56B9E"/>
    <w:rsid w:val="00E57A5C"/>
    <w:rsid w:val="00E62CCD"/>
    <w:rsid w:val="00E7166A"/>
    <w:rsid w:val="00E83099"/>
    <w:rsid w:val="00E87733"/>
    <w:rsid w:val="00EA2166"/>
    <w:rsid w:val="00EA22E9"/>
    <w:rsid w:val="00EA6A42"/>
    <w:rsid w:val="00EB0BEA"/>
    <w:rsid w:val="00EB2D93"/>
    <w:rsid w:val="00EB59FC"/>
    <w:rsid w:val="00EB6894"/>
    <w:rsid w:val="00EB7AF1"/>
    <w:rsid w:val="00EB7B7E"/>
    <w:rsid w:val="00EC1857"/>
    <w:rsid w:val="00EC3F69"/>
    <w:rsid w:val="00EC5446"/>
    <w:rsid w:val="00ED7D71"/>
    <w:rsid w:val="00EE0D56"/>
    <w:rsid w:val="00EF2BE6"/>
    <w:rsid w:val="00F0026B"/>
    <w:rsid w:val="00F0429E"/>
    <w:rsid w:val="00F04CAE"/>
    <w:rsid w:val="00F05494"/>
    <w:rsid w:val="00F120B4"/>
    <w:rsid w:val="00F152D1"/>
    <w:rsid w:val="00F21F13"/>
    <w:rsid w:val="00F22A07"/>
    <w:rsid w:val="00F24D6F"/>
    <w:rsid w:val="00F24E8B"/>
    <w:rsid w:val="00F303B7"/>
    <w:rsid w:val="00F36D05"/>
    <w:rsid w:val="00F5093D"/>
    <w:rsid w:val="00F536BD"/>
    <w:rsid w:val="00F53D76"/>
    <w:rsid w:val="00F53F52"/>
    <w:rsid w:val="00F572CE"/>
    <w:rsid w:val="00F57B32"/>
    <w:rsid w:val="00F61C42"/>
    <w:rsid w:val="00F655C8"/>
    <w:rsid w:val="00F65B79"/>
    <w:rsid w:val="00F66A7A"/>
    <w:rsid w:val="00F72B97"/>
    <w:rsid w:val="00F86154"/>
    <w:rsid w:val="00F93559"/>
    <w:rsid w:val="00FA6EAE"/>
    <w:rsid w:val="00FA7C94"/>
    <w:rsid w:val="00FB0339"/>
    <w:rsid w:val="00FB5E20"/>
    <w:rsid w:val="00FB7ABF"/>
    <w:rsid w:val="00FC1FE5"/>
    <w:rsid w:val="00FD1B0C"/>
    <w:rsid w:val="00FD2447"/>
    <w:rsid w:val="00FD66B5"/>
    <w:rsid w:val="00FD70D0"/>
    <w:rsid w:val="00FE4972"/>
    <w:rsid w:val="00FE7104"/>
    <w:rsid w:val="00FF28C0"/>
    <w:rsid w:val="00FF3547"/>
    <w:rsid w:val="014B341E"/>
    <w:rsid w:val="01D31624"/>
    <w:rsid w:val="028037D8"/>
    <w:rsid w:val="03384FFF"/>
    <w:rsid w:val="04F106F7"/>
    <w:rsid w:val="062D2D0F"/>
    <w:rsid w:val="086B7D09"/>
    <w:rsid w:val="08D90C86"/>
    <w:rsid w:val="09A60EE7"/>
    <w:rsid w:val="0A994F37"/>
    <w:rsid w:val="0BB86D36"/>
    <w:rsid w:val="0D724A4C"/>
    <w:rsid w:val="0E103333"/>
    <w:rsid w:val="0F89672B"/>
    <w:rsid w:val="0FE12176"/>
    <w:rsid w:val="101606E8"/>
    <w:rsid w:val="104F154D"/>
    <w:rsid w:val="108B1598"/>
    <w:rsid w:val="10BC20DE"/>
    <w:rsid w:val="1108689F"/>
    <w:rsid w:val="13366199"/>
    <w:rsid w:val="145337F0"/>
    <w:rsid w:val="14D75B8B"/>
    <w:rsid w:val="16E85336"/>
    <w:rsid w:val="17785F8D"/>
    <w:rsid w:val="18220228"/>
    <w:rsid w:val="18EE6F5A"/>
    <w:rsid w:val="1A556423"/>
    <w:rsid w:val="1E414FBA"/>
    <w:rsid w:val="1E6609E6"/>
    <w:rsid w:val="1F0D4FD8"/>
    <w:rsid w:val="1FDD559D"/>
    <w:rsid w:val="1FF463ED"/>
    <w:rsid w:val="21110D88"/>
    <w:rsid w:val="21BD37C0"/>
    <w:rsid w:val="22F36F6E"/>
    <w:rsid w:val="29775916"/>
    <w:rsid w:val="29FA1972"/>
    <w:rsid w:val="2A8E1DCD"/>
    <w:rsid w:val="2ABA707B"/>
    <w:rsid w:val="2B24370F"/>
    <w:rsid w:val="2B766D0A"/>
    <w:rsid w:val="33495B6B"/>
    <w:rsid w:val="347E7824"/>
    <w:rsid w:val="35EC5A62"/>
    <w:rsid w:val="371D6540"/>
    <w:rsid w:val="37D04BC9"/>
    <w:rsid w:val="393B666C"/>
    <w:rsid w:val="3CE66202"/>
    <w:rsid w:val="3D0A6050"/>
    <w:rsid w:val="426F53EE"/>
    <w:rsid w:val="42A209BD"/>
    <w:rsid w:val="43064A4D"/>
    <w:rsid w:val="4385427E"/>
    <w:rsid w:val="43D65301"/>
    <w:rsid w:val="45045812"/>
    <w:rsid w:val="46533696"/>
    <w:rsid w:val="47AF63A6"/>
    <w:rsid w:val="48B24C8C"/>
    <w:rsid w:val="494A1D77"/>
    <w:rsid w:val="49721E08"/>
    <w:rsid w:val="49DE7024"/>
    <w:rsid w:val="4B573583"/>
    <w:rsid w:val="4F915323"/>
    <w:rsid w:val="50F115D2"/>
    <w:rsid w:val="53EA130F"/>
    <w:rsid w:val="56CD6B34"/>
    <w:rsid w:val="58583BEB"/>
    <w:rsid w:val="593F75AC"/>
    <w:rsid w:val="5A830490"/>
    <w:rsid w:val="5B4665FE"/>
    <w:rsid w:val="5B885BEA"/>
    <w:rsid w:val="5C6C43DA"/>
    <w:rsid w:val="5D111198"/>
    <w:rsid w:val="608E359A"/>
    <w:rsid w:val="60E45608"/>
    <w:rsid w:val="62751BF8"/>
    <w:rsid w:val="673F1C75"/>
    <w:rsid w:val="685D6406"/>
    <w:rsid w:val="6AD5019B"/>
    <w:rsid w:val="6D1B296A"/>
    <w:rsid w:val="71946296"/>
    <w:rsid w:val="719737E8"/>
    <w:rsid w:val="73AE35FA"/>
    <w:rsid w:val="748E4DCA"/>
    <w:rsid w:val="766A1B51"/>
    <w:rsid w:val="79401715"/>
    <w:rsid w:val="79A17BDA"/>
    <w:rsid w:val="7B64260D"/>
    <w:rsid w:val="7C6809B1"/>
    <w:rsid w:val="7E2D0951"/>
    <w:rsid w:val="7E450D94"/>
    <w:rsid w:val="7FF84F1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0"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0" w:semiHidden="0" w:name="annotation reference"/>
    <w:lsdException w:uiPriority="99" w:name="line number"/>
    <w:lsdException w:uiPriority="99" w:name="page number"/>
    <w:lsdException w:uiPriority="99"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0"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94" w:lineRule="exact"/>
      <w:ind w:firstLine="200" w:firstLineChars="200"/>
      <w:jc w:val="both"/>
    </w:pPr>
    <w:rPr>
      <w:rFonts w:ascii="Calibri" w:hAnsi="Calibri" w:eastAsia="方正仿宋_GBK" w:cs="Times New Roman"/>
      <w:kern w:val="2"/>
      <w:sz w:val="32"/>
      <w:szCs w:val="24"/>
      <w:lang w:val="en-US" w:eastAsia="zh-CN" w:bidi="ar-SA"/>
    </w:rPr>
  </w:style>
  <w:style w:type="paragraph" w:styleId="2">
    <w:name w:val="heading 1"/>
    <w:basedOn w:val="1"/>
    <w:next w:val="1"/>
    <w:link w:val="49"/>
    <w:qFormat/>
    <w:uiPriority w:val="0"/>
    <w:pPr>
      <w:keepNext/>
      <w:keepLines/>
      <w:ind w:firstLine="640"/>
      <w:jc w:val="left"/>
      <w:outlineLvl w:val="0"/>
    </w:pPr>
    <w:rPr>
      <w:rFonts w:ascii="Times New Roman" w:hAnsi="Times New Roman" w:eastAsia="方正黑体_GBK"/>
      <w:bCs/>
      <w:kern w:val="44"/>
      <w:szCs w:val="44"/>
    </w:rPr>
  </w:style>
  <w:style w:type="paragraph" w:styleId="3">
    <w:name w:val="heading 2"/>
    <w:basedOn w:val="1"/>
    <w:next w:val="1"/>
    <w:link w:val="50"/>
    <w:qFormat/>
    <w:uiPriority w:val="0"/>
    <w:pPr>
      <w:keepNext/>
      <w:keepLines/>
      <w:ind w:firstLine="640"/>
      <w:outlineLvl w:val="1"/>
    </w:pPr>
    <w:rPr>
      <w:rFonts w:ascii="Times New Roman" w:hAnsi="Times New Roman" w:eastAsia="方正楷体_GBK"/>
    </w:rPr>
  </w:style>
  <w:style w:type="paragraph" w:styleId="4">
    <w:name w:val="heading 3"/>
    <w:basedOn w:val="1"/>
    <w:next w:val="1"/>
    <w:link w:val="51"/>
    <w:qFormat/>
    <w:uiPriority w:val="0"/>
    <w:pPr>
      <w:keepNext/>
      <w:keepLines/>
      <w:outlineLvl w:val="2"/>
    </w:pPr>
    <w:rPr>
      <w:rFonts w:ascii="Times New Roman" w:hAnsi="Times New Roman"/>
    </w:rPr>
  </w:style>
  <w:style w:type="paragraph" w:styleId="5">
    <w:name w:val="heading 4"/>
    <w:basedOn w:val="1"/>
    <w:next w:val="1"/>
    <w:link w:val="52"/>
    <w:qFormat/>
    <w:uiPriority w:val="0"/>
    <w:pPr>
      <w:keepNext/>
      <w:keepLines/>
      <w:ind w:firstLine="482" w:firstLineChars="0"/>
      <w:outlineLvl w:val="3"/>
    </w:pPr>
    <w:rPr>
      <w:rFonts w:ascii="仿宋_GB2312" w:hAnsi="Times New Roman"/>
      <w:b/>
    </w:rPr>
  </w:style>
  <w:style w:type="paragraph" w:styleId="6">
    <w:name w:val="heading 5"/>
    <w:basedOn w:val="1"/>
    <w:next w:val="1"/>
    <w:link w:val="53"/>
    <w:unhideWhenUsed/>
    <w:qFormat/>
    <w:uiPriority w:val="9"/>
    <w:pPr>
      <w:keepNext/>
      <w:keepLines/>
      <w:spacing w:before="280" w:after="290" w:line="376" w:lineRule="atLeast"/>
      <w:outlineLvl w:val="4"/>
    </w:pPr>
    <w:rPr>
      <w:b/>
      <w:bCs/>
      <w:sz w:val="28"/>
      <w:szCs w:val="28"/>
    </w:rPr>
  </w:style>
  <w:style w:type="paragraph" w:styleId="7">
    <w:name w:val="heading 6"/>
    <w:basedOn w:val="1"/>
    <w:next w:val="1"/>
    <w:link w:val="99"/>
    <w:unhideWhenUsed/>
    <w:qFormat/>
    <w:uiPriority w:val="9"/>
    <w:pPr>
      <w:keepNext/>
      <w:keepLines/>
      <w:spacing w:before="240" w:after="64" w:line="320" w:lineRule="auto"/>
      <w:ind w:left="1152" w:right="100" w:rightChars="100" w:firstLine="0" w:firstLineChars="0"/>
      <w:outlineLvl w:val="5"/>
    </w:pPr>
    <w:rPr>
      <w:rFonts w:eastAsia="仿宋" w:asciiTheme="majorHAnsi" w:hAnsiTheme="majorHAnsi" w:cstheme="majorBidi"/>
      <w:b/>
      <w:bCs/>
      <w:color w:val="000000" w:themeColor="text1"/>
      <w:sz w:val="28"/>
      <w14:textFill>
        <w14:solidFill>
          <w14:schemeClr w14:val="tx1"/>
        </w14:solidFill>
      </w14:textFill>
    </w:rPr>
  </w:style>
  <w:style w:type="paragraph" w:styleId="8">
    <w:name w:val="heading 7"/>
    <w:basedOn w:val="1"/>
    <w:next w:val="1"/>
    <w:link w:val="100"/>
    <w:unhideWhenUsed/>
    <w:qFormat/>
    <w:uiPriority w:val="9"/>
    <w:pPr>
      <w:keepNext/>
      <w:keepLines/>
      <w:spacing w:before="240" w:after="64" w:line="320" w:lineRule="auto"/>
      <w:ind w:left="1296" w:firstLine="0" w:firstLineChars="0"/>
      <w:outlineLvl w:val="6"/>
    </w:pPr>
    <w:rPr>
      <w:rFonts w:ascii="Times New Roman" w:hAnsi="Times New Roman" w:eastAsia="仿宋" w:cstheme="minorBidi"/>
      <w:b/>
      <w:bCs/>
      <w:color w:val="000000" w:themeColor="text1"/>
      <w:sz w:val="28"/>
      <w14:textFill>
        <w14:solidFill>
          <w14:schemeClr w14:val="tx1"/>
        </w14:solidFill>
      </w14:textFill>
    </w:rPr>
  </w:style>
  <w:style w:type="paragraph" w:styleId="9">
    <w:name w:val="heading 8"/>
    <w:basedOn w:val="1"/>
    <w:next w:val="1"/>
    <w:link w:val="101"/>
    <w:unhideWhenUsed/>
    <w:qFormat/>
    <w:uiPriority w:val="9"/>
    <w:pPr>
      <w:keepNext/>
      <w:keepLines/>
      <w:spacing w:before="240" w:after="64" w:line="320" w:lineRule="auto"/>
      <w:ind w:left="1440" w:firstLine="0" w:firstLineChars="0"/>
      <w:outlineLvl w:val="7"/>
    </w:pPr>
    <w:rPr>
      <w:rFonts w:asciiTheme="majorHAnsi" w:hAnsiTheme="majorHAnsi" w:eastAsiaTheme="majorEastAsia" w:cstheme="majorBidi"/>
      <w:color w:val="000000" w:themeColor="text1"/>
      <w:sz w:val="28"/>
      <w14:textFill>
        <w14:solidFill>
          <w14:schemeClr w14:val="tx1"/>
        </w14:solidFill>
      </w14:textFill>
    </w:rPr>
  </w:style>
  <w:style w:type="paragraph" w:styleId="10">
    <w:name w:val="heading 9"/>
    <w:basedOn w:val="1"/>
    <w:next w:val="1"/>
    <w:link w:val="102"/>
    <w:unhideWhenUsed/>
    <w:qFormat/>
    <w:uiPriority w:val="9"/>
    <w:pPr>
      <w:keepNext/>
      <w:keepLines/>
      <w:spacing w:before="240" w:after="64" w:line="320" w:lineRule="auto"/>
      <w:ind w:left="1584" w:firstLine="0" w:firstLineChars="0"/>
      <w:outlineLvl w:val="8"/>
    </w:pPr>
    <w:rPr>
      <w:rFonts w:asciiTheme="majorHAnsi" w:hAnsiTheme="majorHAnsi" w:eastAsiaTheme="majorEastAsia" w:cstheme="majorBidi"/>
      <w:color w:val="000000" w:themeColor="text1"/>
      <w:sz w:val="21"/>
      <w:szCs w:val="21"/>
      <w14:textFill>
        <w14:solidFill>
          <w14:schemeClr w14:val="tx1"/>
        </w14:solidFill>
      </w14:textFill>
    </w:rPr>
  </w:style>
  <w:style w:type="character" w:default="1" w:styleId="37">
    <w:name w:val="Default Paragraph Font"/>
    <w:semiHidden/>
    <w:unhideWhenUsed/>
    <w:qFormat/>
    <w:uiPriority w:val="1"/>
  </w:style>
  <w:style w:type="table" w:default="1" w:styleId="43">
    <w:name w:val="Normal Table"/>
    <w:semiHidden/>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85"/>
    <w:unhideWhenUsed/>
    <w:qFormat/>
    <w:uiPriority w:val="99"/>
    <w:rPr>
      <w:b/>
      <w:bCs/>
    </w:rPr>
  </w:style>
  <w:style w:type="paragraph" w:styleId="12">
    <w:name w:val="annotation text"/>
    <w:basedOn w:val="1"/>
    <w:link w:val="84"/>
    <w:unhideWhenUsed/>
    <w:qFormat/>
    <w:uiPriority w:val="0"/>
    <w:pPr>
      <w:jc w:val="left"/>
    </w:pPr>
  </w:style>
  <w:style w:type="paragraph" w:styleId="13">
    <w:name w:val="toc 7"/>
    <w:basedOn w:val="1"/>
    <w:next w:val="1"/>
    <w:unhideWhenUsed/>
    <w:qFormat/>
    <w:uiPriority w:val="39"/>
    <w:pPr>
      <w:spacing w:line="360" w:lineRule="auto"/>
      <w:ind w:left="1680" w:firstLine="560"/>
      <w:jc w:val="left"/>
    </w:pPr>
    <w:rPr>
      <w:rFonts w:eastAsia="仿宋" w:asciiTheme="minorHAnsi" w:hAnsiTheme="minorHAnsi" w:cstheme="minorHAnsi"/>
      <w:color w:val="000000" w:themeColor="text1"/>
      <w:sz w:val="18"/>
      <w:szCs w:val="18"/>
      <w14:textFill>
        <w14:solidFill>
          <w14:schemeClr w14:val="tx1"/>
        </w14:solidFill>
      </w14:textFill>
    </w:rPr>
  </w:style>
  <w:style w:type="paragraph" w:styleId="14">
    <w:name w:val="caption"/>
    <w:basedOn w:val="1"/>
    <w:next w:val="1"/>
    <w:link w:val="98"/>
    <w:unhideWhenUsed/>
    <w:qFormat/>
    <w:uiPriority w:val="0"/>
    <w:pPr>
      <w:snapToGrid w:val="0"/>
      <w:spacing w:line="240" w:lineRule="auto"/>
      <w:ind w:firstLine="0" w:firstLineChars="0"/>
      <w:jc w:val="center"/>
    </w:pPr>
    <w:rPr>
      <w:rFonts w:ascii="Times New Roman" w:hAnsi="Times New Roman" w:eastAsia="仿宋"/>
      <w:b/>
      <w:color w:val="000000"/>
      <w:sz w:val="28"/>
      <w:szCs w:val="20"/>
    </w:rPr>
  </w:style>
  <w:style w:type="paragraph" w:styleId="15">
    <w:name w:val="Document Map"/>
    <w:basedOn w:val="1"/>
    <w:link w:val="96"/>
    <w:unhideWhenUsed/>
    <w:qFormat/>
    <w:uiPriority w:val="99"/>
    <w:rPr>
      <w:rFonts w:ascii="宋体" w:eastAsia="宋体"/>
      <w:sz w:val="18"/>
      <w:szCs w:val="18"/>
    </w:rPr>
  </w:style>
  <w:style w:type="paragraph" w:styleId="16">
    <w:name w:val="Body Text"/>
    <w:basedOn w:val="1"/>
    <w:link w:val="61"/>
    <w:unhideWhenUsed/>
    <w:qFormat/>
    <w:uiPriority w:val="99"/>
    <w:pPr>
      <w:spacing w:after="120"/>
    </w:pPr>
  </w:style>
  <w:style w:type="paragraph" w:styleId="17">
    <w:name w:val="Body Text Indent"/>
    <w:basedOn w:val="1"/>
    <w:link w:val="118"/>
    <w:qFormat/>
    <w:uiPriority w:val="0"/>
    <w:pPr>
      <w:spacing w:after="120" w:line="240" w:lineRule="auto"/>
      <w:ind w:left="420" w:leftChars="200" w:firstLine="0" w:firstLineChars="0"/>
    </w:pPr>
    <w:rPr>
      <w:rFonts w:ascii="Times New Roman" w:hAnsi="Times New Roman" w:eastAsia="宋体"/>
      <w:sz w:val="21"/>
    </w:rPr>
  </w:style>
  <w:style w:type="paragraph" w:styleId="18">
    <w:name w:val="toc 5"/>
    <w:basedOn w:val="1"/>
    <w:next w:val="1"/>
    <w:unhideWhenUsed/>
    <w:qFormat/>
    <w:uiPriority w:val="39"/>
    <w:pPr>
      <w:spacing w:line="360" w:lineRule="auto"/>
      <w:ind w:left="1120" w:firstLine="560"/>
      <w:jc w:val="left"/>
    </w:pPr>
    <w:rPr>
      <w:rFonts w:eastAsia="仿宋" w:asciiTheme="minorHAnsi" w:hAnsiTheme="minorHAnsi" w:cstheme="minorHAnsi"/>
      <w:color w:val="000000" w:themeColor="text1"/>
      <w:sz w:val="18"/>
      <w:szCs w:val="18"/>
      <w14:textFill>
        <w14:solidFill>
          <w14:schemeClr w14:val="tx1"/>
        </w14:solidFill>
      </w14:textFill>
    </w:rPr>
  </w:style>
  <w:style w:type="paragraph" w:styleId="19">
    <w:name w:val="toc 3"/>
    <w:basedOn w:val="1"/>
    <w:next w:val="1"/>
    <w:unhideWhenUsed/>
    <w:qFormat/>
    <w:uiPriority w:val="39"/>
    <w:pPr>
      <w:spacing w:line="360" w:lineRule="auto"/>
      <w:ind w:left="560" w:firstLine="560"/>
      <w:jc w:val="left"/>
    </w:pPr>
    <w:rPr>
      <w:rFonts w:eastAsia="仿宋" w:asciiTheme="minorHAnsi" w:hAnsiTheme="minorHAnsi" w:cstheme="minorHAnsi"/>
      <w:i/>
      <w:iCs/>
      <w:color w:val="000000" w:themeColor="text1"/>
      <w:sz w:val="20"/>
      <w:szCs w:val="20"/>
      <w14:textFill>
        <w14:solidFill>
          <w14:schemeClr w14:val="tx1"/>
        </w14:solidFill>
      </w14:textFill>
    </w:rPr>
  </w:style>
  <w:style w:type="paragraph" w:styleId="20">
    <w:name w:val="toc 8"/>
    <w:basedOn w:val="1"/>
    <w:next w:val="1"/>
    <w:unhideWhenUsed/>
    <w:qFormat/>
    <w:uiPriority w:val="39"/>
    <w:pPr>
      <w:spacing w:line="360" w:lineRule="auto"/>
      <w:ind w:left="1960" w:firstLine="560"/>
      <w:jc w:val="left"/>
    </w:pPr>
    <w:rPr>
      <w:rFonts w:eastAsia="仿宋" w:asciiTheme="minorHAnsi" w:hAnsiTheme="minorHAnsi" w:cstheme="minorHAnsi"/>
      <w:color w:val="000000" w:themeColor="text1"/>
      <w:sz w:val="18"/>
      <w:szCs w:val="18"/>
      <w14:textFill>
        <w14:solidFill>
          <w14:schemeClr w14:val="tx1"/>
        </w14:solidFill>
      </w14:textFill>
    </w:rPr>
  </w:style>
  <w:style w:type="paragraph" w:styleId="21">
    <w:name w:val="Date"/>
    <w:basedOn w:val="1"/>
    <w:next w:val="1"/>
    <w:link w:val="107"/>
    <w:unhideWhenUsed/>
    <w:qFormat/>
    <w:uiPriority w:val="99"/>
    <w:pPr>
      <w:spacing w:line="360" w:lineRule="auto"/>
      <w:ind w:left="100" w:leftChars="2500" w:firstLine="560"/>
    </w:pPr>
    <w:rPr>
      <w:rFonts w:ascii="Times New Roman" w:hAnsi="Times New Roman" w:eastAsia="仿宋" w:cstheme="minorBidi"/>
      <w:color w:val="000000" w:themeColor="text1"/>
      <w:sz w:val="28"/>
      <w:szCs w:val="22"/>
      <w14:textFill>
        <w14:solidFill>
          <w14:schemeClr w14:val="tx1"/>
        </w14:solidFill>
      </w14:textFill>
    </w:rPr>
  </w:style>
  <w:style w:type="paragraph" w:styleId="22">
    <w:name w:val="Body Text Indent 2"/>
    <w:basedOn w:val="1"/>
    <w:link w:val="108"/>
    <w:qFormat/>
    <w:uiPriority w:val="0"/>
    <w:pPr>
      <w:spacing w:line="360" w:lineRule="auto"/>
      <w:ind w:firstLine="480" w:firstLineChars="0"/>
    </w:pPr>
    <w:rPr>
      <w:rFonts w:ascii="Times New Roman" w:hAnsi="Times New Roman" w:eastAsia="宋体"/>
      <w:sz w:val="28"/>
    </w:rPr>
  </w:style>
  <w:style w:type="paragraph" w:styleId="23">
    <w:name w:val="endnote text"/>
    <w:basedOn w:val="1"/>
    <w:link w:val="109"/>
    <w:semiHidden/>
    <w:qFormat/>
    <w:uiPriority w:val="0"/>
    <w:pPr>
      <w:adjustRightInd w:val="0"/>
      <w:spacing w:line="360" w:lineRule="atLeast"/>
      <w:ind w:firstLine="0" w:firstLineChars="0"/>
      <w:jc w:val="left"/>
      <w:textAlignment w:val="baseline"/>
    </w:pPr>
    <w:rPr>
      <w:rFonts w:ascii="Times New Roman" w:hAnsi="Times New Roman" w:eastAsia="创艺简宋体"/>
      <w:kern w:val="0"/>
      <w:sz w:val="28"/>
      <w:szCs w:val="20"/>
    </w:rPr>
  </w:style>
  <w:style w:type="paragraph" w:styleId="24">
    <w:name w:val="Balloon Text"/>
    <w:basedOn w:val="1"/>
    <w:link w:val="86"/>
    <w:unhideWhenUsed/>
    <w:qFormat/>
    <w:uiPriority w:val="99"/>
    <w:pPr>
      <w:spacing w:line="240" w:lineRule="auto"/>
    </w:pPr>
    <w:rPr>
      <w:sz w:val="18"/>
      <w:szCs w:val="18"/>
    </w:rPr>
  </w:style>
  <w:style w:type="paragraph" w:styleId="25">
    <w:name w:val="footer"/>
    <w:basedOn w:val="1"/>
    <w:link w:val="58"/>
    <w:unhideWhenUsed/>
    <w:qFormat/>
    <w:uiPriority w:val="99"/>
    <w:pPr>
      <w:tabs>
        <w:tab w:val="center" w:pos="4153"/>
        <w:tab w:val="right" w:pos="8306"/>
      </w:tabs>
      <w:snapToGrid w:val="0"/>
      <w:spacing w:line="240" w:lineRule="atLeast"/>
      <w:jc w:val="left"/>
    </w:pPr>
    <w:rPr>
      <w:sz w:val="18"/>
      <w:szCs w:val="18"/>
    </w:rPr>
  </w:style>
  <w:style w:type="paragraph" w:styleId="26">
    <w:name w:val="header"/>
    <w:basedOn w:val="1"/>
    <w:link w:val="57"/>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27">
    <w:name w:val="toc 1"/>
    <w:basedOn w:val="1"/>
    <w:next w:val="1"/>
    <w:unhideWhenUsed/>
    <w:qFormat/>
    <w:uiPriority w:val="39"/>
    <w:pPr>
      <w:spacing w:line="360" w:lineRule="auto"/>
      <w:ind w:firstLine="0" w:firstLineChars="0"/>
      <w:jc w:val="left"/>
    </w:pPr>
    <w:rPr>
      <w:rFonts w:ascii="Times New Roman" w:hAnsi="Times New Roman" w:eastAsia="仿宋" w:cstheme="minorHAnsi"/>
      <w:bCs/>
      <w:caps/>
      <w:color w:val="000000" w:themeColor="text1"/>
      <w:sz w:val="28"/>
      <w:szCs w:val="20"/>
      <w14:textFill>
        <w14:solidFill>
          <w14:schemeClr w14:val="tx1"/>
        </w14:solidFill>
      </w14:textFill>
    </w:rPr>
  </w:style>
  <w:style w:type="paragraph" w:styleId="28">
    <w:name w:val="toc 4"/>
    <w:basedOn w:val="1"/>
    <w:next w:val="1"/>
    <w:unhideWhenUsed/>
    <w:qFormat/>
    <w:uiPriority w:val="39"/>
    <w:pPr>
      <w:spacing w:line="360" w:lineRule="auto"/>
      <w:ind w:left="840" w:firstLine="560"/>
      <w:jc w:val="left"/>
    </w:pPr>
    <w:rPr>
      <w:rFonts w:eastAsia="仿宋" w:asciiTheme="minorHAnsi" w:hAnsiTheme="minorHAnsi" w:cstheme="minorHAnsi"/>
      <w:color w:val="000000" w:themeColor="text1"/>
      <w:sz w:val="18"/>
      <w:szCs w:val="18"/>
      <w14:textFill>
        <w14:solidFill>
          <w14:schemeClr w14:val="tx1"/>
        </w14:solidFill>
      </w14:textFill>
    </w:rPr>
  </w:style>
  <w:style w:type="paragraph" w:styleId="29">
    <w:name w:val="Subtitle"/>
    <w:basedOn w:val="1"/>
    <w:next w:val="1"/>
    <w:link w:val="110"/>
    <w:qFormat/>
    <w:uiPriority w:val="11"/>
    <w:pPr>
      <w:spacing w:before="240" w:after="60" w:line="312" w:lineRule="auto"/>
      <w:ind w:firstLine="560"/>
      <w:jc w:val="center"/>
      <w:outlineLvl w:val="1"/>
    </w:pPr>
    <w:rPr>
      <w:rFonts w:eastAsia="宋体" w:asciiTheme="majorHAnsi" w:hAnsiTheme="majorHAnsi" w:cstheme="majorBidi"/>
      <w:b/>
      <w:bCs/>
      <w:color w:val="000000" w:themeColor="text1"/>
      <w:kern w:val="28"/>
      <w:szCs w:val="32"/>
      <w14:textFill>
        <w14:solidFill>
          <w14:schemeClr w14:val="tx1"/>
        </w14:solidFill>
      </w14:textFill>
    </w:rPr>
  </w:style>
  <w:style w:type="paragraph" w:styleId="30">
    <w:name w:val="footnote text"/>
    <w:basedOn w:val="1"/>
    <w:link w:val="87"/>
    <w:unhideWhenUsed/>
    <w:qFormat/>
    <w:uiPriority w:val="0"/>
    <w:pPr>
      <w:snapToGrid w:val="0"/>
      <w:spacing w:line="240" w:lineRule="auto"/>
      <w:ind w:firstLine="0" w:firstLineChars="0"/>
      <w:jc w:val="left"/>
    </w:pPr>
    <w:rPr>
      <w:rFonts w:asciiTheme="minorHAnsi" w:hAnsiTheme="minorHAnsi" w:eastAsiaTheme="minorEastAsia" w:cstheme="minorBidi"/>
      <w:sz w:val="18"/>
      <w:szCs w:val="18"/>
    </w:rPr>
  </w:style>
  <w:style w:type="paragraph" w:styleId="31">
    <w:name w:val="toc 6"/>
    <w:basedOn w:val="1"/>
    <w:next w:val="1"/>
    <w:unhideWhenUsed/>
    <w:qFormat/>
    <w:uiPriority w:val="39"/>
    <w:pPr>
      <w:spacing w:line="360" w:lineRule="auto"/>
      <w:ind w:left="1400" w:firstLine="560"/>
      <w:jc w:val="left"/>
    </w:pPr>
    <w:rPr>
      <w:rFonts w:eastAsia="仿宋" w:asciiTheme="minorHAnsi" w:hAnsiTheme="minorHAnsi" w:cstheme="minorHAnsi"/>
      <w:color w:val="000000" w:themeColor="text1"/>
      <w:sz w:val="18"/>
      <w:szCs w:val="18"/>
      <w14:textFill>
        <w14:solidFill>
          <w14:schemeClr w14:val="tx1"/>
        </w14:solidFill>
      </w14:textFill>
    </w:rPr>
  </w:style>
  <w:style w:type="paragraph" w:styleId="32">
    <w:name w:val="toc 2"/>
    <w:basedOn w:val="1"/>
    <w:next w:val="1"/>
    <w:unhideWhenUsed/>
    <w:qFormat/>
    <w:uiPriority w:val="39"/>
    <w:pPr>
      <w:spacing w:line="360" w:lineRule="auto"/>
      <w:ind w:firstLine="0" w:firstLineChars="0"/>
      <w:jc w:val="left"/>
    </w:pPr>
    <w:rPr>
      <w:rFonts w:ascii="Times New Roman" w:hAnsi="Times New Roman" w:eastAsia="仿宋" w:cstheme="minorHAnsi"/>
      <w:smallCaps/>
      <w:color w:val="000000" w:themeColor="text1"/>
      <w:sz w:val="28"/>
      <w:szCs w:val="20"/>
      <w14:textFill>
        <w14:solidFill>
          <w14:schemeClr w14:val="tx1"/>
        </w14:solidFill>
      </w14:textFill>
    </w:rPr>
  </w:style>
  <w:style w:type="paragraph" w:styleId="33">
    <w:name w:val="toc 9"/>
    <w:basedOn w:val="1"/>
    <w:next w:val="1"/>
    <w:unhideWhenUsed/>
    <w:qFormat/>
    <w:uiPriority w:val="39"/>
    <w:pPr>
      <w:spacing w:line="360" w:lineRule="auto"/>
      <w:ind w:left="2240" w:firstLine="560"/>
      <w:jc w:val="left"/>
    </w:pPr>
    <w:rPr>
      <w:rFonts w:eastAsia="仿宋" w:asciiTheme="minorHAnsi" w:hAnsiTheme="minorHAnsi" w:cstheme="minorHAnsi"/>
      <w:color w:val="000000" w:themeColor="text1"/>
      <w:sz w:val="18"/>
      <w:szCs w:val="18"/>
      <w14:textFill>
        <w14:solidFill>
          <w14:schemeClr w14:val="tx1"/>
        </w14:solidFill>
      </w14:textFill>
    </w:rPr>
  </w:style>
  <w:style w:type="paragraph" w:styleId="34">
    <w:name w:val="Body Text 2"/>
    <w:basedOn w:val="1"/>
    <w:next w:val="1"/>
    <w:link w:val="56"/>
    <w:semiHidden/>
    <w:unhideWhenUsed/>
    <w:qFormat/>
    <w:uiPriority w:val="99"/>
    <w:pPr>
      <w:spacing w:line="240" w:lineRule="auto"/>
      <w:ind w:firstLine="0" w:firstLineChars="0"/>
    </w:pPr>
    <w:rPr>
      <w:rFonts w:ascii="Times New Roman" w:hAnsi="Times New Roman"/>
      <w:color w:val="000000"/>
      <w:kern w:val="0"/>
      <w:sz w:val="20"/>
    </w:rPr>
  </w:style>
  <w:style w:type="paragraph" w:styleId="35">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8"/>
    </w:rPr>
  </w:style>
  <w:style w:type="paragraph" w:styleId="36">
    <w:name w:val="Title"/>
    <w:basedOn w:val="1"/>
    <w:link w:val="55"/>
    <w:qFormat/>
    <w:uiPriority w:val="10"/>
    <w:pPr>
      <w:ind w:firstLine="0" w:firstLineChars="0"/>
      <w:jc w:val="center"/>
      <w:outlineLvl w:val="0"/>
    </w:pPr>
    <w:rPr>
      <w:rFonts w:ascii="Arial" w:hAnsi="Arial" w:eastAsia="方正小标宋_GBK" w:cs="Arial"/>
      <w:b/>
      <w:bCs/>
      <w:kern w:val="13"/>
      <w:sz w:val="44"/>
      <w:szCs w:val="32"/>
    </w:rPr>
  </w:style>
  <w:style w:type="character" w:styleId="38">
    <w:name w:val="Strong"/>
    <w:basedOn w:val="37"/>
    <w:qFormat/>
    <w:uiPriority w:val="22"/>
    <w:rPr>
      <w:b/>
      <w:bCs/>
    </w:rPr>
  </w:style>
  <w:style w:type="character" w:styleId="39">
    <w:name w:val="FollowedHyperlink"/>
    <w:basedOn w:val="37"/>
    <w:semiHidden/>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basedOn w:val="37"/>
    <w:unhideWhenUsed/>
    <w:qFormat/>
    <w:uiPriority w:val="0"/>
    <w:rPr>
      <w:sz w:val="21"/>
      <w:szCs w:val="21"/>
    </w:rPr>
  </w:style>
  <w:style w:type="character" w:styleId="42">
    <w:name w:val="footnote reference"/>
    <w:basedOn w:val="37"/>
    <w:unhideWhenUsed/>
    <w:qFormat/>
    <w:uiPriority w:val="0"/>
    <w:rPr>
      <w:vertAlign w:val="superscript"/>
    </w:rPr>
  </w:style>
  <w:style w:type="table" w:styleId="44">
    <w:name w:val="Table Grid"/>
    <w:basedOn w:val="43"/>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5">
    <w:name w:val="表头"/>
    <w:basedOn w:val="1"/>
    <w:link w:val="46"/>
    <w:qFormat/>
    <w:uiPriority w:val="0"/>
    <w:pPr>
      <w:adjustRightInd w:val="0"/>
      <w:snapToGrid w:val="0"/>
      <w:spacing w:line="560" w:lineRule="exact"/>
      <w:ind w:firstLine="0" w:firstLineChars="0"/>
      <w:jc w:val="center"/>
    </w:pPr>
    <w:rPr>
      <w:rFonts w:ascii="Times New Roman" w:hAnsi="Times New Roman"/>
      <w:b/>
      <w:sz w:val="28"/>
      <w:szCs w:val="26"/>
    </w:rPr>
  </w:style>
  <w:style w:type="character" w:customStyle="1" w:styleId="46">
    <w:name w:val="表头 Char"/>
    <w:link w:val="45"/>
    <w:qFormat/>
    <w:uiPriority w:val="0"/>
    <w:rPr>
      <w:rFonts w:eastAsia="方正仿宋_GBK"/>
      <w:b/>
      <w:kern w:val="2"/>
      <w:sz w:val="28"/>
      <w:szCs w:val="26"/>
    </w:rPr>
  </w:style>
  <w:style w:type="paragraph" w:customStyle="1" w:styleId="47">
    <w:name w:val="表格内容"/>
    <w:basedOn w:val="1"/>
    <w:link w:val="80"/>
    <w:qFormat/>
    <w:uiPriority w:val="0"/>
    <w:pPr>
      <w:overflowPunct w:val="0"/>
      <w:adjustRightInd w:val="0"/>
      <w:spacing w:line="240" w:lineRule="auto"/>
      <w:ind w:firstLine="0" w:firstLineChars="0"/>
      <w:jc w:val="center"/>
      <w:textAlignment w:val="baseline"/>
    </w:pPr>
    <w:rPr>
      <w:rFonts w:ascii="Times New Roman" w:hAnsi="Times New Roman"/>
      <w:sz w:val="21"/>
      <w:szCs w:val="21"/>
    </w:rPr>
  </w:style>
  <w:style w:type="paragraph" w:customStyle="1" w:styleId="48">
    <w:name w:val="表格表头"/>
    <w:basedOn w:val="1"/>
    <w:link w:val="81"/>
    <w:qFormat/>
    <w:uiPriority w:val="0"/>
    <w:pPr>
      <w:spacing w:line="240" w:lineRule="auto"/>
      <w:ind w:firstLine="0" w:firstLineChars="0"/>
      <w:jc w:val="center"/>
    </w:pPr>
    <w:rPr>
      <w:rFonts w:ascii="Times New Roman" w:hAnsi="Times New Roman" w:eastAsia="方正黑体_GBK"/>
      <w:color w:val="000000"/>
      <w:kern w:val="0"/>
      <w:sz w:val="21"/>
      <w:szCs w:val="32"/>
      <w:lang w:val="zh-CN"/>
    </w:rPr>
  </w:style>
  <w:style w:type="character" w:customStyle="1" w:styleId="49">
    <w:name w:val="标题 1 Char"/>
    <w:link w:val="2"/>
    <w:qFormat/>
    <w:uiPriority w:val="9"/>
    <w:rPr>
      <w:rFonts w:ascii="Times New Roman" w:hAnsi="Times New Roman" w:eastAsia="方正黑体_GBK"/>
      <w:bCs/>
      <w:kern w:val="44"/>
      <w:sz w:val="32"/>
      <w:szCs w:val="44"/>
    </w:rPr>
  </w:style>
  <w:style w:type="character" w:customStyle="1" w:styleId="50">
    <w:name w:val="标题 2 Char"/>
    <w:link w:val="3"/>
    <w:qFormat/>
    <w:uiPriority w:val="0"/>
    <w:rPr>
      <w:rFonts w:eastAsia="方正楷体_GBK"/>
      <w:kern w:val="2"/>
      <w:sz w:val="32"/>
      <w:szCs w:val="24"/>
    </w:rPr>
  </w:style>
  <w:style w:type="character" w:customStyle="1" w:styleId="51">
    <w:name w:val="标题 3 Char"/>
    <w:link w:val="4"/>
    <w:qFormat/>
    <w:uiPriority w:val="0"/>
    <w:rPr>
      <w:rFonts w:ascii="Times New Roman" w:hAnsi="Times New Roman" w:eastAsia="方正仿宋_GBK"/>
      <w:kern w:val="2"/>
      <w:sz w:val="32"/>
      <w:szCs w:val="24"/>
    </w:rPr>
  </w:style>
  <w:style w:type="character" w:customStyle="1" w:styleId="52">
    <w:name w:val="标题 4 Char"/>
    <w:link w:val="5"/>
    <w:qFormat/>
    <w:uiPriority w:val="0"/>
    <w:rPr>
      <w:rFonts w:ascii="仿宋_GB2312" w:eastAsia="方正仿宋_GBK"/>
      <w:b/>
      <w:kern w:val="2"/>
      <w:sz w:val="24"/>
      <w:szCs w:val="24"/>
    </w:rPr>
  </w:style>
  <w:style w:type="character" w:customStyle="1" w:styleId="53">
    <w:name w:val="标题 5 Char"/>
    <w:link w:val="6"/>
    <w:qFormat/>
    <w:uiPriority w:val="9"/>
    <w:rPr>
      <w:rFonts w:ascii="Calibri" w:hAnsi="Calibri" w:eastAsia="方正仿宋_GBK"/>
      <w:b/>
      <w:bCs/>
      <w:kern w:val="2"/>
      <w:sz w:val="28"/>
      <w:szCs w:val="28"/>
    </w:rPr>
  </w:style>
  <w:style w:type="character" w:customStyle="1" w:styleId="54">
    <w:name w:val="标题 字符"/>
    <w:basedOn w:val="37"/>
    <w:qFormat/>
    <w:uiPriority w:val="10"/>
    <w:rPr>
      <w:rFonts w:asciiTheme="majorHAnsi" w:hAnsiTheme="majorHAnsi" w:eastAsiaTheme="majorEastAsia" w:cstheme="majorBidi"/>
      <w:b/>
      <w:bCs/>
      <w:kern w:val="2"/>
      <w:sz w:val="32"/>
      <w:szCs w:val="32"/>
    </w:rPr>
  </w:style>
  <w:style w:type="character" w:customStyle="1" w:styleId="55">
    <w:name w:val="标题 Char"/>
    <w:link w:val="36"/>
    <w:qFormat/>
    <w:uiPriority w:val="10"/>
    <w:rPr>
      <w:rFonts w:ascii="Arial" w:hAnsi="Arial" w:eastAsia="方正小标宋_GBK" w:cs="Arial"/>
      <w:b/>
      <w:bCs/>
      <w:kern w:val="13"/>
      <w:sz w:val="44"/>
      <w:szCs w:val="32"/>
    </w:rPr>
  </w:style>
  <w:style w:type="character" w:customStyle="1" w:styleId="56">
    <w:name w:val="正文文本 2 Char"/>
    <w:basedOn w:val="37"/>
    <w:link w:val="34"/>
    <w:semiHidden/>
    <w:qFormat/>
    <w:uiPriority w:val="99"/>
    <w:rPr>
      <w:rFonts w:eastAsia="方正仿宋_GBK"/>
      <w:color w:val="000000"/>
      <w:szCs w:val="24"/>
    </w:rPr>
  </w:style>
  <w:style w:type="character" w:customStyle="1" w:styleId="57">
    <w:name w:val="页眉 Char"/>
    <w:basedOn w:val="37"/>
    <w:link w:val="26"/>
    <w:qFormat/>
    <w:uiPriority w:val="99"/>
    <w:rPr>
      <w:rFonts w:ascii="Calibri" w:hAnsi="Calibri" w:eastAsia="方正仿宋_GBK"/>
      <w:kern w:val="2"/>
      <w:sz w:val="18"/>
      <w:szCs w:val="18"/>
    </w:rPr>
  </w:style>
  <w:style w:type="character" w:customStyle="1" w:styleId="58">
    <w:name w:val="页脚 Char"/>
    <w:basedOn w:val="37"/>
    <w:link w:val="25"/>
    <w:qFormat/>
    <w:uiPriority w:val="99"/>
    <w:rPr>
      <w:rFonts w:ascii="Calibri" w:hAnsi="Calibri" w:eastAsia="方正仿宋_GBK"/>
      <w:kern w:val="2"/>
      <w:sz w:val="18"/>
      <w:szCs w:val="18"/>
    </w:rPr>
  </w:style>
  <w:style w:type="paragraph" w:customStyle="1" w:styleId="59">
    <w:name w:val="1"/>
    <w:basedOn w:val="1"/>
    <w:next w:val="1"/>
    <w:unhideWhenUsed/>
    <w:qFormat/>
    <w:uiPriority w:val="39"/>
    <w:pPr>
      <w:spacing w:before="120" w:after="120" w:line="240" w:lineRule="auto"/>
      <w:ind w:firstLine="0" w:firstLineChars="0"/>
      <w:jc w:val="left"/>
    </w:pPr>
    <w:rPr>
      <w:rFonts w:ascii="等线" w:hAnsi="等线" w:eastAsia="等线"/>
      <w:b/>
      <w:bCs/>
      <w:caps/>
      <w:sz w:val="20"/>
      <w:szCs w:val="20"/>
    </w:rPr>
  </w:style>
  <w:style w:type="paragraph" w:styleId="60">
    <w:name w:val="List Paragraph"/>
    <w:basedOn w:val="1"/>
    <w:qFormat/>
    <w:uiPriority w:val="99"/>
    <w:pPr>
      <w:spacing w:line="560" w:lineRule="exact"/>
      <w:ind w:firstLine="420"/>
    </w:pPr>
    <w:rPr>
      <w:rFonts w:ascii="Times New Roman" w:hAnsi="Times New Roman" w:eastAsia="宋体"/>
      <w:sz w:val="28"/>
      <w:szCs w:val="22"/>
    </w:rPr>
  </w:style>
  <w:style w:type="character" w:customStyle="1" w:styleId="61">
    <w:name w:val="正文文本 Char"/>
    <w:basedOn w:val="37"/>
    <w:link w:val="16"/>
    <w:qFormat/>
    <w:uiPriority w:val="99"/>
    <w:rPr>
      <w:rFonts w:ascii="Calibri" w:hAnsi="Calibri" w:eastAsia="方正仿宋_GBK"/>
      <w:kern w:val="2"/>
      <w:sz w:val="32"/>
      <w:szCs w:val="24"/>
    </w:rPr>
  </w:style>
  <w:style w:type="paragraph" w:customStyle="1" w:styleId="62">
    <w:name w:val="A-正文"/>
    <w:basedOn w:val="1"/>
    <w:link w:val="63"/>
    <w:qFormat/>
    <w:uiPriority w:val="0"/>
    <w:pPr>
      <w:spacing w:line="360" w:lineRule="auto"/>
    </w:pPr>
    <w:rPr>
      <w:rFonts w:ascii="Times New Roman" w:hAnsi="Times New Roman" w:eastAsia="仿宋"/>
      <w:kern w:val="0"/>
      <w:sz w:val="28"/>
      <w:szCs w:val="20"/>
    </w:rPr>
  </w:style>
  <w:style w:type="character" w:customStyle="1" w:styleId="63">
    <w:name w:val="A-正文 Char"/>
    <w:basedOn w:val="37"/>
    <w:link w:val="62"/>
    <w:qFormat/>
    <w:uiPriority w:val="0"/>
    <w:rPr>
      <w:rFonts w:eastAsia="仿宋"/>
      <w:sz w:val="28"/>
    </w:rPr>
  </w:style>
  <w:style w:type="paragraph" w:customStyle="1" w:styleId="64">
    <w:name w:val="标题3"/>
    <w:basedOn w:val="4"/>
    <w:next w:val="62"/>
    <w:link w:val="72"/>
    <w:qFormat/>
    <w:uiPriority w:val="0"/>
    <w:pPr>
      <w:spacing w:line="360" w:lineRule="auto"/>
      <w:jc w:val="left"/>
    </w:pPr>
    <w:rPr>
      <w:rFonts w:eastAsia="仿宋" w:cstheme="minorBidi"/>
      <w:bCs/>
      <w:kern w:val="0"/>
      <w:sz w:val="30"/>
      <w:szCs w:val="32"/>
    </w:rPr>
  </w:style>
  <w:style w:type="paragraph" w:customStyle="1" w:styleId="65">
    <w:name w:val="图名"/>
    <w:basedOn w:val="62"/>
    <w:link w:val="66"/>
    <w:qFormat/>
    <w:uiPriority w:val="0"/>
    <w:pPr>
      <w:spacing w:afterLines="50" w:line="240" w:lineRule="auto"/>
      <w:ind w:firstLine="0" w:firstLineChars="0"/>
      <w:jc w:val="center"/>
    </w:pPr>
    <w:rPr>
      <w:b/>
    </w:rPr>
  </w:style>
  <w:style w:type="character" w:customStyle="1" w:styleId="66">
    <w:name w:val="图名 字符"/>
    <w:basedOn w:val="63"/>
    <w:link w:val="65"/>
    <w:qFormat/>
    <w:uiPriority w:val="0"/>
    <w:rPr>
      <w:rFonts w:eastAsia="仿宋"/>
      <w:b/>
      <w:sz w:val="28"/>
    </w:rPr>
  </w:style>
  <w:style w:type="paragraph" w:customStyle="1" w:styleId="67">
    <w:name w:val="表格文字"/>
    <w:basedOn w:val="1"/>
    <w:link w:val="68"/>
    <w:qFormat/>
    <w:uiPriority w:val="0"/>
    <w:pPr>
      <w:adjustRightInd w:val="0"/>
      <w:snapToGrid w:val="0"/>
      <w:spacing w:line="240" w:lineRule="auto"/>
      <w:ind w:firstLine="0" w:firstLineChars="0"/>
      <w:jc w:val="center"/>
    </w:pPr>
    <w:rPr>
      <w:rFonts w:ascii="Times New Roman" w:hAnsi="Times New Roman" w:eastAsia="仿宋"/>
      <w:color w:val="000000" w:themeColor="text1"/>
      <w:kern w:val="0"/>
      <w:sz w:val="24"/>
      <w:szCs w:val="20"/>
      <w14:textFill>
        <w14:solidFill>
          <w14:schemeClr w14:val="tx1"/>
        </w14:solidFill>
      </w14:textFill>
    </w:rPr>
  </w:style>
  <w:style w:type="character" w:customStyle="1" w:styleId="68">
    <w:name w:val="表格文字 字符"/>
    <w:basedOn w:val="37"/>
    <w:link w:val="67"/>
    <w:qFormat/>
    <w:uiPriority w:val="0"/>
    <w:rPr>
      <w:rFonts w:eastAsia="仿宋"/>
      <w:color w:val="000000" w:themeColor="text1"/>
      <w:sz w:val="24"/>
      <w14:textFill>
        <w14:solidFill>
          <w14:schemeClr w14:val="tx1"/>
        </w14:solidFill>
      </w14:textFill>
    </w:rPr>
  </w:style>
  <w:style w:type="character" w:customStyle="1" w:styleId="69">
    <w:name w:val="表头 字符"/>
    <w:qFormat/>
    <w:uiPriority w:val="0"/>
    <w:rPr>
      <w:rFonts w:ascii="Times New Roman" w:hAnsi="Times New Roman" w:eastAsia="黑体" w:cs="Times New Roman"/>
      <w:b/>
      <w:kern w:val="24"/>
      <w:sz w:val="24"/>
      <w:szCs w:val="21"/>
    </w:rPr>
  </w:style>
  <w:style w:type="character" w:customStyle="1" w:styleId="70">
    <w:name w:val="A-图名 Char"/>
    <w:link w:val="71"/>
    <w:qFormat/>
    <w:uiPriority w:val="0"/>
    <w:rPr>
      <w:rFonts w:eastAsia="仿宋"/>
      <w:b/>
      <w:color w:val="000000"/>
      <w:spacing w:val="8"/>
      <w:sz w:val="24"/>
      <w:szCs w:val="24"/>
      <w:lang w:bidi="en-US"/>
    </w:rPr>
  </w:style>
  <w:style w:type="paragraph" w:customStyle="1" w:styleId="71">
    <w:name w:val="A-图名"/>
    <w:basedOn w:val="1"/>
    <w:link w:val="70"/>
    <w:qFormat/>
    <w:uiPriority w:val="0"/>
    <w:pPr>
      <w:adjustRightInd w:val="0"/>
      <w:snapToGrid w:val="0"/>
      <w:spacing w:afterLines="50" w:line="240" w:lineRule="auto"/>
      <w:ind w:firstLine="0" w:firstLineChars="0"/>
      <w:jc w:val="center"/>
    </w:pPr>
    <w:rPr>
      <w:rFonts w:ascii="Times New Roman" w:hAnsi="Times New Roman" w:eastAsia="仿宋"/>
      <w:b/>
      <w:color w:val="000000"/>
      <w:spacing w:val="8"/>
      <w:kern w:val="0"/>
      <w:sz w:val="24"/>
      <w:lang w:bidi="en-US"/>
    </w:rPr>
  </w:style>
  <w:style w:type="character" w:customStyle="1" w:styleId="72">
    <w:name w:val="标题3 Char"/>
    <w:link w:val="64"/>
    <w:qFormat/>
    <w:uiPriority w:val="0"/>
    <w:rPr>
      <w:rFonts w:eastAsia="仿宋" w:cstheme="minorBidi"/>
      <w:b/>
      <w:bCs/>
      <w:sz w:val="30"/>
      <w:szCs w:val="32"/>
    </w:rPr>
  </w:style>
  <w:style w:type="character" w:customStyle="1" w:styleId="73">
    <w:name w:val="A-表格标题 Char"/>
    <w:link w:val="74"/>
    <w:qFormat/>
    <w:uiPriority w:val="0"/>
    <w:rPr>
      <w:rFonts w:eastAsia="仿宋"/>
      <w:b/>
      <w:snapToGrid w:val="0"/>
      <w:sz w:val="24"/>
      <w:szCs w:val="21"/>
      <w:lang w:bidi="en-US"/>
    </w:rPr>
  </w:style>
  <w:style w:type="paragraph" w:customStyle="1" w:styleId="74">
    <w:name w:val="A-表格标题"/>
    <w:basedOn w:val="1"/>
    <w:link w:val="73"/>
    <w:qFormat/>
    <w:uiPriority w:val="0"/>
    <w:pPr>
      <w:adjustRightInd w:val="0"/>
      <w:snapToGrid w:val="0"/>
      <w:spacing w:beforeLines="50" w:line="240" w:lineRule="auto"/>
      <w:ind w:firstLine="0" w:firstLineChars="0"/>
      <w:jc w:val="center"/>
    </w:pPr>
    <w:rPr>
      <w:rFonts w:ascii="Times New Roman" w:hAnsi="Times New Roman" w:eastAsia="仿宋"/>
      <w:b/>
      <w:snapToGrid w:val="0"/>
      <w:kern w:val="0"/>
      <w:sz w:val="24"/>
      <w:szCs w:val="21"/>
      <w:lang w:bidi="en-US"/>
    </w:rPr>
  </w:style>
  <w:style w:type="paragraph" w:customStyle="1" w:styleId="75">
    <w:name w:val="重庆样式1"/>
    <w:basedOn w:val="2"/>
    <w:qFormat/>
    <w:uiPriority w:val="0"/>
    <w:pPr>
      <w:keepLines w:val="0"/>
      <w:widowControl/>
      <w:numPr>
        <w:ilvl w:val="0"/>
        <w:numId w:val="1"/>
      </w:numPr>
      <w:adjustRightInd w:val="0"/>
      <w:snapToGrid w:val="0"/>
      <w:spacing w:line="360" w:lineRule="auto"/>
      <w:ind w:left="0" w:firstLine="0"/>
      <w:jc w:val="center"/>
    </w:pPr>
    <w:rPr>
      <w:rFonts w:ascii="Calibri Light" w:hAnsi="Calibri Light" w:eastAsia="黑体" w:cstheme="minorBidi"/>
      <w:bCs w:val="0"/>
      <w:smallCaps/>
      <w:color w:val="000000"/>
      <w:sz w:val="30"/>
      <w:szCs w:val="32"/>
    </w:rPr>
  </w:style>
  <w:style w:type="paragraph" w:customStyle="1" w:styleId="76">
    <w:name w:val="表格"/>
    <w:basedOn w:val="1"/>
    <w:link w:val="77"/>
    <w:qFormat/>
    <w:uiPriority w:val="0"/>
    <w:pPr>
      <w:spacing w:line="240" w:lineRule="auto"/>
      <w:ind w:firstLine="0" w:firstLineChars="0"/>
      <w:jc w:val="center"/>
    </w:pPr>
    <w:rPr>
      <w:rFonts w:cs="Calibri"/>
      <w:sz w:val="21"/>
      <w:szCs w:val="32"/>
    </w:rPr>
  </w:style>
  <w:style w:type="character" w:customStyle="1" w:styleId="77">
    <w:name w:val="表格 字符"/>
    <w:link w:val="76"/>
    <w:qFormat/>
    <w:uiPriority w:val="0"/>
    <w:rPr>
      <w:rFonts w:ascii="Calibri" w:hAnsi="Calibri" w:eastAsia="方正仿宋_GBK" w:cs="Calibri"/>
      <w:kern w:val="2"/>
      <w:sz w:val="21"/>
      <w:szCs w:val="32"/>
    </w:rPr>
  </w:style>
  <w:style w:type="character" w:customStyle="1" w:styleId="78">
    <w:name w:val="表格标题 字符"/>
    <w:link w:val="79"/>
    <w:qFormat/>
    <w:uiPriority w:val="0"/>
    <w:rPr>
      <w:rFonts w:eastAsia="方正黑体_GBK"/>
      <w:color w:val="000000"/>
      <w:szCs w:val="32"/>
    </w:rPr>
  </w:style>
  <w:style w:type="paragraph" w:customStyle="1" w:styleId="79">
    <w:name w:val="表格标题"/>
    <w:basedOn w:val="1"/>
    <w:link w:val="78"/>
    <w:qFormat/>
    <w:uiPriority w:val="0"/>
    <w:pPr>
      <w:spacing w:line="240" w:lineRule="auto"/>
      <w:ind w:firstLine="0" w:firstLineChars="0"/>
      <w:jc w:val="center"/>
    </w:pPr>
    <w:rPr>
      <w:rFonts w:ascii="Times New Roman" w:hAnsi="Times New Roman" w:eastAsia="方正黑体_GBK"/>
      <w:color w:val="000000"/>
      <w:kern w:val="0"/>
      <w:sz w:val="20"/>
      <w:szCs w:val="32"/>
    </w:rPr>
  </w:style>
  <w:style w:type="character" w:customStyle="1" w:styleId="80">
    <w:name w:val="表格内容 Char"/>
    <w:link w:val="47"/>
    <w:qFormat/>
    <w:uiPriority w:val="0"/>
    <w:rPr>
      <w:rFonts w:eastAsia="方正仿宋_GBK"/>
      <w:kern w:val="2"/>
      <w:sz w:val="21"/>
      <w:szCs w:val="21"/>
    </w:rPr>
  </w:style>
  <w:style w:type="character" w:customStyle="1" w:styleId="81">
    <w:name w:val="表格表头 字符"/>
    <w:link w:val="48"/>
    <w:qFormat/>
    <w:uiPriority w:val="0"/>
    <w:rPr>
      <w:rFonts w:eastAsia="方正黑体_GBK"/>
      <w:color w:val="000000"/>
      <w:sz w:val="21"/>
      <w:szCs w:val="32"/>
      <w:lang w:val="zh-CN"/>
    </w:rPr>
  </w:style>
  <w:style w:type="table" w:customStyle="1" w:styleId="82">
    <w:name w:val="Table Normal"/>
    <w:semiHidden/>
    <w:unhideWhenUsed/>
    <w:qFormat/>
    <w:uiPriority w:val="2"/>
    <w:pPr>
      <w:widowControl w:val="0"/>
      <w:autoSpaceDE w:val="0"/>
      <w:autoSpaceDN w:val="0"/>
    </w:pPr>
    <w:rPr>
      <w:sz w:val="22"/>
      <w:szCs w:val="22"/>
      <w:lang w:eastAsia="en-US"/>
    </w:rPr>
    <w:tblPr>
      <w:tblLayout w:type="fixed"/>
      <w:tblCellMar>
        <w:top w:w="0" w:type="dxa"/>
        <w:left w:w="0" w:type="dxa"/>
        <w:bottom w:w="0" w:type="dxa"/>
        <w:right w:w="0" w:type="dxa"/>
      </w:tblCellMar>
    </w:tblPr>
  </w:style>
  <w:style w:type="paragraph" w:customStyle="1" w:styleId="83">
    <w:name w:val="Table Paragraph"/>
    <w:basedOn w:val="1"/>
    <w:qFormat/>
    <w:uiPriority w:val="1"/>
    <w:pPr>
      <w:autoSpaceDE w:val="0"/>
      <w:autoSpaceDN w:val="0"/>
      <w:spacing w:line="240" w:lineRule="auto"/>
      <w:ind w:firstLine="0" w:firstLineChars="0"/>
      <w:jc w:val="left"/>
    </w:pPr>
    <w:rPr>
      <w:rFonts w:ascii="宋体" w:hAnsi="宋体" w:eastAsia="宋体" w:cs="宋体"/>
      <w:kern w:val="0"/>
      <w:sz w:val="22"/>
      <w:szCs w:val="22"/>
      <w:lang w:val="zh-CN" w:bidi="zh-CN"/>
    </w:rPr>
  </w:style>
  <w:style w:type="character" w:customStyle="1" w:styleId="84">
    <w:name w:val="批注文字 Char"/>
    <w:basedOn w:val="37"/>
    <w:link w:val="12"/>
    <w:qFormat/>
    <w:uiPriority w:val="0"/>
    <w:rPr>
      <w:rFonts w:ascii="Calibri" w:hAnsi="Calibri" w:eastAsia="方正仿宋_GBK"/>
      <w:kern w:val="2"/>
      <w:sz w:val="32"/>
      <w:szCs w:val="24"/>
    </w:rPr>
  </w:style>
  <w:style w:type="character" w:customStyle="1" w:styleId="85">
    <w:name w:val="批注主题 Char"/>
    <w:basedOn w:val="84"/>
    <w:link w:val="11"/>
    <w:semiHidden/>
    <w:qFormat/>
    <w:uiPriority w:val="99"/>
    <w:rPr>
      <w:rFonts w:ascii="Calibri" w:hAnsi="Calibri" w:eastAsia="方正仿宋_GBK"/>
      <w:b/>
      <w:bCs/>
      <w:kern w:val="2"/>
      <w:sz w:val="32"/>
      <w:szCs w:val="24"/>
    </w:rPr>
  </w:style>
  <w:style w:type="character" w:customStyle="1" w:styleId="86">
    <w:name w:val="批注框文本 Char"/>
    <w:basedOn w:val="37"/>
    <w:link w:val="24"/>
    <w:qFormat/>
    <w:uiPriority w:val="99"/>
    <w:rPr>
      <w:rFonts w:ascii="Calibri" w:hAnsi="Calibri" w:eastAsia="方正仿宋_GBK"/>
      <w:kern w:val="2"/>
      <w:sz w:val="18"/>
      <w:szCs w:val="18"/>
    </w:rPr>
  </w:style>
  <w:style w:type="character" w:customStyle="1" w:styleId="87">
    <w:name w:val="脚注文本 Char"/>
    <w:basedOn w:val="37"/>
    <w:link w:val="30"/>
    <w:qFormat/>
    <w:uiPriority w:val="0"/>
    <w:rPr>
      <w:rFonts w:asciiTheme="minorHAnsi" w:hAnsiTheme="minorHAnsi" w:eastAsiaTheme="minorEastAsia" w:cstheme="minorBidi"/>
      <w:kern w:val="2"/>
      <w:sz w:val="18"/>
      <w:szCs w:val="18"/>
    </w:rPr>
  </w:style>
  <w:style w:type="paragraph" w:customStyle="1" w:styleId="88">
    <w:name w:val="A-表内容"/>
    <w:basedOn w:val="1"/>
    <w:link w:val="89"/>
    <w:qFormat/>
    <w:uiPriority w:val="0"/>
    <w:pPr>
      <w:spacing w:line="240" w:lineRule="auto"/>
      <w:ind w:firstLine="0" w:firstLineChars="0"/>
      <w:jc w:val="left"/>
    </w:pPr>
    <w:rPr>
      <w:rFonts w:ascii="Times New Roman" w:hAnsi="Times New Roman" w:eastAsia="仿宋" w:cs="宋体"/>
      <w:bCs/>
      <w:sz w:val="21"/>
      <w:szCs w:val="22"/>
    </w:rPr>
  </w:style>
  <w:style w:type="character" w:customStyle="1" w:styleId="89">
    <w:name w:val="A-表内容 Char"/>
    <w:link w:val="88"/>
    <w:qFormat/>
    <w:uiPriority w:val="0"/>
    <w:rPr>
      <w:rFonts w:eastAsia="仿宋" w:cs="宋体"/>
      <w:bCs/>
      <w:kern w:val="2"/>
      <w:sz w:val="21"/>
      <w:szCs w:val="22"/>
    </w:rPr>
  </w:style>
  <w:style w:type="character" w:customStyle="1" w:styleId="90">
    <w:name w:val="A-表头 Char"/>
    <w:link w:val="91"/>
    <w:qFormat/>
    <w:uiPriority w:val="0"/>
    <w:rPr>
      <w:rFonts w:eastAsia="黑体"/>
      <w:b/>
      <w:szCs w:val="24"/>
      <w:lang w:bidi="en-US"/>
    </w:rPr>
  </w:style>
  <w:style w:type="paragraph" w:customStyle="1" w:styleId="91">
    <w:name w:val="A-表头"/>
    <w:basedOn w:val="1"/>
    <w:link w:val="90"/>
    <w:qFormat/>
    <w:uiPriority w:val="0"/>
    <w:pPr>
      <w:spacing w:line="240" w:lineRule="auto"/>
      <w:ind w:firstLine="0" w:firstLineChars="0"/>
      <w:jc w:val="center"/>
    </w:pPr>
    <w:rPr>
      <w:rFonts w:ascii="Times New Roman" w:hAnsi="Times New Roman" w:eastAsia="黑体"/>
      <w:b/>
      <w:kern w:val="0"/>
      <w:sz w:val="20"/>
      <w:lang w:bidi="en-US"/>
    </w:rPr>
  </w:style>
  <w:style w:type="paragraph" w:customStyle="1" w:styleId="92">
    <w:name w:val="正文1"/>
    <w:basedOn w:val="16"/>
    <w:link w:val="93"/>
    <w:qFormat/>
    <w:uiPriority w:val="0"/>
    <w:pPr>
      <w:spacing w:after="0" w:line="480" w:lineRule="exact"/>
      <w:ind w:firstLine="480"/>
    </w:pPr>
    <w:rPr>
      <w:sz w:val="24"/>
    </w:rPr>
  </w:style>
  <w:style w:type="character" w:customStyle="1" w:styleId="93">
    <w:name w:val="正文1 Char"/>
    <w:basedOn w:val="61"/>
    <w:link w:val="92"/>
    <w:qFormat/>
    <w:uiPriority w:val="0"/>
    <w:rPr>
      <w:rFonts w:ascii="Calibri" w:hAnsi="Calibri" w:eastAsia="方正仿宋_GBK"/>
      <w:kern w:val="2"/>
      <w:sz w:val="24"/>
      <w:szCs w:val="24"/>
    </w:rPr>
  </w:style>
  <w:style w:type="paragraph" w:customStyle="1" w:styleId="94">
    <w:name w:val="表内文字"/>
    <w:basedOn w:val="1"/>
    <w:link w:val="95"/>
    <w:qFormat/>
    <w:uiPriority w:val="0"/>
    <w:pPr>
      <w:spacing w:line="240" w:lineRule="auto"/>
      <w:ind w:firstLine="0" w:firstLineChars="0"/>
    </w:pPr>
    <w:rPr>
      <w:rFonts w:ascii="宋体" w:hAnsi="宋体" w:eastAsia="宋体"/>
      <w:sz w:val="21"/>
      <w:szCs w:val="21"/>
    </w:rPr>
  </w:style>
  <w:style w:type="character" w:customStyle="1" w:styleId="95">
    <w:name w:val="表内文字 Char"/>
    <w:basedOn w:val="37"/>
    <w:link w:val="94"/>
    <w:qFormat/>
    <w:uiPriority w:val="0"/>
    <w:rPr>
      <w:rFonts w:ascii="宋体" w:hAnsi="宋体"/>
      <w:kern w:val="2"/>
      <w:sz w:val="21"/>
      <w:szCs w:val="21"/>
    </w:rPr>
  </w:style>
  <w:style w:type="character" w:customStyle="1" w:styleId="96">
    <w:name w:val="文档结构图 Char"/>
    <w:basedOn w:val="37"/>
    <w:link w:val="15"/>
    <w:semiHidden/>
    <w:qFormat/>
    <w:uiPriority w:val="99"/>
    <w:rPr>
      <w:rFonts w:ascii="宋体" w:hAnsi="Calibri"/>
      <w:kern w:val="2"/>
      <w:sz w:val="18"/>
      <w:szCs w:val="18"/>
    </w:rPr>
  </w:style>
  <w:style w:type="paragraph" w:customStyle="1" w:styleId="97">
    <w:name w:val="表内容"/>
    <w:qFormat/>
    <w:uiPriority w:val="0"/>
    <w:pPr>
      <w:spacing w:line="320" w:lineRule="exact"/>
      <w:jc w:val="center"/>
    </w:pPr>
    <w:rPr>
      <w:rFonts w:ascii="Times New Roman" w:hAnsi="Times New Roman" w:eastAsia="仿宋" w:cs="Times New Roman"/>
      <w:sz w:val="21"/>
      <w:lang w:val="en-US" w:eastAsia="zh-CN" w:bidi="ar-SA"/>
    </w:rPr>
  </w:style>
  <w:style w:type="character" w:customStyle="1" w:styleId="98">
    <w:name w:val="题注 Char"/>
    <w:basedOn w:val="37"/>
    <w:link w:val="14"/>
    <w:qFormat/>
    <w:uiPriority w:val="0"/>
    <w:rPr>
      <w:rFonts w:eastAsia="仿宋"/>
      <w:b/>
      <w:color w:val="000000"/>
      <w:kern w:val="2"/>
      <w:sz w:val="28"/>
    </w:rPr>
  </w:style>
  <w:style w:type="character" w:customStyle="1" w:styleId="99">
    <w:name w:val="标题 6 Char"/>
    <w:basedOn w:val="37"/>
    <w:link w:val="7"/>
    <w:qFormat/>
    <w:uiPriority w:val="9"/>
    <w:rPr>
      <w:rFonts w:eastAsia="仿宋" w:asciiTheme="majorHAnsi" w:hAnsiTheme="majorHAnsi" w:cstheme="majorBidi"/>
      <w:b/>
      <w:bCs/>
      <w:color w:val="000000" w:themeColor="text1"/>
      <w:kern w:val="2"/>
      <w:sz w:val="28"/>
      <w:szCs w:val="24"/>
      <w14:textFill>
        <w14:solidFill>
          <w14:schemeClr w14:val="tx1"/>
        </w14:solidFill>
      </w14:textFill>
    </w:rPr>
  </w:style>
  <w:style w:type="character" w:customStyle="1" w:styleId="100">
    <w:name w:val="标题 7 Char"/>
    <w:basedOn w:val="37"/>
    <w:link w:val="8"/>
    <w:qFormat/>
    <w:uiPriority w:val="9"/>
    <w:rPr>
      <w:rFonts w:eastAsia="仿宋" w:cstheme="minorBidi"/>
      <w:b/>
      <w:bCs/>
      <w:color w:val="000000" w:themeColor="text1"/>
      <w:kern w:val="2"/>
      <w:sz w:val="28"/>
      <w:szCs w:val="24"/>
      <w14:textFill>
        <w14:solidFill>
          <w14:schemeClr w14:val="tx1"/>
        </w14:solidFill>
      </w14:textFill>
    </w:rPr>
  </w:style>
  <w:style w:type="character" w:customStyle="1" w:styleId="101">
    <w:name w:val="标题 8 Char"/>
    <w:basedOn w:val="37"/>
    <w:link w:val="9"/>
    <w:qFormat/>
    <w:uiPriority w:val="9"/>
    <w:rPr>
      <w:rFonts w:asciiTheme="majorHAnsi" w:hAnsiTheme="majorHAnsi" w:eastAsiaTheme="majorEastAsia" w:cstheme="majorBidi"/>
      <w:color w:val="000000" w:themeColor="text1"/>
      <w:kern w:val="2"/>
      <w:sz w:val="28"/>
      <w:szCs w:val="24"/>
      <w14:textFill>
        <w14:solidFill>
          <w14:schemeClr w14:val="tx1"/>
        </w14:solidFill>
      </w14:textFill>
    </w:rPr>
  </w:style>
  <w:style w:type="character" w:customStyle="1" w:styleId="102">
    <w:name w:val="标题 9 Char"/>
    <w:basedOn w:val="37"/>
    <w:link w:val="10"/>
    <w:qFormat/>
    <w:uiPriority w:val="9"/>
    <w:rPr>
      <w:rFonts w:asciiTheme="majorHAnsi" w:hAnsiTheme="majorHAnsi" w:eastAsiaTheme="majorEastAsia" w:cstheme="majorBidi"/>
      <w:color w:val="000000" w:themeColor="text1"/>
      <w:kern w:val="2"/>
      <w:sz w:val="21"/>
      <w:szCs w:val="21"/>
      <w14:textFill>
        <w14:solidFill>
          <w14:schemeClr w14:val="tx1"/>
        </w14:solidFill>
      </w14:textFill>
    </w:rPr>
  </w:style>
  <w:style w:type="paragraph" w:customStyle="1" w:styleId="103">
    <w:name w:val="标题2"/>
    <w:basedOn w:val="4"/>
    <w:link w:val="104"/>
    <w:qFormat/>
    <w:uiPriority w:val="0"/>
    <w:pPr>
      <w:numPr>
        <w:ilvl w:val="2"/>
        <w:numId w:val="2"/>
      </w:numPr>
      <w:snapToGrid w:val="0"/>
      <w:spacing w:beforeLines="50" w:afterLines="50" w:line="360" w:lineRule="auto"/>
      <w:ind w:firstLine="0" w:firstLineChars="0"/>
      <w:jc w:val="left"/>
    </w:pPr>
    <w:rPr>
      <w:rFonts w:eastAsia="仿宋" w:cstheme="majorBidi"/>
      <w:sz w:val="30"/>
      <w:szCs w:val="32"/>
    </w:rPr>
  </w:style>
  <w:style w:type="character" w:customStyle="1" w:styleId="104">
    <w:name w:val="标题2 Char Char"/>
    <w:link w:val="103"/>
    <w:qFormat/>
    <w:uiPriority w:val="0"/>
    <w:rPr>
      <w:rFonts w:eastAsia="仿宋" w:cstheme="majorBidi"/>
      <w:b/>
      <w:kern w:val="2"/>
      <w:sz w:val="30"/>
      <w:szCs w:val="32"/>
    </w:rPr>
  </w:style>
  <w:style w:type="character" w:customStyle="1" w:styleId="105">
    <w:name w:val="图表题注 Char"/>
    <w:basedOn w:val="37"/>
    <w:link w:val="106"/>
    <w:qFormat/>
    <w:uiPriority w:val="0"/>
    <w:rPr>
      <w:rFonts w:eastAsia="黑体"/>
      <w:b/>
      <w:sz w:val="24"/>
      <w:szCs w:val="30"/>
    </w:rPr>
  </w:style>
  <w:style w:type="paragraph" w:customStyle="1" w:styleId="106">
    <w:name w:val="图表题注"/>
    <w:basedOn w:val="1"/>
    <w:link w:val="105"/>
    <w:qFormat/>
    <w:uiPriority w:val="0"/>
    <w:pPr>
      <w:spacing w:line="360" w:lineRule="auto"/>
      <w:ind w:firstLine="0" w:firstLineChars="0"/>
      <w:jc w:val="center"/>
    </w:pPr>
    <w:rPr>
      <w:rFonts w:ascii="Times New Roman" w:hAnsi="Times New Roman" w:eastAsia="黑体"/>
      <w:b/>
      <w:kern w:val="0"/>
      <w:sz w:val="24"/>
      <w:szCs w:val="30"/>
    </w:rPr>
  </w:style>
  <w:style w:type="character" w:customStyle="1" w:styleId="107">
    <w:name w:val="日期 Char"/>
    <w:basedOn w:val="37"/>
    <w:link w:val="21"/>
    <w:qFormat/>
    <w:uiPriority w:val="99"/>
    <w:rPr>
      <w:rFonts w:eastAsia="仿宋" w:cstheme="minorBidi"/>
      <w:color w:val="000000" w:themeColor="text1"/>
      <w:kern w:val="2"/>
      <w:sz w:val="28"/>
      <w:szCs w:val="22"/>
      <w14:textFill>
        <w14:solidFill>
          <w14:schemeClr w14:val="tx1"/>
        </w14:solidFill>
      </w14:textFill>
    </w:rPr>
  </w:style>
  <w:style w:type="character" w:customStyle="1" w:styleId="108">
    <w:name w:val="正文文本缩进 2 Char"/>
    <w:basedOn w:val="37"/>
    <w:link w:val="22"/>
    <w:qFormat/>
    <w:uiPriority w:val="0"/>
    <w:rPr>
      <w:kern w:val="2"/>
      <w:sz w:val="28"/>
      <w:szCs w:val="24"/>
    </w:rPr>
  </w:style>
  <w:style w:type="character" w:customStyle="1" w:styleId="109">
    <w:name w:val="尾注文本 Char"/>
    <w:basedOn w:val="37"/>
    <w:link w:val="23"/>
    <w:semiHidden/>
    <w:qFormat/>
    <w:uiPriority w:val="0"/>
    <w:rPr>
      <w:rFonts w:eastAsia="创艺简宋体"/>
      <w:sz w:val="28"/>
    </w:rPr>
  </w:style>
  <w:style w:type="character" w:customStyle="1" w:styleId="110">
    <w:name w:val="副标题 Char"/>
    <w:basedOn w:val="37"/>
    <w:link w:val="29"/>
    <w:qFormat/>
    <w:uiPriority w:val="11"/>
    <w:rPr>
      <w:rFonts w:asciiTheme="majorHAnsi" w:hAnsiTheme="majorHAnsi" w:cstheme="majorBidi"/>
      <w:b/>
      <w:bCs/>
      <w:color w:val="000000" w:themeColor="text1"/>
      <w:kern w:val="28"/>
      <w:sz w:val="32"/>
      <w:szCs w:val="32"/>
      <w14:textFill>
        <w14:solidFill>
          <w14:schemeClr w14:val="tx1"/>
        </w14:solidFill>
      </w14:textFill>
    </w:rPr>
  </w:style>
  <w:style w:type="paragraph" w:customStyle="1" w:styleId="111">
    <w:name w:val="列出段落1"/>
    <w:basedOn w:val="1"/>
    <w:link w:val="112"/>
    <w:qFormat/>
    <w:uiPriority w:val="0"/>
    <w:pPr>
      <w:spacing w:line="360" w:lineRule="auto"/>
      <w:ind w:firstLine="420"/>
    </w:pPr>
    <w:rPr>
      <w:rFonts w:ascii="Times New Roman" w:hAnsi="Times New Roman" w:eastAsia="仿宋" w:cstheme="minorBidi"/>
      <w:color w:val="000000" w:themeColor="text1"/>
      <w:sz w:val="28"/>
      <w:szCs w:val="22"/>
      <w14:textFill>
        <w14:solidFill>
          <w14:schemeClr w14:val="tx1"/>
        </w14:solidFill>
      </w14:textFill>
    </w:rPr>
  </w:style>
  <w:style w:type="character" w:customStyle="1" w:styleId="112">
    <w:name w:val="列出段落 Char"/>
    <w:link w:val="111"/>
    <w:qFormat/>
    <w:uiPriority w:val="0"/>
    <w:rPr>
      <w:rFonts w:eastAsia="仿宋" w:cstheme="minorBidi"/>
      <w:color w:val="000000" w:themeColor="text1"/>
      <w:kern w:val="2"/>
      <w:sz w:val="28"/>
      <w:szCs w:val="22"/>
      <w14:textFill>
        <w14:solidFill>
          <w14:schemeClr w14:val="tx1"/>
        </w14:solidFill>
      </w14:textFill>
    </w:rPr>
  </w:style>
  <w:style w:type="paragraph" w:customStyle="1" w:styleId="113">
    <w:name w:val="列出段落4"/>
    <w:basedOn w:val="1"/>
    <w:qFormat/>
    <w:uiPriority w:val="34"/>
    <w:pPr>
      <w:spacing w:line="240" w:lineRule="auto"/>
      <w:ind w:firstLine="420"/>
    </w:pPr>
    <w:rPr>
      <w:rFonts w:ascii="Times New Roman" w:hAnsi="Times New Roman" w:eastAsia="宋体"/>
      <w:sz w:val="21"/>
    </w:rPr>
  </w:style>
  <w:style w:type="character" w:customStyle="1" w:styleId="114">
    <w:name w:val="脚注文本 Char1"/>
    <w:basedOn w:val="37"/>
    <w:semiHidden/>
    <w:qFormat/>
    <w:uiPriority w:val="99"/>
    <w:rPr>
      <w:rFonts w:ascii="Times New Roman" w:hAnsi="Times New Roman" w:eastAsia="仿宋"/>
      <w:color w:val="000000" w:themeColor="text1"/>
      <w:sz w:val="18"/>
      <w:szCs w:val="18"/>
      <w14:textFill>
        <w14:solidFill>
          <w14:schemeClr w14:val="tx1"/>
        </w14:solidFill>
      </w14:textFill>
    </w:rPr>
  </w:style>
  <w:style w:type="paragraph" w:customStyle="1" w:styleId="115">
    <w:name w:val="TOC 标题1"/>
    <w:basedOn w:val="2"/>
    <w:next w:val="1"/>
    <w:unhideWhenUsed/>
    <w:qFormat/>
    <w:uiPriority w:val="39"/>
    <w:pPr>
      <w:widowControl/>
      <w:snapToGrid w:val="0"/>
      <w:spacing w:beforeLines="100" w:afterLines="100" w:line="276" w:lineRule="auto"/>
      <w:outlineLvl w:val="9"/>
    </w:pPr>
    <w:rPr>
      <w:rFonts w:asciiTheme="majorHAnsi" w:hAnsiTheme="majorHAnsi" w:eastAsiaTheme="majorEastAsia" w:cstheme="majorBidi"/>
      <w:b/>
      <w:bCs w:val="0"/>
      <w:color w:val="2E75B6" w:themeColor="accent1" w:themeShade="BF"/>
      <w:kern w:val="0"/>
      <w:sz w:val="28"/>
      <w:szCs w:val="28"/>
    </w:rPr>
  </w:style>
  <w:style w:type="character" w:customStyle="1" w:styleId="116">
    <w:name w:val="书籍标题1"/>
    <w:basedOn w:val="37"/>
    <w:qFormat/>
    <w:uiPriority w:val="33"/>
    <w:rPr>
      <w:b/>
      <w:bCs/>
      <w:smallCaps/>
      <w:spacing w:val="5"/>
    </w:rPr>
  </w:style>
  <w:style w:type="character" w:customStyle="1" w:styleId="117">
    <w:name w:val="未处理的提及1"/>
    <w:basedOn w:val="37"/>
    <w:unhideWhenUsed/>
    <w:qFormat/>
    <w:uiPriority w:val="99"/>
    <w:rPr>
      <w:color w:val="808080"/>
      <w:shd w:val="clear" w:color="auto" w:fill="E6E6E6"/>
    </w:rPr>
  </w:style>
  <w:style w:type="character" w:customStyle="1" w:styleId="118">
    <w:name w:val="正文文本缩进 Char"/>
    <w:basedOn w:val="37"/>
    <w:link w:val="17"/>
    <w:qFormat/>
    <w:uiPriority w:val="0"/>
    <w:rPr>
      <w:kern w:val="2"/>
      <w:sz w:val="21"/>
      <w:szCs w:val="24"/>
    </w:rPr>
  </w:style>
  <w:style w:type="character" w:customStyle="1" w:styleId="119">
    <w:name w:val="样式4 Char Char"/>
    <w:link w:val="120"/>
    <w:qFormat/>
    <w:uiPriority w:val="0"/>
    <w:rPr>
      <w:rFonts w:eastAsia="仿宋_GB2312"/>
      <w:kern w:val="2"/>
      <w:sz w:val="28"/>
      <w:szCs w:val="28"/>
    </w:rPr>
  </w:style>
  <w:style w:type="paragraph" w:customStyle="1" w:styleId="120">
    <w:name w:val="样式4"/>
    <w:basedOn w:val="111"/>
    <w:link w:val="119"/>
    <w:qFormat/>
    <w:uiPriority w:val="0"/>
    <w:pPr>
      <w:tabs>
        <w:tab w:val="left" w:pos="360"/>
        <w:tab w:val="left" w:pos="1418"/>
      </w:tabs>
      <w:ind w:firstLine="0" w:firstLineChars="0"/>
    </w:pPr>
    <w:rPr>
      <w:rFonts w:eastAsia="仿宋_GB2312" w:cs="Times New Roman"/>
      <w:color w:val="auto"/>
      <w:szCs w:val="28"/>
    </w:rPr>
  </w:style>
  <w:style w:type="paragraph" w:customStyle="1" w:styleId="121">
    <w:name w:val="TOC 标题2"/>
    <w:basedOn w:val="2"/>
    <w:next w:val="1"/>
    <w:unhideWhenUsed/>
    <w:qFormat/>
    <w:uiPriority w:val="39"/>
    <w:pPr>
      <w:widowControl/>
      <w:spacing w:before="240" w:afterLines="100" w:line="259" w:lineRule="auto"/>
      <w:outlineLvl w:val="9"/>
    </w:pPr>
    <w:rPr>
      <w:rFonts w:asciiTheme="majorHAnsi" w:hAnsiTheme="majorHAnsi" w:eastAsiaTheme="majorEastAsia" w:cstheme="majorBidi"/>
      <w:bCs w:val="0"/>
      <w:color w:val="2E75B6" w:themeColor="accent1" w:themeShade="BF"/>
      <w:kern w:val="0"/>
      <w:szCs w:val="32"/>
    </w:rPr>
  </w:style>
  <w:style w:type="character" w:styleId="122">
    <w:name w:val="Placeholder Text"/>
    <w:basedOn w:val="37"/>
    <w:unhideWhenUsed/>
    <w:qFormat/>
    <w:uiPriority w:val="99"/>
    <w:rPr>
      <w:color w:val="808080"/>
    </w:rPr>
  </w:style>
  <w:style w:type="paragraph" w:customStyle="1" w:styleId="123">
    <w:name w:val="font5"/>
    <w:basedOn w:val="1"/>
    <w:qFormat/>
    <w:uiPriority w:val="0"/>
    <w:pPr>
      <w:widowControl/>
      <w:spacing w:before="100" w:beforeAutospacing="1" w:after="100" w:afterAutospacing="1" w:line="240" w:lineRule="auto"/>
      <w:ind w:firstLine="0" w:firstLineChars="0"/>
      <w:jc w:val="left"/>
    </w:pPr>
    <w:rPr>
      <w:rFonts w:ascii="方正黑体_GBK" w:hAnsi="宋体" w:eastAsia="方正黑体_GBK" w:cs="宋体"/>
      <w:color w:val="000000"/>
      <w:kern w:val="0"/>
      <w:sz w:val="20"/>
      <w:szCs w:val="20"/>
    </w:rPr>
  </w:style>
  <w:style w:type="paragraph" w:customStyle="1" w:styleId="124">
    <w:name w:val="font6"/>
    <w:basedOn w:val="1"/>
    <w:qFormat/>
    <w:uiPriority w:val="0"/>
    <w:pPr>
      <w:widowControl/>
      <w:spacing w:before="100" w:beforeAutospacing="1" w:after="100" w:afterAutospacing="1" w:line="240" w:lineRule="auto"/>
      <w:ind w:firstLine="0" w:firstLineChars="0"/>
      <w:jc w:val="left"/>
    </w:pPr>
    <w:rPr>
      <w:rFonts w:ascii="Times New Roman" w:hAnsi="Times New Roman" w:eastAsia="宋体"/>
      <w:color w:val="000000"/>
      <w:kern w:val="0"/>
      <w:sz w:val="20"/>
      <w:szCs w:val="20"/>
    </w:rPr>
  </w:style>
  <w:style w:type="paragraph" w:customStyle="1" w:styleId="125">
    <w:name w:val="font7"/>
    <w:basedOn w:val="1"/>
    <w:qFormat/>
    <w:uiPriority w:val="0"/>
    <w:pPr>
      <w:widowControl/>
      <w:spacing w:before="100" w:beforeAutospacing="1" w:after="100" w:afterAutospacing="1" w:line="240" w:lineRule="auto"/>
      <w:ind w:firstLine="0" w:firstLineChars="0"/>
      <w:jc w:val="left"/>
    </w:pPr>
    <w:rPr>
      <w:rFonts w:ascii="Times New Roman" w:hAnsi="Times New Roman" w:eastAsia="宋体"/>
      <w:color w:val="000000"/>
      <w:kern w:val="0"/>
      <w:sz w:val="20"/>
      <w:szCs w:val="20"/>
    </w:rPr>
  </w:style>
  <w:style w:type="paragraph" w:customStyle="1" w:styleId="126">
    <w:name w:val="font8"/>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000000"/>
      <w:kern w:val="0"/>
      <w:sz w:val="22"/>
      <w:szCs w:val="22"/>
    </w:rPr>
  </w:style>
  <w:style w:type="paragraph" w:customStyle="1" w:styleId="127">
    <w:name w:val="font9"/>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12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方正仿宋_GBK" w:hAnsi="宋体" w:cs="宋体"/>
      <w:kern w:val="0"/>
      <w:sz w:val="21"/>
      <w:szCs w:val="21"/>
    </w:rPr>
  </w:style>
  <w:style w:type="paragraph" w:customStyle="1" w:styleId="12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Times New Roman" w:hAnsi="Times New Roman" w:eastAsia="宋体"/>
      <w:kern w:val="0"/>
      <w:sz w:val="21"/>
      <w:szCs w:val="21"/>
    </w:rPr>
  </w:style>
  <w:style w:type="paragraph" w:customStyle="1" w:styleId="130">
    <w:name w:val="xl68"/>
    <w:basedOn w:val="1"/>
    <w:qFormat/>
    <w:uiPriority w:val="0"/>
    <w:pPr>
      <w:widowControl/>
      <w:spacing w:before="100" w:beforeAutospacing="1" w:after="100" w:afterAutospacing="1" w:line="240" w:lineRule="auto"/>
      <w:ind w:firstLine="0" w:firstLineChars="0"/>
      <w:jc w:val="center"/>
    </w:pPr>
    <w:rPr>
      <w:rFonts w:ascii="宋体" w:hAnsi="宋体" w:eastAsia="宋体" w:cs="宋体"/>
      <w:kern w:val="0"/>
      <w:sz w:val="24"/>
    </w:rPr>
  </w:style>
  <w:style w:type="paragraph" w:customStyle="1" w:styleId="13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方正黑体_GBK" w:hAnsi="宋体" w:eastAsia="方正黑体_GBK" w:cs="宋体"/>
      <w:color w:val="000000"/>
      <w:kern w:val="0"/>
      <w:sz w:val="20"/>
      <w:szCs w:val="20"/>
    </w:rPr>
  </w:style>
  <w:style w:type="paragraph" w:customStyle="1" w:styleId="13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olor w:val="000000"/>
      <w:kern w:val="0"/>
      <w:sz w:val="20"/>
      <w:szCs w:val="20"/>
    </w:rPr>
  </w:style>
  <w:style w:type="paragraph" w:customStyle="1" w:styleId="13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1"/>
      <w:szCs w:val="21"/>
    </w:rPr>
  </w:style>
  <w:style w:type="paragraph" w:customStyle="1" w:styleId="13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4"/>
    </w:rPr>
  </w:style>
  <w:style w:type="paragraph" w:customStyle="1" w:styleId="135">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kern w:val="0"/>
      <w:sz w:val="24"/>
    </w:rPr>
  </w:style>
  <w:style w:type="paragraph" w:customStyle="1" w:styleId="136">
    <w:name w:val="xl74"/>
    <w:basedOn w:val="1"/>
    <w:qFormat/>
    <w:uiPriority w:val="0"/>
    <w:pPr>
      <w:widowControl/>
      <w:spacing w:before="100" w:beforeAutospacing="1" w:after="100" w:afterAutospacing="1" w:line="240" w:lineRule="auto"/>
      <w:ind w:firstLine="0" w:firstLineChars="0"/>
      <w:jc w:val="center"/>
    </w:pPr>
    <w:rPr>
      <w:rFonts w:ascii="宋体" w:hAnsi="宋体" w:eastAsia="宋体" w:cs="宋体"/>
      <w:kern w:val="0"/>
      <w:sz w:val="24"/>
    </w:rPr>
  </w:style>
  <w:style w:type="paragraph" w:customStyle="1" w:styleId="137">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方正仿宋_GBK" w:hAnsi="宋体" w:cs="宋体"/>
      <w:kern w:val="0"/>
      <w:sz w:val="21"/>
      <w:szCs w:val="21"/>
    </w:rPr>
  </w:style>
  <w:style w:type="paragraph" w:customStyle="1" w:styleId="138">
    <w:name w:val="WPSOffice手动目录 1"/>
    <w:qFormat/>
    <w:uiPriority w:val="0"/>
    <w:rPr>
      <w:rFonts w:ascii="Times New Roman" w:hAnsi="Times New Roman" w:eastAsia="宋体" w:cs="Times New Roman"/>
      <w:lang w:val="en-US" w:eastAsia="zh-CN" w:bidi="ar-SA"/>
    </w:rPr>
  </w:style>
  <w:style w:type="paragraph" w:customStyle="1" w:styleId="13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40">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141">
    <w:name w:val="Unresolved Mention"/>
    <w:basedOn w:val="37"/>
    <w:semiHidden/>
    <w:unhideWhenUsed/>
    <w:qFormat/>
    <w:uiPriority w:val="99"/>
    <w:rPr>
      <w:color w:val="605E5C"/>
      <w:shd w:val="clear" w:color="auto" w:fill="E1DFDD"/>
    </w:rPr>
  </w:style>
  <w:style w:type="character" w:customStyle="1" w:styleId="142">
    <w:name w:val="font41"/>
    <w:basedOn w:val="37"/>
    <w:qFormat/>
    <w:uiPriority w:val="0"/>
    <w:rPr>
      <w:rFonts w:hint="eastAsia" w:ascii="方正仿宋_GBK" w:hAnsi="方正仿宋_GBK" w:eastAsia="方正仿宋_GBK" w:cs="方正仿宋_GBK"/>
      <w:b/>
      <w:color w:val="000000"/>
      <w:sz w:val="21"/>
      <w:szCs w:val="21"/>
      <w:u w:val="none"/>
    </w:rPr>
  </w:style>
  <w:style w:type="character" w:customStyle="1" w:styleId="143">
    <w:name w:val="font21"/>
    <w:basedOn w:val="37"/>
    <w:qFormat/>
    <w:uiPriority w:val="0"/>
    <w:rPr>
      <w:rFonts w:hint="default" w:ascii="Times New Roman" w:hAnsi="Times New Roman" w:cs="Times New Roman"/>
      <w:b/>
      <w:color w:val="000000"/>
      <w:sz w:val="21"/>
      <w:szCs w:val="21"/>
      <w:u w:val="none"/>
    </w:rPr>
  </w:style>
  <w:style w:type="character" w:customStyle="1" w:styleId="144">
    <w:name w:val="font31"/>
    <w:basedOn w:val="37"/>
    <w:qFormat/>
    <w:uiPriority w:val="0"/>
    <w:rPr>
      <w:rFonts w:hint="eastAsia" w:ascii="方正仿宋_GBK" w:hAnsi="方正仿宋_GBK" w:eastAsia="方正仿宋_GBK" w:cs="方正仿宋_GBK"/>
      <w:color w:val="000000"/>
      <w:sz w:val="21"/>
      <w:szCs w:val="21"/>
      <w:u w:val="none"/>
    </w:rPr>
  </w:style>
  <w:style w:type="character" w:customStyle="1" w:styleId="145">
    <w:name w:val="font11"/>
    <w:basedOn w:val="37"/>
    <w:qFormat/>
    <w:uiPriority w:val="0"/>
    <w:rPr>
      <w:rFonts w:hint="default" w:ascii="Times New Roman" w:hAnsi="Times New Roman" w:cs="Times New Roman"/>
      <w:color w:val="000000"/>
      <w:sz w:val="21"/>
      <w:szCs w:val="21"/>
      <w:u w:val="none"/>
    </w:rPr>
  </w:style>
  <w:style w:type="character" w:customStyle="1" w:styleId="146">
    <w:name w:val="font51"/>
    <w:basedOn w:val="37"/>
    <w:qFormat/>
    <w:uiPriority w:val="0"/>
    <w:rPr>
      <w:rFonts w:hint="eastAsia" w:ascii="方正仿宋_GBK" w:hAnsi="方正仿宋_GBK" w:eastAsia="方正仿宋_GBK" w:cs="方正仿宋_GBK"/>
      <w:color w:val="000000"/>
      <w:sz w:val="21"/>
      <w:szCs w:val="21"/>
      <w:u w:val="none"/>
    </w:rPr>
  </w:style>
  <w:style w:type="character" w:customStyle="1" w:styleId="147">
    <w:name w:val="font01"/>
    <w:basedOn w:val="37"/>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D86B8E-B5FA-45DC-8E86-791F5560B144}">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54</Pages>
  <Words>15987</Words>
  <Characters>18077</Characters>
  <Lines>156</Lines>
  <Paragraphs>43</Paragraphs>
  <TotalTime>6</TotalTime>
  <ScaleCrop>false</ScaleCrop>
  <LinksUpToDate>false</LinksUpToDate>
  <CharactersWithSpaces>18334</CharactersWithSpaces>
  <Application>WPS Office_10.8.2.7027_F1E327BC-269C-435d-A152-05C5408002CA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2020-08-25T09:00:00Z</dcterms:created>
  <dc:creator>p'c</dc:creator>
  <cp:lastModifiedBy>会推开就别深拥</cp:lastModifiedBy>
  <cp:lastPrinted>2020-08-25T09:00:00Z</cp:lastPrinted>
  <dcterms:modified xsi:type="dcterms:W3CDTF">2023-08-24T09:45:00Z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ICV">
    <vt:lpwstr>E562058821004EB098A54C360E3F6327</vt:lpwstr>
  </property>
</Properties>
</file>