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奉节县生态环境局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44"/>
          <w:szCs w:val="44"/>
          <w:lang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lang w:eastAsia="zh-CN"/>
          <w14:textFill>
            <w14:solidFill>
              <w14:schemeClr w14:val="tx1"/>
            </w14:solidFill>
          </w14:textFill>
        </w:rPr>
        <w:t>关于红马水泥厂原址地块风险管控经费的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kern w:val="0"/>
          <w:sz w:val="44"/>
          <w:szCs w:val="44"/>
          <w:lang w:val="en-US" w:eastAsia="zh-CN"/>
        </w:rPr>
      </w:pPr>
      <w:r>
        <w:rPr>
          <w:rFonts w:hint="eastAsia" w:ascii="方正小标宋_GBK" w:hAnsi="方正小标宋_GBK" w:eastAsia="方正小标宋_GBK" w:cs="方正小标宋_GBK"/>
          <w:sz w:val="44"/>
          <w:szCs w:val="44"/>
          <w:lang w:eastAsia="zh-CN"/>
        </w:rPr>
        <w:t>绩效</w:t>
      </w:r>
      <w:r>
        <w:rPr>
          <w:rFonts w:hint="eastAsia" w:ascii="方正小标宋_GBK" w:hAnsi="方正小标宋_GBK" w:eastAsia="方正小标宋_GBK" w:cs="方正小标宋_GBK"/>
          <w:color w:val="000000"/>
          <w:kern w:val="0"/>
          <w:sz w:val="44"/>
          <w:szCs w:val="44"/>
          <w:lang w:val="en-US" w:eastAsia="zh-CN"/>
        </w:rPr>
        <w:t>自评报告</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_GBK" w:hAnsi="方正小标宋_GBK" w:eastAsia="方正小标宋_GBK" w:cs="方正小标宋_GBK"/>
          <w:color w:val="000000"/>
          <w:kern w:val="0"/>
          <w:sz w:val="44"/>
          <w:szCs w:val="44"/>
          <w:lang w:val="en-US" w:eastAsia="zh-CN"/>
        </w:rPr>
      </w:pPr>
    </w:p>
    <w:p>
      <w:pPr>
        <w:keepNext w:val="0"/>
        <w:keepLines w:val="0"/>
        <w:pageBreakBefore w:val="0"/>
        <w:widowControl w:val="0"/>
        <w:numPr>
          <w:ilvl w:val="0"/>
          <w:numId w:val="1"/>
        </w:numPr>
        <w:tabs>
          <w:tab w:val="left" w:pos="6765"/>
        </w:tabs>
        <w:kinsoku/>
        <w:wordWrap/>
        <w:overflowPunct/>
        <w:topLinePunct w:val="0"/>
        <w:autoSpaceDE/>
        <w:autoSpaceDN/>
        <w:bidi w:val="0"/>
        <w:adjustRightInd/>
        <w:snapToGrid/>
        <w:spacing w:line="600" w:lineRule="exact"/>
        <w:ind w:firstLine="640"/>
        <w:jc w:val="left"/>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绩效目标分解下达情况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楷体_GBK" w:hAnsi="方正仿宋_GBK" w:eastAsia="方正楷体_GBK" w:cs="方正仿宋_GBK"/>
          <w:sz w:val="32"/>
          <w:szCs w:val="32"/>
        </w:rPr>
      </w:pPr>
      <w:r>
        <w:rPr>
          <w:rFonts w:hint="eastAsia" w:ascii="方正楷体_GBK" w:hAnsi="方正仿宋_GBK" w:eastAsia="方正楷体_GBK" w:cs="方正仿宋_GBK"/>
          <w:sz w:val="32"/>
          <w:szCs w:val="32"/>
        </w:rPr>
        <w:t>（一）县财政下达转移支付预算和绩效目标情况。</w:t>
      </w:r>
    </w:p>
    <w:p>
      <w:pPr>
        <w:keepNext w:val="0"/>
        <w:keepLines w:val="0"/>
        <w:pageBreakBefore w:val="0"/>
        <w:widowControl w:val="0"/>
        <w:numPr>
          <w:ilvl w:val="0"/>
          <w:numId w:val="0"/>
        </w:numPr>
        <w:tabs>
          <w:tab w:val="left" w:pos="6765"/>
        </w:tabs>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20</w:t>
      </w:r>
      <w:r>
        <w:rPr>
          <w:rFonts w:hint="eastAsia" w:ascii="方正仿宋_GBK" w:hAnsi="方正仿宋_GBK" w:eastAsia="方正仿宋_GBK" w:cs="方正仿宋_GBK"/>
          <w:sz w:val="32"/>
          <w:szCs w:val="32"/>
          <w:lang w:val="en-US" w:eastAsia="zh-CN"/>
        </w:rPr>
        <w:t>20</w:t>
      </w:r>
      <w:r>
        <w:rPr>
          <w:rFonts w:hint="eastAsia" w:ascii="方正仿宋_GBK" w:hAnsi="方正仿宋_GBK" w:eastAsia="方正仿宋_GBK" w:cs="方正仿宋_GBK"/>
          <w:sz w:val="32"/>
          <w:szCs w:val="32"/>
        </w:rPr>
        <w:t>年县财政下达我单位资金预算</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用于</w:t>
      </w:r>
      <w:r>
        <w:rPr>
          <w:rFonts w:hint="eastAsia" w:ascii="方正仿宋_GBK" w:hAnsi="方正仿宋_GBK" w:eastAsia="方正仿宋_GBK" w:cs="方正仿宋_GBK"/>
          <w:sz w:val="32"/>
          <w:szCs w:val="32"/>
          <w:lang w:eastAsia="zh-CN"/>
        </w:rPr>
        <w:t>竹园镇红马水泥厂原址地块风险管控。</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640" w:leftChars="0" w:firstLine="0" w:firstLineChars="0"/>
        <w:jc w:val="both"/>
        <w:textAlignment w:val="auto"/>
        <w:rPr>
          <w:rFonts w:hint="eastAsia" w:ascii="方正楷体_GBK" w:hAnsi="方正仿宋_GBK" w:eastAsia="方正楷体_GBK" w:cs="方正仿宋_GBK"/>
          <w:sz w:val="32"/>
          <w:szCs w:val="32"/>
        </w:rPr>
      </w:pPr>
      <w:r>
        <w:rPr>
          <w:rFonts w:hint="eastAsia" w:ascii="方正楷体_GBK" w:hAnsi="方正仿宋_GBK" w:eastAsia="方正楷体_GBK" w:cs="方正仿宋_GBK"/>
          <w:sz w:val="32"/>
          <w:szCs w:val="32"/>
        </w:rPr>
        <w:t>部门资金安排、分解下达预算和绩效目标情况。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项目</w:t>
      </w:r>
      <w:r>
        <w:rPr>
          <w:rFonts w:hint="eastAsia" w:ascii="方正仿宋_GBK" w:hAnsi="方正仿宋_GBK" w:eastAsia="方正仿宋_GBK" w:cs="方正仿宋_GBK"/>
          <w:color w:val="000000" w:themeColor="text1"/>
          <w:sz w:val="32"/>
          <w:szCs w:val="32"/>
          <w14:textFill>
            <w14:solidFill>
              <w14:schemeClr w14:val="tx1"/>
            </w14:solidFill>
          </w14:textFill>
        </w:rPr>
        <w:t>资金</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万元</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，用于</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红马水泥厂风险管控，</w:t>
      </w:r>
      <w:r>
        <w:rPr>
          <w:rFonts w:hint="eastAsia" w:ascii="方正仿宋_GBK" w:eastAsia="方正仿宋_GBK"/>
          <w:color w:val="000000" w:themeColor="text1"/>
          <w:sz w:val="32"/>
          <w:szCs w:val="32"/>
          <w14:textFill>
            <w14:solidFill>
              <w14:schemeClr w14:val="tx1"/>
            </w14:solidFill>
          </w14:textFill>
        </w:rPr>
        <w:t>防控地块环境风险</w:t>
      </w:r>
      <w:r>
        <w:rPr>
          <w:rFonts w:hint="eastAsia" w:ascii="方正仿宋_GBK" w:eastAsia="方正仿宋_GBK"/>
          <w:color w:val="000000" w:themeColor="text1"/>
          <w:sz w:val="32"/>
          <w:szCs w:val="32"/>
          <w:lang w:eastAsia="zh-CN"/>
          <w14:textFill>
            <w14:solidFill>
              <w14:schemeClr w14:val="tx1"/>
            </w14:solidFill>
          </w14:textFill>
        </w:rPr>
        <w:t>，保障土壤环境质量总体稳定。</w:t>
      </w:r>
    </w:p>
    <w:p>
      <w:pPr>
        <w:keepNext w:val="0"/>
        <w:keepLines w:val="0"/>
        <w:pageBreakBefore w:val="0"/>
        <w:widowControl w:val="0"/>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黑体_GBK" w:hAnsi="方正黑体_GBK" w:eastAsia="方正黑体_GBK" w:cs="方正黑体_GBK"/>
          <w:color w:val="000000" w:themeColor="text1"/>
          <w:sz w:val="32"/>
          <w:szCs w:val="32"/>
          <w:lang w:eastAsia="zh-CN"/>
          <w14:textFill>
            <w14:solidFill>
              <w14:schemeClr w14:val="tx1"/>
            </w14:solidFill>
          </w14:textFill>
        </w:rPr>
        <w:t>二、</w:t>
      </w:r>
      <w:r>
        <w:rPr>
          <w:rFonts w:hint="eastAsia" w:ascii="方正黑体_GBK" w:hAnsi="方正黑体_GBK" w:eastAsia="方正黑体_GBK" w:cs="方正黑体_GBK"/>
          <w:bCs/>
          <w:color w:val="000000" w:themeColor="text1"/>
          <w:sz w:val="32"/>
          <w:szCs w:val="32"/>
          <w14:textFill>
            <w14:solidFill>
              <w14:schemeClr w14:val="tx1"/>
            </w14:solidFill>
          </w14:textFill>
        </w:rPr>
        <w:t>绩效目标完成情况分析</w:t>
      </w:r>
      <w:r>
        <w:rPr>
          <w:rFonts w:hint="eastAsia" w:ascii="方正仿宋_GBK" w:hAnsi="方正仿宋_GBK" w:eastAsia="方正仿宋_GBK" w:cs="方正仿宋_GBK"/>
          <w:color w:val="000000" w:themeColor="text1"/>
          <w:sz w:val="32"/>
          <w:szCs w:val="3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方正楷体_GBK" w:hAnsi="方正楷体_GBK" w:eastAsia="方正楷体_GBK" w:cs="方正楷体_GBK"/>
          <w:color w:val="000000" w:themeColor="text1"/>
          <w:kern w:val="0"/>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kern w:val="0"/>
          <w:sz w:val="32"/>
          <w:szCs w:val="32"/>
          <w:lang w:val="en-US" w:eastAsia="zh-CN"/>
          <w14:textFill>
            <w14:solidFill>
              <w14:schemeClr w14:val="tx1"/>
            </w14:solidFill>
          </w14:textFill>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sz w:val="32"/>
          <w:szCs w:val="32"/>
          <w14:textFill>
            <w14:solidFill>
              <w14:schemeClr w14:val="tx1"/>
            </w14:solidFill>
          </w14:textFill>
        </w:rPr>
        <w:t>项目资金到位情况分析。</w:t>
      </w:r>
      <w:bookmarkStart w:id="3" w:name="_GoBack"/>
      <w:bookmarkEnd w:id="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2020</w:t>
      </w:r>
      <w:r>
        <w:rPr>
          <w:rFonts w:hint="eastAsia" w:ascii="方正仿宋_GBK" w:hAnsi="方正仿宋_GBK" w:eastAsia="方正仿宋_GBK" w:cs="方正仿宋_GBK"/>
          <w:color w:val="000000" w:themeColor="text1"/>
          <w:sz w:val="32"/>
          <w:szCs w:val="32"/>
          <w14:textFill>
            <w14:solidFill>
              <w14:schemeClr w14:val="tx1"/>
            </w14:solidFill>
          </w14:textFill>
        </w:rPr>
        <w:t>年，县</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生态环境局</w:t>
      </w:r>
      <w:r>
        <w:rPr>
          <w:rFonts w:hint="eastAsia" w:ascii="方正仿宋_GBK" w:hAnsi="方正仿宋_GBK" w:eastAsia="方正仿宋_GBK" w:cs="方正仿宋_GBK"/>
          <w:color w:val="000000" w:themeColor="text1"/>
          <w:sz w:val="32"/>
          <w:szCs w:val="32"/>
          <w14:textFill>
            <w14:solidFill>
              <w14:schemeClr w14:val="tx1"/>
            </w14:solidFill>
          </w14:textFill>
        </w:rPr>
        <w:t>项目资金到位</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万元。</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项目资金执行情况分析。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2020</w:t>
      </w:r>
      <w:r>
        <w:rPr>
          <w:rFonts w:hint="eastAsia" w:ascii="方正仿宋_GBK" w:hAnsi="方正仿宋_GBK" w:eastAsia="方正仿宋_GBK" w:cs="方正仿宋_GBK"/>
          <w:color w:val="000000" w:themeColor="text1"/>
          <w:sz w:val="32"/>
          <w:szCs w:val="32"/>
          <w14:textFill>
            <w14:solidFill>
              <w14:schemeClr w14:val="tx1"/>
            </w14:solidFill>
          </w14:textFill>
        </w:rPr>
        <w:t>年，项目实际执行到位资金</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万元，执行率100%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sz w:val="32"/>
          <w:szCs w:val="32"/>
          <w:lang w:val="en"/>
        </w:rPr>
        <w:t>严格按照专项资金管理的要求和规定，建立健全财务管理制度和会计核算制度，不断加强财务管理内部控制制度，会计核算规范、完整，资金支出严格按照财务规定执行。</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jc w:val="both"/>
        <w:textAlignment w:val="auto"/>
        <w:rPr>
          <w:rFonts w:ascii="Times New Roman" w:hAnsi="Times New Roman" w:eastAsia="方正仿宋_GBK" w:cs="Times New Roman"/>
          <w:kern w:val="0"/>
          <w:sz w:val="32"/>
          <w:szCs w:val="32"/>
        </w:rPr>
      </w:pPr>
      <w:r>
        <w:rPr>
          <w:rFonts w:hint="eastAsia" w:ascii="方正楷体_GBK" w:hAnsi="方正楷体_GBK" w:eastAsia="方正楷体_GBK" w:cs="方正楷体_GBK"/>
          <w:bCs/>
          <w:sz w:val="32"/>
          <w:szCs w:val="32"/>
        </w:rPr>
        <w:t>总体绩效目标完成情况分析。</w:t>
      </w:r>
      <w:r>
        <w:rPr>
          <w:rFonts w:hint="eastAsia" w:ascii="方正楷体_GBK" w:hAnsi="方正楷体_GBK" w:eastAsia="方正楷体_GBK" w:cs="方正楷体_GBK"/>
          <w:bCs/>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highlight w:val="none"/>
          <w:lang w:val="en-US" w:eastAsia="zh-CN"/>
        </w:rPr>
        <w:t>顺利完成2020年度我县对暂不开发利用污染地块实施风险管控的任务，确保2020</w:t>
      </w:r>
      <w:r>
        <w:rPr>
          <w:rFonts w:hint="default" w:ascii="Times New Roman" w:hAnsi="Times New Roman" w:eastAsia="方正仿宋_GBK" w:cs="Times New Roman"/>
          <w:kern w:val="24"/>
          <w:sz w:val="32"/>
          <w:lang w:eastAsia="zh-CN"/>
        </w:rPr>
        <w:t>年污染防治攻坚战净土保卫战</w:t>
      </w:r>
      <w:r>
        <w:rPr>
          <w:rFonts w:hint="eastAsia" w:ascii="Times New Roman" w:hAnsi="Times New Roman" w:eastAsia="方正仿宋_GBK" w:cs="Times New Roman"/>
          <w:kern w:val="24"/>
          <w:sz w:val="32"/>
          <w:lang w:eastAsia="zh-CN"/>
        </w:rPr>
        <w:t>任务圆满</w:t>
      </w:r>
      <w:r>
        <w:rPr>
          <w:rFonts w:hint="eastAsia" w:ascii="Times New Roman" w:hAnsi="Times New Roman" w:eastAsia="方正仿宋_GBK" w:cs="Times New Roman"/>
          <w:kern w:val="0"/>
          <w:sz w:val="32"/>
          <w:szCs w:val="32"/>
          <w:lang w:val="en-US" w:eastAsia="zh-CN"/>
        </w:rPr>
        <w:t>完成。</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outlineLvl w:val="9"/>
        <w:rPr>
          <w:rFonts w:hint="eastAsia"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（三）绩效目标完成情况分析。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outlineLvl w:val="9"/>
        <w:rPr>
          <w:rFonts w:hint="eastAsia" w:ascii="方正仿宋_GBK" w:hAnsi="方正仿宋_GBK" w:eastAsia="方正仿宋_GBK" w:cs="方正仿宋_GBK"/>
          <w:sz w:val="32"/>
          <w:szCs w:val="32"/>
        </w:rPr>
      </w:pPr>
      <w:r>
        <w:rPr>
          <w:rFonts w:hint="eastAsia" w:ascii="方正楷体_GBK" w:hAnsi="方正楷体_GBK" w:eastAsia="方正楷体_GBK" w:cs="方正楷体_GBK"/>
          <w:bCs/>
          <w:sz w:val="32"/>
          <w:szCs w:val="32"/>
          <w:lang w:val="en-US" w:eastAsia="zh-CN"/>
        </w:rPr>
        <w:t xml:space="preserve">1. </w:t>
      </w:r>
      <w:r>
        <w:rPr>
          <w:rFonts w:hint="eastAsia" w:ascii="方正仿宋_GBK" w:hAnsi="方正仿宋_GBK" w:eastAsia="方正仿宋_GBK" w:cs="方正仿宋_GBK"/>
          <w:sz w:val="32"/>
          <w:szCs w:val="32"/>
        </w:rPr>
        <w:t>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outlineLvl w:val="9"/>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）数量指标。我县</w:t>
      </w:r>
      <w:r>
        <w:rPr>
          <w:rFonts w:hint="eastAsia" w:ascii="方正仿宋_GBK" w:hAnsi="方正仿宋_GBK" w:eastAsia="方正仿宋_GBK" w:cs="方正仿宋_GBK"/>
          <w:kern w:val="0"/>
          <w:sz w:val="32"/>
          <w:szCs w:val="32"/>
          <w:highlight w:val="none"/>
          <w:lang w:val="en-US" w:eastAsia="zh-CN"/>
        </w:rPr>
        <w:t>暂未开发利用的污染地块1个。经土壤污染状况调查，红马水泥厂地块当前土壤环境质量不满足第一类用地要求，应及时对该地块实施风险管控。</w:t>
      </w:r>
    </w:p>
    <w:p>
      <w:pPr>
        <w:keepNext w:val="0"/>
        <w:keepLines w:val="0"/>
        <w:pageBreakBefore w:val="0"/>
        <w:widowControl w:val="0"/>
        <w:kinsoku/>
        <w:wordWrap/>
        <w:overflowPunct/>
        <w:topLinePunct w:val="0"/>
        <w:autoSpaceDE/>
        <w:autoSpaceDN/>
        <w:bidi w:val="0"/>
        <w:adjustRightInd/>
        <w:snapToGrid/>
        <w:spacing w:line="600" w:lineRule="exact"/>
        <w:ind w:left="3" w:firstLine="640" w:firstLineChars="200"/>
        <w:jc w:val="both"/>
        <w:textAlignment w:val="auto"/>
        <w:outlineLvl w:val="9"/>
        <w:rPr>
          <w:rFonts w:hint="eastAsia" w:ascii="Times New Roman" w:eastAsia="方正仿宋_GBK"/>
          <w:bCs/>
          <w:sz w:val="32"/>
          <w:szCs w:val="32"/>
          <w:lang w:eastAsia="zh-CN"/>
        </w:rPr>
      </w:pPr>
      <w:r>
        <w:rPr>
          <w:rFonts w:hint="eastAsia" w:ascii="方正仿宋_GBK" w:hAnsi="方正仿宋_GBK" w:eastAsia="方正仿宋_GBK" w:cs="方正仿宋_GBK"/>
          <w:color w:val="000000" w:themeColor="text1"/>
          <w:kern w:val="0"/>
          <w:sz w:val="32"/>
          <w:szCs w:val="32"/>
          <w:lang w:val="en-US" w:eastAsia="zh-CN"/>
          <w14:textFill>
            <w14:solidFill>
              <w14:schemeClr w14:val="tx1"/>
            </w14:solidFill>
          </w14:textFill>
        </w:rPr>
        <w:t>（2）质量指标。</w:t>
      </w:r>
      <w:r>
        <w:rPr>
          <w:rFonts w:hint="default" w:ascii="Times New Roman" w:eastAsia="方正仿宋_GBK"/>
          <w:sz w:val="32"/>
          <w:szCs w:val="32"/>
        </w:rPr>
        <w:t>贯彻落实《土壤污染防治行动计划》《污染地块土壤环境管理办法》，</w:t>
      </w:r>
      <w:r>
        <w:rPr>
          <w:rFonts w:hint="eastAsia" w:ascii="方正仿宋_GBK" w:hAnsi="方正仿宋_GBK" w:eastAsia="方正仿宋_GBK" w:cs="方正仿宋_GBK"/>
          <w:color w:val="000000" w:themeColor="text1"/>
          <w:kern w:val="0"/>
          <w:sz w:val="32"/>
          <w:szCs w:val="32"/>
          <w:lang w:val="en-US" w:eastAsia="zh-CN"/>
          <w14:textFill>
            <w14:solidFill>
              <w14:schemeClr w14:val="tx1"/>
            </w14:solidFill>
          </w14:textFill>
        </w:rPr>
        <w:t>按照</w:t>
      </w:r>
      <w:r>
        <w:rPr>
          <w:rFonts w:hint="eastAsia" w:ascii="方正仿宋_GBK" w:hAnsi="方正仿宋_GBK" w:eastAsia="方正仿宋_GBK" w:cs="方正仿宋_GBK"/>
          <w:bCs/>
          <w:sz w:val="32"/>
          <w:szCs w:val="32"/>
        </w:rPr>
        <w:t>《重庆市污染地块风险管控区域划定工作指南（试行）》</w:t>
      </w:r>
      <w:r>
        <w:rPr>
          <w:rFonts w:hint="eastAsia" w:ascii="方正仿宋_GBK" w:hAnsi="方正仿宋_GBK" w:eastAsia="方正仿宋_GBK" w:cs="方正仿宋_GBK"/>
          <w:bCs/>
          <w:sz w:val="32"/>
          <w:szCs w:val="32"/>
          <w:lang w:eastAsia="zh-CN"/>
        </w:rPr>
        <w:t>（</w:t>
      </w:r>
      <w:bookmarkStart w:id="0" w:name="gwz"/>
      <w:r>
        <w:rPr>
          <w:rFonts w:hint="default" w:ascii="Times New Roman" w:eastAsia="方正仿宋_GBK"/>
          <w:bCs/>
          <w:sz w:val="32"/>
          <w:szCs w:val="32"/>
        </w:rPr>
        <w:t>渝环</w:t>
      </w:r>
      <w:bookmarkEnd w:id="0"/>
      <w:r>
        <w:rPr>
          <w:rFonts w:hint="default" w:ascii="Times New Roman" w:eastAsia="方正仿宋_GBK"/>
          <w:bCs/>
          <w:sz w:val="32"/>
          <w:szCs w:val="32"/>
        </w:rPr>
        <w:t>〔</w:t>
      </w:r>
      <w:bookmarkStart w:id="1" w:name="gwnh"/>
      <w:r>
        <w:rPr>
          <w:rFonts w:ascii="Times New Roman" w:eastAsia="方正仿宋_GBK"/>
          <w:bCs/>
          <w:sz w:val="32"/>
          <w:szCs w:val="32"/>
        </w:rPr>
        <w:t>2018</w:t>
      </w:r>
      <w:bookmarkEnd w:id="1"/>
      <w:r>
        <w:rPr>
          <w:rFonts w:hint="default" w:ascii="Times New Roman" w:eastAsia="方正仿宋_GBK"/>
          <w:bCs/>
          <w:sz w:val="32"/>
          <w:szCs w:val="32"/>
        </w:rPr>
        <w:t>〕</w:t>
      </w:r>
      <w:bookmarkStart w:id="2" w:name="gwqh"/>
      <w:r>
        <w:rPr>
          <w:rFonts w:hint="default" w:ascii="Times New Roman" w:eastAsia="方正仿宋_GBK"/>
          <w:bCs/>
          <w:sz w:val="32"/>
          <w:szCs w:val="32"/>
        </w:rPr>
        <w:t>145</w:t>
      </w:r>
      <w:bookmarkEnd w:id="2"/>
      <w:r>
        <w:rPr>
          <w:rFonts w:hint="default" w:ascii="Times New Roman" w:eastAsia="方正仿宋_GBK"/>
          <w:bCs/>
          <w:sz w:val="32"/>
          <w:szCs w:val="32"/>
        </w:rPr>
        <w:t>号</w:t>
      </w:r>
      <w:r>
        <w:rPr>
          <w:rFonts w:hint="eastAsia" w:ascii="Times New Roman" w:eastAsia="方正仿宋_GBK"/>
          <w:bCs/>
          <w:sz w:val="32"/>
          <w:szCs w:val="32"/>
          <w:lang w:eastAsia="zh-CN"/>
        </w:rPr>
        <w:t>）要求，设置管控区警示标牌和界桩，共计</w:t>
      </w:r>
      <w:r>
        <w:rPr>
          <w:rFonts w:hint="eastAsia" w:ascii="Times New Roman" w:eastAsia="方正仿宋_GBK"/>
          <w:bCs/>
          <w:sz w:val="32"/>
          <w:szCs w:val="32"/>
          <w:lang w:val="en-US" w:eastAsia="zh-CN"/>
        </w:rPr>
        <w:t>6块</w:t>
      </w:r>
      <w:r>
        <w:rPr>
          <w:rFonts w:hint="eastAsia" w:ascii="Times New Roman" w:eastAsia="方正仿宋_GBK"/>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outlineLvl w:val="9"/>
        <w:rPr>
          <w:rFonts w:hint="default" w:ascii="方正仿宋_GBK" w:hAnsi="方正仿宋_GBK" w:eastAsia="方正仿宋_GBK" w:cs="方正仿宋_GBK"/>
          <w:i w:val="0"/>
          <w:caps w:val="0"/>
          <w:color w:val="000000" w:themeColor="text1"/>
          <w:spacing w:val="0"/>
          <w:sz w:val="32"/>
          <w:szCs w:val="32"/>
          <w:shd w:val="clear" w:fill="FFFFFF"/>
          <w:lang w:val="en-US" w:eastAsia="zh-CN"/>
          <w14:textFill>
            <w14:solidFill>
              <w14:schemeClr w14:val="tx1"/>
            </w14:solidFill>
          </w14:textFill>
        </w:rPr>
      </w:pPr>
      <w:r>
        <w:rPr>
          <w:rFonts w:hint="eastAsia" w:ascii="方正仿宋_GBK" w:hAnsi="方正仿宋_GBK" w:eastAsia="方正仿宋_GBK" w:cs="方正仿宋_GBK"/>
          <w:i w:val="0"/>
          <w:caps w:val="0"/>
          <w:color w:val="000000" w:themeColor="text1"/>
          <w:spacing w:val="0"/>
          <w:sz w:val="32"/>
          <w:szCs w:val="32"/>
          <w:shd w:val="clear" w:fill="FFFFFF"/>
          <w:lang w:val="en-US" w:eastAsia="zh-CN"/>
          <w14:textFill>
            <w14:solidFill>
              <w14:schemeClr w14:val="tx1"/>
            </w14:solidFill>
          </w14:textFill>
        </w:rPr>
        <w:t>（3）时效指标。2020年年底前完成了该地块风险管控。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outlineLvl w:val="9"/>
        <w:rPr>
          <w:rFonts w:hint="eastAsia" w:ascii="Times New Roman" w:eastAsia="方正仿宋_GBK"/>
          <w:sz w:val="32"/>
          <w:szCs w:val="32"/>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）生态效益。</w:t>
      </w:r>
      <w:r>
        <w:rPr>
          <w:rFonts w:hint="default" w:ascii="Times New Roman" w:eastAsia="方正仿宋_GBK"/>
          <w:sz w:val="32"/>
          <w:szCs w:val="32"/>
        </w:rPr>
        <w:t>有效防控土壤环境风险，</w:t>
      </w:r>
      <w:r>
        <w:rPr>
          <w:rFonts w:hint="eastAsia" w:ascii="Times New Roman" w:eastAsia="方正仿宋_GBK"/>
          <w:sz w:val="32"/>
          <w:szCs w:val="32"/>
          <w:lang w:eastAsia="zh-CN"/>
        </w:rPr>
        <w:t>保障</w:t>
      </w:r>
      <w:r>
        <w:rPr>
          <w:rFonts w:hint="default" w:ascii="Times New Roman" w:eastAsia="方正仿宋_GBK"/>
          <w:sz w:val="32"/>
          <w:szCs w:val="32"/>
        </w:rPr>
        <w:t>土壤环境安全</w:t>
      </w:r>
      <w:r>
        <w:rPr>
          <w:rFonts w:hint="eastAsia" w:ascii="Times New Roman"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eastAsia="zh-CN"/>
        </w:rPr>
        <w:t>）可持续影响。</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通过在管控区域宣传“禁止种植农作物，养殖动物”等规定，进一步夯实我县</w:t>
      </w:r>
      <w:r>
        <w:rPr>
          <w:rFonts w:hint="eastAsia" w:ascii="方正仿宋_GBK" w:hAnsi="方正仿宋_GBK" w:eastAsia="方正仿宋_GBK" w:cs="方正仿宋_GBK"/>
          <w:i w:val="0"/>
          <w:caps w:val="0"/>
          <w:color w:val="000000" w:themeColor="text1"/>
          <w:spacing w:val="0"/>
          <w:sz w:val="32"/>
          <w:szCs w:val="32"/>
          <w:shd w:val="clear" w:fill="FFFFFF"/>
          <w14:textFill>
            <w14:solidFill>
              <w14:schemeClr w14:val="tx1"/>
            </w14:solidFill>
          </w14:textFill>
        </w:rPr>
        <w:t>土壤污染防治基础</w:t>
      </w:r>
      <w:r>
        <w:rPr>
          <w:rFonts w:hint="eastAsia" w:ascii="方正仿宋_GBK" w:hAnsi="方正仿宋_GBK" w:eastAsia="方正仿宋_GBK" w:cs="方正仿宋_GBK"/>
          <w:i w:val="0"/>
          <w:caps w:val="0"/>
          <w:color w:val="000000" w:themeColor="text1"/>
          <w:spacing w:val="0"/>
          <w:sz w:val="32"/>
          <w:szCs w:val="32"/>
          <w:shd w:val="clear" w:fill="FFFFFF"/>
          <w:lang w:eastAsia="zh-CN"/>
          <w14:textFill>
            <w14:solidFill>
              <w14:schemeClr w14:val="tx1"/>
            </w14:solidFill>
          </w14:textFill>
        </w:rPr>
        <w:t>，</w:t>
      </w:r>
      <w:r>
        <w:rPr>
          <w:rFonts w:hint="eastAsia" w:ascii="方正仿宋_GBK" w:hAnsi="方正仿宋_GBK" w:eastAsia="方正仿宋_GBK" w:cs="方正仿宋_GBK"/>
          <w:i w:val="0"/>
          <w:caps w:val="0"/>
          <w:color w:val="000000" w:themeColor="text1"/>
          <w:spacing w:val="0"/>
          <w:sz w:val="32"/>
          <w:szCs w:val="32"/>
          <w:shd w:val="clear" w:fill="FFFFFF"/>
          <w14:textFill>
            <w14:solidFill>
              <w14:schemeClr w14:val="tx1"/>
            </w14:solidFill>
          </w14:textFill>
        </w:rPr>
        <w:t>提升</w:t>
      </w:r>
      <w:r>
        <w:rPr>
          <w:rStyle w:val="5"/>
          <w:rFonts w:hint="eastAsia" w:ascii="方正仿宋_GBK" w:hAnsi="方正仿宋_GBK" w:eastAsia="方正仿宋_GBK" w:cs="方正仿宋_GBK"/>
          <w:i w:val="0"/>
          <w:caps w:val="0"/>
          <w:color w:val="000000" w:themeColor="text1"/>
          <w:spacing w:val="0"/>
          <w:sz w:val="32"/>
          <w:szCs w:val="32"/>
          <w:shd w:val="clear" w:fill="FFFFFF"/>
          <w14:textFill>
            <w14:solidFill>
              <w14:schemeClr w14:val="tx1"/>
            </w14:solidFill>
          </w14:textFill>
        </w:rPr>
        <w:t>土壤污染防治能力</w:t>
      </w:r>
      <w:r>
        <w:rPr>
          <w:rFonts w:hint="eastAsia" w:ascii="方正仿宋_GBK" w:hAnsi="方正仿宋_GBK" w:eastAsia="方正仿宋_GBK" w:cs="方正仿宋_GBK"/>
          <w:i w:val="0"/>
          <w:caps w:val="0"/>
          <w:color w:val="000000" w:themeColor="text1"/>
          <w:spacing w:val="0"/>
          <w:sz w:val="32"/>
          <w:szCs w:val="32"/>
          <w:shd w:val="clear" w:fill="FFFFFF"/>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通过地块风险管控，防止了污染转移，群众满意度达到了</w:t>
      </w:r>
      <w:r>
        <w:rPr>
          <w:rFonts w:hint="eastAsia" w:ascii="方正仿宋_GBK" w:hAnsi="方正仿宋_GBK" w:eastAsia="方正仿宋_GBK" w:cs="方正仿宋_GBK"/>
          <w:sz w:val="32"/>
          <w:szCs w:val="32"/>
          <w:lang w:val="en-US" w:eastAsia="zh-CN"/>
        </w:rPr>
        <w:t>90%以上。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方正仿宋_GBK" w:cs="Times New Roman"/>
          <w:kern w:val="24"/>
          <w:sz w:val="32"/>
          <w:lang w:eastAsia="zh-CN"/>
        </w:rPr>
      </w:pPr>
      <w:r>
        <w:rPr>
          <w:rFonts w:hint="eastAsia" w:ascii="方正仿宋_GBK" w:hAnsi="方正仿宋_GBK" w:eastAsia="方正仿宋_GBK" w:cs="方正仿宋_GBK"/>
          <w:sz w:val="32"/>
          <w:szCs w:val="32"/>
          <w:lang w:val="en-US" w:eastAsia="zh-CN"/>
        </w:rPr>
        <w:t>2020</w:t>
      </w:r>
      <w:r>
        <w:rPr>
          <w:rFonts w:hint="eastAsia" w:ascii="方正仿宋_GBK" w:hAnsi="方正仿宋_GBK" w:eastAsia="方正仿宋_GBK" w:cs="方正仿宋_GBK"/>
          <w:sz w:val="32"/>
          <w:szCs w:val="32"/>
        </w:rPr>
        <w:t>年度，我单位</w:t>
      </w:r>
      <w:r>
        <w:rPr>
          <w:rFonts w:hint="eastAsia" w:ascii="仿宋_GB2312" w:hAnsi="仿宋_GB2312" w:eastAsia="仿宋_GB2312" w:cs="仿宋_GB2312"/>
          <w:sz w:val="32"/>
          <w:szCs w:val="32"/>
          <w:lang w:eastAsia="zh-CN"/>
        </w:rPr>
        <w:t>项目——红马水泥厂原址地块风险管控</w:t>
      </w:r>
      <w:r>
        <w:rPr>
          <w:rFonts w:hint="eastAsia" w:ascii="方正仿宋_GBK" w:hAnsi="方正仿宋_GBK" w:eastAsia="方正仿宋_GBK" w:cs="方正仿宋_GBK"/>
          <w:sz w:val="32"/>
          <w:szCs w:val="32"/>
        </w:rPr>
        <w:t>不存在偏离绩效目标的情况。但随着</w:t>
      </w:r>
      <w:r>
        <w:rPr>
          <w:rFonts w:hint="eastAsia" w:ascii="方正仿宋_GBK" w:hAnsi="方正仿宋_GBK" w:eastAsia="方正仿宋_GBK" w:cs="方正仿宋_GBK"/>
          <w:sz w:val="32"/>
          <w:szCs w:val="32"/>
          <w:lang w:eastAsia="zh-CN"/>
        </w:rPr>
        <w:t>土壤污染防治工作</w:t>
      </w:r>
      <w:r>
        <w:rPr>
          <w:rFonts w:hint="eastAsia" w:ascii="Times New Roman" w:hAnsi="Times New Roman" w:eastAsia="方正仿宋_GBK" w:cs="Times New Roman"/>
          <w:kern w:val="24"/>
          <w:sz w:val="32"/>
          <w:lang w:eastAsia="zh-CN"/>
        </w:rPr>
        <w:t>的不断深化，严格建设用地准入管理和风险管控是当前和今后着力开展的重要工作之一。</w:t>
      </w:r>
      <w:r>
        <w:rPr>
          <w:rFonts w:hint="eastAsia" w:ascii="Times New Roman" w:hAnsi="Times New Roman" w:eastAsia="方正仿宋_GBK" w:cs="Times New Roman"/>
          <w:kern w:val="24"/>
          <w:sz w:val="32"/>
          <w:szCs w:val="32"/>
          <w:lang w:eastAsia="zh-CN"/>
        </w:rPr>
        <w:t>我单位将进一步总结经验，</w:t>
      </w:r>
      <w:r>
        <w:rPr>
          <w:rFonts w:hint="eastAsia" w:ascii="方正仿宋_GBK" w:hAnsi="方正仿宋_GBK" w:eastAsia="方正仿宋_GBK" w:cs="方正仿宋_GBK"/>
          <w:kern w:val="24"/>
          <w:sz w:val="32"/>
          <w:szCs w:val="32"/>
          <w:lang w:eastAsia="zh-CN"/>
        </w:rPr>
        <w:t>提升</w:t>
      </w:r>
      <w:r>
        <w:rPr>
          <w:rFonts w:hint="eastAsia" w:ascii="方正仿宋_GBK" w:hAnsi="方正仿宋_GBK" w:eastAsia="方正仿宋_GBK" w:cs="方正仿宋_GBK"/>
          <w:sz w:val="32"/>
          <w:szCs w:val="32"/>
          <w:lang w:val="en-US" w:eastAsia="zh-CN"/>
        </w:rPr>
        <w:t>监管能力，</w:t>
      </w:r>
      <w:r>
        <w:rPr>
          <w:rFonts w:hint="eastAsia" w:ascii="Times New Roman" w:hAnsi="Times New Roman" w:eastAsia="方正仿宋_GBK" w:cs="Times New Roman"/>
          <w:kern w:val="24"/>
          <w:sz w:val="32"/>
          <w:szCs w:val="32"/>
          <w:lang w:eastAsia="zh-CN"/>
        </w:rPr>
        <w:t>推动</w:t>
      </w:r>
      <w:r>
        <w:rPr>
          <w:rFonts w:hint="eastAsia" w:ascii="方正仿宋_GBK" w:eastAsia="方正仿宋_GBK"/>
          <w:sz w:val="32"/>
          <w:szCs w:val="32"/>
        </w:rPr>
        <w:t>建设用地土壤环境安全得到基本保障。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四、绩效自评结果拟应用和公开情况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仿宋_GBK" w:hAnsi="方正仿宋_GBK" w:eastAsia="方正仿宋_GBK" w:cs="方正仿宋_GBK"/>
          <w:sz w:val="32"/>
          <w:szCs w:val="32"/>
        </w:rPr>
        <w:t>绩效自评结果拟应用于我单位对</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的科学编制预算，强化资金使用效益，规范资金使用方向，提高资金管理水平和工作质量。该项目绩效自评拟在我单位公示栏内公示7天。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奉节县生态环境局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2021年3月20日</w:t>
      </w:r>
    </w:p>
    <w:p>
      <w:pPr>
        <w:keepNext w:val="0"/>
        <w:keepLines w:val="0"/>
        <w:pageBreakBefore w:val="0"/>
        <w:widowControl w:val="0"/>
        <w:kinsoku/>
        <w:wordWrap/>
        <w:overflowPunct/>
        <w:topLinePunct w:val="0"/>
        <w:autoSpaceDE/>
        <w:autoSpaceDN/>
        <w:bidi w:val="0"/>
        <w:adjustRightInd/>
        <w:snapToGrid/>
        <w:spacing w:line="600" w:lineRule="exact"/>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E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heme="minorEastAsia" w:hAnsiTheme="minorEastAsia" w:eastAsiaTheme="minorEastAsia" w:cstheme="minorEastAsia"/>
                              <w:sz w:val="32"/>
                              <w:szCs w:val="32"/>
                              <w:lang w:val="en-US" w:eastAsia="zh-CN"/>
                            </w:rPr>
                          </w:pPr>
                          <w:r>
                            <w:rPr>
                              <w:rFonts w:hint="eastAsia" w:asciiTheme="minorEastAsia" w:hAnsiTheme="minorEastAsia" w:cstheme="minorEastAsia"/>
                              <w:sz w:val="32"/>
                              <w:szCs w:val="32"/>
                              <w:lang w:eastAsia="zh-CN"/>
                            </w:rPr>
                            <w:t>—</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r>
                            <w:rPr>
                              <w:rFonts w:hint="eastAsia" w:asciiTheme="minorEastAsia" w:hAnsiTheme="minorEastAsia" w:cstheme="minorEastAsia"/>
                              <w:sz w:val="32"/>
                              <w:szCs w:val="32"/>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heme="minorEastAsia" w:hAnsiTheme="minorEastAsia" w:eastAsiaTheme="minorEastAsia" w:cstheme="minorEastAsia"/>
                        <w:sz w:val="32"/>
                        <w:szCs w:val="32"/>
                        <w:lang w:val="en-US" w:eastAsia="zh-CN"/>
                      </w:rPr>
                    </w:pPr>
                    <w:r>
                      <w:rPr>
                        <w:rFonts w:hint="eastAsia" w:asciiTheme="minorEastAsia" w:hAnsiTheme="minorEastAsia" w:cstheme="minorEastAsia"/>
                        <w:sz w:val="32"/>
                        <w:szCs w:val="32"/>
                        <w:lang w:eastAsia="zh-CN"/>
                      </w:rPr>
                      <w:t>—</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r>
                      <w:rPr>
                        <w:rFonts w:hint="eastAsia" w:asciiTheme="minorEastAsia" w:hAnsiTheme="minorEastAsia" w:cstheme="minorEastAsia"/>
                        <w:sz w:val="32"/>
                        <w:szCs w:val="32"/>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2BC9F7"/>
    <w:multiLevelType w:val="singleLevel"/>
    <w:tmpl w:val="D12BC9F7"/>
    <w:lvl w:ilvl="0" w:tentative="0">
      <w:start w:val="1"/>
      <w:numFmt w:val="chineseCounting"/>
      <w:suff w:val="nothing"/>
      <w:lvlText w:val="%1、"/>
      <w:lvlJc w:val="left"/>
      <w:rPr>
        <w:rFonts w:hint="eastAsia"/>
      </w:rPr>
    </w:lvl>
  </w:abstractNum>
  <w:abstractNum w:abstractNumId="1">
    <w:nsid w:val="0DE005E5"/>
    <w:multiLevelType w:val="singleLevel"/>
    <w:tmpl w:val="0DE005E5"/>
    <w:lvl w:ilvl="0" w:tentative="0">
      <w:start w:val="2"/>
      <w:numFmt w:val="chineseCounting"/>
      <w:suff w:val="nothing"/>
      <w:lvlText w:val="（%1）"/>
      <w:lvlJc w:val="left"/>
      <w:pPr>
        <w:ind w:left="640" w:leftChars="0" w:firstLine="0" w:firstLineChars="0"/>
      </w:pPr>
      <w:rPr>
        <w:rFonts w:hint="eastAsia"/>
      </w:rPr>
    </w:lvl>
  </w:abstractNum>
  <w:abstractNum w:abstractNumId="2">
    <w:nsid w:val="1114DED0"/>
    <w:multiLevelType w:val="singleLevel"/>
    <w:tmpl w:val="1114DED0"/>
    <w:lvl w:ilvl="0" w:tentative="0">
      <w:start w:val="2"/>
      <w:numFmt w:val="decimal"/>
      <w:suff w:val="space"/>
      <w:lvlText w:val="%1."/>
      <w:lvlJc w:val="left"/>
    </w:lvl>
  </w:abstractNum>
  <w:abstractNum w:abstractNumId="3">
    <w:nsid w:val="450A9FD9"/>
    <w:multiLevelType w:val="singleLevel"/>
    <w:tmpl w:val="450A9FD9"/>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52663F"/>
    <w:rsid w:val="02B124C2"/>
    <w:rsid w:val="030056C9"/>
    <w:rsid w:val="08D87BD1"/>
    <w:rsid w:val="0FD22E60"/>
    <w:rsid w:val="2852663F"/>
    <w:rsid w:val="2C606029"/>
    <w:rsid w:val="42BF284A"/>
    <w:rsid w:val="44A31FD4"/>
    <w:rsid w:val="5CEB2CE7"/>
    <w:rsid w:val="68277F1A"/>
    <w:rsid w:val="68FA6FD1"/>
    <w:rsid w:val="6D6B7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2021-03-15T07:20:00Z</dcterms:created>
  <dc:creator>Administrator</dc:creator>
  <cp:lastModifiedBy>Administrator</cp:lastModifiedBy>
  <cp:lastPrinted>2021-04-02T01:46:59Z</cp:lastPrinted>
  <dcterms:modified xsi:type="dcterms:W3CDTF">2021-04-02T01:48:36Z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