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宋体" w:hAnsi="宋体" w:eastAsia="宋体"/>
          <w:b w:val="0"/>
          <w:bCs/>
          <w:color w:val="FF0000"/>
          <w:sz w:val="44"/>
          <w:szCs w:val="44"/>
        </w:rPr>
      </w:pPr>
      <w:r>
        <w:rPr>
          <w:rFonts w:hint="eastAsia" w:ascii="宋体" w:hAnsi="宋体" w:eastAsia="宋体"/>
          <w:b w:val="0"/>
          <w:bCs/>
          <w:color w:val="FF0000"/>
          <w:sz w:val="44"/>
          <w:szCs w:val="44"/>
        </w:rPr>
        <w:t>重庆市建设</w:t>
      </w:r>
      <w:bookmarkStart w:id="0" w:name="_Hlt132624165"/>
      <w:bookmarkEnd w:id="0"/>
      <w:r>
        <w:rPr>
          <w:rFonts w:hint="eastAsia" w:ascii="宋体" w:hAnsi="宋体" w:eastAsia="宋体"/>
          <w:b w:val="0"/>
          <w:bCs/>
          <w:color w:val="FF0000"/>
          <w:sz w:val="44"/>
          <w:szCs w:val="44"/>
        </w:rPr>
        <w:t>项目环境影响评价文件批准书</w:t>
      </w:r>
    </w:p>
    <w:p>
      <w:pPr>
        <w:rPr>
          <w:rFonts w:hint="eastAsia" w:ascii="宋体" w:hAnsi="宋体"/>
          <w:bCs/>
          <w:spacing w:val="50"/>
          <w:sz w:val="28"/>
        </w:rPr>
      </w:pPr>
    </w:p>
    <w:p>
      <w:pPr>
        <w:adjustRightInd w:val="0"/>
        <w:snapToGrid w:val="0"/>
        <w:rPr>
          <w:rFonts w:hint="eastAsia"/>
          <w:dstrike/>
          <w:spacing w:val="50"/>
          <w:sz w:val="28"/>
          <w:szCs w:val="28"/>
        </w:rPr>
      </w:pPr>
      <w:r>
        <w:rPr>
          <w:rFonts w:hint="eastAsia"/>
          <w:spacing w:val="50"/>
          <w:sz w:val="28"/>
        </w:rPr>
        <w:t xml:space="preserve"> </w:t>
      </w:r>
      <w:r>
        <w:rPr>
          <w:rFonts w:hint="eastAsia"/>
          <w:dstrike/>
          <w:spacing w:val="50"/>
          <w:sz w:val="28"/>
          <w:szCs w:val="28"/>
        </w:rPr>
        <w:t xml:space="preserve">                                   </w:t>
      </w:r>
    </w:p>
    <w:p>
      <w:pPr>
        <w:pStyle w:val="3"/>
        <w:snapToGrid w:val="0"/>
        <w:spacing w:line="240" w:lineRule="atLeast"/>
        <w:jc w:val="center"/>
        <w:rPr>
          <w:rFonts w:hint="eastAsia" w:ascii="方正仿宋_GBK" w:hAnsi="宋体" w:eastAsia="方正仿宋_GBK"/>
          <w:bCs/>
          <w:sz w:val="32"/>
          <w:szCs w:val="32"/>
        </w:rPr>
      </w:pPr>
      <w:bookmarkStart w:id="1" w:name="文号"/>
      <w:r>
        <w:rPr>
          <w:rFonts w:hint="eastAsia" w:ascii="方正仿宋_GBK" w:hAnsi="宋体" w:eastAsia="方正仿宋_GBK"/>
          <w:bCs/>
          <w:sz w:val="32"/>
          <w:szCs w:val="32"/>
        </w:rPr>
        <w:t>渝（奉）环准〔2022〕025号</w:t>
      </w:r>
      <w:bookmarkEnd w:id="1"/>
    </w:p>
    <w:p>
      <w:pPr>
        <w:pStyle w:val="11"/>
        <w:spacing w:line="600" w:lineRule="exact"/>
        <w:rPr>
          <w:rFonts w:ascii="仿宋" w:hAnsi="仿宋" w:eastAsia="仿宋" w:cs="仿宋"/>
          <w:bCs/>
          <w:sz w:val="32"/>
          <w:szCs w:val="32"/>
        </w:rPr>
      </w:pPr>
      <w:bookmarkStart w:id="2" w:name="_Hlt133035560"/>
      <w:bookmarkEnd w:id="2"/>
      <w:bookmarkStart w:id="3" w:name="_Hlt133037171"/>
      <w:bookmarkEnd w:id="3"/>
      <w:r>
        <w:rPr>
          <w:rFonts w:hint="eastAsia" w:ascii="仿宋" w:hAnsi="仿宋" w:eastAsia="仿宋" w:cs="仿宋"/>
          <w:sz w:val="32"/>
          <w:szCs w:val="32"/>
        </w:rPr>
        <w:t>重庆奉节水电开发有限公司</w:t>
      </w:r>
      <w:r>
        <w:rPr>
          <w:rFonts w:hint="eastAsia" w:ascii="仿宋" w:hAnsi="仿宋" w:eastAsia="仿宋" w:cs="仿宋"/>
          <w:bCs/>
          <w:sz w:val="32"/>
          <w:szCs w:val="32"/>
        </w:rPr>
        <w:t>：</w:t>
      </w:r>
    </w:p>
    <w:p>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你单位报送的</w:t>
      </w:r>
      <w:r>
        <w:rPr>
          <w:rFonts w:hint="eastAsia" w:ascii="仿宋" w:hAnsi="仿宋" w:eastAsia="仿宋" w:cs="仿宋"/>
          <w:sz w:val="32"/>
          <w:szCs w:val="32"/>
        </w:rPr>
        <w:t>重庆市奉节县百岛湖水库工程</w:t>
      </w:r>
      <w:r>
        <w:rPr>
          <w:rFonts w:hint="eastAsia" w:ascii="仿宋" w:hAnsi="仿宋" w:eastAsia="仿宋" w:cs="仿宋"/>
          <w:bCs/>
          <w:sz w:val="32"/>
          <w:szCs w:val="32"/>
        </w:rPr>
        <w:t>环境影响评价文件审批申报表及相关材料收悉，根据《中华人民共和国环境影响评价法》等法规的有关规定，</w:t>
      </w:r>
      <w:r>
        <w:rPr>
          <w:rFonts w:hint="eastAsia" w:ascii="仿宋" w:hAnsi="仿宋" w:eastAsia="仿宋" w:cs="仿宋"/>
          <w:sz w:val="32"/>
          <w:szCs w:val="32"/>
        </w:rPr>
        <w:t>我局原则同意</w:t>
      </w:r>
      <w:r>
        <w:rPr>
          <w:rFonts w:hint="eastAsia" w:ascii="仿宋" w:hAnsi="仿宋" w:eastAsia="仿宋" w:cs="仿宋"/>
          <w:kern w:val="0"/>
          <w:sz w:val="32"/>
          <w:szCs w:val="32"/>
          <w:lang w:val="zh-CN"/>
        </w:rPr>
        <w:t>重庆后科环保有限责任公司</w:t>
      </w:r>
      <w:r>
        <w:rPr>
          <w:rFonts w:hint="eastAsia" w:ascii="仿宋" w:hAnsi="仿宋" w:eastAsia="仿宋" w:cs="仿宋"/>
          <w:sz w:val="32"/>
          <w:szCs w:val="32"/>
        </w:rPr>
        <w:t>编制的项目环境影响报告书结论及其提出的环境保护措施。</w:t>
      </w:r>
    </w:p>
    <w:p>
      <w:pPr>
        <w:pStyle w:val="11"/>
        <w:spacing w:line="600" w:lineRule="exact"/>
        <w:ind w:firstLine="640" w:firstLineChars="200"/>
        <w:rPr>
          <w:rFonts w:ascii="仿宋" w:hAnsi="仿宋" w:eastAsia="仿宋" w:cs="仿宋"/>
          <w:bCs/>
          <w:sz w:val="32"/>
          <w:szCs w:val="32"/>
        </w:rPr>
      </w:pPr>
      <w:r>
        <w:rPr>
          <w:rFonts w:hint="eastAsia" w:ascii="仿宋" w:hAnsi="仿宋" w:eastAsia="仿宋" w:cs="仿宋"/>
          <w:sz w:val="32"/>
          <w:szCs w:val="32"/>
        </w:rPr>
        <w:t>一、项目的建设内容和规模：</w:t>
      </w:r>
    </w:p>
    <w:p>
      <w:pPr>
        <w:pStyle w:val="14"/>
        <w:spacing w:line="600" w:lineRule="exact"/>
        <w:ind w:firstLine="640" w:firstLineChars="200"/>
        <w:jc w:val="left"/>
        <w:rPr>
          <w:rFonts w:ascii="仿宋" w:hAnsi="仿宋" w:eastAsia="仿宋" w:cs="仿宋"/>
          <w:color w:val="auto"/>
          <w:sz w:val="32"/>
          <w:szCs w:val="32"/>
        </w:rPr>
      </w:pPr>
      <w:r>
        <w:rPr>
          <w:rFonts w:hint="eastAsia" w:ascii="仿宋" w:hAnsi="仿宋" w:eastAsia="仿宋" w:cs="仿宋"/>
          <w:color w:val="auto"/>
          <w:sz w:val="32"/>
          <w:szCs w:val="32"/>
        </w:rPr>
        <w:t>重庆市奉节县百岛湖水库工程位于奉节县红土乡廖家咀处，水库位于梅溪河支流车家坝河上。百岛湖水库工程是一座具有农业灌溉、城乡供水等综合利用的中型水利工程。水库正常库容1056万m</w:t>
      </w:r>
      <w:r>
        <w:rPr>
          <w:rFonts w:hint="eastAsia" w:ascii="仿宋" w:hAnsi="仿宋" w:eastAsia="仿宋" w:cs="仿宋"/>
          <w:color w:val="auto"/>
          <w:sz w:val="32"/>
          <w:szCs w:val="32"/>
          <w:vertAlign w:val="superscript"/>
        </w:rPr>
        <w:t>3</w:t>
      </w:r>
      <w:r>
        <w:rPr>
          <w:rFonts w:hint="eastAsia" w:ascii="仿宋" w:hAnsi="仿宋" w:eastAsia="仿宋" w:cs="仿宋"/>
          <w:color w:val="auto"/>
          <w:sz w:val="32"/>
          <w:szCs w:val="32"/>
        </w:rPr>
        <w:t>（正常蓄水位以下库容），总库容1092万m</w:t>
      </w:r>
      <w:r>
        <w:rPr>
          <w:rFonts w:hint="eastAsia" w:ascii="仿宋" w:hAnsi="仿宋" w:eastAsia="仿宋" w:cs="仿宋"/>
          <w:color w:val="auto"/>
          <w:sz w:val="32"/>
          <w:szCs w:val="32"/>
          <w:vertAlign w:val="superscript"/>
        </w:rPr>
        <w:t>3</w:t>
      </w:r>
      <w:r>
        <w:rPr>
          <w:rFonts w:hint="eastAsia" w:ascii="仿宋" w:hAnsi="仿宋" w:eastAsia="仿宋" w:cs="仿宋"/>
          <w:color w:val="auto"/>
          <w:sz w:val="32"/>
          <w:szCs w:val="32"/>
        </w:rPr>
        <w:t>（校核洪水位以下库容），调节库容921万m</w:t>
      </w:r>
      <w:r>
        <w:rPr>
          <w:rFonts w:hint="eastAsia" w:ascii="仿宋" w:hAnsi="仿宋" w:eastAsia="仿宋" w:cs="仿宋"/>
          <w:color w:val="auto"/>
          <w:sz w:val="32"/>
          <w:szCs w:val="32"/>
          <w:vertAlign w:val="superscript"/>
        </w:rPr>
        <w:t>3</w:t>
      </w:r>
      <w:r>
        <w:rPr>
          <w:rFonts w:hint="eastAsia" w:ascii="仿宋" w:hAnsi="仿宋" w:eastAsia="仿宋" w:cs="仿宋"/>
          <w:color w:val="auto"/>
          <w:sz w:val="32"/>
          <w:szCs w:val="32"/>
        </w:rPr>
        <w:t>，死库容135万m</w:t>
      </w:r>
      <w:r>
        <w:rPr>
          <w:rFonts w:hint="eastAsia" w:ascii="仿宋" w:hAnsi="仿宋" w:eastAsia="仿宋" w:cs="仿宋"/>
          <w:color w:val="auto"/>
          <w:sz w:val="32"/>
          <w:szCs w:val="32"/>
          <w:vertAlign w:val="superscript"/>
        </w:rPr>
        <w:t>3</w:t>
      </w:r>
      <w:r>
        <w:rPr>
          <w:rFonts w:hint="eastAsia" w:ascii="仿宋" w:hAnsi="仿宋" w:eastAsia="仿宋" w:cs="仿宋"/>
          <w:color w:val="auto"/>
          <w:sz w:val="32"/>
          <w:szCs w:val="32"/>
        </w:rPr>
        <w:t>。水库建成后，城乡供水量为1738万m</w:t>
      </w:r>
      <w:r>
        <w:rPr>
          <w:rFonts w:hint="eastAsia" w:ascii="仿宋" w:hAnsi="仿宋" w:eastAsia="仿宋" w:cs="仿宋"/>
          <w:color w:val="auto"/>
          <w:sz w:val="32"/>
          <w:szCs w:val="32"/>
          <w:vertAlign w:val="superscript"/>
        </w:rPr>
        <w:t>3</w:t>
      </w:r>
      <w:r>
        <w:rPr>
          <w:rFonts w:hint="eastAsia" w:ascii="仿宋" w:hAnsi="仿宋" w:eastAsia="仿宋" w:cs="仿宋"/>
          <w:color w:val="auto"/>
          <w:sz w:val="32"/>
          <w:szCs w:val="32"/>
        </w:rPr>
        <w:t>，其中为奉节县城供水1425万m</w:t>
      </w:r>
      <w:r>
        <w:rPr>
          <w:rFonts w:hint="eastAsia" w:ascii="仿宋" w:hAnsi="仿宋" w:eastAsia="仿宋" w:cs="仿宋"/>
          <w:color w:val="auto"/>
          <w:sz w:val="32"/>
          <w:szCs w:val="32"/>
          <w:vertAlign w:val="superscript"/>
        </w:rPr>
        <w:t>3</w:t>
      </w:r>
      <w:r>
        <w:rPr>
          <w:rFonts w:hint="eastAsia" w:ascii="仿宋" w:hAnsi="仿宋" w:eastAsia="仿宋" w:cs="仿宋"/>
          <w:color w:val="auto"/>
          <w:sz w:val="32"/>
          <w:szCs w:val="32"/>
        </w:rPr>
        <w:t>，红土、公平场镇供水224万m</w:t>
      </w:r>
      <w:r>
        <w:rPr>
          <w:rFonts w:hint="eastAsia" w:ascii="仿宋" w:hAnsi="仿宋" w:eastAsia="仿宋" w:cs="仿宋"/>
          <w:color w:val="auto"/>
          <w:sz w:val="32"/>
          <w:szCs w:val="32"/>
          <w:vertAlign w:val="superscript"/>
        </w:rPr>
        <w:t>3</w:t>
      </w:r>
      <w:r>
        <w:rPr>
          <w:rFonts w:hint="eastAsia" w:ascii="仿宋" w:hAnsi="仿宋" w:eastAsia="仿宋" w:cs="仿宋"/>
          <w:color w:val="auto"/>
          <w:sz w:val="32"/>
          <w:szCs w:val="32"/>
        </w:rPr>
        <w:t>，灌溉供水78.8万m</w:t>
      </w:r>
      <w:r>
        <w:rPr>
          <w:rFonts w:hint="eastAsia" w:ascii="仿宋" w:hAnsi="仿宋" w:eastAsia="仿宋" w:cs="仿宋"/>
          <w:color w:val="auto"/>
          <w:sz w:val="32"/>
          <w:szCs w:val="32"/>
          <w:vertAlign w:val="superscript"/>
        </w:rPr>
        <w:t>3</w:t>
      </w:r>
      <w:r>
        <w:rPr>
          <w:rFonts w:hint="eastAsia" w:ascii="仿宋" w:hAnsi="仿宋" w:eastAsia="仿宋" w:cs="仿宋"/>
          <w:color w:val="auto"/>
          <w:sz w:val="32"/>
          <w:szCs w:val="32"/>
        </w:rPr>
        <w:t>，农村人畜供水10.4万m</w:t>
      </w:r>
      <w:r>
        <w:rPr>
          <w:rFonts w:hint="eastAsia" w:ascii="仿宋" w:hAnsi="仿宋" w:eastAsia="仿宋" w:cs="仿宋"/>
          <w:color w:val="auto"/>
          <w:sz w:val="32"/>
          <w:szCs w:val="32"/>
          <w:vertAlign w:val="superscript"/>
        </w:rPr>
        <w:t>3</w:t>
      </w:r>
      <w:r>
        <w:rPr>
          <w:rFonts w:hint="eastAsia" w:ascii="仿宋" w:hAnsi="仿宋" w:eastAsia="仿宋" w:cs="仿宋"/>
          <w:color w:val="auto"/>
          <w:sz w:val="32"/>
          <w:szCs w:val="32"/>
        </w:rPr>
        <w:t>。同时可利用供水管道向朱衣河补水289万m</w:t>
      </w:r>
      <w:r>
        <w:rPr>
          <w:rFonts w:hint="eastAsia" w:ascii="仿宋" w:hAnsi="仿宋" w:eastAsia="仿宋" w:cs="仿宋"/>
          <w:color w:val="auto"/>
          <w:sz w:val="32"/>
          <w:szCs w:val="32"/>
          <w:vertAlign w:val="superscript"/>
        </w:rPr>
        <w:t>3</w:t>
      </w:r>
      <w:r>
        <w:rPr>
          <w:rFonts w:hint="eastAsia" w:ascii="仿宋" w:hAnsi="仿宋" w:eastAsia="仿宋" w:cs="仿宋"/>
          <w:color w:val="auto"/>
          <w:sz w:val="32"/>
          <w:szCs w:val="32"/>
        </w:rPr>
        <w:t>，合计供水量2027万m</w:t>
      </w:r>
      <w:r>
        <w:rPr>
          <w:rFonts w:hint="eastAsia" w:ascii="仿宋" w:hAnsi="仿宋" w:eastAsia="仿宋" w:cs="仿宋"/>
          <w:color w:val="auto"/>
          <w:sz w:val="32"/>
          <w:szCs w:val="32"/>
          <w:vertAlign w:val="superscript"/>
        </w:rPr>
        <w:t>3</w:t>
      </w:r>
      <w:r>
        <w:rPr>
          <w:rFonts w:hint="eastAsia" w:ascii="仿宋" w:hAnsi="仿宋" w:eastAsia="仿宋" w:cs="仿宋"/>
          <w:color w:val="auto"/>
          <w:sz w:val="32"/>
          <w:szCs w:val="32"/>
        </w:rPr>
        <w:t>。</w:t>
      </w:r>
    </w:p>
    <w:p>
      <w:pPr>
        <w:pStyle w:val="4"/>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工程主要由水库枢纽工程和输水工程二大部分组成。</w:t>
      </w:r>
    </w:p>
    <w:p>
      <w:pPr>
        <w:pStyle w:val="4"/>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枢纽工程包括挡水建筑物、泄水建筑物、取放水建筑物及管理房等附属设施。百岛湖水库在河道左岸布置引水隧洞、取水塔、导流洞等。工程挡水建筑物为沥青混凝土心墙石渣坝，坝轴线总长199m，基座最低高程为551m，坝顶高程629.2m，最大坝高78.2m，坝顶宽度10m。</w:t>
      </w:r>
    </w:p>
    <w:p>
      <w:pPr>
        <w:pStyle w:val="4"/>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取水建筑物主要由取水塔、引水管、人行交通桥和引水隧洞组成。取水塔布置在左岸，塔体建基面高程为584m，塔高47.1m。取水塔与交通洞采用人行交通桥连接，桥面宽3m，跨度28m。引水隧洞采用导流洞后期改建形成，布置在河道左岸，隧洞全长554.68m。</w:t>
      </w:r>
    </w:p>
    <w:p>
      <w:pPr>
        <w:pStyle w:val="4"/>
        <w:spacing w:after="0" w:line="600" w:lineRule="exact"/>
        <w:ind w:firstLine="640" w:firstLineChars="200"/>
        <w:rPr>
          <w:rFonts w:ascii="仿宋" w:hAnsi="仿宋" w:eastAsia="仿宋" w:cs="仿宋"/>
          <w:sz w:val="32"/>
          <w:szCs w:val="32"/>
        </w:rPr>
      </w:pPr>
      <w:r>
        <w:rPr>
          <w:rFonts w:hint="eastAsia" w:ascii="仿宋" w:hAnsi="仿宋" w:eastAsia="仿宋" w:cs="仿宋"/>
          <w:sz w:val="32"/>
          <w:szCs w:val="32"/>
        </w:rPr>
        <w:t>输水工程由干管、红土支管及公平支管三部分组成。输水线路总长24.89km，其中干管长24.33km（管道长17.04km，公黄隧洞长7.29km），红土支管0.12km（全为管道），公平支管0.44km（全为管道）。</w:t>
      </w:r>
    </w:p>
    <w:p>
      <w:pPr>
        <w:pStyle w:val="11"/>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本工程总投资</w:t>
      </w:r>
      <w:bookmarkStart w:id="4" w:name="OLE_LINK5"/>
      <w:r>
        <w:rPr>
          <w:rFonts w:hint="eastAsia" w:ascii="仿宋" w:hAnsi="仿宋" w:eastAsia="仿宋" w:cs="仿宋"/>
          <w:sz w:val="32"/>
          <w:szCs w:val="32"/>
        </w:rPr>
        <w:t>119916</w:t>
      </w:r>
      <w:bookmarkEnd w:id="4"/>
      <w:r>
        <w:rPr>
          <w:rFonts w:hint="eastAsia" w:ascii="仿宋" w:hAnsi="仿宋" w:eastAsia="仿宋" w:cs="仿宋"/>
          <w:sz w:val="32"/>
          <w:szCs w:val="32"/>
        </w:rPr>
        <w:t>万元，其中，环保投资2537万元。</w:t>
      </w:r>
    </w:p>
    <w:p>
      <w:pPr>
        <w:pStyle w:val="11"/>
        <w:spacing w:line="600" w:lineRule="exact"/>
        <w:ind w:firstLine="640" w:firstLineChars="200"/>
        <w:rPr>
          <w:rFonts w:ascii="仿宋" w:hAnsi="仿宋" w:eastAsia="仿宋" w:cs="仿宋"/>
          <w:bCs/>
          <w:sz w:val="32"/>
          <w:szCs w:val="32"/>
        </w:rPr>
      </w:pPr>
      <w:r>
        <w:rPr>
          <w:rFonts w:hint="eastAsia" w:ascii="仿宋" w:hAnsi="仿宋" w:eastAsia="仿宋" w:cs="仿宋"/>
          <w:sz w:val="32"/>
          <w:szCs w:val="32"/>
        </w:rPr>
        <w:t>二、该项目在设计、建设和运行过程中，应认真落实本项目环境影响报告书中提出的各项生态保护及污染防治措施，严格执行相关污染物排放标准和总量控制的要求，并重点做好以下工作：</w:t>
      </w:r>
    </w:p>
    <w:p>
      <w:pPr>
        <w:adjustRightInd w:val="0"/>
        <w:snapToGrid w:val="0"/>
        <w:spacing w:line="600" w:lineRule="exact"/>
        <w:jc w:val="left"/>
        <w:rPr>
          <w:rFonts w:ascii="仿宋" w:hAnsi="仿宋" w:eastAsia="仿宋" w:cs="仿宋"/>
          <w:kern w:val="0"/>
          <w:sz w:val="32"/>
          <w:szCs w:val="32"/>
          <w:lang w:val="zh-CN"/>
        </w:rPr>
      </w:pPr>
      <w:r>
        <w:rPr>
          <w:rFonts w:hint="eastAsia" w:ascii="仿宋" w:hAnsi="仿宋" w:eastAsia="仿宋" w:cs="仿宋"/>
          <w:bCs/>
          <w:sz w:val="32"/>
          <w:szCs w:val="32"/>
        </w:rPr>
        <w:t>　　（一）水污染防治措施。</w:t>
      </w:r>
      <w:r>
        <w:rPr>
          <w:rFonts w:hint="eastAsia" w:ascii="仿宋" w:hAnsi="仿宋" w:eastAsia="仿宋" w:cs="仿宋"/>
          <w:kern w:val="0"/>
          <w:sz w:val="32"/>
          <w:szCs w:val="32"/>
          <w:lang w:val="zh-CN"/>
        </w:rPr>
        <w:t>砂石料冲洗废水采取高效旋流净化法处置后循环使用，不外排；混凝土浇筑的生产废水，采取中和、沉淀池处理，废水经处理达标后回用或用于道路洒水降尘、土石方工程降尘和爆破施工过程等，不外排；含油废水经收集沟收集进入油水分离器处理后回用，不外排。</w:t>
      </w:r>
      <w:r>
        <w:rPr>
          <w:rFonts w:hint="eastAsia" w:ascii="仿宋" w:hAnsi="仿宋" w:eastAsia="仿宋" w:cs="仿宋"/>
          <w:kern w:val="0"/>
          <w:sz w:val="32"/>
          <w:szCs w:val="32"/>
        </w:rPr>
        <w:t>施工期生活污水经化粪池和地埋式一体化污水处理设施处理后用作农肥，不直接外排。</w:t>
      </w:r>
      <w:r>
        <w:rPr>
          <w:rFonts w:hint="eastAsia" w:ascii="仿宋" w:hAnsi="仿宋" w:eastAsia="仿宋" w:cs="仿宋"/>
          <w:kern w:val="0"/>
          <w:sz w:val="32"/>
          <w:szCs w:val="32"/>
          <w:lang w:val="zh-CN"/>
        </w:rPr>
        <w:t>运营期生活污水经</w:t>
      </w:r>
      <w:r>
        <w:rPr>
          <w:rFonts w:hint="eastAsia" w:ascii="仿宋" w:hAnsi="仿宋" w:eastAsia="仿宋" w:cs="仿宋"/>
          <w:kern w:val="0"/>
          <w:sz w:val="32"/>
          <w:szCs w:val="32"/>
        </w:rPr>
        <w:t>化粪池收集</w:t>
      </w:r>
      <w:r>
        <w:rPr>
          <w:rFonts w:hint="eastAsia" w:ascii="仿宋" w:hAnsi="仿宋" w:eastAsia="仿宋" w:cs="仿宋"/>
          <w:kern w:val="0"/>
          <w:sz w:val="32"/>
          <w:szCs w:val="32"/>
          <w:lang w:val="zh-CN"/>
        </w:rPr>
        <w:t>处理后农用，不得外排。水库建成投入使用后，人民政府将划定饮用水源保护区，并沿一级保护区边界设置隔离网和灌木篱笆；水库业主应连同当地政府、农业部门加强水库集雨范围内的污染监督管理，避免违规企业建设和运行对水库的影响。</w:t>
      </w:r>
    </w:p>
    <w:p>
      <w:pPr>
        <w:widowControl/>
        <w:spacing w:line="600" w:lineRule="exact"/>
        <w:jc w:val="left"/>
        <w:rPr>
          <w:rFonts w:ascii="仿宋" w:hAnsi="仿宋" w:eastAsia="仿宋" w:cs="仿宋"/>
          <w:sz w:val="32"/>
          <w:szCs w:val="32"/>
        </w:rPr>
      </w:pPr>
      <w:r>
        <w:rPr>
          <w:rFonts w:hint="eastAsia" w:ascii="仿宋" w:hAnsi="仿宋" w:eastAsia="仿宋" w:cs="仿宋"/>
          <w:sz w:val="32"/>
          <w:szCs w:val="32"/>
        </w:rPr>
        <w:t>　　（二）废气污染治理措施。</w:t>
      </w:r>
      <w:r>
        <w:rPr>
          <w:rFonts w:hint="eastAsia" w:ascii="仿宋" w:hAnsi="仿宋" w:eastAsia="仿宋" w:cs="仿宋"/>
          <w:kern w:val="0"/>
          <w:sz w:val="32"/>
          <w:szCs w:val="32"/>
        </w:rPr>
        <w:t>施工期加强管理，严格控制扬尘污染。土石方开挖采用湿法作业，钻机安装除尘装置；采用掌子面洒水、水封爆破等方式减少爆破粉尘；拌合楼安装除尘装置；砂石料加工厂采用湿法破碎工艺，破碎、筛分装置安装除尘装置；挖掘机、推土机等车辆和机械尾气应达标排放。</w:t>
      </w:r>
      <w:r>
        <w:rPr>
          <w:rFonts w:hint="eastAsia" w:ascii="仿宋" w:hAnsi="仿宋" w:eastAsia="仿宋" w:cs="仿宋"/>
          <w:sz w:val="32"/>
          <w:szCs w:val="32"/>
        </w:rPr>
        <w:t>食堂油烟经油烟净化器处理后，由专用烟道引至超屋顶外排。</w:t>
      </w:r>
    </w:p>
    <w:p>
      <w:pPr>
        <w:widowControl/>
        <w:spacing w:line="600" w:lineRule="exact"/>
        <w:jc w:val="left"/>
        <w:rPr>
          <w:rFonts w:ascii="仿宋" w:hAnsi="仿宋" w:eastAsia="仿宋" w:cs="仿宋"/>
          <w:kern w:val="0"/>
          <w:sz w:val="32"/>
          <w:szCs w:val="32"/>
        </w:rPr>
      </w:pPr>
      <w:r>
        <w:rPr>
          <w:rFonts w:hint="eastAsia" w:ascii="仿宋" w:hAnsi="仿宋" w:eastAsia="仿宋" w:cs="仿宋"/>
          <w:bCs/>
          <w:sz w:val="32"/>
          <w:szCs w:val="32"/>
        </w:rPr>
        <w:t xml:space="preserve">    （三）噪声污染防治措施。</w:t>
      </w:r>
      <w:r>
        <w:rPr>
          <w:rFonts w:hint="eastAsia" w:ascii="仿宋" w:hAnsi="仿宋" w:eastAsia="仿宋" w:cs="仿宋"/>
          <w:kern w:val="0"/>
          <w:sz w:val="32"/>
          <w:szCs w:val="32"/>
        </w:rPr>
        <w:t>选用低噪声设备，加强对施工机械的维护保养；合理安排施工时间，禁止夜间施工；运输车辆途经居民点时应限速禁鸣，尽量减少夜间运输；砂石料加工厂周边修建围墙</w:t>
      </w:r>
      <w:r>
        <w:rPr>
          <w:rFonts w:hint="eastAsia" w:ascii="仿宋" w:hAnsi="仿宋" w:eastAsia="仿宋" w:cs="仿宋"/>
          <w:sz w:val="32"/>
          <w:szCs w:val="32"/>
        </w:rPr>
        <w:t>。项目水泵均布置在全密闭泵站房内，采用减震、消声、建筑隔声等降噪措施。</w:t>
      </w:r>
    </w:p>
    <w:p>
      <w:pPr>
        <w:pStyle w:val="4"/>
        <w:spacing w:after="0" w:line="600" w:lineRule="exact"/>
        <w:ind w:firstLine="0" w:firstLineChars="0"/>
        <w:rPr>
          <w:rFonts w:ascii="仿宋" w:hAnsi="仿宋" w:eastAsia="仿宋" w:cs="仿宋"/>
          <w:sz w:val="32"/>
          <w:szCs w:val="32"/>
        </w:rPr>
      </w:pPr>
      <w:r>
        <w:rPr>
          <w:rFonts w:hint="eastAsia" w:ascii="仿宋" w:hAnsi="仿宋" w:eastAsia="仿宋" w:cs="仿宋"/>
          <w:sz w:val="32"/>
          <w:szCs w:val="32"/>
        </w:rPr>
        <w:t>　　（四）固体废弃物污染治理措施。施工临时生活区设置垃圾桶，并定期委托当地环保部门清运处理；施工产生的建筑垃圾收集后运至政府指定弃渣场处置。水库运行期间生活垃圾和不定期打捞的漂浮物，交当地环卫部门统一处理，不得随意堆放在库岸或其他地方。</w:t>
      </w:r>
    </w:p>
    <w:p>
      <w:pPr>
        <w:spacing w:line="600" w:lineRule="exact"/>
        <w:ind w:firstLine="640" w:firstLineChars="200"/>
        <w:rPr>
          <w:rFonts w:ascii="仿宋" w:hAnsi="仿宋" w:eastAsia="仿宋" w:cs="仿宋"/>
          <w:sz w:val="32"/>
          <w:szCs w:val="32"/>
        </w:rPr>
      </w:pPr>
      <w:r>
        <w:rPr>
          <w:rFonts w:hint="eastAsia" w:ascii="仿宋" w:hAnsi="仿宋" w:eastAsia="仿宋" w:cs="仿宋"/>
          <w:bCs/>
          <w:sz w:val="32"/>
          <w:szCs w:val="32"/>
        </w:rPr>
        <w:t>（五）</w:t>
      </w:r>
      <w:r>
        <w:rPr>
          <w:rFonts w:hint="eastAsia" w:ascii="仿宋" w:hAnsi="仿宋" w:eastAsia="仿宋" w:cs="仿宋"/>
          <w:sz w:val="32"/>
          <w:szCs w:val="32"/>
        </w:rPr>
        <w:t>生态环境保护措施。严格落实各项水土流失防治措施，减少水土流失；施工活动控制在施工征地范围内，减小对周边生态环境的破坏；</w:t>
      </w:r>
      <w:r>
        <w:rPr>
          <w:rFonts w:hint="eastAsia" w:ascii="仿宋" w:hAnsi="仿宋" w:eastAsia="仿宋" w:cs="仿宋"/>
          <w:kern w:val="0"/>
          <w:sz w:val="32"/>
          <w:szCs w:val="32"/>
          <w:lang w:val="zh-CN"/>
        </w:rPr>
        <w:t>渣场、料场不得设置在生态保护红线内；</w:t>
      </w:r>
      <w:r>
        <w:rPr>
          <w:rFonts w:hint="eastAsia" w:ascii="仿宋" w:hAnsi="仿宋" w:eastAsia="仿宋" w:cs="仿宋"/>
          <w:sz w:val="32"/>
          <w:szCs w:val="32"/>
        </w:rPr>
        <w:t>加强施工人员在环境保护、生物多样性保护等方面宣传工作，严禁乱砍滥</w:t>
      </w:r>
      <w:bookmarkStart w:id="5" w:name="_GoBack"/>
      <w:bookmarkEnd w:id="5"/>
      <w:r>
        <w:rPr>
          <w:rFonts w:hint="eastAsia" w:ascii="仿宋" w:hAnsi="仿宋" w:eastAsia="仿宋" w:cs="仿宋"/>
          <w:sz w:val="32"/>
          <w:szCs w:val="32"/>
        </w:rPr>
        <w:t>伐、捕捉野生动物。施工结束后，及时对临时用地进行植被恢复。严格落实生态流量下泄措施，</w:t>
      </w:r>
      <w:r>
        <w:rPr>
          <w:rFonts w:hint="eastAsia" w:ascii="仿宋" w:hAnsi="仿宋" w:eastAsia="仿宋" w:cs="仿宋"/>
          <w:bCs/>
          <w:sz w:val="32"/>
          <w:szCs w:val="32"/>
        </w:rPr>
        <w:t>安装下泄</w:t>
      </w:r>
      <w:r>
        <w:rPr>
          <w:rFonts w:hint="eastAsia" w:ascii="仿宋" w:hAnsi="仿宋" w:eastAsia="仿宋" w:cs="仿宋"/>
          <w:kern w:val="0"/>
          <w:sz w:val="32"/>
          <w:szCs w:val="32"/>
        </w:rPr>
        <w:t>生态流量在线监控系统；采取合理、可行的过鱼措施；科学实施水生生物增殖放流，强化和规范增殖放流管理，严禁放养外来物种；</w:t>
      </w:r>
      <w:r>
        <w:rPr>
          <w:rFonts w:hint="eastAsia" w:ascii="仿宋" w:hAnsi="仿宋" w:eastAsia="仿宋" w:cs="仿宋"/>
          <w:sz w:val="32"/>
          <w:szCs w:val="32"/>
        </w:rPr>
        <w:t>在临近水域的鱼类产卵场设置浮性人工鱼巢对鱼类重要生境进行修复。</w:t>
      </w:r>
    </w:p>
    <w:p>
      <w:pPr>
        <w:adjustRightInd w:val="0"/>
        <w:snapToGrid w:val="0"/>
        <w:spacing w:line="600" w:lineRule="exact"/>
        <w:rPr>
          <w:rFonts w:ascii="仿宋" w:hAnsi="仿宋" w:eastAsia="仿宋" w:cs="仿宋"/>
          <w:sz w:val="32"/>
          <w:szCs w:val="32"/>
        </w:rPr>
      </w:pPr>
      <w:r>
        <w:rPr>
          <w:rFonts w:hint="eastAsia" w:ascii="仿宋" w:hAnsi="仿宋" w:eastAsia="仿宋" w:cs="仿宋"/>
          <w:sz w:val="32"/>
          <w:szCs w:val="32"/>
        </w:rPr>
        <w:t>　　（六）严格环境风险防范。施工期加强炸药库和油库管理，防范风险。加强危险路段、车辆集中线路的交通管制，增设交通标志牌，</w:t>
      </w:r>
      <w:r>
        <w:rPr>
          <w:rFonts w:hint="eastAsia" w:ascii="仿宋" w:hAnsi="仿宋" w:eastAsia="仿宋" w:cs="仿宋"/>
          <w:kern w:val="0"/>
          <w:sz w:val="32"/>
          <w:szCs w:val="32"/>
          <w:lang w:val="zh-CN"/>
        </w:rPr>
        <w:t>禁止危化品运输，</w:t>
      </w:r>
      <w:r>
        <w:rPr>
          <w:rFonts w:hint="eastAsia" w:ascii="仿宋" w:hAnsi="仿宋" w:eastAsia="仿宋" w:cs="仿宋"/>
          <w:sz w:val="32"/>
          <w:szCs w:val="32"/>
        </w:rPr>
        <w:t>同时对库区道路外侧设置防撞栏；禁止在库区、库周规划建设污染类项目；制定环境风险事故应急预案</w:t>
      </w:r>
      <w:r>
        <w:rPr>
          <w:rFonts w:hint="eastAsia" w:ascii="仿宋" w:hAnsi="仿宋" w:eastAsia="仿宋" w:cs="仿宋"/>
          <w:kern w:val="0"/>
          <w:sz w:val="32"/>
          <w:szCs w:val="32"/>
          <w:lang w:val="zh-CN"/>
        </w:rPr>
        <w:t>，保证风险事故下的饮用水安全。</w:t>
      </w:r>
    </w:p>
    <w:p>
      <w:pPr>
        <w:pStyle w:val="11"/>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pPr>
        <w:pStyle w:val="11"/>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pPr>
        <w:pStyle w:val="11"/>
        <w:spacing w:line="600" w:lineRule="exact"/>
        <w:ind w:firstLine="640" w:firstLineChars="200"/>
        <w:rPr>
          <w:rFonts w:ascii="仿宋" w:hAnsi="仿宋" w:eastAsia="仿宋" w:cs="仿宋"/>
          <w:bCs/>
          <w:sz w:val="32"/>
          <w:szCs w:val="32"/>
        </w:rPr>
      </w:pPr>
      <w:r>
        <w:rPr>
          <w:rFonts w:hint="eastAsia" w:ascii="仿宋" w:hAnsi="仿宋" w:eastAsia="仿宋" w:cs="仿宋"/>
          <w:sz w:val="32"/>
          <w:szCs w:val="32"/>
        </w:rPr>
        <w:t>五、请奉节县生态环境保护综合行政执法支队负责该项目环境保护日常监督管理工作。</w:t>
      </w:r>
    </w:p>
    <w:p>
      <w:pPr>
        <w:pStyle w:val="11"/>
        <w:spacing w:line="620" w:lineRule="exact"/>
        <w:ind w:firstLine="640" w:firstLineChars="200"/>
        <w:rPr>
          <w:rFonts w:ascii="仿宋" w:hAnsi="仿宋" w:eastAsia="仿宋" w:cs="仿宋"/>
          <w:bCs/>
          <w:sz w:val="32"/>
          <w:szCs w:val="32"/>
        </w:rPr>
      </w:pPr>
    </w:p>
    <w:p>
      <w:pPr>
        <w:pStyle w:val="11"/>
        <w:spacing w:line="620" w:lineRule="exact"/>
        <w:ind w:firstLine="5120" w:firstLineChars="1600"/>
        <w:rPr>
          <w:rFonts w:ascii="仿宋" w:hAnsi="仿宋" w:eastAsia="仿宋" w:cs="仿宋"/>
          <w:bCs/>
          <w:sz w:val="32"/>
          <w:szCs w:val="32"/>
        </w:rPr>
      </w:pPr>
      <w:r>
        <w:rPr>
          <w:rFonts w:hint="eastAsia" w:ascii="仿宋" w:hAnsi="仿宋" w:eastAsia="仿宋" w:cs="仿宋"/>
          <w:bCs/>
          <w:sz w:val="32"/>
          <w:szCs w:val="32"/>
        </w:rPr>
        <w:t>2022年6月22日</w:t>
      </w:r>
    </w:p>
    <w:p>
      <w:pPr>
        <w:pStyle w:val="11"/>
        <w:spacing w:line="620" w:lineRule="exact"/>
        <w:rPr>
          <w:rFonts w:ascii="仿宋" w:hAnsi="仿宋" w:eastAsia="仿宋" w:cs="仿宋"/>
          <w:bCs/>
          <w:sz w:val="32"/>
          <w:szCs w:val="32"/>
        </w:rPr>
      </w:pPr>
    </w:p>
    <w:p>
      <w:pPr>
        <w:spacing w:line="620" w:lineRule="exact"/>
        <w:rPr>
          <w:rFonts w:ascii="仿宋" w:hAnsi="仿宋" w:eastAsia="仿宋"/>
        </w:rPr>
      </w:pPr>
      <w:r>
        <w:rPr>
          <w:rFonts w:ascii="仿宋" w:hAnsi="仿宋" w:eastAsia="仿宋" w:cs="仿宋"/>
          <w:bCs/>
          <w:spacing w:val="-4"/>
          <w:sz w:val="30"/>
          <w:szCs w:val="30"/>
        </w:rPr>
        <w:pict>
          <v:line id="直线 1" o:spid="_x0000_s1026" o:spt="20" style="position:absolute;left:0pt;margin-left:-5.25pt;margin-top:35.35pt;height:0pt;width:450pt;z-index:251660288;mso-width-relative:page;mso-height-relative:page;" coordsize="21600,21600">
            <v:path arrowok="t"/>
            <v:fill focussize="0,0"/>
            <v:stroke/>
            <v:imagedata o:title=""/>
            <o:lock v:ext="edit"/>
          </v:line>
        </w:pict>
      </w:r>
      <w:r>
        <w:rPr>
          <w:rFonts w:hint="eastAsia" w:ascii="仿宋" w:hAnsi="仿宋" w:eastAsia="仿宋" w:cs="仿宋"/>
          <w:bCs/>
          <w:spacing w:val="-20"/>
          <w:sz w:val="30"/>
          <w:szCs w:val="30"/>
        </w:rPr>
        <w:t>抄送：</w:t>
      </w:r>
      <w:r>
        <w:rPr>
          <w:rFonts w:hint="eastAsia" w:ascii="仿宋" w:hAnsi="仿宋" w:eastAsia="仿宋"/>
          <w:spacing w:val="-20"/>
          <w:sz w:val="30"/>
          <w:szCs w:val="30"/>
        </w:rPr>
        <w:t>奉节县生态环境保护综合行政执法支队</w:t>
      </w:r>
      <w:r>
        <w:rPr>
          <w:rFonts w:hint="eastAsia" w:ascii="仿宋" w:hAnsi="仿宋" w:eastAsia="仿宋" w:cs="仿宋"/>
          <w:bCs/>
          <w:spacing w:val="-20"/>
          <w:sz w:val="30"/>
          <w:szCs w:val="30"/>
        </w:rPr>
        <w:t>，</w:t>
      </w:r>
      <w:r>
        <w:rPr>
          <w:rFonts w:hint="eastAsia" w:ascii="仿宋" w:hAnsi="仿宋" w:eastAsia="仿宋" w:cs="仿宋"/>
          <w:kern w:val="0"/>
          <w:sz w:val="30"/>
          <w:szCs w:val="30"/>
          <w:lang w:val="zh-CN"/>
        </w:rPr>
        <w:t>重庆后科环保有限责任公司</w:t>
      </w:r>
      <w:r>
        <w:rPr>
          <w:rFonts w:hint="eastAsia" w:ascii="仿宋" w:hAnsi="仿宋" w:eastAsia="仿宋" w:cs="仿宋"/>
          <w:bCs/>
          <w:spacing w:val="-20"/>
          <w:sz w:val="30"/>
          <w:szCs w:val="30"/>
        </w:rPr>
        <w:t>。</w:t>
      </w:r>
    </w:p>
    <w:p>
      <w:pPr>
        <w:rPr>
          <w:rFonts w:ascii="仿宋" w:hAnsi="仿宋" w:eastAsia="仿宋"/>
        </w:rPr>
      </w:pPr>
    </w:p>
    <w:p>
      <w:pPr>
        <w:pStyle w:val="11"/>
        <w:spacing w:line="560" w:lineRule="exact"/>
        <w:rPr>
          <w:rFonts w:hint="eastAsia" w:ascii="仿宋" w:hAnsi="仿宋" w:eastAsia="仿宋"/>
        </w:rPr>
      </w:pPr>
    </w:p>
    <w:p/>
    <w:sectPr>
      <w:pgSz w:w="11906" w:h="16838"/>
      <w:pgMar w:top="1418" w:right="1247" w:bottom="124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046D"/>
    <w:rsid w:val="00BB046D"/>
    <w:rsid w:val="00F90F33"/>
    <w:rsid w:val="0545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7"/>
    <w:qFormat/>
    <w:uiPriority w:val="0"/>
    <w:pPr>
      <w:keepNext/>
      <w:spacing w:line="240" w:lineRule="exact"/>
      <w:jc w:val="center"/>
      <w:outlineLvl w:val="0"/>
    </w:pPr>
    <w:rPr>
      <w:rFonts w:ascii="FangSong_GB2312" w:eastAsia="FangSong_GB2312"/>
      <w:b/>
      <w:color w:val="000000"/>
      <w:sz w:val="24"/>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2"/>
    <w:unhideWhenUsed/>
    <w:qFormat/>
    <w:uiPriority w:val="0"/>
    <w:pPr>
      <w:spacing w:after="120"/>
    </w:pPr>
  </w:style>
  <w:style w:type="paragraph" w:styleId="4">
    <w:name w:val="Body Text First Indent"/>
    <w:basedOn w:val="1"/>
    <w:link w:val="13"/>
    <w:qFormat/>
    <w:uiPriority w:val="0"/>
    <w:pPr>
      <w:spacing w:after="120"/>
      <w:ind w:firstLine="420" w:firstLineChars="100"/>
    </w:pPr>
    <w:rPr>
      <w:rFonts w:eastAsia="宋体" w:asciiTheme="minorHAnsi" w:hAnsiTheme="minorHAnsi" w:cstheme="minorBidi"/>
    </w:rPr>
  </w:style>
  <w:style w:type="character" w:customStyle="1" w:styleId="7">
    <w:name w:val="标题 1 Char"/>
    <w:basedOn w:val="6"/>
    <w:link w:val="2"/>
    <w:uiPriority w:val="0"/>
    <w:rPr>
      <w:rFonts w:ascii="FangSong_GB2312" w:hAnsi="Times New Roman" w:eastAsia="FangSong_GB2312" w:cs="Times New Roman"/>
      <w:b/>
      <w:color w:val="000000"/>
      <w:sz w:val="24"/>
      <w:szCs w:val="24"/>
    </w:rPr>
  </w:style>
  <w:style w:type="character" w:customStyle="1" w:styleId="8">
    <w:name w:val="正文首行缩进 Char"/>
    <w:basedOn w:val="9"/>
    <w:link w:val="4"/>
    <w:qFormat/>
    <w:uiPriority w:val="0"/>
    <w:rPr>
      <w:rFonts w:eastAsia="宋体"/>
      <w:szCs w:val="24"/>
    </w:rPr>
  </w:style>
  <w:style w:type="character" w:customStyle="1" w:styleId="9">
    <w:name w:val="正文文本 Char"/>
    <w:basedOn w:val="6"/>
    <w:qFormat/>
    <w:uiPriority w:val="0"/>
    <w:rPr>
      <w:sz w:val="32"/>
    </w:rPr>
  </w:style>
  <w:style w:type="character" w:customStyle="1" w:styleId="10">
    <w:name w:val="tb Char"/>
    <w:link w:val="11"/>
    <w:qFormat/>
    <w:uiPriority w:val="0"/>
    <w:rPr>
      <w:rFonts w:ascii="宋体" w:hAnsi="Arial" w:eastAsia="宋体"/>
      <w:sz w:val="24"/>
    </w:rPr>
  </w:style>
  <w:style w:type="paragraph" w:customStyle="1" w:styleId="11">
    <w:name w:val="tb"/>
    <w:basedOn w:val="1"/>
    <w:link w:val="10"/>
    <w:qFormat/>
    <w:uiPriority w:val="0"/>
    <w:pPr>
      <w:spacing w:line="400" w:lineRule="atLeast"/>
    </w:pPr>
    <w:rPr>
      <w:rFonts w:ascii="宋体" w:hAnsi="Arial" w:eastAsia="宋体" w:cstheme="minorBidi"/>
      <w:sz w:val="24"/>
      <w:szCs w:val="22"/>
    </w:rPr>
  </w:style>
  <w:style w:type="character" w:customStyle="1" w:styleId="12">
    <w:name w:val="正文文本 Char1"/>
    <w:basedOn w:val="6"/>
    <w:link w:val="3"/>
    <w:semiHidden/>
    <w:uiPriority w:val="99"/>
    <w:rPr>
      <w:rFonts w:ascii="Times New Roman" w:hAnsi="Times New Roman" w:eastAsia="宋体" w:cs="Times New Roman"/>
      <w:szCs w:val="24"/>
    </w:rPr>
  </w:style>
  <w:style w:type="character" w:customStyle="1" w:styleId="13">
    <w:name w:val="正文首行缩进 Char1"/>
    <w:basedOn w:val="12"/>
    <w:link w:val="4"/>
    <w:semiHidden/>
    <w:uiPriority w:val="99"/>
  </w:style>
  <w:style w:type="paragraph" w:customStyle="1" w:styleId="14">
    <w:name w:val="Default"/>
    <w:basedOn w:val="1"/>
    <w:qFormat/>
    <w:uiPriority w:val="0"/>
    <w:pPr>
      <w:topLinePunct/>
      <w:autoSpaceDE w:val="0"/>
      <w:autoSpaceDN w:val="0"/>
      <w:adjustRightInd w:val="0"/>
      <w:snapToGrid w:val="0"/>
      <w:jc w:val="center"/>
    </w:pPr>
    <w:rPr>
      <w:rFonts w:ascii="宋体" w:eastAsia="宋体" w:cs="宋体"/>
      <w:color w:val="00000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348</Words>
  <Characters>1986</Characters>
  <Lines>16</Lines>
  <Paragraphs>4</Paragraphs>
  <TotalTime>3</TotalTime>
  <ScaleCrop>false</ScaleCrop>
  <LinksUpToDate>false</LinksUpToDate>
  <CharactersWithSpaces>2330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2022-06-22T03:04:00Z</dcterms:created>
  <dc:creator>张中坤</dc:creator>
  <cp:lastModifiedBy>Administrator</cp:lastModifiedBy>
  <dcterms:modified xsi:type="dcterms:W3CDTF">2022-11-19T03:03:00Z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