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rPr>
          <w:rFonts w:hint="eastAsia" w:ascii="宋体" w:hAnsi="宋体" w:eastAsia="宋体"/>
          <w:b w:val="0"/>
          <w:bCs/>
          <w:color w:val="FF0000"/>
          <w:sz w:val="44"/>
          <w:szCs w:val="44"/>
        </w:rPr>
      </w:pPr>
      <w:r>
        <w:rPr>
          <w:rFonts w:hint="eastAsia" w:ascii="宋体" w:hAnsi="宋体" w:eastAsia="宋体"/>
          <w:b w:val="0"/>
          <w:bCs/>
          <w:color w:val="FF0000"/>
          <w:sz w:val="44"/>
          <w:szCs w:val="44"/>
        </w:rPr>
        <w:t>重庆市建设</w:t>
      </w:r>
      <w:bookmarkStart w:id="0" w:name="_Hlt132624165"/>
      <w:bookmarkEnd w:id="0"/>
      <w:r>
        <w:rPr>
          <w:rFonts w:hint="eastAsia" w:ascii="宋体" w:hAnsi="宋体" w:eastAsia="宋体"/>
          <w:b w:val="0"/>
          <w:bCs/>
          <w:color w:val="FF0000"/>
          <w:sz w:val="44"/>
          <w:szCs w:val="44"/>
        </w:rPr>
        <w:t>项目环境影响评价文件批准书</w:t>
      </w:r>
    </w:p>
    <w:p>
      <w:pPr>
        <w:rPr>
          <w:rFonts w:hint="eastAsia" w:ascii="宋体" w:hAnsi="宋体"/>
          <w:bCs/>
          <w:spacing w:val="50"/>
          <w:sz w:val="28"/>
        </w:rPr>
      </w:pPr>
    </w:p>
    <w:p>
      <w:pPr>
        <w:adjustRightInd w:val="0"/>
        <w:snapToGrid w:val="0"/>
        <w:rPr>
          <w:rFonts w:hint="eastAsia"/>
          <w:dstrike/>
          <w:spacing w:val="50"/>
          <w:sz w:val="28"/>
          <w:szCs w:val="28"/>
        </w:rPr>
      </w:pPr>
      <w:r>
        <w:rPr>
          <w:rFonts w:hint="eastAsia"/>
          <w:spacing w:val="50"/>
          <w:sz w:val="28"/>
        </w:rPr>
        <w:t xml:space="preserve"> </w:t>
      </w:r>
      <w:r>
        <w:rPr>
          <w:rFonts w:hint="eastAsia"/>
          <w:dstrike/>
          <w:spacing w:val="50"/>
          <w:sz w:val="28"/>
          <w:szCs w:val="28"/>
        </w:rPr>
        <w:t xml:space="preserve">                                   </w:t>
      </w:r>
    </w:p>
    <w:p>
      <w:pPr>
        <w:pStyle w:val="3"/>
        <w:snapToGrid w:val="0"/>
        <w:spacing w:line="240" w:lineRule="atLeast"/>
        <w:jc w:val="center"/>
        <w:rPr>
          <w:rFonts w:hint="eastAsia" w:ascii="方正仿宋_GBK" w:hAnsi="宋体" w:eastAsia="方正仿宋_GBK"/>
          <w:bCs/>
          <w:sz w:val="32"/>
          <w:szCs w:val="32"/>
        </w:rPr>
      </w:pPr>
      <w:bookmarkStart w:id="1" w:name="文号"/>
      <w:r>
        <w:rPr>
          <w:rFonts w:hint="eastAsia" w:ascii="方正仿宋_GBK" w:hAnsi="宋体" w:eastAsia="方正仿宋_GBK"/>
          <w:bCs/>
          <w:sz w:val="32"/>
          <w:szCs w:val="32"/>
        </w:rPr>
        <w:t>渝（奉）环准〔2022〕030号</w:t>
      </w:r>
      <w:bookmarkEnd w:id="1"/>
    </w:p>
    <w:p>
      <w:pPr>
        <w:pStyle w:val="10"/>
        <w:spacing w:line="600" w:lineRule="exact"/>
        <w:rPr>
          <w:rFonts w:ascii="仿宋" w:hAnsi="仿宋" w:eastAsia="仿宋" w:cs="仿宋"/>
          <w:bCs/>
          <w:sz w:val="32"/>
          <w:szCs w:val="32"/>
        </w:rPr>
      </w:pPr>
      <w:bookmarkStart w:id="2" w:name="建设单位"/>
      <w:r>
        <w:rPr>
          <w:rFonts w:hint="eastAsia" w:ascii="仿宋" w:hAnsi="仿宋" w:eastAsia="仿宋" w:cs="仿宋"/>
          <w:sz w:val="32"/>
          <w:szCs w:val="32"/>
        </w:rPr>
        <w:t>重庆奉节水电开发有限公司</w:t>
      </w:r>
      <w:r>
        <w:rPr>
          <w:rFonts w:hint="eastAsia" w:ascii="仿宋" w:hAnsi="仿宋" w:eastAsia="仿宋" w:cs="仿宋"/>
          <w:bCs/>
          <w:sz w:val="32"/>
          <w:szCs w:val="32"/>
        </w:rPr>
        <w:t>：</w:t>
      </w:r>
    </w:p>
    <w:p>
      <w:pPr>
        <w:spacing w:line="600" w:lineRule="exact"/>
        <w:ind w:firstLine="640" w:firstLineChars="200"/>
        <w:rPr>
          <w:rFonts w:ascii="仿宋" w:hAnsi="仿宋" w:eastAsia="仿宋" w:cs="仿宋"/>
          <w:sz w:val="32"/>
          <w:szCs w:val="32"/>
        </w:rPr>
      </w:pPr>
      <w:r>
        <w:rPr>
          <w:rFonts w:hint="eastAsia" w:ascii="仿宋" w:hAnsi="仿宋" w:eastAsia="仿宋" w:cs="仿宋"/>
          <w:bCs/>
          <w:sz w:val="32"/>
          <w:szCs w:val="32"/>
        </w:rPr>
        <w:t>你单位报送的</w:t>
      </w:r>
      <w:r>
        <w:rPr>
          <w:rFonts w:ascii="仿宋" w:hAnsi="仿宋" w:eastAsia="仿宋"/>
          <w:bCs/>
          <w:sz w:val="32"/>
          <w:szCs w:val="32"/>
        </w:rPr>
        <w:t>奉节县招峰水库</w:t>
      </w:r>
      <w:r>
        <w:rPr>
          <w:rFonts w:hint="eastAsia" w:ascii="仿宋" w:hAnsi="仿宋" w:eastAsia="仿宋" w:cs="仿宋"/>
          <w:sz w:val="32"/>
          <w:szCs w:val="32"/>
        </w:rPr>
        <w:t>工程</w:t>
      </w:r>
      <w:r>
        <w:rPr>
          <w:rFonts w:hint="eastAsia" w:ascii="仿宋" w:hAnsi="仿宋" w:eastAsia="仿宋" w:cs="仿宋"/>
          <w:bCs/>
          <w:sz w:val="32"/>
          <w:szCs w:val="32"/>
        </w:rPr>
        <w:t>环境影响评价文件审批申报表及相关材料收悉，根据《中华人民共和国环境影响评价法》等法规的有关规定，</w:t>
      </w:r>
      <w:r>
        <w:rPr>
          <w:rFonts w:hint="eastAsia" w:ascii="仿宋" w:hAnsi="仿宋" w:eastAsia="仿宋" w:cs="仿宋"/>
          <w:sz w:val="32"/>
          <w:szCs w:val="32"/>
        </w:rPr>
        <w:t>我局原则同意</w:t>
      </w:r>
      <w:r>
        <w:rPr>
          <w:rFonts w:hint="eastAsia" w:ascii="仿宋" w:hAnsi="仿宋" w:eastAsia="仿宋" w:cs="仿宋"/>
          <w:kern w:val="0"/>
          <w:sz w:val="32"/>
          <w:szCs w:val="32"/>
          <w:lang w:val="zh-CN"/>
        </w:rPr>
        <w:t>重庆后科环保有限责任公司</w:t>
      </w:r>
      <w:r>
        <w:rPr>
          <w:rFonts w:hint="eastAsia" w:ascii="仿宋" w:hAnsi="仿宋" w:eastAsia="仿宋" w:cs="仿宋"/>
          <w:sz w:val="32"/>
          <w:szCs w:val="32"/>
        </w:rPr>
        <w:t>编制的项目环境影响报告书结论及其提出的环境保护措施。</w:t>
      </w:r>
    </w:p>
    <w:p>
      <w:pPr>
        <w:pStyle w:val="10"/>
        <w:spacing w:line="600" w:lineRule="exact"/>
        <w:ind w:firstLine="640" w:firstLineChars="200"/>
        <w:rPr>
          <w:rFonts w:ascii="仿宋" w:hAnsi="仿宋" w:eastAsia="仿宋" w:cs="仿宋"/>
          <w:bCs/>
          <w:sz w:val="32"/>
          <w:szCs w:val="32"/>
        </w:rPr>
      </w:pPr>
      <w:r>
        <w:rPr>
          <w:rFonts w:hint="eastAsia" w:ascii="仿宋" w:hAnsi="仿宋" w:eastAsia="仿宋" w:cs="仿宋"/>
          <w:sz w:val="32"/>
          <w:szCs w:val="32"/>
        </w:rPr>
        <w:t>一、项目的建设内容和规模：</w:t>
      </w:r>
    </w:p>
    <w:p>
      <w:pPr>
        <w:pStyle w:val="4"/>
        <w:spacing w:line="600" w:lineRule="exact"/>
        <w:ind w:firstLine="0" w:firstLineChars="0"/>
        <w:rPr>
          <w:rFonts w:ascii="仿宋" w:hAnsi="仿宋" w:eastAsia="仿宋" w:cs="仿宋"/>
          <w:bCs/>
          <w:sz w:val="32"/>
          <w:szCs w:val="32"/>
        </w:rPr>
      </w:pPr>
      <w:bookmarkStart w:id="3" w:name="_Hlk69830790"/>
      <w:r>
        <w:rPr>
          <w:rFonts w:hint="eastAsia" w:ascii="仿宋" w:hAnsi="仿宋" w:eastAsia="仿宋" w:cs="仿宋"/>
          <w:sz w:val="32"/>
          <w:szCs w:val="32"/>
        </w:rPr>
        <w:t>　　奉节县招峰水库工程位于奉节县鹤峰乡招峰村境内，在大溪河支流新民河左岸支沟挖断山沟上。工程是一座具有农业灌溉、场镇供水及农村人畜饮水等综合利用功能的小（2）型水利工程。水库总库容50.25万m³，多年平均供水量61.71万m³。供水范围及供水对象为鹤峰乡场镇4137人居民生活用水、招峰村5个组253.33hm</w:t>
      </w:r>
      <w:r>
        <w:rPr>
          <w:rFonts w:hint="eastAsia" w:ascii="仿宋" w:hAnsi="仿宋" w:eastAsia="仿宋" w:cs="仿宋"/>
          <w:sz w:val="32"/>
          <w:szCs w:val="32"/>
          <w:vertAlign w:val="superscript"/>
        </w:rPr>
        <w:t>2</w:t>
      </w:r>
      <w:r>
        <w:rPr>
          <w:rFonts w:hint="eastAsia" w:ascii="仿宋" w:hAnsi="仿宋" w:eastAsia="仿宋" w:cs="仿宋"/>
          <w:sz w:val="32"/>
          <w:szCs w:val="32"/>
        </w:rPr>
        <w:t>耕地农业灌溉用水及农村居民3187人、牲畜15136头饮水</w:t>
      </w:r>
      <w:r>
        <w:rPr>
          <w:rFonts w:hint="eastAsia" w:ascii="仿宋" w:hAnsi="仿宋" w:eastAsia="仿宋" w:cs="仿宋"/>
          <w:bCs/>
          <w:sz w:val="32"/>
          <w:szCs w:val="32"/>
        </w:rPr>
        <w:t>。</w:t>
      </w:r>
    </w:p>
    <w:bookmarkEnd w:id="3"/>
    <w:p>
      <w:pPr>
        <w:pStyle w:val="1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工程主要由水库枢纽工程及供水工程两大部分组成。</w:t>
      </w:r>
    </w:p>
    <w:p>
      <w:pPr>
        <w:pStyle w:val="4"/>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水库枢纽工程由非溢流坝段、溢流坝段、取水建筑物、管理房和上坝公路等组成。</w:t>
      </w:r>
    </w:p>
    <w:p>
      <w:pPr>
        <w:pStyle w:val="4"/>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大坝正常蓄水位657.5m，坝顶高程661m，坝顶宽6m。河床最低建基面高程为617m，最大坝高44m，最大坝底宽45.6m。大坝从左到右共布置7个坝段，其中1～3号坝段为左岸非溢流坝段，每个坝段长15m，共长45m；4号坝段为溢流坝段，长14m；5～7坝段为右岸非溢流坝段，每个坝段长15m，共长45m。</w:t>
      </w:r>
    </w:p>
    <w:p>
      <w:pPr>
        <w:pStyle w:val="4"/>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溢流坝段位于4#坝段，溢流堰采用开敞式溢流堰，共设1孔，净宽7m，无闸控制，堰顶高程657.5m。</w:t>
      </w:r>
    </w:p>
    <w:p>
      <w:pPr>
        <w:pStyle w:val="4"/>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取水建筑物位于左岸3#非溢流坝段，取水塔分四层取水，塔高47.4m，取水管均采用DN500钢管，末端采用DN500钢管穿过坝体。取水塔底层钢管兼做放空管。</w:t>
      </w:r>
    </w:p>
    <w:p>
      <w:pPr>
        <w:pStyle w:val="4"/>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本工程灌区及供水对象主要涉及鹤峰乡场镇和招峰村5个组，管线由1条干管、2条支管、1条提水管道和1条场镇输水管道组成，总长度7.19km。设计灌面3800亩。</w:t>
      </w:r>
    </w:p>
    <w:p>
      <w:pPr>
        <w:pStyle w:val="1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工程总投资6707.43万元，其中，环保投资727.5万元。</w:t>
      </w:r>
    </w:p>
    <w:p>
      <w:pPr>
        <w:pStyle w:val="10"/>
        <w:spacing w:line="600" w:lineRule="exact"/>
        <w:ind w:firstLine="640" w:firstLineChars="200"/>
        <w:rPr>
          <w:rFonts w:ascii="仿宋" w:hAnsi="仿宋" w:eastAsia="仿宋" w:cs="仿宋"/>
          <w:bCs/>
          <w:sz w:val="32"/>
          <w:szCs w:val="32"/>
        </w:rPr>
      </w:pPr>
      <w:r>
        <w:rPr>
          <w:rFonts w:hint="eastAsia" w:ascii="仿宋" w:hAnsi="仿宋" w:eastAsia="仿宋" w:cs="仿宋"/>
          <w:sz w:val="32"/>
          <w:szCs w:val="32"/>
        </w:rPr>
        <w:t>二、该项目在设计、建设和运行过程中，应认真落实本项目环境影响报告书中提出的各项生态保护及污染防治措施，严格执行相关污染物排放标准和总量控制的要求，并重点做好以下工作：</w:t>
      </w:r>
    </w:p>
    <w:p>
      <w:pPr>
        <w:adjustRightInd w:val="0"/>
        <w:snapToGrid w:val="0"/>
        <w:spacing w:line="600" w:lineRule="exact"/>
        <w:jc w:val="left"/>
        <w:rPr>
          <w:rFonts w:ascii="仿宋" w:hAnsi="仿宋" w:eastAsia="仿宋" w:cs="仿宋"/>
          <w:kern w:val="0"/>
          <w:sz w:val="32"/>
          <w:szCs w:val="32"/>
          <w:lang w:val="zh-CN"/>
        </w:rPr>
      </w:pPr>
      <w:r>
        <w:rPr>
          <w:rFonts w:hint="eastAsia" w:ascii="仿宋" w:hAnsi="仿宋" w:eastAsia="仿宋" w:cs="仿宋"/>
          <w:bCs/>
          <w:sz w:val="32"/>
          <w:szCs w:val="32"/>
        </w:rPr>
        <w:t>　　（一）水污染防治措施。</w:t>
      </w:r>
      <w:r>
        <w:rPr>
          <w:rFonts w:hint="eastAsia" w:ascii="仿宋" w:hAnsi="仿宋" w:eastAsia="仿宋" w:cs="仿宋"/>
          <w:kern w:val="0"/>
          <w:sz w:val="32"/>
          <w:szCs w:val="32"/>
          <w:lang w:val="zh-CN"/>
        </w:rPr>
        <w:t>混凝土浇筑的生产废水，采取中和</w:t>
      </w:r>
      <w:r>
        <w:rPr>
          <w:rFonts w:hint="eastAsia" w:ascii="仿宋" w:hAnsi="仿宋" w:eastAsia="仿宋" w:cs="仿宋"/>
          <w:kern w:val="0"/>
          <w:sz w:val="32"/>
          <w:szCs w:val="32"/>
          <w:lang w:val="zh-CN" w:eastAsia="zh-CN"/>
        </w:rPr>
        <w:t>、</w:t>
      </w:r>
      <w:r>
        <w:rPr>
          <w:rFonts w:hint="eastAsia" w:ascii="仿宋" w:hAnsi="仿宋" w:eastAsia="仿宋" w:cs="仿宋"/>
          <w:kern w:val="0"/>
          <w:sz w:val="32"/>
          <w:szCs w:val="32"/>
          <w:lang w:val="zh-CN"/>
        </w:rPr>
        <w:t>沉淀池处理，废水经处理达标后回用或用于道路洒水降尘、土石方工程降尘和爆破施工过程等，不外排；含油废水经收集沟收集进入油水分离器处理后回用，不外排。</w:t>
      </w:r>
      <w:r>
        <w:rPr>
          <w:rFonts w:hint="eastAsia" w:ascii="仿宋" w:hAnsi="仿宋" w:eastAsia="仿宋" w:cs="仿宋"/>
          <w:kern w:val="0"/>
          <w:sz w:val="32"/>
          <w:szCs w:val="32"/>
        </w:rPr>
        <w:t>施工期生活污水经化粪池处理后用作农肥，不直接外排。</w:t>
      </w:r>
      <w:r>
        <w:rPr>
          <w:rFonts w:hint="eastAsia" w:ascii="仿宋" w:hAnsi="仿宋" w:eastAsia="仿宋" w:cs="仿宋"/>
          <w:kern w:val="0"/>
          <w:sz w:val="32"/>
          <w:szCs w:val="32"/>
          <w:lang w:val="zh-CN"/>
        </w:rPr>
        <w:t>运营期生活污水经</w:t>
      </w:r>
      <w:r>
        <w:rPr>
          <w:rFonts w:hint="eastAsia" w:ascii="仿宋" w:hAnsi="仿宋" w:eastAsia="仿宋" w:cs="仿宋"/>
          <w:kern w:val="0"/>
          <w:sz w:val="32"/>
          <w:szCs w:val="32"/>
        </w:rPr>
        <w:t>化粪池收集</w:t>
      </w:r>
      <w:r>
        <w:rPr>
          <w:rFonts w:hint="eastAsia" w:ascii="仿宋" w:hAnsi="仿宋" w:eastAsia="仿宋" w:cs="仿宋"/>
          <w:kern w:val="0"/>
          <w:sz w:val="32"/>
          <w:szCs w:val="32"/>
          <w:lang w:val="zh-CN"/>
        </w:rPr>
        <w:t>处理后农用，不得外排。水库建成投入使用后，人民政府将划定饮用水源保护区，并沿一级保护区边界设置隔离网和灌木篱笆；水库业主应连同当地政府、农业部门加强水库集雨范围内的污染监督管理，避免违规企业建设和运行对水库的影响。</w:t>
      </w:r>
    </w:p>
    <w:p>
      <w:pPr>
        <w:pStyle w:val="4"/>
        <w:spacing w:line="600" w:lineRule="exact"/>
        <w:ind w:firstLine="0" w:firstLineChars="0"/>
        <w:rPr>
          <w:rFonts w:ascii="仿宋" w:hAnsi="仿宋" w:eastAsia="仿宋" w:cs="仿宋"/>
          <w:sz w:val="32"/>
          <w:szCs w:val="32"/>
        </w:rPr>
      </w:pPr>
      <w:r>
        <w:rPr>
          <w:rFonts w:hint="eastAsia" w:ascii="仿宋" w:hAnsi="仿宋" w:eastAsia="仿宋" w:cs="仿宋"/>
          <w:sz w:val="32"/>
          <w:szCs w:val="32"/>
        </w:rPr>
        <w:t>　　（二）废气污染治理措施。</w:t>
      </w:r>
      <w:r>
        <w:rPr>
          <w:rFonts w:hint="eastAsia" w:ascii="仿宋" w:hAnsi="仿宋" w:eastAsia="仿宋" w:cs="仿宋"/>
          <w:kern w:val="0"/>
          <w:sz w:val="32"/>
          <w:szCs w:val="32"/>
        </w:rPr>
        <w:t>施工期加强管理，严格控制扬尘污染。土石方开挖采用湿法作业，钻机安装除尘装置；采用掌子面洒水、水封爆破等方式减少爆破粉尘；</w:t>
      </w:r>
      <w:r>
        <w:rPr>
          <w:rFonts w:hint="eastAsia" w:ascii="仿宋" w:hAnsi="仿宋" w:eastAsia="仿宋" w:cs="仿宋"/>
          <w:sz w:val="32"/>
          <w:szCs w:val="32"/>
        </w:rPr>
        <w:t>拌合楼安装除尘装置；</w:t>
      </w:r>
      <w:r>
        <w:rPr>
          <w:rFonts w:hint="eastAsia" w:ascii="仿宋" w:hAnsi="仿宋" w:eastAsia="仿宋" w:cs="仿宋"/>
          <w:kern w:val="0"/>
          <w:sz w:val="32"/>
          <w:szCs w:val="32"/>
        </w:rPr>
        <w:t>挖掘机、推土机等车辆和机械尾气应达标排放。</w:t>
      </w:r>
      <w:r>
        <w:rPr>
          <w:rFonts w:hint="eastAsia" w:ascii="仿宋" w:hAnsi="仿宋" w:eastAsia="仿宋" w:cs="仿宋"/>
          <w:sz w:val="32"/>
          <w:szCs w:val="32"/>
        </w:rPr>
        <w:t>加强物料运输和装卸管理，施工场地及道路及时清扫、洒水，运输车辆限速并及时清洗。</w:t>
      </w:r>
    </w:p>
    <w:p>
      <w:pPr>
        <w:widowControl/>
        <w:spacing w:line="600" w:lineRule="exact"/>
        <w:jc w:val="left"/>
        <w:rPr>
          <w:rFonts w:ascii="仿宋" w:hAnsi="仿宋" w:eastAsia="仿宋" w:cs="仿宋"/>
          <w:kern w:val="0"/>
          <w:sz w:val="32"/>
          <w:szCs w:val="32"/>
        </w:rPr>
      </w:pPr>
      <w:r>
        <w:rPr>
          <w:rFonts w:hint="eastAsia" w:ascii="仿宋" w:hAnsi="仿宋" w:eastAsia="仿宋" w:cs="仿宋"/>
          <w:bCs/>
          <w:sz w:val="32"/>
          <w:szCs w:val="32"/>
        </w:rPr>
        <w:t xml:space="preserve">    （三）噪声污染防治措施。</w:t>
      </w:r>
      <w:r>
        <w:rPr>
          <w:rFonts w:hint="eastAsia" w:ascii="仿宋" w:hAnsi="仿宋" w:eastAsia="仿宋" w:cs="仿宋"/>
          <w:kern w:val="0"/>
          <w:sz w:val="32"/>
          <w:szCs w:val="32"/>
        </w:rPr>
        <w:t>选用低噪声设备，合理布置施工机械，加强对施工机械的维护保养；合理安排施工时间，禁止夜间施工；运输车辆途经居民点时应限速禁鸣，尽量减少夜间运输</w:t>
      </w:r>
      <w:r>
        <w:rPr>
          <w:rFonts w:hint="eastAsia" w:ascii="仿宋" w:hAnsi="仿宋" w:eastAsia="仿宋" w:cs="仿宋"/>
          <w:sz w:val="32"/>
          <w:szCs w:val="32"/>
        </w:rPr>
        <w:t>。</w:t>
      </w:r>
    </w:p>
    <w:p>
      <w:pPr>
        <w:pStyle w:val="4"/>
        <w:spacing w:after="0" w:line="600" w:lineRule="exact"/>
        <w:ind w:firstLine="0" w:firstLineChars="0"/>
        <w:rPr>
          <w:rFonts w:ascii="仿宋" w:hAnsi="仿宋" w:eastAsia="仿宋" w:cs="仿宋"/>
          <w:sz w:val="32"/>
          <w:szCs w:val="32"/>
        </w:rPr>
      </w:pPr>
      <w:r>
        <w:rPr>
          <w:rFonts w:hint="eastAsia" w:ascii="仿宋" w:hAnsi="仿宋" w:eastAsia="仿宋" w:cs="仿宋"/>
          <w:sz w:val="32"/>
          <w:szCs w:val="32"/>
        </w:rPr>
        <w:t>　　（四）固体废弃物污染治理措施。施工临时生活区设置垃圾桶，并定期委托当地环保部门清运处理；</w:t>
      </w:r>
      <w:r>
        <w:rPr>
          <w:rFonts w:hint="eastAsia" w:ascii="仿宋" w:hAnsi="仿宋" w:eastAsia="仿宋"/>
          <w:kern w:val="0"/>
          <w:sz w:val="32"/>
          <w:szCs w:val="32"/>
        </w:rPr>
        <w:t>建筑垃圾和</w:t>
      </w:r>
      <w:r>
        <w:rPr>
          <w:rFonts w:ascii="仿宋" w:hAnsi="仿宋" w:eastAsia="仿宋"/>
          <w:sz w:val="32"/>
          <w:szCs w:val="32"/>
        </w:rPr>
        <w:t>弃方运至</w:t>
      </w:r>
      <w:r>
        <w:rPr>
          <w:rFonts w:hint="eastAsia" w:ascii="仿宋" w:hAnsi="仿宋" w:eastAsia="仿宋"/>
          <w:sz w:val="32"/>
          <w:szCs w:val="32"/>
        </w:rPr>
        <w:t>弃渣场</w:t>
      </w:r>
      <w:r>
        <w:rPr>
          <w:rFonts w:hint="eastAsia" w:ascii="仿宋" w:hAnsi="仿宋" w:eastAsia="仿宋" w:cs="仿宋"/>
          <w:sz w:val="32"/>
          <w:szCs w:val="32"/>
        </w:rPr>
        <w:t>。水库运行期间生活垃圾和不定期打捞的漂浮物，交当地环卫部门统一处理，不得随意堆放在库岸或其他地方。</w:t>
      </w:r>
    </w:p>
    <w:p>
      <w:pPr>
        <w:spacing w:line="600" w:lineRule="exact"/>
        <w:ind w:firstLine="480"/>
        <w:rPr>
          <w:rFonts w:ascii="仿宋" w:hAnsi="仿宋" w:eastAsia="仿宋" w:cs="仿宋"/>
          <w:sz w:val="32"/>
          <w:szCs w:val="32"/>
        </w:rPr>
      </w:pPr>
      <w:r>
        <w:rPr>
          <w:rFonts w:hint="eastAsia" w:ascii="仿宋" w:hAnsi="仿宋" w:eastAsia="仿宋" w:cs="仿宋"/>
          <w:bCs/>
          <w:sz w:val="32"/>
          <w:szCs w:val="32"/>
        </w:rPr>
        <w:t>（五）</w:t>
      </w:r>
      <w:r>
        <w:rPr>
          <w:rFonts w:hint="eastAsia" w:ascii="仿宋" w:hAnsi="仿宋" w:eastAsia="仿宋" w:cs="仿宋"/>
          <w:sz w:val="32"/>
          <w:szCs w:val="32"/>
        </w:rPr>
        <w:t>生态环境保护措施。严格落实各项水土流失防治措施，减少水土流失；</w:t>
      </w:r>
      <w:r>
        <w:rPr>
          <w:rFonts w:ascii="仿宋" w:hAnsi="仿宋" w:eastAsia="仿宋"/>
          <w:sz w:val="32"/>
          <w:szCs w:val="32"/>
        </w:rPr>
        <w:t>剥离表土单独堆存，并做好防护工作，用作后期生态恢复绿化用土；</w:t>
      </w:r>
      <w:r>
        <w:rPr>
          <w:rFonts w:hint="eastAsia" w:ascii="仿宋" w:hAnsi="仿宋" w:eastAsia="仿宋" w:cs="仿宋"/>
          <w:sz w:val="32"/>
          <w:szCs w:val="32"/>
        </w:rPr>
        <w:t>施工活动控制在施工征地范围内，减小对周边生态环境的破坏；</w:t>
      </w:r>
      <w:r>
        <w:rPr>
          <w:rFonts w:hint="eastAsia" w:ascii="仿宋" w:hAnsi="仿宋" w:eastAsia="仿宋" w:cs="仿宋"/>
          <w:kern w:val="0"/>
          <w:sz w:val="32"/>
          <w:szCs w:val="32"/>
          <w:lang w:val="zh-CN"/>
        </w:rPr>
        <w:t>渣场禁止设置在生态保护红线内；</w:t>
      </w:r>
      <w:r>
        <w:rPr>
          <w:rFonts w:hint="eastAsia" w:ascii="仿宋" w:hAnsi="仿宋" w:eastAsia="仿宋" w:cs="仿宋"/>
          <w:sz w:val="32"/>
          <w:szCs w:val="32"/>
        </w:rPr>
        <w:t>加强施工人员在环境保护、生物多样性保护等方面宣传工作，严禁乱砍滥伐、捕捉野生动物。施工结束后，及时对临时用地进行植被恢复。分层取水，下泄生态流量，安装生态流量监控设施，保障下游生态环境用水长期稳定。</w:t>
      </w:r>
    </w:p>
    <w:p>
      <w:pPr>
        <w:adjustRightInd w:val="0"/>
        <w:snapToGrid w:val="0"/>
        <w:spacing w:line="600" w:lineRule="exact"/>
        <w:rPr>
          <w:rFonts w:ascii="仿宋" w:hAnsi="仿宋" w:eastAsia="仿宋" w:cs="仿宋"/>
          <w:sz w:val="32"/>
          <w:szCs w:val="32"/>
        </w:rPr>
      </w:pPr>
      <w:r>
        <w:rPr>
          <w:rFonts w:hint="eastAsia" w:ascii="仿宋" w:hAnsi="仿宋" w:eastAsia="仿宋" w:cs="仿宋"/>
          <w:sz w:val="32"/>
          <w:szCs w:val="32"/>
        </w:rPr>
        <w:t>　　（六）严格环境风险防范。加强危险路段、车辆集中线</w:t>
      </w:r>
      <w:bookmarkStart w:id="6" w:name="_GoBack"/>
      <w:bookmarkEnd w:id="6"/>
      <w:r>
        <w:rPr>
          <w:rFonts w:hint="eastAsia" w:ascii="仿宋" w:hAnsi="仿宋" w:eastAsia="仿宋" w:cs="仿宋"/>
          <w:sz w:val="32"/>
          <w:szCs w:val="32"/>
        </w:rPr>
        <w:t>路的交通管制，增设交通标志牌，</w:t>
      </w:r>
      <w:r>
        <w:rPr>
          <w:rFonts w:hint="eastAsia" w:ascii="仿宋" w:hAnsi="仿宋" w:eastAsia="仿宋" w:cs="仿宋"/>
          <w:kern w:val="0"/>
          <w:sz w:val="32"/>
          <w:szCs w:val="32"/>
          <w:lang w:val="zh-CN"/>
        </w:rPr>
        <w:t>禁止危化品运输，</w:t>
      </w:r>
      <w:r>
        <w:rPr>
          <w:rFonts w:hint="eastAsia" w:ascii="仿宋" w:hAnsi="仿宋" w:eastAsia="仿宋" w:cs="仿宋"/>
          <w:sz w:val="32"/>
          <w:szCs w:val="32"/>
        </w:rPr>
        <w:t>同时对库区道路外侧设置防撞栏；加强大坝建设管理，确保大坝质量安全。禁止在库区、库周规划建设污染类项目；制定环境风险事故应急预案</w:t>
      </w:r>
      <w:r>
        <w:rPr>
          <w:rFonts w:hint="eastAsia" w:ascii="仿宋" w:hAnsi="仿宋" w:eastAsia="仿宋" w:cs="仿宋"/>
          <w:kern w:val="0"/>
          <w:sz w:val="32"/>
          <w:szCs w:val="32"/>
          <w:lang w:val="zh-CN"/>
        </w:rPr>
        <w:t>，保证风险事故下的饮用水安全。</w:t>
      </w:r>
    </w:p>
    <w:p>
      <w:pPr>
        <w:pStyle w:val="1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三、该项目建设必须严格执行环境保护设施与主体工程同时设计、同时施工、同时投入使用的环境保护“三同时”制度。项目竣工后，建设单位应按照有关规定对配套建设的环境保护设施进行验收。</w:t>
      </w:r>
    </w:p>
    <w:p>
      <w:pPr>
        <w:pStyle w:val="1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四、该项目的性质、规模、地点、采用的生产工艺或者防治污染、防止生态破坏的措施发生重大变动的，应当重新报批该项目的环境影响评价文件。自批准之日起超过５年方决定该项目开工建设的，其环境影响评价文件应当报我局重新审核。</w:t>
      </w:r>
    </w:p>
    <w:p>
      <w:pPr>
        <w:pStyle w:val="10"/>
        <w:spacing w:line="600" w:lineRule="exact"/>
        <w:ind w:firstLine="640" w:firstLineChars="200"/>
        <w:rPr>
          <w:rFonts w:ascii="仿宋" w:hAnsi="仿宋" w:eastAsia="仿宋" w:cs="仿宋"/>
          <w:bCs/>
          <w:sz w:val="32"/>
          <w:szCs w:val="32"/>
        </w:rPr>
      </w:pPr>
      <w:r>
        <w:rPr>
          <w:rFonts w:hint="eastAsia" w:ascii="仿宋" w:hAnsi="仿宋" w:eastAsia="仿宋" w:cs="仿宋"/>
          <w:sz w:val="32"/>
          <w:szCs w:val="32"/>
        </w:rPr>
        <w:t>五、请奉节县生态环境保护综合行政执法支队负责该项目环境保护日常监督管理工作。</w:t>
      </w:r>
    </w:p>
    <w:p>
      <w:pPr>
        <w:pStyle w:val="10"/>
        <w:spacing w:line="600" w:lineRule="exact"/>
        <w:ind w:firstLine="640" w:firstLineChars="200"/>
        <w:rPr>
          <w:rFonts w:ascii="仿宋" w:hAnsi="仿宋" w:eastAsia="仿宋" w:cs="仿宋"/>
          <w:bCs/>
          <w:sz w:val="32"/>
          <w:szCs w:val="32"/>
        </w:rPr>
      </w:pPr>
    </w:p>
    <w:p>
      <w:pPr>
        <w:pStyle w:val="10"/>
        <w:spacing w:line="600" w:lineRule="exact"/>
        <w:ind w:firstLine="640" w:firstLineChars="200"/>
        <w:rPr>
          <w:rFonts w:ascii="仿宋" w:hAnsi="仿宋" w:eastAsia="仿宋" w:cs="仿宋"/>
          <w:bCs/>
          <w:sz w:val="32"/>
          <w:szCs w:val="32"/>
        </w:rPr>
      </w:pPr>
    </w:p>
    <w:p>
      <w:pPr>
        <w:pStyle w:val="10"/>
        <w:spacing w:line="600" w:lineRule="exact"/>
        <w:ind w:firstLine="640" w:firstLineChars="200"/>
        <w:rPr>
          <w:rFonts w:ascii="仿宋" w:hAnsi="仿宋" w:eastAsia="仿宋" w:cs="仿宋"/>
          <w:bCs/>
          <w:sz w:val="32"/>
          <w:szCs w:val="32"/>
        </w:rPr>
      </w:pPr>
    </w:p>
    <w:p>
      <w:pPr>
        <w:pStyle w:val="10"/>
        <w:spacing w:line="600" w:lineRule="exact"/>
        <w:ind w:firstLine="640" w:firstLineChars="200"/>
        <w:rPr>
          <w:rFonts w:ascii="仿宋" w:hAnsi="仿宋" w:eastAsia="仿宋" w:cs="仿宋"/>
          <w:bCs/>
          <w:sz w:val="32"/>
          <w:szCs w:val="32"/>
        </w:rPr>
      </w:pPr>
    </w:p>
    <w:p>
      <w:pPr>
        <w:pStyle w:val="10"/>
        <w:spacing w:line="620" w:lineRule="exact"/>
        <w:ind w:firstLine="5120" w:firstLineChars="1600"/>
        <w:rPr>
          <w:rFonts w:ascii="仿宋" w:hAnsi="仿宋" w:eastAsia="仿宋" w:cs="仿宋"/>
          <w:bCs/>
          <w:sz w:val="32"/>
          <w:szCs w:val="32"/>
        </w:rPr>
      </w:pPr>
      <w:r>
        <w:rPr>
          <w:rFonts w:hint="eastAsia" w:ascii="仿宋" w:hAnsi="仿宋" w:eastAsia="仿宋" w:cs="仿宋"/>
          <w:bCs/>
          <w:sz w:val="32"/>
          <w:szCs w:val="32"/>
        </w:rPr>
        <w:t>2022年7月27日</w:t>
      </w:r>
    </w:p>
    <w:p>
      <w:pPr>
        <w:pStyle w:val="10"/>
        <w:spacing w:line="620" w:lineRule="exact"/>
        <w:rPr>
          <w:rFonts w:ascii="仿宋" w:hAnsi="仿宋" w:eastAsia="仿宋" w:cs="仿宋"/>
          <w:bCs/>
          <w:sz w:val="32"/>
          <w:szCs w:val="32"/>
        </w:rPr>
      </w:pPr>
    </w:p>
    <w:p>
      <w:pPr>
        <w:pStyle w:val="10"/>
        <w:spacing w:line="620" w:lineRule="exact"/>
        <w:rPr>
          <w:rFonts w:ascii="仿宋" w:hAnsi="仿宋" w:eastAsia="仿宋" w:cs="仿宋"/>
          <w:bCs/>
          <w:sz w:val="32"/>
          <w:szCs w:val="32"/>
        </w:rPr>
      </w:pPr>
    </w:p>
    <w:p>
      <w:pPr>
        <w:pStyle w:val="10"/>
        <w:spacing w:line="620" w:lineRule="exact"/>
        <w:rPr>
          <w:rFonts w:ascii="仿宋" w:hAnsi="仿宋" w:eastAsia="仿宋" w:cs="仿宋"/>
          <w:bCs/>
          <w:sz w:val="32"/>
          <w:szCs w:val="32"/>
        </w:rPr>
      </w:pPr>
    </w:p>
    <w:p>
      <w:pPr>
        <w:pStyle w:val="10"/>
        <w:spacing w:line="620" w:lineRule="exact"/>
        <w:rPr>
          <w:rFonts w:ascii="仿宋" w:hAnsi="仿宋" w:eastAsia="仿宋" w:cs="仿宋"/>
          <w:bCs/>
          <w:sz w:val="32"/>
          <w:szCs w:val="32"/>
        </w:rPr>
      </w:pPr>
    </w:p>
    <w:p>
      <w:pPr>
        <w:spacing w:line="620" w:lineRule="exact"/>
        <w:rPr>
          <w:rFonts w:ascii="仿宋" w:hAnsi="仿宋" w:eastAsia="仿宋"/>
        </w:rPr>
      </w:pPr>
      <w:r>
        <w:rPr>
          <w:rFonts w:ascii="仿宋" w:hAnsi="仿宋" w:eastAsia="仿宋" w:cs="仿宋"/>
          <w:bCs/>
          <w:spacing w:val="-4"/>
          <w:sz w:val="30"/>
          <w:szCs w:val="30"/>
        </w:rPr>
        <w:pict>
          <v:line id="直线 1" o:spid="_x0000_s1026" o:spt="20" style="position:absolute;left:0pt;margin-left:-5.25pt;margin-top:35.35pt;height:0pt;width:450pt;z-index:251660288;mso-width-relative:page;mso-height-relative:page;" coordsize="21600,21600" o:gfxdata="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FnwYDWAAAA&#10;CQEAAA8AAAAAAAAAAQAgAAAAIgAAAGRycy9kb3ducmV2LnhtbFBLAQIUABQAAAAIAIdO4kALvVD3&#10;5gEAANsDAAAOAAAAAAAAAAEAIAAAACUBAABkcnMvZTJvRG9jLnhtbFBLBQYAAAAABgAGAFkBAAB9&#10;BQAAAAA=&#10;">
            <v:path arrowok="t"/>
            <v:fill focussize="0,0"/>
            <v:stroke/>
            <v:imagedata o:title=""/>
            <o:lock v:ext="edit"/>
          </v:line>
        </w:pict>
      </w:r>
      <w:r>
        <w:rPr>
          <w:rFonts w:hint="eastAsia" w:ascii="仿宋" w:hAnsi="仿宋" w:eastAsia="仿宋" w:cs="仿宋"/>
          <w:bCs/>
          <w:spacing w:val="-20"/>
          <w:sz w:val="30"/>
          <w:szCs w:val="30"/>
        </w:rPr>
        <w:t>抄送：</w:t>
      </w:r>
      <w:r>
        <w:rPr>
          <w:rFonts w:hint="eastAsia" w:ascii="仿宋" w:hAnsi="仿宋" w:eastAsia="仿宋"/>
          <w:spacing w:val="-20"/>
          <w:sz w:val="30"/>
          <w:szCs w:val="30"/>
        </w:rPr>
        <w:t>奉节县生态环境保护综合行政执法支队</w:t>
      </w:r>
      <w:r>
        <w:rPr>
          <w:rFonts w:hint="eastAsia" w:ascii="仿宋" w:hAnsi="仿宋" w:eastAsia="仿宋" w:cs="仿宋"/>
          <w:bCs/>
          <w:spacing w:val="-20"/>
          <w:sz w:val="30"/>
          <w:szCs w:val="30"/>
        </w:rPr>
        <w:t>，</w:t>
      </w:r>
      <w:r>
        <w:rPr>
          <w:rFonts w:hint="eastAsia" w:ascii="仿宋" w:hAnsi="仿宋" w:eastAsia="仿宋" w:cs="仿宋"/>
          <w:kern w:val="0"/>
          <w:sz w:val="30"/>
          <w:szCs w:val="30"/>
          <w:lang w:val="zh-CN"/>
        </w:rPr>
        <w:t>重庆后科环保有限责任公司</w:t>
      </w:r>
      <w:r>
        <w:rPr>
          <w:rFonts w:hint="eastAsia" w:ascii="仿宋" w:hAnsi="仿宋" w:eastAsia="仿宋" w:cs="仿宋"/>
          <w:bCs/>
          <w:spacing w:val="-20"/>
          <w:sz w:val="30"/>
          <w:szCs w:val="30"/>
        </w:rPr>
        <w:t>。</w:t>
      </w:r>
    </w:p>
    <w:bookmarkEnd w:id="2"/>
    <w:p>
      <w:pPr>
        <w:pStyle w:val="10"/>
        <w:spacing w:line="560" w:lineRule="exact"/>
        <w:rPr>
          <w:rFonts w:hint="eastAsia" w:ascii="方正仿宋_GBK" w:eastAsia="方正仿宋_GBK"/>
        </w:rPr>
      </w:pPr>
      <w:bookmarkStart w:id="4" w:name="_Hlt133037171"/>
      <w:bookmarkEnd w:id="4"/>
      <w:bookmarkStart w:id="5" w:name="_Hlt133035560"/>
      <w:bookmarkEnd w:id="5"/>
    </w:p>
    <w:p/>
    <w:sectPr>
      <w:pgSz w:w="11906" w:h="16838"/>
      <w:pgMar w:top="1418" w:right="1247"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60101010101"/>
    <w:charset w:val="86"/>
    <w:family w:val="modern"/>
    <w:pitch w:val="default"/>
    <w:sig w:usb0="00000000" w:usb1="00000000" w:usb2="00000016" w:usb3="00000000" w:csb0="00040001"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A66EC"/>
    <w:rsid w:val="001F601A"/>
    <w:rsid w:val="00786AE8"/>
    <w:rsid w:val="00CA66EC"/>
    <w:rsid w:val="1DD434AD"/>
    <w:rsid w:val="1EDC0EC7"/>
    <w:rsid w:val="26C46C4A"/>
    <w:rsid w:val="73D62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spacing w:line="240" w:lineRule="exact"/>
      <w:jc w:val="center"/>
      <w:outlineLvl w:val="0"/>
    </w:pPr>
    <w:rPr>
      <w:rFonts w:ascii="FangSong_GB2312" w:eastAsia="FangSong_GB2312"/>
      <w:b/>
      <w:color w:val="000000"/>
      <w:sz w:val="24"/>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2"/>
    <w:unhideWhenUsed/>
    <w:qFormat/>
    <w:uiPriority w:val="0"/>
    <w:pPr>
      <w:spacing w:after="120"/>
    </w:pPr>
  </w:style>
  <w:style w:type="paragraph" w:styleId="4">
    <w:name w:val="Body Text First Indent"/>
    <w:basedOn w:val="1"/>
    <w:link w:val="13"/>
    <w:qFormat/>
    <w:uiPriority w:val="0"/>
    <w:pPr>
      <w:spacing w:after="120"/>
      <w:ind w:firstLine="420" w:firstLineChars="100"/>
    </w:pPr>
    <w:rPr>
      <w:rFonts w:ascii="Calibri" w:hAnsi="Calibri" w:eastAsia="宋体"/>
    </w:rPr>
  </w:style>
  <w:style w:type="character" w:customStyle="1" w:styleId="7">
    <w:name w:val="标题 1 Char"/>
    <w:basedOn w:val="6"/>
    <w:link w:val="2"/>
    <w:qFormat/>
    <w:uiPriority w:val="0"/>
    <w:rPr>
      <w:rFonts w:ascii="FangSong_GB2312" w:hAnsi="Times New Roman" w:eastAsia="FangSong_GB2312" w:cs="Times New Roman"/>
      <w:b/>
      <w:color w:val="000000"/>
      <w:sz w:val="24"/>
      <w:szCs w:val="24"/>
    </w:rPr>
  </w:style>
  <w:style w:type="character" w:customStyle="1" w:styleId="8">
    <w:name w:val="正文文本 Char"/>
    <w:basedOn w:val="6"/>
    <w:qFormat/>
    <w:uiPriority w:val="0"/>
    <w:rPr>
      <w:sz w:val="32"/>
    </w:rPr>
  </w:style>
  <w:style w:type="character" w:customStyle="1" w:styleId="9">
    <w:name w:val="tb Char"/>
    <w:link w:val="10"/>
    <w:qFormat/>
    <w:uiPriority w:val="0"/>
    <w:rPr>
      <w:rFonts w:ascii="宋体" w:hAnsi="Arial" w:eastAsia="宋体"/>
      <w:sz w:val="24"/>
    </w:rPr>
  </w:style>
  <w:style w:type="paragraph" w:customStyle="1" w:styleId="10">
    <w:name w:val="tb"/>
    <w:basedOn w:val="1"/>
    <w:link w:val="9"/>
    <w:qFormat/>
    <w:uiPriority w:val="0"/>
    <w:pPr>
      <w:spacing w:line="400" w:lineRule="atLeast"/>
    </w:pPr>
    <w:rPr>
      <w:rFonts w:ascii="宋体" w:hAnsi="Arial" w:eastAsia="宋体" w:cstheme="minorBidi"/>
      <w:sz w:val="24"/>
      <w:szCs w:val="22"/>
    </w:rPr>
  </w:style>
  <w:style w:type="character" w:customStyle="1" w:styleId="11">
    <w:name w:val="正文首行缩进 Char1"/>
    <w:basedOn w:val="6"/>
    <w:link w:val="4"/>
    <w:qFormat/>
    <w:uiPriority w:val="0"/>
    <w:rPr>
      <w:rFonts w:ascii="Calibri" w:hAnsi="Calibri" w:eastAsia="宋体" w:cs="Times New Roman"/>
      <w:szCs w:val="24"/>
    </w:rPr>
  </w:style>
  <w:style w:type="character" w:customStyle="1" w:styleId="12">
    <w:name w:val="正文文本 Char1"/>
    <w:basedOn w:val="6"/>
    <w:link w:val="3"/>
    <w:semiHidden/>
    <w:qFormat/>
    <w:uiPriority w:val="99"/>
    <w:rPr>
      <w:rFonts w:ascii="Times New Roman" w:hAnsi="Times New Roman" w:eastAsia="宋体" w:cs="Times New Roman"/>
      <w:szCs w:val="24"/>
    </w:rPr>
  </w:style>
  <w:style w:type="character" w:customStyle="1" w:styleId="13">
    <w:name w:val="正文首行缩进 Char"/>
    <w:basedOn w:val="12"/>
    <w:link w:val="4"/>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320</Words>
  <Characters>1830</Characters>
  <Lines>15</Lines>
  <Paragraphs>4</Paragraphs>
  <TotalTime>3</TotalTime>
  <ScaleCrop>false</ScaleCrop>
  <LinksUpToDate>false</LinksUpToDate>
  <CharactersWithSpaces>2146</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2022-07-27T01:09:00Z</dcterms:created>
  <dc:creator>张中坤</dc:creator>
  <cp:lastModifiedBy>Administrator</cp:lastModifiedBy>
  <dcterms:modified xsi:type="dcterms:W3CDTF">2022-11-19T03:45:10Z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