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napToGrid w:val="0"/>
        <w:spacing w:line="240" w:lineRule="atLeast"/>
        <w:jc w:val="center"/>
        <w:rPr>
          <w:rFonts w:ascii="仿宋" w:hAnsi="仿宋" w:eastAsia="仿宋" w:cs="Arial"/>
          <w:color w:val="FF0000"/>
          <w:sz w:val="44"/>
          <w:szCs w:val="44"/>
          <w:shd w:val="clear" w:color="auto" w:fill="FFFFFF"/>
        </w:rPr>
      </w:pPr>
      <w:r>
        <w:rPr>
          <w:rFonts w:hint="eastAsia" w:ascii="仿宋" w:hAnsi="仿宋" w:eastAsia="仿宋" w:cs="Arial"/>
          <w:color w:val="FF0000"/>
          <w:sz w:val="44"/>
          <w:szCs w:val="44"/>
          <w:shd w:val="clear" w:color="auto" w:fill="FFFFFF"/>
        </w:rPr>
        <w:t>重庆市建设项目环境影响评价文件批准书</w:t>
      </w:r>
    </w:p>
    <w:p>
      <w:pPr>
        <w:adjustRightInd w:val="0"/>
        <w:snapToGrid w:val="0"/>
        <w:rPr>
          <w:rFonts w:hint="eastAsia" w:ascii="仿宋" w:hAnsi="仿宋" w:eastAsia="仿宋" w:cs="宋体"/>
          <w:dstrike/>
          <w:spacing w:val="50"/>
          <w:sz w:val="28"/>
          <w:szCs w:val="28"/>
        </w:rPr>
      </w:pPr>
      <w:r>
        <w:rPr>
          <w:rFonts w:hint="eastAsia" w:ascii="仿宋" w:hAnsi="仿宋" w:eastAsia="仿宋"/>
          <w:spacing w:val="50"/>
          <w:sz w:val="28"/>
          <w:szCs w:val="28"/>
        </w:rPr>
        <w:t xml:space="preserve"> </w:t>
      </w:r>
      <w:r>
        <w:rPr>
          <w:rFonts w:hint="eastAsia" w:ascii="仿宋" w:hAnsi="仿宋" w:eastAsia="仿宋"/>
          <w:dstrike/>
          <w:spacing w:val="50"/>
          <w:sz w:val="28"/>
          <w:szCs w:val="28"/>
        </w:rPr>
        <w:t xml:space="preserve">                                    </w:t>
      </w:r>
    </w:p>
    <w:p>
      <w:pPr>
        <w:pStyle w:val="4"/>
        <w:snapToGrid w:val="0"/>
        <w:spacing w:line="240" w:lineRule="atLeast"/>
        <w:jc w:val="center"/>
        <w:rPr>
          <w:rFonts w:ascii="方正仿宋_GBK" w:hAnsi="宋体"/>
        </w:rPr>
      </w:pPr>
      <w:r>
        <w:rPr>
          <w:rFonts w:ascii="方正仿宋_GBK" w:hAnsi="方正仿宋_GBK"/>
        </w:rPr>
        <w:t>渝（奉）环准〔</w:t>
      </w:r>
      <w:r>
        <w:rPr>
          <w:rFonts w:ascii="方正仿宋_GBK" w:hAnsi="宋体"/>
        </w:rPr>
        <w:t>2022〕39</w:t>
      </w:r>
      <w:r>
        <w:rPr>
          <w:rFonts w:ascii="方正仿宋_GBK" w:hAnsi="方正仿宋_GBK"/>
        </w:rPr>
        <w:t>号</w:t>
      </w:r>
    </w:p>
    <w:p>
      <w:pPr>
        <w:pStyle w:val="14"/>
        <w:autoSpaceDE w:val="0"/>
        <w:spacing w:line="620" w:lineRule="exact"/>
        <w:rPr>
          <w:rFonts w:ascii="仿宋" w:hAnsi="仿宋" w:eastAsia="仿宋"/>
          <w:sz w:val="32"/>
          <w:szCs w:val="32"/>
        </w:rPr>
      </w:pPr>
      <w:r>
        <w:rPr>
          <w:rFonts w:hint="eastAsia" w:ascii="仿宋" w:hAnsi="仿宋" w:eastAsia="仿宋"/>
          <w:color w:val="000000"/>
          <w:sz w:val="32"/>
          <w:szCs w:val="32"/>
        </w:rPr>
        <w:t>奉节县汇鑫石化有限责任公司</w:t>
      </w:r>
      <w:r>
        <w:rPr>
          <w:rFonts w:hint="eastAsia" w:ascii="仿宋" w:hAnsi="仿宋" w:eastAsia="仿宋"/>
          <w:sz w:val="32"/>
          <w:szCs w:val="32"/>
        </w:rPr>
        <w:t>：</w:t>
      </w:r>
    </w:p>
    <w:p>
      <w:pPr>
        <w:pStyle w:val="14"/>
        <w:autoSpaceDE w:val="0"/>
        <w:spacing w:line="620" w:lineRule="exact"/>
        <w:ind w:firstLine="640" w:firstLineChars="200"/>
        <w:rPr>
          <w:rFonts w:hint="eastAsia" w:ascii="仿宋" w:hAnsi="仿宋" w:eastAsia="仿宋"/>
          <w:sz w:val="32"/>
          <w:szCs w:val="32"/>
        </w:rPr>
      </w:pPr>
      <w:r>
        <w:rPr>
          <w:rFonts w:hint="eastAsia" w:ascii="仿宋" w:hAnsi="仿宋" w:eastAsia="仿宋"/>
          <w:sz w:val="32"/>
          <w:szCs w:val="32"/>
        </w:rPr>
        <w:t>你单位报送的奉节县汇鑫石化有限责任公司永乐油库改建项目环境影响评价文件审批申报表及相关材料收悉，根据《中华人民共和国环境影响评价法》等法律法规的有关规定，我局原则同意</w:t>
      </w:r>
      <w:r>
        <w:rPr>
          <w:rFonts w:hint="eastAsia" w:ascii="仿宋" w:hAnsi="仿宋" w:eastAsia="仿宋"/>
          <w:color w:val="000000"/>
          <w:sz w:val="32"/>
          <w:szCs w:val="32"/>
        </w:rPr>
        <w:t>重庆开达环保集团有限公司</w:t>
      </w:r>
      <w:r>
        <w:rPr>
          <w:rFonts w:hint="eastAsia" w:ascii="仿宋" w:hAnsi="仿宋" w:eastAsia="仿宋"/>
          <w:sz w:val="32"/>
          <w:szCs w:val="32"/>
        </w:rPr>
        <w:t>编制的项目环境影响报告表结论及其提出的环境保护措施。</w:t>
      </w:r>
    </w:p>
    <w:p>
      <w:pPr>
        <w:pStyle w:val="14"/>
        <w:autoSpaceDE w:val="0"/>
        <w:spacing w:line="620" w:lineRule="exact"/>
        <w:ind w:firstLine="640" w:firstLineChars="200"/>
        <w:rPr>
          <w:rFonts w:hint="eastAsia" w:ascii="仿宋" w:hAnsi="仿宋" w:eastAsia="仿宋"/>
          <w:sz w:val="32"/>
          <w:szCs w:val="32"/>
        </w:rPr>
      </w:pPr>
      <w:r>
        <w:rPr>
          <w:rFonts w:hint="eastAsia" w:ascii="仿宋" w:hAnsi="仿宋" w:eastAsia="仿宋"/>
          <w:sz w:val="32"/>
          <w:szCs w:val="32"/>
        </w:rPr>
        <w:t>一、该建设项目的建设内容和建设规模为：</w:t>
      </w:r>
    </w:p>
    <w:p>
      <w:pPr>
        <w:autoSpaceDE w:val="0"/>
        <w:spacing w:line="620" w:lineRule="exact"/>
        <w:rPr>
          <w:rFonts w:hint="eastAsia" w:ascii="仿宋" w:hAnsi="仿宋" w:eastAsia="仿宋"/>
          <w:sz w:val="32"/>
          <w:szCs w:val="32"/>
        </w:rPr>
      </w:pPr>
      <w:r>
        <w:rPr>
          <w:rFonts w:hint="eastAsia" w:ascii="仿宋" w:hAnsi="仿宋" w:eastAsia="仿宋"/>
          <w:sz w:val="32"/>
          <w:szCs w:val="32"/>
        </w:rPr>
        <w:t xml:space="preserve">  本项目位于奉节县永乐镇幺店社区九组1-2，总占地面积6666.9m</w:t>
      </w:r>
      <w:r>
        <w:rPr>
          <w:rFonts w:hint="eastAsia" w:ascii="仿宋" w:hAnsi="仿宋" w:eastAsia="仿宋"/>
          <w:sz w:val="32"/>
          <w:szCs w:val="32"/>
          <w:vertAlign w:val="superscript"/>
        </w:rPr>
        <w:t>2</w:t>
      </w:r>
      <w:r>
        <w:rPr>
          <w:rFonts w:hint="eastAsia" w:ascii="仿宋" w:hAnsi="仿宋" w:eastAsia="仿宋"/>
          <w:sz w:val="32"/>
          <w:szCs w:val="32"/>
        </w:rPr>
        <w:t>。项目主要建设内容包括办公楼、消防泵房、罐区、隔油池、事故池等。改建后油库总容量由11000m</w:t>
      </w:r>
      <w:r>
        <w:rPr>
          <w:rFonts w:hint="eastAsia" w:ascii="仿宋" w:hAnsi="仿宋" w:eastAsia="仿宋"/>
          <w:sz w:val="32"/>
          <w:szCs w:val="32"/>
          <w:vertAlign w:val="superscript"/>
        </w:rPr>
        <w:t>3</w:t>
      </w:r>
      <w:r>
        <w:rPr>
          <w:rFonts w:hint="eastAsia" w:ascii="仿宋" w:hAnsi="仿宋" w:eastAsia="仿宋"/>
          <w:sz w:val="32"/>
          <w:szCs w:val="32"/>
        </w:rPr>
        <w:t>减至6000m</w:t>
      </w:r>
      <w:r>
        <w:rPr>
          <w:rFonts w:hint="eastAsia" w:ascii="仿宋" w:hAnsi="仿宋" w:eastAsia="仿宋"/>
          <w:sz w:val="32"/>
          <w:szCs w:val="32"/>
          <w:vertAlign w:val="superscript"/>
        </w:rPr>
        <w:t>3</w:t>
      </w:r>
      <w:r>
        <w:rPr>
          <w:rFonts w:hint="eastAsia" w:ascii="仿宋" w:hAnsi="仿宋" w:eastAsia="仿宋"/>
          <w:sz w:val="32"/>
          <w:szCs w:val="32"/>
        </w:rPr>
        <w:t>，全部储存为柴油，属于四级油库。项目总投资500万元，其中环保投资50万元。</w:t>
      </w:r>
    </w:p>
    <w:p>
      <w:pPr>
        <w:pStyle w:val="14"/>
        <w:autoSpaceDE w:val="0"/>
        <w:spacing w:line="620" w:lineRule="exact"/>
        <w:ind w:firstLine="640" w:firstLineChars="200"/>
        <w:rPr>
          <w:rFonts w:hint="eastAsia" w:ascii="仿宋" w:hAnsi="仿宋" w:eastAsia="仿宋"/>
          <w:sz w:val="32"/>
          <w:szCs w:val="32"/>
        </w:rPr>
      </w:pPr>
      <w:r>
        <w:rPr>
          <w:rFonts w:hint="eastAsia" w:ascii="仿宋" w:hAnsi="仿宋" w:eastAsia="仿宋"/>
          <w:sz w:val="32"/>
          <w:szCs w:val="32"/>
        </w:rPr>
        <w:t>二、该项目在设计、建设和运行过程中，应认真落实本项目环境影响报告表中提出的各项生态保护及污染防治措施，严格执行相关污染物排放标准和总量控制的要求，并重点做好以下工作：</w:t>
      </w:r>
    </w:p>
    <w:p>
      <w:pPr>
        <w:pStyle w:val="6"/>
        <w:widowControl w:val="0"/>
        <w:autoSpaceDE w:val="0"/>
        <w:adjustRightInd w:val="0"/>
        <w:spacing w:before="0" w:beforeAutospacing="0" w:after="0" w:afterAutospacing="0" w:line="620" w:lineRule="exact"/>
        <w:ind w:firstLine="640" w:firstLineChars="200"/>
        <w:jc w:val="both"/>
        <w:rPr>
          <w:rFonts w:hint="eastAsia" w:ascii="仿宋" w:hAnsi="仿宋" w:eastAsia="仿宋"/>
          <w:sz w:val="32"/>
          <w:szCs w:val="32"/>
        </w:rPr>
      </w:pPr>
      <w:r>
        <w:rPr>
          <w:rFonts w:hint="eastAsia" w:ascii="仿宋" w:hAnsi="仿宋" w:eastAsia="仿宋"/>
          <w:sz w:val="32"/>
          <w:szCs w:val="32"/>
        </w:rPr>
        <w:t>（一）水污染防治措施：场内实行雨污分流，项目含油废水经隔油池处理后与生活污水一起进入生化池处理达标后排入市政污水管网，进入奉节县徐家包污水处理厂处理；后期雨水经截流沟收集后进入站内雨水排水管道。</w:t>
      </w:r>
    </w:p>
    <w:p>
      <w:pPr>
        <w:autoSpaceDE w:val="0"/>
        <w:spacing w:line="620" w:lineRule="exact"/>
        <w:rPr>
          <w:rFonts w:hint="eastAsia" w:ascii="仿宋" w:hAnsi="仿宋" w:eastAsia="仿宋"/>
          <w:sz w:val="32"/>
          <w:szCs w:val="32"/>
        </w:rPr>
      </w:pPr>
      <w:r>
        <w:rPr>
          <w:rFonts w:hint="eastAsia" w:ascii="仿宋" w:hAnsi="仿宋" w:eastAsia="仿宋"/>
          <w:sz w:val="32"/>
          <w:szCs w:val="32"/>
        </w:rPr>
        <w:t xml:space="preserve">  （二）废气污染治理措施: 公路装车油气集中收集后从装卸车棚顶部集中排放，</w:t>
      </w:r>
      <w:r>
        <w:rPr>
          <w:rFonts w:hint="eastAsia" w:ascii="仿宋" w:hAnsi="仿宋" w:eastAsia="仿宋"/>
          <w:kern w:val="0"/>
          <w:sz w:val="32"/>
          <w:szCs w:val="32"/>
        </w:rPr>
        <w:t>柴油发电机废气通过排风设施无组织排放，</w:t>
      </w:r>
      <w:r>
        <w:rPr>
          <w:rFonts w:hint="eastAsia" w:ascii="仿宋" w:hAnsi="仿宋" w:eastAsia="仿宋"/>
          <w:sz w:val="32"/>
          <w:szCs w:val="32"/>
        </w:rPr>
        <w:t>生化池臭气采用专用管道引至高空排放。</w:t>
      </w:r>
    </w:p>
    <w:p>
      <w:pPr>
        <w:autoSpaceDE w:val="0"/>
        <w:spacing w:line="620" w:lineRule="exact"/>
        <w:ind w:firstLine="640" w:firstLineChars="200"/>
        <w:rPr>
          <w:rFonts w:hint="eastAsia" w:ascii="仿宋" w:hAnsi="仿宋" w:eastAsia="仿宋"/>
          <w:sz w:val="32"/>
          <w:szCs w:val="32"/>
        </w:rPr>
      </w:pPr>
      <w:r>
        <w:rPr>
          <w:rFonts w:hint="eastAsia" w:ascii="仿宋" w:hAnsi="仿宋" w:eastAsia="仿宋"/>
          <w:sz w:val="32"/>
          <w:szCs w:val="32"/>
        </w:rPr>
        <w:t>（三）噪声污染防治措施：站内设立车辆减速、禁鸣等标识牌，加强进站车辆管理；采用低噪声设备，高噪声设备采取建筑隔声、消声、减振等降噪措施，并加强设备管理与维护。</w:t>
      </w:r>
    </w:p>
    <w:p>
      <w:pPr>
        <w:pStyle w:val="13"/>
        <w:autoSpaceDE w:val="0"/>
        <w:spacing w:before="0" w:after="0" w:line="620" w:lineRule="exact"/>
        <w:ind w:firstLine="640"/>
        <w:rPr>
          <w:rFonts w:hint="eastAsia" w:ascii="仿宋" w:hAnsi="仿宋" w:eastAsia="仿宋"/>
          <w:sz w:val="32"/>
          <w:szCs w:val="32"/>
        </w:rPr>
      </w:pPr>
      <w:r>
        <w:rPr>
          <w:rFonts w:hint="eastAsia" w:ascii="仿宋" w:hAnsi="仿宋" w:eastAsia="仿宋"/>
          <w:sz w:val="32"/>
          <w:szCs w:val="32"/>
        </w:rPr>
        <w:t>（四）固体废弃物污染治理措施：生活垃圾分类集中收集后委托当地环卫部门统一处理；生化池定期清理，产生的污泥统一交环卫部门处理。设置危废暂存间，将危险废物分类收集后暂存，定期交有资质单位处置，执行危险废物转移联单制度，危废暂存间应符合《危险废物贮存污染控制标准》（GB18597-2001）（2013年修订）要求。</w:t>
      </w:r>
    </w:p>
    <w:p>
      <w:pPr>
        <w:autoSpaceDE w:val="0"/>
        <w:adjustRightInd w:val="0"/>
        <w:snapToGrid w:val="0"/>
        <w:spacing w:line="620" w:lineRule="exact"/>
        <w:rPr>
          <w:rFonts w:hint="eastAsia" w:ascii="仿宋" w:hAnsi="仿宋" w:eastAsia="仿宋"/>
          <w:sz w:val="32"/>
          <w:szCs w:val="32"/>
        </w:rPr>
      </w:pPr>
      <w:r>
        <w:rPr>
          <w:rFonts w:hint="eastAsia" w:ascii="仿宋" w:hAnsi="仿宋" w:eastAsia="仿宋"/>
          <w:sz w:val="32"/>
          <w:szCs w:val="32"/>
        </w:rPr>
        <w:t xml:space="preserve">  （五）地下水防护措施：采取分区防渗措施，</w:t>
      </w:r>
      <w:r>
        <w:rPr>
          <w:rFonts w:hint="eastAsia" w:ascii="仿宋" w:hAnsi="仿宋" w:eastAsia="仿宋"/>
          <w:kern w:val="0"/>
          <w:sz w:val="32"/>
          <w:szCs w:val="32"/>
        </w:rPr>
        <w:t>设立地下水跟踪监测点，开展地下水常规监测。</w:t>
      </w:r>
    </w:p>
    <w:p>
      <w:pPr>
        <w:autoSpaceDE w:val="0"/>
        <w:spacing w:line="620" w:lineRule="exact"/>
        <w:rPr>
          <w:rFonts w:hint="eastAsia" w:ascii="仿宋" w:hAnsi="仿宋" w:eastAsia="仿宋"/>
          <w:spacing w:val="-6"/>
          <w:sz w:val="32"/>
          <w:szCs w:val="32"/>
        </w:rPr>
      </w:pPr>
      <w:r>
        <w:rPr>
          <w:rFonts w:hint="eastAsia" w:ascii="仿宋" w:hAnsi="仿宋" w:eastAsia="仿宋"/>
          <w:sz w:val="32"/>
          <w:szCs w:val="32"/>
        </w:rPr>
        <w:t xml:space="preserve">  （六）严格环境风险防范：严格各项规章制度管理和工序操作，加强设备的维护和管理，严格落实环评提出的各项风险防范措施，</w:t>
      </w:r>
      <w:r>
        <w:rPr>
          <w:rFonts w:hint="eastAsia" w:ascii="仿宋" w:hAnsi="仿宋" w:eastAsia="仿宋"/>
          <w:spacing w:val="-6"/>
          <w:sz w:val="32"/>
          <w:szCs w:val="32"/>
        </w:rPr>
        <w:t>制定相应的事故应急预案</w:t>
      </w:r>
      <w:r>
        <w:rPr>
          <w:rFonts w:hint="eastAsia" w:ascii="仿宋" w:hAnsi="仿宋" w:eastAsia="仿宋"/>
          <w:sz w:val="32"/>
          <w:szCs w:val="32"/>
        </w:rPr>
        <w:t>。</w:t>
      </w:r>
    </w:p>
    <w:p>
      <w:pPr>
        <w:pStyle w:val="14"/>
        <w:autoSpaceDE w:val="0"/>
        <w:spacing w:line="620" w:lineRule="exact"/>
        <w:ind w:firstLine="640" w:firstLineChars="200"/>
        <w:rPr>
          <w:rFonts w:hint="eastAsia" w:ascii="仿宋" w:hAnsi="仿宋" w:eastAsia="仿宋"/>
          <w:sz w:val="32"/>
          <w:szCs w:val="32"/>
        </w:rPr>
      </w:pPr>
      <w:r>
        <w:rPr>
          <w:rFonts w:hint="eastAsia" w:ascii="仿宋" w:hAnsi="仿宋" w:eastAsia="仿宋"/>
          <w:sz w:val="32"/>
          <w:szCs w:val="32"/>
        </w:rPr>
        <w:t>三、该项目建设必须严格执行环境保护设施与主体工程同时设计、同时施工、同时投入使用的环境保护“三同时”制度。项目竣工后，建设单位应按照有关规定对配套建设的环境保护设施进行验收。</w:t>
      </w:r>
    </w:p>
    <w:p>
      <w:pPr>
        <w:pStyle w:val="14"/>
        <w:autoSpaceDE w:val="0"/>
        <w:spacing w:line="620" w:lineRule="exact"/>
        <w:ind w:firstLine="640" w:firstLineChars="200"/>
        <w:rPr>
          <w:rFonts w:hint="eastAsia" w:ascii="仿宋" w:hAnsi="仿宋" w:eastAsia="仿宋"/>
          <w:sz w:val="32"/>
          <w:szCs w:val="32"/>
        </w:rPr>
      </w:pPr>
      <w:r>
        <w:rPr>
          <w:rFonts w:hint="eastAsia" w:ascii="仿宋" w:hAnsi="仿宋" w:eastAsia="仿宋"/>
          <w:sz w:val="32"/>
          <w:szCs w:val="32"/>
        </w:rPr>
        <w:t>四、该项目的性质、规模、地点、采用的生产工艺或者防治污染、防止生态破坏的措施发生重大变动的，应当重新报批该项目的环境影响评价文件。</w:t>
      </w:r>
    </w:p>
    <w:p>
      <w:pPr>
        <w:pStyle w:val="14"/>
        <w:autoSpaceDE w:val="0"/>
        <w:spacing w:line="620" w:lineRule="exact"/>
        <w:ind w:firstLine="640" w:firstLineChars="200"/>
        <w:rPr>
          <w:rFonts w:hint="eastAsia" w:ascii="仿宋" w:hAnsi="仿宋" w:eastAsia="仿宋"/>
          <w:sz w:val="32"/>
          <w:szCs w:val="32"/>
        </w:rPr>
      </w:pPr>
      <w:r>
        <w:rPr>
          <w:rFonts w:hint="eastAsia" w:ascii="仿宋" w:hAnsi="仿宋" w:eastAsia="仿宋"/>
          <w:sz w:val="32"/>
          <w:szCs w:val="32"/>
        </w:rPr>
        <w:t>五、请奉节县生态环境保护综合行政执法支队负责该项目环境保护日常监督管理工作。</w:t>
      </w:r>
    </w:p>
    <w:p>
      <w:pPr>
        <w:pStyle w:val="14"/>
        <w:spacing w:line="600" w:lineRule="exact"/>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pStyle w:val="14"/>
        <w:spacing w:line="600" w:lineRule="exact"/>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pStyle w:val="14"/>
        <w:spacing w:line="580" w:lineRule="exact"/>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spacing w:line="580" w:lineRule="exact"/>
        <w:ind w:left="210" w:leftChars="100" w:right="963" w:firstLine="4480" w:firstLineChars="1400"/>
        <w:rPr>
          <w:rFonts w:hint="eastAsia" w:ascii="仿宋" w:hAnsi="仿宋" w:eastAsia="仿宋"/>
        </w:rPr>
      </w:pPr>
      <w:r>
        <w:rPr>
          <w:rFonts w:hint="eastAsia" w:ascii="仿宋" w:hAnsi="仿宋" w:eastAsia="仿宋"/>
          <w:sz w:val="32"/>
          <w:szCs w:val="32"/>
        </w:rPr>
        <w:t xml:space="preserve"> 2022年11月1日</w:t>
      </w:r>
    </w:p>
    <w:p>
      <w:pPr>
        <w:pStyle w:val="7"/>
        <w:ind w:firstLine="210"/>
        <w:rPr>
          <w:rFonts w:hint="eastAsia" w:ascii="仿宋" w:hAnsi="仿宋" w:eastAsia="仿宋"/>
        </w:rPr>
      </w:pPr>
      <w:r>
        <w:rPr>
          <w:rFonts w:hint="eastAsia" w:ascii="仿宋" w:hAnsi="仿宋" w:eastAsia="仿宋"/>
        </w:rPr>
        <w:t xml:space="preserve"> </w:t>
      </w:r>
    </w:p>
    <w:p>
      <w:pPr>
        <w:spacing w:line="580" w:lineRule="exact"/>
        <w:rPr>
          <w:rFonts w:hint="eastAsia" w:ascii="仿宋" w:hAnsi="仿宋" w:eastAsia="仿宋"/>
          <w:spacing w:val="-6"/>
          <w:sz w:val="28"/>
          <w:szCs w:val="28"/>
          <w:u w:val="single"/>
        </w:rPr>
      </w:pPr>
      <w:r>
        <w:rPr>
          <w:rFonts w:hint="eastAsia" w:ascii="仿宋" w:hAnsi="仿宋" w:eastAsia="仿宋"/>
          <w:spacing w:val="-6"/>
          <w:sz w:val="28"/>
          <w:szCs w:val="28"/>
          <w:u w:val="single"/>
        </w:rPr>
        <w:t xml:space="preserve"> </w:t>
      </w:r>
    </w:p>
    <w:p>
      <w:pPr>
        <w:rPr>
          <w:rFonts w:hint="eastAsia" w:ascii="仿宋" w:hAnsi="仿宋" w:eastAsia="仿宋"/>
          <w:spacing w:val="-6"/>
          <w:sz w:val="32"/>
          <w:szCs w:val="32"/>
        </w:rPr>
      </w:pPr>
      <w:r>
        <w:rPr>
          <w:rFonts w:hint="eastAsia" w:ascii="仿宋" w:hAnsi="仿宋" w:eastAsia="仿宋"/>
          <w:spacing w:val="-6"/>
          <w:sz w:val="32"/>
          <w:szCs w:val="32"/>
        </w:rPr>
        <w:t xml:space="preserve"> </w:t>
      </w:r>
    </w:p>
    <w:p>
      <w:pPr>
        <w:rPr>
          <w:rFonts w:hint="eastAsia" w:ascii="仿宋" w:hAnsi="仿宋" w:eastAsia="仿宋"/>
          <w:spacing w:val="-6"/>
          <w:sz w:val="32"/>
          <w:szCs w:val="32"/>
        </w:rPr>
      </w:pPr>
      <w:r>
        <w:rPr>
          <w:rFonts w:hint="eastAsia" w:ascii="仿宋" w:hAnsi="仿宋" w:eastAsia="仿宋"/>
          <w:spacing w:val="-6"/>
          <w:sz w:val="32"/>
          <w:szCs w:val="32"/>
        </w:rPr>
        <w:t xml:space="preserve"> </w:t>
      </w:r>
    </w:p>
    <w:p>
      <w:pPr>
        <w:rPr>
          <w:rFonts w:hint="eastAsia" w:ascii="仿宋" w:hAnsi="仿宋" w:eastAsia="仿宋"/>
          <w:spacing w:val="-6"/>
          <w:sz w:val="32"/>
          <w:szCs w:val="32"/>
        </w:rPr>
      </w:pPr>
      <w:r>
        <w:rPr>
          <w:rFonts w:hint="eastAsia" w:ascii="仿宋" w:hAnsi="仿宋" w:eastAsia="仿宋"/>
          <w:spacing w:val="-6"/>
          <w:sz w:val="32"/>
          <w:szCs w:val="32"/>
        </w:rPr>
        <w:t xml:space="preserve"> </w:t>
      </w:r>
    </w:p>
    <w:p>
      <w:pPr>
        <w:rPr>
          <w:rFonts w:hint="eastAsia" w:ascii="仿宋" w:hAnsi="仿宋" w:eastAsia="仿宋"/>
          <w:spacing w:val="-6"/>
          <w:sz w:val="32"/>
          <w:szCs w:val="32"/>
        </w:rPr>
      </w:pPr>
      <w:r>
        <w:rPr>
          <w:rFonts w:hint="eastAsia" w:ascii="仿宋" w:hAnsi="仿宋" w:eastAsia="仿宋"/>
          <w:spacing w:val="-6"/>
          <w:sz w:val="32"/>
          <w:szCs w:val="32"/>
        </w:rPr>
        <w:t xml:space="preserve"> </w:t>
      </w:r>
    </w:p>
    <w:p>
      <w:pPr>
        <w:rPr>
          <w:rFonts w:hint="eastAsia" w:ascii="仿宋" w:hAnsi="仿宋" w:eastAsia="仿宋"/>
          <w:spacing w:val="-6"/>
          <w:sz w:val="32"/>
          <w:szCs w:val="32"/>
        </w:rPr>
      </w:pPr>
      <w:r>
        <w:rPr>
          <w:rFonts w:hint="eastAsia" w:ascii="仿宋" w:hAnsi="仿宋" w:eastAsia="仿宋"/>
          <w:spacing w:val="-6"/>
          <w:sz w:val="32"/>
          <w:szCs w:val="32"/>
        </w:rPr>
        <w:t xml:space="preserve"> </w:t>
      </w:r>
    </w:p>
    <w:p>
      <w:pPr>
        <w:rPr>
          <w:rFonts w:hint="eastAsia" w:ascii="仿宋" w:hAnsi="仿宋" w:eastAsia="仿宋"/>
          <w:spacing w:val="-6"/>
          <w:sz w:val="32"/>
          <w:szCs w:val="32"/>
        </w:rPr>
      </w:pPr>
      <w:r>
        <w:rPr>
          <w:rFonts w:hint="eastAsia" w:ascii="仿宋" w:hAnsi="仿宋" w:eastAsia="仿宋"/>
          <w:spacing w:val="-6"/>
          <w:sz w:val="32"/>
          <w:szCs w:val="32"/>
        </w:rPr>
        <w:t xml:space="preserve"> </w:t>
      </w:r>
    </w:p>
    <w:p>
      <w:pPr>
        <w:rPr>
          <w:rFonts w:hint="eastAsia" w:ascii="仿宋" w:hAnsi="仿宋" w:eastAsia="仿宋"/>
          <w:spacing w:val="-6"/>
          <w:sz w:val="32"/>
          <w:szCs w:val="32"/>
        </w:rPr>
      </w:pPr>
      <w:r>
        <w:rPr>
          <w:rFonts w:hint="eastAsia" w:ascii="仿宋" w:hAnsi="仿宋" w:eastAsia="仿宋"/>
          <w:spacing w:val="-6"/>
          <w:sz w:val="32"/>
          <w:szCs w:val="32"/>
        </w:rPr>
        <w:t xml:space="preserve"> </w:t>
      </w:r>
    </w:p>
    <w:p>
      <w:pPr>
        <w:rPr>
          <w:rFonts w:hint="eastAsia" w:ascii="仿宋" w:hAnsi="仿宋" w:eastAsia="仿宋"/>
          <w:spacing w:val="-6"/>
          <w:sz w:val="32"/>
          <w:szCs w:val="32"/>
        </w:rPr>
      </w:pPr>
      <w:r>
        <w:rPr>
          <w:rFonts w:hint="eastAsia" w:ascii="仿宋" w:hAnsi="仿宋" w:eastAsia="仿宋"/>
          <w:spacing w:val="-6"/>
          <w:sz w:val="32"/>
          <w:szCs w:val="32"/>
        </w:rPr>
        <w:t xml:space="preserve"> </w:t>
      </w:r>
    </w:p>
    <w:p>
      <w:pPr>
        <w:rPr>
          <w:rFonts w:hint="eastAsia" w:ascii="仿宋" w:hAnsi="仿宋" w:eastAsia="仿宋"/>
          <w:spacing w:val="-6"/>
          <w:sz w:val="32"/>
          <w:szCs w:val="32"/>
        </w:rPr>
      </w:pPr>
      <w:r>
        <w:rPr>
          <w:rFonts w:hint="eastAsia" w:ascii="仿宋" w:hAnsi="仿宋" w:eastAsia="仿宋"/>
          <w:spacing w:val="-6"/>
          <w:sz w:val="32"/>
          <w:szCs w:val="32"/>
        </w:rPr>
        <w:t xml:space="preserve"> </w:t>
      </w:r>
    </w:p>
    <w:p>
      <w:pPr>
        <w:rPr>
          <w:rFonts w:hint="eastAsia" w:ascii="仿宋" w:hAnsi="仿宋" w:eastAsia="仿宋"/>
          <w:spacing w:val="-6"/>
          <w:sz w:val="32"/>
          <w:szCs w:val="32"/>
        </w:rPr>
      </w:pPr>
      <w:r>
        <w:rPr>
          <w:rFonts w:hint="eastAsia" w:ascii="仿宋" w:hAnsi="仿宋" w:eastAsia="仿宋"/>
          <w:spacing w:val="-6"/>
          <w:sz w:val="32"/>
          <w:szCs w:val="32"/>
        </w:rPr>
        <w:t xml:space="preserve"> </w:t>
      </w:r>
    </w:p>
    <w:p>
      <w:pPr>
        <w:rPr>
          <w:rFonts w:hint="eastAsia" w:ascii="仿宋" w:hAnsi="仿宋" w:eastAsia="仿宋"/>
          <w:spacing w:val="-6"/>
          <w:sz w:val="32"/>
          <w:szCs w:val="32"/>
        </w:rPr>
      </w:pPr>
      <w:r>
        <w:rPr>
          <w:rFonts w:hint="eastAsia" w:ascii="仿宋" w:hAnsi="仿宋" w:eastAsia="仿宋"/>
          <w:spacing w:val="-6"/>
          <w:sz w:val="32"/>
          <w:szCs w:val="32"/>
        </w:rPr>
        <w:t>抄送：</w:t>
      </w:r>
      <w:r>
        <w:rPr>
          <w:rFonts w:hint="eastAsia" w:ascii="仿宋" w:hAnsi="仿宋" w:eastAsia="仿宋"/>
          <w:sz w:val="32"/>
          <w:szCs w:val="32"/>
        </w:rPr>
        <w:t>奉节县生态环境保护综合行政执法支队</w:t>
      </w:r>
      <w:r>
        <w:rPr>
          <w:rFonts w:hint="eastAsia" w:ascii="仿宋" w:hAnsi="仿宋" w:eastAsia="仿宋"/>
          <w:spacing w:val="-6"/>
          <w:sz w:val="32"/>
          <w:szCs w:val="32"/>
        </w:rPr>
        <w:t xml:space="preserve">，重庆开达环保集团  </w:t>
      </w:r>
    </w:p>
    <w:p>
      <w:pPr>
        <w:rPr>
          <w:rFonts w:hint="eastAsia" w:ascii="仿宋" w:hAnsi="仿宋" w:eastAsia="仿宋"/>
          <w:spacing w:val="-6"/>
          <w:sz w:val="32"/>
          <w:szCs w:val="32"/>
        </w:rPr>
      </w:pPr>
      <w:r>
        <w:rPr>
          <w:rFonts w:hint="eastAsia" w:ascii="仿宋" w:hAnsi="仿宋" w:eastAsia="仿宋"/>
          <w:spacing w:val="-6"/>
          <w:sz w:val="32"/>
          <w:szCs w:val="32"/>
        </w:rPr>
        <w:t xml:space="preserve">   </w:t>
      </w:r>
      <w:r>
        <w:rPr>
          <w:rFonts w:hint="eastAsia" w:ascii="仿宋" w:hAnsi="仿宋" w:eastAsia="仿宋"/>
          <w:spacing w:val="-6"/>
          <w:sz w:val="32"/>
          <w:szCs w:val="32"/>
          <w:lang w:val="en-US" w:eastAsia="zh-CN"/>
        </w:rPr>
        <w:t xml:space="preserve">   </w:t>
      </w:r>
      <w:bookmarkStart w:id="0" w:name="_GoBack"/>
      <w:bookmarkEnd w:id="0"/>
      <w:r>
        <w:rPr>
          <w:rFonts w:hint="eastAsia" w:ascii="仿宋" w:hAnsi="仿宋" w:eastAsia="仿宋"/>
          <w:spacing w:val="-6"/>
          <w:sz w:val="32"/>
          <w:szCs w:val="32"/>
        </w:rPr>
        <w:t>有限公司。</w:t>
      </w:r>
    </w:p>
    <w:p>
      <w:pPr>
        <w:rPr>
          <w:rFonts w:hint="eastAsia" w:ascii="方正仿宋_GBK" w:hAnsi="宋体"/>
        </w:rPr>
      </w:pPr>
      <w:r>
        <w:drawing>
          <wp:inline distT="0" distB="0" distL="0" distR="0">
            <wp:extent cx="5924550" cy="28575"/>
            <wp:effectExtent l="19050" t="0" r="0" b="0"/>
            <wp:docPr id="1" name="图片 1" descr="C:\Users\ADMINI~1.SKY\AppData\Local\Temp\ksohtml2544\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SKY\AppData\Local\Temp\ksohtml2544\wps2.png"/>
                    <pic:cNvPicPr>
                      <a:picLocks noChangeAspect="1" noChangeArrowheads="1"/>
                    </pic:cNvPicPr>
                  </pic:nvPicPr>
                  <pic:blipFill>
                    <a:blip r:embed="rId4" cstate="print"/>
                    <a:srcRect/>
                    <a:stretch>
                      <a:fillRect/>
                    </a:stretch>
                  </pic:blipFill>
                  <pic:spPr>
                    <a:xfrm>
                      <a:off x="0" y="0"/>
                      <a:ext cx="5924550" cy="28575"/>
                    </a:xfrm>
                    <a:prstGeom prst="rect">
                      <a:avLst/>
                    </a:prstGeom>
                    <a:noFill/>
                    <a:ln w="9525">
                      <a:noFill/>
                      <a:miter lim="800000"/>
                      <a:headEnd/>
                      <a:tailEnd/>
                    </a:ln>
                  </pic:spPr>
                </pic:pic>
              </a:graphicData>
            </a:graphic>
          </wp:inline>
        </w:drawing>
      </w:r>
      <w:r>
        <w:rPr>
          <w:rFonts w:ascii="方正仿宋_GBK" w:hAnsi="宋体"/>
        </w:rPr>
        <w:t xml:space="preserve"> </w:t>
      </w:r>
    </w:p>
    <w:p/>
    <w:sectPr>
      <w:pgSz w:w="11906" w:h="16838"/>
      <w:pgMar w:top="1418" w:right="1247" w:bottom="1247"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仿宋_GBK">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D62B7"/>
    <w:rsid w:val="000D62B7"/>
    <w:rsid w:val="00907773"/>
    <w:rsid w:val="4BD73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0"/>
    <w:qFormat/>
    <w:uiPriority w:val="99"/>
    <w:pPr>
      <w:keepNext/>
      <w:spacing w:line="240" w:lineRule="exact"/>
      <w:jc w:val="center"/>
      <w:outlineLvl w:val="0"/>
    </w:pPr>
    <w:rPr>
      <w:rFonts w:ascii="仿宋_GB2312" w:hAnsi="宋体" w:eastAsia="仿宋_GB2312" w:cs="宋体"/>
      <w:b/>
      <w:bCs/>
      <w:color w:val="000000"/>
      <w:sz w:val="24"/>
      <w:szCs w:val="24"/>
    </w:rPr>
  </w:style>
  <w:style w:type="character" w:default="1" w:styleId="9">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4">
    <w:name w:val="Body Text"/>
    <w:basedOn w:val="1"/>
    <w:link w:val="11"/>
    <w:unhideWhenUsed/>
    <w:uiPriority w:val="99"/>
    <w:pPr>
      <w:widowControl/>
      <w:jc w:val="left"/>
    </w:pPr>
    <w:rPr>
      <w:kern w:val="0"/>
      <w:sz w:val="32"/>
      <w:szCs w:val="32"/>
    </w:rPr>
  </w:style>
  <w:style w:type="paragraph" w:styleId="5">
    <w:name w:val="Balloon Text"/>
    <w:basedOn w:val="1"/>
    <w:link w:val="15"/>
    <w:semiHidden/>
    <w:unhideWhenUsed/>
    <w:qFormat/>
    <w:uiPriority w:val="99"/>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7">
    <w:name w:val="Body Text First Indent"/>
    <w:basedOn w:val="4"/>
    <w:link w:val="12"/>
    <w:unhideWhenUsed/>
    <w:uiPriority w:val="99"/>
    <w:pPr>
      <w:widowControl w:val="0"/>
      <w:spacing w:before="100" w:beforeAutospacing="1" w:after="120"/>
      <w:ind w:firstLine="420" w:firstLineChars="100"/>
      <w:jc w:val="both"/>
    </w:pPr>
    <w:rPr>
      <w:kern w:val="2"/>
      <w:sz w:val="21"/>
      <w:szCs w:val="21"/>
    </w:rPr>
  </w:style>
  <w:style w:type="character" w:customStyle="1" w:styleId="10">
    <w:name w:val="标题 1 Char"/>
    <w:basedOn w:val="9"/>
    <w:link w:val="3"/>
    <w:uiPriority w:val="99"/>
    <w:rPr>
      <w:rFonts w:ascii="仿宋_GB2312" w:hAnsi="宋体" w:eastAsia="仿宋_GB2312" w:cs="宋体"/>
      <w:b/>
      <w:bCs/>
      <w:color w:val="000000"/>
      <w:sz w:val="24"/>
      <w:szCs w:val="24"/>
    </w:rPr>
  </w:style>
  <w:style w:type="character" w:customStyle="1" w:styleId="11">
    <w:name w:val="正文文本 Char"/>
    <w:basedOn w:val="9"/>
    <w:link w:val="4"/>
    <w:uiPriority w:val="99"/>
    <w:rPr>
      <w:rFonts w:ascii="Times New Roman" w:hAnsi="Times New Roman" w:eastAsia="宋体" w:cs="Times New Roman"/>
      <w:kern w:val="0"/>
      <w:sz w:val="32"/>
      <w:szCs w:val="32"/>
    </w:rPr>
  </w:style>
  <w:style w:type="character" w:customStyle="1" w:styleId="12">
    <w:name w:val="正文首行缩进 Char"/>
    <w:basedOn w:val="11"/>
    <w:link w:val="7"/>
    <w:uiPriority w:val="99"/>
    <w:rPr>
      <w:szCs w:val="21"/>
    </w:rPr>
  </w:style>
  <w:style w:type="paragraph" w:customStyle="1" w:styleId="13">
    <w:name w:val="环评正文"/>
    <w:basedOn w:val="1"/>
    <w:qFormat/>
    <w:uiPriority w:val="0"/>
    <w:pPr>
      <w:spacing w:before="60" w:after="60" w:line="400" w:lineRule="exact"/>
      <w:ind w:firstLine="480" w:firstLineChars="200"/>
    </w:pPr>
    <w:rPr>
      <w:rFonts w:ascii="Calibri" w:hAnsi="Calibri" w:cs="宋体"/>
      <w:sz w:val="24"/>
      <w:szCs w:val="24"/>
    </w:rPr>
  </w:style>
  <w:style w:type="paragraph" w:customStyle="1" w:styleId="14">
    <w:name w:val="tb"/>
    <w:basedOn w:val="1"/>
    <w:qFormat/>
    <w:uiPriority w:val="0"/>
    <w:pPr>
      <w:spacing w:line="400" w:lineRule="atLeast"/>
    </w:pPr>
    <w:rPr>
      <w:rFonts w:ascii="宋体" w:hAnsi="Arial" w:cs="宋体"/>
      <w:sz w:val="24"/>
      <w:szCs w:val="24"/>
    </w:rPr>
  </w:style>
  <w:style w:type="character" w:customStyle="1" w:styleId="15">
    <w:name w:val="批注框文本 Char"/>
    <w:basedOn w:val="9"/>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186</Words>
  <Characters>1065</Characters>
  <Lines>8</Lines>
  <Paragraphs>2</Paragraphs>
  <TotalTime>2</TotalTime>
  <ScaleCrop>false</ScaleCrop>
  <LinksUpToDate>false</LinksUpToDate>
  <CharactersWithSpaces>1249</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2022-11-01T01:50:00Z</dcterms:created>
  <dc:creator>Administrator</dc:creator>
  <cp:lastModifiedBy>Administrator</cp:lastModifiedBy>
  <dcterms:modified xsi:type="dcterms:W3CDTF">2022-11-01T01:56:36Z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