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CB" w:rsidRDefault="00962FCB" w:rsidP="00962FCB">
      <w:pPr>
        <w:pStyle w:val="a3"/>
        <w:snapToGrid w:val="0"/>
        <w:spacing w:line="240" w:lineRule="atLeast"/>
        <w:jc w:val="center"/>
        <w:rPr>
          <w:rFonts w:ascii="仿宋" w:eastAsia="仿宋" w:hAnsi="仿宋"/>
          <w:color w:val="FF0000"/>
          <w:sz w:val="44"/>
          <w:szCs w:val="44"/>
          <w:shd w:val="clear" w:color="auto" w:fill="FFFFFF"/>
        </w:rPr>
      </w:pPr>
      <w:r>
        <w:rPr>
          <w:rFonts w:ascii="仿宋" w:eastAsia="仿宋" w:hAnsi="仿宋" w:hint="eastAsia"/>
          <w:color w:val="FF0000"/>
          <w:sz w:val="44"/>
          <w:szCs w:val="44"/>
          <w:shd w:val="clear" w:color="auto" w:fill="FFFFFF"/>
        </w:rPr>
        <w:t>重庆市建设项目环境影响评价文件批准书</w:t>
      </w:r>
    </w:p>
    <w:p w:rsidR="00962FCB" w:rsidRDefault="00962FCB" w:rsidP="00962FCB">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962FCB" w:rsidRDefault="00962FCB" w:rsidP="00962FCB">
      <w:pPr>
        <w:pStyle w:val="a3"/>
        <w:snapToGrid w:val="0"/>
        <w:spacing w:line="240" w:lineRule="atLeast"/>
        <w:jc w:val="center"/>
        <w:rPr>
          <w:rFonts w:ascii="方正仿宋_GBK" w:hAnsi="宋体"/>
        </w:rPr>
      </w:pPr>
      <w:r>
        <w:rPr>
          <w:rFonts w:ascii="方正仿宋_GBK" w:hAnsi="方正仿宋_GBK"/>
        </w:rPr>
        <w:t>渝（奉）环准〔</w:t>
      </w:r>
      <w:r>
        <w:rPr>
          <w:rFonts w:ascii="方正仿宋_GBK" w:hAnsi="宋体"/>
        </w:rPr>
        <w:t>2023</w:t>
      </w:r>
      <w:r>
        <w:rPr>
          <w:rFonts w:ascii="方正仿宋_GBK" w:hAnsi="宋体"/>
        </w:rPr>
        <w:t>〕</w:t>
      </w:r>
      <w:r>
        <w:rPr>
          <w:rFonts w:ascii="方正仿宋_GBK" w:hAnsi="宋体"/>
        </w:rPr>
        <w:t>11</w:t>
      </w:r>
      <w:r>
        <w:rPr>
          <w:rFonts w:ascii="方正仿宋_GBK" w:hAnsi="宋体"/>
        </w:rPr>
        <w:t>号</w:t>
      </w:r>
    </w:p>
    <w:p w:rsidR="00962FCB" w:rsidRDefault="00962FCB" w:rsidP="00962FCB">
      <w:pPr>
        <w:pStyle w:val="tb"/>
        <w:spacing w:line="600" w:lineRule="exact"/>
        <w:rPr>
          <w:rFonts w:ascii="仿宋" w:eastAsia="仿宋" w:hAnsi="仿宋"/>
          <w:sz w:val="32"/>
          <w:szCs w:val="32"/>
        </w:rPr>
      </w:pPr>
      <w:r>
        <w:rPr>
          <w:rFonts w:ascii="仿宋" w:eastAsia="仿宋" w:hAnsi="仿宋" w:hint="eastAsia"/>
          <w:sz w:val="32"/>
          <w:szCs w:val="32"/>
        </w:rPr>
        <w:t>华能重庆奉节风电有限责任公司：</w:t>
      </w:r>
    </w:p>
    <w:p w:rsidR="00962FCB" w:rsidRDefault="00962FCB" w:rsidP="00962FCB">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你单位报送的奉节金凤山风电扩建（望天坪）项目环境影响评价文件审批申报表及相关材料收悉，根据《中华人民共和国环境影响评价法》等法律法规的有关规定，我局原则同意重庆环科源博达环保科技有限公司编制的项目环境影响报告表结论及其提出的环境保护措施。</w:t>
      </w:r>
    </w:p>
    <w:p w:rsidR="00962FCB" w:rsidRDefault="00962FCB" w:rsidP="00962FCB">
      <w:pPr>
        <w:pStyle w:val="tb"/>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一、项目的建设内容和规模：</w:t>
      </w:r>
    </w:p>
    <w:p w:rsidR="00962FCB" w:rsidRDefault="00962FCB" w:rsidP="00962FCB">
      <w:pPr>
        <w:adjustRightInd w:val="0"/>
        <w:snapToGrid w:val="0"/>
        <w:spacing w:line="600" w:lineRule="exact"/>
        <w:ind w:firstLineChars="200" w:firstLine="640"/>
        <w:rPr>
          <w:rFonts w:ascii="仿宋" w:eastAsia="仿宋" w:hAnsi="仿宋" w:hint="eastAsia"/>
          <w:sz w:val="32"/>
          <w:szCs w:val="32"/>
        </w:rPr>
      </w:pPr>
      <w:r>
        <w:rPr>
          <w:rFonts w:ascii="仿宋" w:eastAsia="仿宋" w:hAnsi="仿宋" w:hint="eastAsia"/>
          <w:kern w:val="0"/>
          <w:sz w:val="32"/>
          <w:szCs w:val="32"/>
        </w:rPr>
        <w:t>本项目位于奉节县新民镇、五马镇、冯坪乡</w:t>
      </w:r>
      <w:r>
        <w:rPr>
          <w:rFonts w:ascii="仿宋" w:eastAsia="仿宋" w:hAnsi="仿宋" w:hint="eastAsia"/>
          <w:sz w:val="32"/>
          <w:szCs w:val="32"/>
        </w:rPr>
        <w:t>，项目建设内容包括永久工程、临时工程、公辅工程和环保工程，其中永久工程主要包括新建9台单机容量5MW和3台</w:t>
      </w:r>
      <w:r>
        <w:rPr>
          <w:rFonts w:ascii="仿宋" w:eastAsia="仿宋" w:hAnsi="仿宋" w:hint="eastAsia"/>
          <w:kern w:val="0"/>
          <w:sz w:val="32"/>
          <w:szCs w:val="32"/>
        </w:rPr>
        <w:t>单机容量</w:t>
      </w:r>
      <w:r>
        <w:rPr>
          <w:rFonts w:ascii="仿宋" w:eastAsia="仿宋" w:hAnsi="仿宋" w:hint="eastAsia"/>
          <w:sz w:val="32"/>
          <w:szCs w:val="32"/>
        </w:rPr>
        <w:t>5.6MW的风力发电机组，总装机规模61.8MW；12台35kV箱式变压器，电压等级为35/0.69kV ；建设110kV升压站1座，围墙内面积4128m</w:t>
      </w:r>
      <w:r>
        <w:rPr>
          <w:rFonts w:ascii="仿宋" w:eastAsia="仿宋" w:hAnsi="仿宋" w:hint="eastAsia"/>
          <w:sz w:val="32"/>
          <w:szCs w:val="32"/>
          <w:vertAlign w:val="superscript"/>
        </w:rPr>
        <w:t>2</w:t>
      </w:r>
      <w:r>
        <w:rPr>
          <w:rFonts w:ascii="仿宋" w:eastAsia="仿宋" w:hAnsi="仿宋" w:hint="eastAsia"/>
          <w:sz w:val="32"/>
          <w:szCs w:val="32"/>
        </w:rPr>
        <w:t>；本期主变规模1×63MVA，户外布置；110kV出线间隔1个，35kV进线3回；无功补偿容量1×±13Mvar；110kV配电装置采用户内GIS式布置，架空出线；35kV配电装置采用成套开关柜；站内配套建设10.18MW/10.18MWh的储能设施。集电线路采用直埋电缆线路，电缆线路总长度约为42.8km。临时工程主要包括12个风机吊装平台；1个临建施工生产生活区；4个弃渣场。项目占地面积15.3216hm</w:t>
      </w:r>
      <w:r>
        <w:rPr>
          <w:rFonts w:ascii="仿宋" w:eastAsia="仿宋" w:hAnsi="仿宋" w:hint="eastAsia"/>
          <w:sz w:val="32"/>
          <w:szCs w:val="32"/>
          <w:vertAlign w:val="superscript"/>
        </w:rPr>
        <w:t>2</w:t>
      </w:r>
      <w:r>
        <w:rPr>
          <w:rFonts w:ascii="仿宋" w:eastAsia="仿宋" w:hAnsi="仿宋" w:hint="eastAsia"/>
          <w:sz w:val="32"/>
          <w:szCs w:val="32"/>
        </w:rPr>
        <w:t>，其中永久性用地面积1.0082hm</w:t>
      </w:r>
      <w:r>
        <w:rPr>
          <w:rFonts w:ascii="仿宋" w:eastAsia="仿宋" w:hAnsi="仿宋" w:hint="eastAsia"/>
          <w:sz w:val="32"/>
          <w:szCs w:val="32"/>
          <w:vertAlign w:val="superscript"/>
        </w:rPr>
        <w:t>2</w:t>
      </w:r>
      <w:r>
        <w:rPr>
          <w:rFonts w:ascii="仿宋" w:eastAsia="仿宋" w:hAnsi="仿宋" w:hint="eastAsia"/>
          <w:sz w:val="32"/>
          <w:szCs w:val="32"/>
        </w:rPr>
        <w:t>，临时性用地面积14.3134hm</w:t>
      </w:r>
      <w:r>
        <w:rPr>
          <w:rFonts w:ascii="仿宋" w:eastAsia="仿宋" w:hAnsi="仿宋" w:hint="eastAsia"/>
          <w:sz w:val="32"/>
          <w:szCs w:val="32"/>
          <w:vertAlign w:val="superscript"/>
        </w:rPr>
        <w:t>2</w:t>
      </w:r>
      <w:r>
        <w:rPr>
          <w:rFonts w:ascii="仿宋" w:eastAsia="仿宋" w:hAnsi="仿宋" w:hint="eastAsia"/>
          <w:sz w:val="32"/>
          <w:szCs w:val="32"/>
        </w:rPr>
        <w:t>。本工程总投资42515万元，其中环保投资210万元。</w:t>
      </w:r>
    </w:p>
    <w:p w:rsidR="00962FCB" w:rsidRDefault="00962FCB" w:rsidP="00962FCB">
      <w:pPr>
        <w:pStyle w:val="tb"/>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二、该项目在设计、建设和运行过程中，应认真落实本项目环</w:t>
      </w:r>
      <w:r>
        <w:rPr>
          <w:rFonts w:ascii="仿宋" w:eastAsia="仿宋" w:hAnsi="仿宋" w:hint="eastAsia"/>
          <w:sz w:val="32"/>
          <w:szCs w:val="32"/>
        </w:rPr>
        <w:lastRenderedPageBreak/>
        <w:t>境影响报告表中提出的各项生态保护及污染防治措施，严格执行相关污染物排放标准和总量控制的要求，并重点做好以下工作：</w:t>
      </w:r>
    </w:p>
    <w:p w:rsidR="00962FCB" w:rsidRDefault="00962FCB" w:rsidP="00962FCB">
      <w:pPr>
        <w:autoSpaceDE w:val="0"/>
        <w:autoSpaceDN w:val="0"/>
        <w:adjustRightInd w:val="0"/>
        <w:spacing w:line="600" w:lineRule="exact"/>
        <w:ind w:firstLineChars="200" w:firstLine="640"/>
        <w:jc w:val="left"/>
        <w:rPr>
          <w:rFonts w:ascii="仿宋" w:eastAsia="仿宋" w:hAnsi="仿宋" w:hint="eastAsia"/>
          <w:sz w:val="32"/>
          <w:szCs w:val="32"/>
        </w:rPr>
      </w:pPr>
      <w:r>
        <w:rPr>
          <w:rFonts w:ascii="仿宋" w:eastAsia="仿宋" w:hAnsi="仿宋" w:hint="eastAsia"/>
          <w:sz w:val="32"/>
          <w:szCs w:val="32"/>
        </w:rPr>
        <w:t>（一）水污染防治措施。施工废水经隔油、沉淀处理后回用，不外排。施工生活区生活污水统一收集、排放至营地内的临时化粪池内处理后用于施工营地附近林草浇灌，不外排。</w:t>
      </w:r>
    </w:p>
    <w:p w:rsidR="00962FCB" w:rsidRDefault="00962FCB" w:rsidP="00962FCB">
      <w:pPr>
        <w:adjustRightInd w:val="0"/>
        <w:snapToGrid w:val="0"/>
        <w:spacing w:line="600" w:lineRule="exact"/>
        <w:rPr>
          <w:rFonts w:ascii="仿宋" w:eastAsia="仿宋" w:hAnsi="仿宋" w:hint="eastAsia"/>
          <w:sz w:val="32"/>
          <w:szCs w:val="32"/>
        </w:rPr>
      </w:pPr>
      <w:r>
        <w:rPr>
          <w:rFonts w:ascii="仿宋" w:eastAsia="仿宋" w:hAnsi="仿宋" w:hint="eastAsia"/>
          <w:sz w:val="32"/>
          <w:szCs w:val="32"/>
        </w:rPr>
        <w:t xml:space="preserve">  （二）废气污染治理措施。</w:t>
      </w:r>
      <w:r>
        <w:rPr>
          <w:rFonts w:ascii="仿宋" w:eastAsia="仿宋" w:hAnsi="仿宋" w:hint="eastAsia"/>
          <w:spacing w:val="-2"/>
          <w:sz w:val="32"/>
          <w:szCs w:val="32"/>
        </w:rPr>
        <w:t>对裸露地表的开挖或回填等主要产尘区域、施工便道及未铺装道路采取定时洒水等降尘抑尘措施。建筑材料堆场定点定位，并采取防尘、抑尘措施，对散料堆场采取洒水、密闭存储、围挡、防尘布苫盖等防尘措施。</w:t>
      </w:r>
      <w:r>
        <w:rPr>
          <w:rFonts w:ascii="仿宋" w:eastAsia="仿宋" w:hAnsi="仿宋" w:hint="eastAsia"/>
          <w:sz w:val="32"/>
          <w:szCs w:val="32"/>
        </w:rPr>
        <w:t>渣土运输车辆密闭或加盖篷布。选用尾气排放合格的机械设备和车辆并加强维护。砂石料堆场设置围墙、防风抑尘网和防雨顶棚；水泥混凝土拌和应采用成套封闭式拌和楼进行生产，保证拌和楼和运输容器处于良好的密闭状态，拌合楼顶部设置除尘设备。</w:t>
      </w:r>
    </w:p>
    <w:p w:rsidR="00962FCB" w:rsidRDefault="00962FCB" w:rsidP="00962FCB">
      <w:pPr>
        <w:pStyle w:val="tb"/>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噪声污染防治措施。合理布局高噪声设备，采用先进施工机械，加强运输车辆管理，合理安排施工时间，严禁夜间施工扰民，对高噪声设备采取必要的隔声减噪措施。运营期选用低噪风机设备，经常对风机进行维护和检修；距离风机基础位置直线距离约365m范围内不宜新建居民区、学校、医院等声环境敏感目标；对噪声预测超标的罩子坪和黄檗坪区域开展声环境质量监测，如监测结果出现超标，建设单位在与住户居民沟通的基础上，积极采取建筑隔声等降噪措施。</w:t>
      </w:r>
    </w:p>
    <w:p w:rsidR="00962FCB" w:rsidRDefault="00962FCB" w:rsidP="00962FCB">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（四）固体废弃物污染治理措施。</w:t>
      </w:r>
      <w:r>
        <w:rPr>
          <w:rFonts w:ascii="仿宋" w:eastAsia="仿宋" w:hAnsi="仿宋" w:hint="eastAsia"/>
          <w:spacing w:val="-2"/>
          <w:sz w:val="32"/>
          <w:szCs w:val="32"/>
        </w:rPr>
        <w:t>弃土堆放于临时堆土场并做好相关水土流失防护措施；设置垃圾桶集中收集施工人员的生活垃</w:t>
      </w:r>
      <w:r>
        <w:rPr>
          <w:rFonts w:ascii="仿宋" w:eastAsia="仿宋" w:hAnsi="仿宋" w:hint="eastAsia"/>
          <w:spacing w:val="-2"/>
          <w:sz w:val="32"/>
          <w:szCs w:val="32"/>
        </w:rPr>
        <w:lastRenderedPageBreak/>
        <w:t>圾，定期清运</w:t>
      </w:r>
      <w:r>
        <w:rPr>
          <w:rFonts w:ascii="仿宋" w:eastAsia="仿宋" w:hAnsi="仿宋" w:hint="eastAsia"/>
          <w:sz w:val="32"/>
          <w:szCs w:val="32"/>
        </w:rPr>
        <w:t>交当地环卫部门统一处理</w:t>
      </w:r>
      <w:r>
        <w:rPr>
          <w:rFonts w:ascii="仿宋" w:eastAsia="仿宋" w:hAnsi="仿宋" w:hint="eastAsia"/>
          <w:spacing w:val="-2"/>
          <w:sz w:val="32"/>
          <w:szCs w:val="32"/>
        </w:rPr>
        <w:t>。</w:t>
      </w:r>
      <w:r>
        <w:rPr>
          <w:rFonts w:ascii="仿宋" w:eastAsia="仿宋" w:hAnsi="仿宋" w:hint="eastAsia"/>
          <w:sz w:val="32"/>
          <w:szCs w:val="32"/>
        </w:rPr>
        <w:t>风机检修过程产生的废机油、</w:t>
      </w:r>
      <w:r>
        <w:rPr>
          <w:rFonts w:ascii="仿宋" w:eastAsia="仿宋" w:hAnsi="仿宋" w:hint="eastAsia"/>
          <w:kern w:val="0"/>
          <w:sz w:val="32"/>
          <w:szCs w:val="32"/>
        </w:rPr>
        <w:t>箱变检修废油和废变压器油、</w:t>
      </w:r>
      <w:r>
        <w:rPr>
          <w:rFonts w:ascii="仿宋" w:eastAsia="仿宋" w:hAnsi="仿宋" w:hint="eastAsia"/>
          <w:sz w:val="32"/>
          <w:szCs w:val="32"/>
        </w:rPr>
        <w:t>升压站废铅酸蓄电池由专用容器收集后在危废暂存间内暂存，各类危废委托有资质单位外运处置。升压站储能区产生的报废磷酸铁铝电池，由电池厂家在更换时负责回收。</w:t>
      </w:r>
    </w:p>
    <w:p w:rsidR="00962FCB" w:rsidRDefault="00962FCB" w:rsidP="00962FCB">
      <w:pPr>
        <w:adjustRightInd w:val="0"/>
        <w:snapToGrid w:val="0"/>
        <w:spacing w:line="600" w:lineRule="exact"/>
        <w:ind w:firstLine="640"/>
        <w:rPr>
          <w:rFonts w:ascii="仿宋" w:eastAsia="仿宋" w:hAnsi="仿宋" w:hint="eastAsia"/>
          <w:sz w:val="32"/>
          <w:szCs w:val="32"/>
        </w:rPr>
      </w:pPr>
      <w:r>
        <w:rPr>
          <w:rFonts w:ascii="仿宋" w:eastAsia="仿宋" w:hAnsi="仿宋" w:hint="eastAsia"/>
          <w:sz w:val="32"/>
          <w:szCs w:val="32"/>
        </w:rPr>
        <w:t>（五）生态环境保护措施。划定施工作业范围，不得随意扩大施工面积；施工前剥离表土妥善保存，后期用于绿化覆土；避免雨季施工，对裸露土质坡面加盖防雨布；弃渣及时清运，在弃渣场建设截排水设施；认真落实水土保持措施；加强宣传教育和管理，严禁非法猎捕野生动物；施工期内尽量避免灯光、噪声对夜间动物活动的惊扰；施工结束后对施工用地进行植被恢复和绿化。风机叶片涂装警示色，慎选光源设备；加强对风机平台和道路边坡绿化植被生长初期管护工作，及时进行绿化植物的补种和维护；对进入占地范围内的外来入侵物种予以清除；按要求在鸟类迁徙季节加强对风场区域的巡护。</w:t>
      </w:r>
    </w:p>
    <w:p w:rsidR="00962FCB" w:rsidRDefault="00962FCB" w:rsidP="00962FCB">
      <w:pPr>
        <w:adjustRightInd w:val="0"/>
        <w:snapToGrid w:val="0"/>
        <w:spacing w:line="600" w:lineRule="exact"/>
        <w:ind w:firstLine="640"/>
        <w:rPr>
          <w:rFonts w:ascii="仿宋" w:eastAsia="仿宋" w:hAnsi="仿宋" w:hint="eastAsia"/>
          <w:sz w:val="32"/>
          <w:szCs w:val="32"/>
        </w:rPr>
      </w:pPr>
      <w:r>
        <w:rPr>
          <w:rFonts w:ascii="仿宋" w:eastAsia="仿宋" w:hAnsi="仿宋" w:hint="eastAsia"/>
          <w:sz w:val="32"/>
          <w:szCs w:val="32"/>
        </w:rPr>
        <w:t>（六）严格环境风险防范。升压站主变下方设置集油坑，通过专用输油管道连接至事故油池，新建事故油池并做好防腐防渗措施，且具备油水隔离功能。风电场内35kV箱变配套设置事故油池1座，并做好防腐防渗措施。升压站储能区配备</w:t>
      </w:r>
      <w:r>
        <w:rPr>
          <w:rFonts w:ascii="仿宋" w:eastAsia="仿宋" w:hAnsi="仿宋" w:hint="eastAsia"/>
          <w:kern w:val="0"/>
          <w:sz w:val="32"/>
          <w:szCs w:val="32"/>
        </w:rPr>
        <w:t>自动灭火设施、可燃气体探测装置；</w:t>
      </w:r>
      <w:r>
        <w:rPr>
          <w:rFonts w:ascii="仿宋" w:eastAsia="仿宋" w:hAnsi="仿宋" w:hint="eastAsia"/>
          <w:sz w:val="32"/>
          <w:szCs w:val="32"/>
        </w:rPr>
        <w:t>储能区的电池舱设置围堰，电池舱底部基础坑作为消防废水收集池，池底和池壁进行防腐防渗处理。</w:t>
      </w:r>
    </w:p>
    <w:p w:rsidR="00962FCB" w:rsidRDefault="00962FCB" w:rsidP="00962FCB">
      <w:pPr>
        <w:pStyle w:val="tb"/>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三、该项目建设必须严格执行环境保护设施与主体工程同时设计、同时施工、同时投入使用的环境保护“三同时”制度。项目竣</w:t>
      </w:r>
      <w:r>
        <w:rPr>
          <w:rFonts w:ascii="仿宋" w:eastAsia="仿宋" w:hAnsi="仿宋" w:hint="eastAsia"/>
          <w:sz w:val="32"/>
          <w:szCs w:val="32"/>
        </w:rPr>
        <w:lastRenderedPageBreak/>
        <w:t>工后，建设单位应按照有关规定对配套建设的环境保护设施进行验收。</w:t>
      </w:r>
    </w:p>
    <w:p w:rsidR="00962FCB" w:rsidRDefault="00962FCB" w:rsidP="00962FCB">
      <w:pPr>
        <w:pStyle w:val="tb"/>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962FCB" w:rsidRDefault="00962FCB" w:rsidP="00962FCB">
      <w:pPr>
        <w:pStyle w:val="tb"/>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五、请奉节县生态环境保护综合行政执法支队负责该项目环境保护日常监督管理工作。</w:t>
      </w:r>
    </w:p>
    <w:p w:rsidR="00962FCB" w:rsidRDefault="00962FCB" w:rsidP="00962FCB">
      <w:pPr>
        <w:pStyle w:val="tb"/>
        <w:spacing w:line="600" w:lineRule="exact"/>
        <w:ind w:firstLineChars="200" w:firstLine="640"/>
        <w:rPr>
          <w:rFonts w:ascii="仿宋" w:eastAsia="仿宋" w:hAnsi="仿宋" w:hint="eastAsia"/>
          <w:sz w:val="32"/>
          <w:szCs w:val="32"/>
        </w:rPr>
      </w:pPr>
    </w:p>
    <w:p w:rsidR="00962FCB" w:rsidRDefault="00962FCB" w:rsidP="00962FCB">
      <w:pPr>
        <w:pStyle w:val="tb"/>
        <w:spacing w:line="600" w:lineRule="exact"/>
        <w:ind w:firstLineChars="200" w:firstLine="640"/>
        <w:rPr>
          <w:rFonts w:ascii="仿宋" w:eastAsia="仿宋" w:hAnsi="仿宋" w:hint="eastAsia"/>
          <w:sz w:val="32"/>
          <w:szCs w:val="32"/>
        </w:rPr>
      </w:pPr>
    </w:p>
    <w:p w:rsidR="00962FCB" w:rsidRDefault="00962FCB" w:rsidP="00962FCB">
      <w:pPr>
        <w:pStyle w:val="tb"/>
        <w:spacing w:line="600" w:lineRule="exact"/>
        <w:ind w:firstLineChars="200" w:firstLine="640"/>
        <w:rPr>
          <w:rFonts w:ascii="仿宋" w:eastAsia="仿宋" w:hAnsi="仿宋" w:hint="eastAsia"/>
          <w:sz w:val="32"/>
          <w:szCs w:val="32"/>
        </w:rPr>
      </w:pPr>
    </w:p>
    <w:p w:rsidR="00962FCB" w:rsidRDefault="00962FCB" w:rsidP="00962FCB">
      <w:pPr>
        <w:pStyle w:val="tb"/>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                              2023年3月13日   </w:t>
      </w:r>
    </w:p>
    <w:p w:rsidR="00962FCB" w:rsidRDefault="00962FCB" w:rsidP="00962FCB">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962FCB" w:rsidRDefault="00962FCB" w:rsidP="00962FCB">
      <w:pPr>
        <w:rPr>
          <w:rFonts w:ascii="仿宋" w:eastAsia="仿宋" w:hAnsi="仿宋" w:hint="eastAsia"/>
          <w:spacing w:val="-10"/>
          <w:sz w:val="32"/>
          <w:szCs w:val="32"/>
        </w:rPr>
      </w:pPr>
      <w:r>
        <w:rPr>
          <w:rFonts w:ascii="仿宋" w:eastAsia="仿宋" w:hAnsi="仿宋" w:hint="eastAsia"/>
          <w:spacing w:val="-10"/>
          <w:sz w:val="32"/>
          <w:szCs w:val="32"/>
        </w:rPr>
        <w:t xml:space="preserve"> </w:t>
      </w:r>
    </w:p>
    <w:p w:rsidR="00962FCB" w:rsidRDefault="00962FCB" w:rsidP="00962FCB">
      <w:pPr>
        <w:rPr>
          <w:rFonts w:ascii="仿宋" w:eastAsia="仿宋" w:hAnsi="仿宋" w:hint="eastAsia"/>
          <w:spacing w:val="-10"/>
          <w:sz w:val="32"/>
          <w:szCs w:val="32"/>
        </w:rPr>
      </w:pPr>
      <w:r>
        <w:rPr>
          <w:rFonts w:ascii="仿宋" w:eastAsia="仿宋" w:hAnsi="仿宋" w:hint="eastAsia"/>
          <w:spacing w:val="-10"/>
          <w:sz w:val="32"/>
          <w:szCs w:val="32"/>
        </w:rPr>
        <w:t xml:space="preserve"> </w:t>
      </w:r>
    </w:p>
    <w:p w:rsidR="00962FCB" w:rsidRDefault="00962FCB" w:rsidP="00962FCB">
      <w:pPr>
        <w:rPr>
          <w:rFonts w:ascii="仿宋" w:eastAsia="仿宋" w:hAnsi="仿宋" w:hint="eastAsia"/>
          <w:spacing w:val="-10"/>
          <w:sz w:val="32"/>
          <w:szCs w:val="32"/>
        </w:rPr>
      </w:pPr>
      <w:r>
        <w:rPr>
          <w:rFonts w:ascii="仿宋" w:eastAsia="仿宋" w:hAnsi="仿宋" w:hint="eastAsia"/>
          <w:spacing w:val="-10"/>
          <w:sz w:val="32"/>
          <w:szCs w:val="32"/>
        </w:rPr>
        <w:t xml:space="preserve"> </w:t>
      </w:r>
    </w:p>
    <w:p w:rsidR="00962FCB" w:rsidRDefault="00962FCB" w:rsidP="00962FCB">
      <w:pPr>
        <w:rPr>
          <w:rFonts w:ascii="仿宋" w:eastAsia="仿宋" w:hAnsi="仿宋" w:hint="eastAsia"/>
          <w:spacing w:val="-10"/>
          <w:sz w:val="32"/>
          <w:szCs w:val="32"/>
        </w:rPr>
      </w:pPr>
      <w:r>
        <w:rPr>
          <w:rFonts w:ascii="仿宋" w:eastAsia="仿宋" w:hAnsi="仿宋" w:hint="eastAsia"/>
          <w:spacing w:val="-10"/>
          <w:sz w:val="32"/>
          <w:szCs w:val="32"/>
        </w:rPr>
        <w:t xml:space="preserve"> </w:t>
      </w:r>
    </w:p>
    <w:p w:rsidR="00962FCB" w:rsidRDefault="00962FCB" w:rsidP="00962FCB">
      <w:pPr>
        <w:rPr>
          <w:rFonts w:ascii="仿宋" w:eastAsia="仿宋" w:hAnsi="仿宋" w:hint="eastAsia"/>
          <w:spacing w:val="-10"/>
          <w:sz w:val="32"/>
          <w:szCs w:val="32"/>
        </w:rPr>
      </w:pPr>
      <w:r>
        <w:rPr>
          <w:rFonts w:ascii="仿宋" w:eastAsia="仿宋" w:hAnsi="仿宋" w:hint="eastAsia"/>
          <w:spacing w:val="-10"/>
          <w:sz w:val="32"/>
          <w:szCs w:val="32"/>
        </w:rPr>
        <w:t xml:space="preserve">  </w:t>
      </w:r>
    </w:p>
    <w:p w:rsidR="00962FCB" w:rsidRDefault="00962FCB" w:rsidP="00962FCB">
      <w:pPr>
        <w:rPr>
          <w:rFonts w:ascii="仿宋" w:eastAsia="仿宋" w:hAnsi="仿宋" w:hint="eastAsia"/>
          <w:spacing w:val="-10"/>
          <w:sz w:val="32"/>
          <w:szCs w:val="32"/>
        </w:rPr>
      </w:pPr>
      <w:r>
        <w:rPr>
          <w:rFonts w:ascii="仿宋" w:eastAsia="仿宋" w:hAnsi="仿宋" w:hint="eastAsia"/>
          <w:spacing w:val="-10"/>
          <w:sz w:val="32"/>
          <w:szCs w:val="32"/>
        </w:rPr>
        <w:t xml:space="preserve"> </w:t>
      </w:r>
    </w:p>
    <w:p w:rsidR="00962FCB" w:rsidRDefault="00962FCB" w:rsidP="00962FCB">
      <w:pPr>
        <w:rPr>
          <w:rFonts w:ascii="仿宋" w:eastAsia="仿宋" w:hAnsi="仿宋" w:hint="eastAsia"/>
          <w:spacing w:val="-10"/>
          <w:sz w:val="32"/>
          <w:szCs w:val="32"/>
        </w:rPr>
      </w:pPr>
      <w:r>
        <w:rPr>
          <w:rFonts w:ascii="仿宋" w:eastAsia="仿宋" w:hAnsi="仿宋" w:hint="eastAsia"/>
          <w:spacing w:val="-10"/>
          <w:sz w:val="32"/>
          <w:szCs w:val="32"/>
        </w:rPr>
        <w:t xml:space="preserve"> </w:t>
      </w:r>
    </w:p>
    <w:p w:rsidR="00962FCB" w:rsidRDefault="00962FCB" w:rsidP="00962FCB">
      <w:pPr>
        <w:spacing w:line="520" w:lineRule="exact"/>
        <w:rPr>
          <w:rFonts w:ascii="仿宋" w:eastAsia="仿宋" w:hAnsi="仿宋" w:hint="eastAsia"/>
          <w:spacing w:val="-10"/>
          <w:sz w:val="32"/>
          <w:szCs w:val="32"/>
        </w:rPr>
      </w:pPr>
      <w:r>
        <w:rPr>
          <w:rFonts w:ascii="仿宋" w:eastAsia="仿宋" w:hAnsi="仿宋" w:hint="eastAsia"/>
          <w:spacing w:val="-10"/>
          <w:sz w:val="32"/>
          <w:szCs w:val="32"/>
        </w:rPr>
        <w:t>抄送：</w:t>
      </w:r>
      <w:r>
        <w:rPr>
          <w:rFonts w:ascii="仿宋" w:eastAsia="仿宋" w:hAnsi="仿宋" w:hint="eastAsia"/>
          <w:sz w:val="32"/>
          <w:szCs w:val="32"/>
        </w:rPr>
        <w:t>奉节县生态环境保护综合行政执法支队</w:t>
      </w:r>
      <w:r>
        <w:rPr>
          <w:rFonts w:ascii="仿宋" w:eastAsia="仿宋" w:hAnsi="仿宋" w:hint="eastAsia"/>
          <w:spacing w:val="-10"/>
          <w:sz w:val="32"/>
          <w:szCs w:val="32"/>
        </w:rPr>
        <w:t>，重庆环科源博达环保科技有限公司。</w:t>
      </w:r>
    </w:p>
    <w:p w:rsidR="00962FCB" w:rsidRDefault="00962FCB" w:rsidP="00962FCB">
      <w:pPr>
        <w:pStyle w:val="a3"/>
        <w:snapToGrid w:val="0"/>
        <w:spacing w:line="240" w:lineRule="atLeast"/>
        <w:jc w:val="both"/>
        <w:rPr>
          <w:rFonts w:ascii="方正仿宋_GBK" w:hAnsi="宋体" w:hint="eastAsia"/>
        </w:rPr>
      </w:pPr>
      <w:r>
        <w:rPr>
          <w:noProof/>
        </w:rPr>
        <w:drawing>
          <wp:inline distT="0" distB="0" distL="0" distR="0">
            <wp:extent cx="6086475" cy="19050"/>
            <wp:effectExtent l="19050" t="0" r="9525" b="0"/>
            <wp:docPr id="1" name="图片 1" descr="C:\Users\ADMINI~1.SKY\AppData\Local\Temp\ksohtml318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SKY\AppData\Local\Temp\ksohtml3180\wps1.png"/>
                    <pic:cNvPicPr>
                      <a:picLocks noChangeAspect="1" noChangeArrowheads="1"/>
                    </pic:cNvPicPr>
                  </pic:nvPicPr>
                  <pic:blipFill>
                    <a:blip r:embed="rId4" cstate="print"/>
                    <a:srcRect/>
                    <a:stretch>
                      <a:fillRect/>
                    </a:stretch>
                  </pic:blipFill>
                  <pic:spPr bwMode="auto">
                    <a:xfrm>
                      <a:off x="0" y="0"/>
                      <a:ext cx="6086475" cy="19050"/>
                    </a:xfrm>
                    <a:prstGeom prst="rect">
                      <a:avLst/>
                    </a:prstGeom>
                    <a:noFill/>
                    <a:ln w="9525">
                      <a:noFill/>
                      <a:miter lim="800000"/>
                      <a:headEnd/>
                      <a:tailEnd/>
                    </a:ln>
                  </pic:spPr>
                </pic:pic>
              </a:graphicData>
            </a:graphic>
          </wp:inline>
        </w:drawing>
      </w:r>
      <w:r>
        <w:rPr>
          <w:rFonts w:ascii="方正仿宋_GBK" w:hAnsi="宋体"/>
        </w:rPr>
        <w:t xml:space="preserve"> </w:t>
      </w:r>
    </w:p>
    <w:p w:rsidR="00B669AB" w:rsidRDefault="00B669AB"/>
    <w:sectPr w:rsidR="00B669AB" w:rsidSect="00962FCB">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2FCB"/>
    <w:rsid w:val="00962FCB"/>
    <w:rsid w:val="00B66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CB"/>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962FCB"/>
    <w:pPr>
      <w:widowControl/>
      <w:jc w:val="left"/>
    </w:pPr>
    <w:rPr>
      <w:kern w:val="0"/>
      <w:sz w:val="32"/>
      <w:szCs w:val="32"/>
    </w:rPr>
  </w:style>
  <w:style w:type="character" w:customStyle="1" w:styleId="Char">
    <w:name w:val="正文文本 Char"/>
    <w:basedOn w:val="a0"/>
    <w:link w:val="a3"/>
    <w:uiPriority w:val="99"/>
    <w:rsid w:val="00962FCB"/>
    <w:rPr>
      <w:rFonts w:ascii="Calibri" w:eastAsia="宋体" w:hAnsi="Calibri" w:cs="宋体"/>
      <w:kern w:val="0"/>
      <w:sz w:val="32"/>
      <w:szCs w:val="32"/>
    </w:rPr>
  </w:style>
  <w:style w:type="paragraph" w:customStyle="1" w:styleId="tb">
    <w:name w:val="tb"/>
    <w:basedOn w:val="a"/>
    <w:rsid w:val="00962FCB"/>
    <w:pPr>
      <w:spacing w:line="400" w:lineRule="atLeast"/>
    </w:pPr>
    <w:rPr>
      <w:rFonts w:ascii="宋体" w:hAnsi="Arial"/>
      <w:sz w:val="24"/>
      <w:szCs w:val="24"/>
    </w:rPr>
  </w:style>
  <w:style w:type="paragraph" w:styleId="a4">
    <w:name w:val="Balloon Text"/>
    <w:basedOn w:val="a"/>
    <w:link w:val="Char0"/>
    <w:uiPriority w:val="99"/>
    <w:semiHidden/>
    <w:unhideWhenUsed/>
    <w:rsid w:val="00962FCB"/>
    <w:rPr>
      <w:sz w:val="18"/>
      <w:szCs w:val="18"/>
    </w:rPr>
  </w:style>
  <w:style w:type="character" w:customStyle="1" w:styleId="Char0">
    <w:name w:val="批注框文本 Char"/>
    <w:basedOn w:val="a0"/>
    <w:link w:val="a4"/>
    <w:uiPriority w:val="99"/>
    <w:semiHidden/>
    <w:rsid w:val="00962FCB"/>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divs>
    <w:div w:id="1281037094">
      <w:bodyDiv w:val="1"/>
      <w:marLeft w:val="0"/>
      <w:marRight w:val="0"/>
      <w:marTop w:val="0"/>
      <w:marBottom w:val="0"/>
      <w:divBdr>
        <w:top w:val="none" w:sz="0" w:space="0" w:color="auto"/>
        <w:left w:val="none" w:sz="0" w:space="0" w:color="auto"/>
        <w:bottom w:val="none" w:sz="0" w:space="0" w:color="auto"/>
        <w:right w:val="none" w:sz="0" w:space="0" w:color="auto"/>
      </w:divBdr>
    </w:div>
    <w:div w:id="21470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2023-03-13T01:31:00Z</dcterms:created>
  <dcterms:modified xsi:type="dcterms:W3CDTF">2023-03-13T01:36:00Z</dcterms:modified>
</cp:coreProperties>
</file>