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line="240" w:lineRule="atLeast"/>
        <w:jc w:val="center"/>
        <w:rPr>
          <w:rFonts w:ascii="方正仿宋_GBK" w:hAnsi="方正仿宋_GBK"/>
        </w:rPr>
      </w:pPr>
    </w:p>
    <w:p>
      <w:pPr>
        <w:pStyle w:val="4"/>
        <w:snapToGrid w:val="0"/>
        <w:spacing w:line="240" w:lineRule="atLeast"/>
        <w:jc w:val="center"/>
        <w:rPr>
          <w:rFonts w:ascii="仿宋" w:hAnsi="仿宋" w:eastAsia="仿宋"/>
          <w:color w:val="FF0000"/>
          <w:sz w:val="44"/>
          <w:szCs w:val="44"/>
          <w:shd w:val="clear" w:color="auto" w:fill="FFFFFF"/>
        </w:rPr>
      </w:pPr>
      <w:r>
        <w:rPr>
          <w:rFonts w:hint="eastAsia" w:ascii="仿宋" w:hAnsi="仿宋" w:eastAsia="仿宋"/>
          <w:color w:val="FF0000"/>
          <w:sz w:val="44"/>
          <w:szCs w:val="44"/>
          <w:shd w:val="clear" w:color="auto" w:fill="FFFFFF"/>
        </w:rPr>
        <w:t>重庆市建设项目环境影响评价文件批准书</w:t>
      </w:r>
    </w:p>
    <w:p>
      <w:pPr>
        <w:adjustRightInd w:val="0"/>
        <w:snapToGrid w:val="0"/>
        <w:rPr>
          <w:rFonts w:hint="eastAsia" w:ascii="仿宋" w:hAnsi="仿宋" w:eastAsia="仿宋"/>
          <w:dstrike/>
          <w:spacing w:val="50"/>
          <w:sz w:val="28"/>
          <w:szCs w:val="28"/>
        </w:rPr>
      </w:pPr>
      <w:r>
        <w:rPr>
          <w:rFonts w:hint="eastAsia" w:ascii="仿宋" w:hAnsi="仿宋" w:eastAsia="仿宋"/>
          <w:spacing w:val="50"/>
          <w:sz w:val="28"/>
          <w:szCs w:val="28"/>
        </w:rPr>
        <w:t xml:space="preserve"> </w:t>
      </w:r>
      <w:r>
        <w:rPr>
          <w:rFonts w:hint="eastAsia" w:ascii="仿宋" w:hAnsi="仿宋" w:eastAsia="仿宋"/>
          <w:dstrike/>
          <w:spacing w:val="50"/>
          <w:sz w:val="28"/>
          <w:szCs w:val="28"/>
        </w:rPr>
        <w:t xml:space="preserve">                                    </w:t>
      </w:r>
    </w:p>
    <w:p>
      <w:pPr>
        <w:pStyle w:val="4"/>
        <w:snapToGrid w:val="0"/>
        <w:spacing w:line="240" w:lineRule="atLeast"/>
        <w:jc w:val="center"/>
        <w:rPr>
          <w:rFonts w:ascii="方正仿宋_GBK" w:hAnsi="方正仿宋_GBK"/>
        </w:rPr>
      </w:pPr>
      <w:bookmarkStart w:id="0" w:name="_GoBack"/>
      <w:bookmarkEnd w:id="0"/>
    </w:p>
    <w:p>
      <w:pPr>
        <w:pStyle w:val="4"/>
        <w:snapToGrid w:val="0"/>
        <w:spacing w:line="240" w:lineRule="atLeast"/>
        <w:jc w:val="center"/>
        <w:rPr>
          <w:rFonts w:ascii="方正仿宋_GBK" w:hAnsi="宋体"/>
        </w:rPr>
      </w:pPr>
      <w:r>
        <w:rPr>
          <w:rFonts w:ascii="方正仿宋_GBK" w:hAnsi="方正仿宋_GBK"/>
        </w:rPr>
        <w:t>渝（奉）环准〔</w:t>
      </w:r>
      <w:r>
        <w:rPr>
          <w:rFonts w:ascii="方正仿宋_GBK" w:hAnsi="宋体"/>
        </w:rPr>
        <w:t>2023〕15号</w:t>
      </w:r>
    </w:p>
    <w:p>
      <w:pPr>
        <w:pStyle w:val="9"/>
        <w:autoSpaceDE w:val="0"/>
        <w:spacing w:line="600" w:lineRule="exact"/>
        <w:rPr>
          <w:rFonts w:ascii="仿宋" w:hAnsi="仿宋" w:eastAsia="仿宋"/>
          <w:sz w:val="32"/>
          <w:szCs w:val="32"/>
        </w:rPr>
      </w:pPr>
      <w:r>
        <w:rPr>
          <w:rFonts w:hint="eastAsia" w:ascii="仿宋" w:hAnsi="仿宋" w:eastAsia="仿宋"/>
          <w:sz w:val="32"/>
          <w:szCs w:val="32"/>
        </w:rPr>
        <w:t>重庆地尊实业有限公司：</w:t>
      </w:r>
    </w:p>
    <w:p>
      <w:pPr>
        <w:pStyle w:val="9"/>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你单位报送的长兴环保材料生产项目环境影响评价文件审批申报表及相关材料收悉，根据《中华人民共和国环境影响评价法》等法律法规的有关规定，我局原则同意重庆后科环保有限责任公司编制的项目环境影响报告表结论及其提出的环境保护措施。</w:t>
      </w:r>
    </w:p>
    <w:p>
      <w:pPr>
        <w:pStyle w:val="9"/>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一、该项目的建设内容和建设规模为：</w:t>
      </w:r>
    </w:p>
    <w:p>
      <w:pPr>
        <w:autoSpaceDE w:val="0"/>
        <w:snapToGrid w:val="0"/>
        <w:spacing w:line="600" w:lineRule="exact"/>
        <w:ind w:firstLine="480" w:firstLineChars="150"/>
        <w:rPr>
          <w:rFonts w:hint="eastAsia" w:ascii="仿宋" w:hAnsi="仿宋" w:eastAsia="仿宋"/>
          <w:sz w:val="32"/>
          <w:szCs w:val="32"/>
        </w:rPr>
      </w:pPr>
      <w:r>
        <w:rPr>
          <w:rFonts w:hint="eastAsia" w:ascii="仿宋" w:hAnsi="仿宋" w:eastAsia="仿宋"/>
          <w:sz w:val="32"/>
          <w:szCs w:val="32"/>
        </w:rPr>
        <w:t>本项目位于重庆市奉节县鹤峰乡长连村1组53号，项目由主体工程（采区石灰石矿开采、工业场地）、辅助工程（弃渣场、办公生活区、储矿场、柴油储存罐）、公用工程（供电、供水工程）和环保工程组成，建设一条碎石加工生产线和一条机制砂生产线；项目矿区面积0.0726km</w:t>
      </w:r>
      <w:r>
        <w:rPr>
          <w:rFonts w:hint="eastAsia" w:ascii="仿宋" w:hAnsi="仿宋" w:eastAsia="仿宋"/>
          <w:sz w:val="32"/>
          <w:szCs w:val="32"/>
          <w:vertAlign w:val="superscript"/>
        </w:rPr>
        <w:t>2</w:t>
      </w:r>
      <w:r>
        <w:rPr>
          <w:rFonts w:hint="eastAsia" w:ascii="仿宋" w:hAnsi="仿宋" w:eastAsia="仿宋"/>
          <w:sz w:val="32"/>
          <w:szCs w:val="32"/>
        </w:rPr>
        <w:t>，矿区范围由7个拐点坐标圈闭，开采标高+920m～+830m，开采层位：三叠系下统嘉陵江组（</w:t>
      </w:r>
      <w:r>
        <w:rPr>
          <w:rFonts w:hint="eastAsia" w:ascii="仿宋" w:hAnsi="仿宋" w:eastAsia="仿宋"/>
          <w:i/>
          <w:iCs/>
          <w:sz w:val="32"/>
          <w:szCs w:val="32"/>
        </w:rPr>
        <w:t>T</w:t>
      </w:r>
      <w:r>
        <w:rPr>
          <w:rFonts w:hint="eastAsia" w:ascii="仿宋" w:hAnsi="仿宋" w:eastAsia="仿宋"/>
          <w:sz w:val="32"/>
          <w:szCs w:val="32"/>
          <w:vertAlign w:val="subscript"/>
        </w:rPr>
        <w:t>1</w:t>
      </w:r>
      <w:r>
        <w:rPr>
          <w:rFonts w:hint="eastAsia" w:ascii="仿宋" w:hAnsi="仿宋" w:eastAsia="仿宋"/>
          <w:i/>
          <w:iCs/>
          <w:sz w:val="32"/>
          <w:szCs w:val="32"/>
        </w:rPr>
        <w:t>j</w:t>
      </w:r>
      <w:r>
        <w:rPr>
          <w:rFonts w:hint="eastAsia" w:ascii="仿宋" w:hAnsi="仿宋" w:eastAsia="仿宋"/>
          <w:sz w:val="32"/>
          <w:szCs w:val="32"/>
          <w:vertAlign w:val="superscript"/>
        </w:rPr>
        <w:t>3</w:t>
      </w:r>
      <w:r>
        <w:rPr>
          <w:rFonts w:hint="eastAsia" w:ascii="仿宋" w:hAnsi="仿宋" w:eastAsia="仿宋"/>
          <w:sz w:val="32"/>
          <w:szCs w:val="32"/>
        </w:rPr>
        <w:t>）第三段石灰岩矿层。</w:t>
      </w:r>
      <w:r>
        <w:rPr>
          <w:rFonts w:hint="eastAsia" w:ascii="仿宋" w:hAnsi="仿宋" w:eastAsia="仿宋"/>
          <w:color w:val="000000"/>
          <w:sz w:val="32"/>
          <w:szCs w:val="32"/>
        </w:rPr>
        <w:t>项目开采规模为51万吨/年，</w:t>
      </w:r>
      <w:r>
        <w:rPr>
          <w:rFonts w:hint="eastAsia" w:ascii="仿宋" w:hAnsi="仿宋" w:eastAsia="仿宋"/>
          <w:sz w:val="32"/>
          <w:szCs w:val="32"/>
        </w:rPr>
        <w:t>石灰岩开采后就地加工破碎，经筛分系统分选出不同粒径的碎石产品，进入产品堆放区，外售作为建筑材料。项目总投资5000万元，其中环保投资156万元。</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二、该项目在设计、建设和运行过程中，应认真落实本项目环境影响报告表中提出的各项生态保护及污染防治措施，严格执行相关污染物排放标准和总量控制的要求，并重点做好以下工作：</w:t>
      </w:r>
    </w:p>
    <w:p>
      <w:pPr>
        <w:pStyle w:val="8"/>
        <w:widowControl w:val="0"/>
        <w:autoSpaceDE w:val="0"/>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（一）水污染防治措施。初期雨水经沟渠收集排至沉砂池，沉淀处理后用于场区洒水；破碎工艺废水收集至污水处理系统，经处</w:t>
      </w:r>
    </w:p>
    <w:p>
      <w:pPr>
        <w:pStyle w:val="8"/>
        <w:widowControl w:val="0"/>
        <w:autoSpaceDE w:val="0"/>
        <w:spacing w:line="600" w:lineRule="exact"/>
        <w:jc w:val="both"/>
        <w:rPr>
          <w:rFonts w:hint="eastAsia" w:ascii="仿宋" w:hAnsi="仿宋" w:eastAsia="仿宋"/>
          <w:sz w:val="32"/>
          <w:szCs w:val="32"/>
        </w:rPr>
      </w:pPr>
      <w:r>
        <w:rPr>
          <w:rFonts w:hint="eastAsia" w:ascii="仿宋" w:hAnsi="仿宋" w:eastAsia="仿宋"/>
          <w:color w:val="000000"/>
          <w:sz w:val="32"/>
          <w:szCs w:val="32"/>
        </w:rPr>
        <w:t>理后上清液回用至洗砂环节，</w:t>
      </w:r>
      <w:r>
        <w:rPr>
          <w:rFonts w:hint="eastAsia" w:ascii="仿宋" w:hAnsi="仿宋" w:eastAsia="仿宋"/>
          <w:sz w:val="32"/>
          <w:szCs w:val="32"/>
        </w:rPr>
        <w:t>不外排</w:t>
      </w:r>
      <w:r>
        <w:rPr>
          <w:rFonts w:hint="eastAsia" w:ascii="仿宋" w:hAnsi="仿宋" w:eastAsia="仿宋"/>
          <w:color w:val="000000"/>
          <w:sz w:val="32"/>
          <w:szCs w:val="32"/>
        </w:rPr>
        <w:t>；洗车废水经隔油、沉淀池处理后回用，不外排；生活污水经</w:t>
      </w:r>
      <w:r>
        <w:rPr>
          <w:rFonts w:hint="eastAsia" w:ascii="仿宋" w:hAnsi="仿宋" w:eastAsia="仿宋"/>
          <w:sz w:val="32"/>
          <w:szCs w:val="32"/>
        </w:rPr>
        <w:t>化粪池处理后</w:t>
      </w:r>
      <w:r>
        <w:rPr>
          <w:rFonts w:hint="eastAsia" w:ascii="仿宋" w:hAnsi="仿宋" w:eastAsia="仿宋"/>
          <w:color w:val="000000"/>
          <w:sz w:val="32"/>
          <w:szCs w:val="32"/>
        </w:rPr>
        <w:t>用作林灌，不外排</w:t>
      </w:r>
      <w:r>
        <w:rPr>
          <w:rFonts w:hint="eastAsia" w:ascii="仿宋" w:hAnsi="仿宋" w:eastAsia="仿宋"/>
          <w:sz w:val="32"/>
          <w:szCs w:val="32"/>
        </w:rPr>
        <w:t>。</w:t>
      </w:r>
    </w:p>
    <w:p>
      <w:pPr>
        <w:pStyle w:val="8"/>
        <w:widowControl w:val="0"/>
        <w:autoSpaceDE w:val="0"/>
        <w:spacing w:line="600" w:lineRule="exact"/>
        <w:ind w:firstLine="640" w:firstLineChars="200"/>
        <w:jc w:val="both"/>
        <w:rPr>
          <w:rFonts w:hint="eastAsia" w:ascii="仿宋" w:hAnsi="仿宋" w:eastAsia="仿宋"/>
          <w:color w:val="000000"/>
          <w:kern w:val="2"/>
          <w:sz w:val="32"/>
          <w:szCs w:val="32"/>
        </w:rPr>
      </w:pPr>
      <w:r>
        <w:rPr>
          <w:rFonts w:hint="eastAsia" w:ascii="仿宋" w:hAnsi="仿宋" w:eastAsia="仿宋"/>
          <w:kern w:val="2"/>
          <w:sz w:val="32"/>
          <w:szCs w:val="32"/>
        </w:rPr>
        <w:t>（二）废气污染治理措施。施工期定期洒水抑尘，施工区道路硬化，</w:t>
      </w:r>
      <w:r>
        <w:rPr>
          <w:rFonts w:hint="eastAsia" w:ascii="仿宋" w:hAnsi="仿宋" w:eastAsia="仿宋"/>
          <w:color w:val="000000"/>
          <w:kern w:val="2"/>
          <w:sz w:val="32"/>
          <w:szCs w:val="32"/>
        </w:rPr>
        <w:t>运输车辆采取蓬盖、密闭等措施。</w:t>
      </w:r>
      <w:r>
        <w:rPr>
          <w:rFonts w:hint="eastAsia" w:ascii="仿宋" w:hAnsi="仿宋" w:eastAsia="仿宋"/>
          <w:sz w:val="32"/>
          <w:szCs w:val="32"/>
        </w:rPr>
        <w:t>采用湿式作业，定期对开采面进行洒水抑尘，</w:t>
      </w:r>
      <w:r>
        <w:rPr>
          <w:rFonts w:hint="eastAsia" w:ascii="仿宋" w:hAnsi="仿宋" w:eastAsia="仿宋"/>
          <w:kern w:val="2"/>
          <w:sz w:val="32"/>
          <w:szCs w:val="32"/>
        </w:rPr>
        <w:t>表层剥离土</w:t>
      </w:r>
      <w:r>
        <w:rPr>
          <w:rFonts w:hint="eastAsia" w:ascii="仿宋" w:hAnsi="仿宋" w:eastAsia="仿宋"/>
          <w:color w:val="000000"/>
          <w:kern w:val="2"/>
          <w:sz w:val="32"/>
          <w:szCs w:val="32"/>
        </w:rPr>
        <w:t>及时运至</w:t>
      </w:r>
      <w:r>
        <w:rPr>
          <w:rFonts w:hint="eastAsia" w:ascii="仿宋" w:hAnsi="仿宋" w:eastAsia="仿宋"/>
          <w:sz w:val="32"/>
          <w:szCs w:val="32"/>
        </w:rPr>
        <w:t>表土堆场；修建密闭的破碎筛分生产车间</w:t>
      </w:r>
      <w:r>
        <w:rPr>
          <w:rFonts w:hint="eastAsia" w:ascii="仿宋" w:hAnsi="仿宋" w:eastAsia="仿宋"/>
          <w:color w:val="000000"/>
          <w:kern w:val="2"/>
          <w:sz w:val="32"/>
          <w:szCs w:val="32"/>
        </w:rPr>
        <w:t>进行破碎，配置布袋除尘器，进行</w:t>
      </w:r>
      <w:r>
        <w:rPr>
          <w:rFonts w:hint="eastAsia" w:ascii="仿宋" w:hAnsi="仿宋" w:eastAsia="仿宋"/>
          <w:sz w:val="32"/>
          <w:szCs w:val="32"/>
        </w:rPr>
        <w:t>除尘后经排气筒排放。</w:t>
      </w:r>
      <w:r>
        <w:rPr>
          <w:rFonts w:hint="eastAsia" w:ascii="仿宋" w:hAnsi="仿宋" w:eastAsia="仿宋"/>
          <w:color w:val="000000"/>
          <w:kern w:val="2"/>
          <w:sz w:val="32"/>
          <w:szCs w:val="32"/>
        </w:rPr>
        <w:t>弃渣场、产品堆场配置洒水除尘设备;产品堆场临空区设置挡墙,顶部设顶棚。</w:t>
      </w:r>
    </w:p>
    <w:p>
      <w:pPr>
        <w:pStyle w:val="9"/>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（三）噪声污染防治措施。合理安排施工进度、选用低噪声设备，加强设备维护保养。</w:t>
      </w:r>
      <w:r>
        <w:rPr>
          <w:rFonts w:hint="eastAsia" w:ascii="仿宋" w:hAnsi="仿宋" w:eastAsia="仿宋"/>
          <w:kern w:val="0"/>
          <w:sz w:val="32"/>
          <w:szCs w:val="32"/>
        </w:rPr>
        <w:t>采用先进的微差爆破装备，</w:t>
      </w:r>
      <w:r>
        <w:rPr>
          <w:rFonts w:hint="eastAsia" w:ascii="仿宋" w:hAnsi="仿宋" w:eastAsia="仿宋"/>
          <w:sz w:val="32"/>
          <w:szCs w:val="32"/>
        </w:rPr>
        <w:t>合理安排爆破时间，尽量避开周围居民的休息时间；破碎工艺设备采取厂房隔声、减振等降噪措施</w:t>
      </w:r>
      <w:r>
        <w:rPr>
          <w:rFonts w:hint="eastAsia" w:ascii="仿宋" w:hAnsi="仿宋" w:eastAsia="仿宋"/>
          <w:kern w:val="0"/>
          <w:sz w:val="32"/>
          <w:szCs w:val="32"/>
        </w:rPr>
        <w:t>；禁止夜间作业，车辆行驶限速、禁鸣</w:t>
      </w:r>
      <w:r>
        <w:rPr>
          <w:rFonts w:hint="eastAsia" w:ascii="仿宋" w:hAnsi="仿宋" w:eastAsia="仿宋"/>
          <w:sz w:val="32"/>
          <w:szCs w:val="32"/>
        </w:rPr>
        <w:t>。</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四）固体废弃物污染治理措施。剥离表土运至表土堆场堆放，后期用于场地恢复；布袋除尘器收集的粉尘外售，污泥浓缩罐内污泥经压滤机压缩后和筛分渣土一起运至弃渣场堆放；生活垃圾集中收集后由当地环卫部门统一处置；危险废物暂存危废间后交由有资质单位进行处理。</w:t>
      </w:r>
    </w:p>
    <w:p>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五）生态环境保护措施。在采场四周坡顶据地形条件修筑截排水沟。矿区、工业场地、弃渣场四周设置截排水沟，实施绿色矿山建设方案，采取边开采边复垦的方式；按采矿区范围采矿，不得越界开采；矿区耕作层土壤单独剥离，剥离的表土单独堆存，并做好水土保持工作，用于后期矿区的土地复垦。弃渣场及时进行生态恢复。开采活动结束后，对地面构筑物进行全面清理，并对迹地范围进行复垦绿化。</w:t>
      </w:r>
    </w:p>
    <w:p>
      <w:pPr>
        <w:pStyle w:val="9"/>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六）严格环境风险防范。危废暂存间做好“四防”措施。柴油罐设置于地面构筑物内，储罐四周设围堰，围堰区内地面和围堰均作防腐防渗处理，设置危险品和防火标识，并配备消防灭火设施。制定相应的事故应急预案，并认真落实各项风险防范措施。</w:t>
      </w:r>
    </w:p>
    <w:p>
      <w:pPr>
        <w:pStyle w:val="9"/>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三、该项目建设必须严格执行环境保护设施与主体工程同时设计、同时施工、同时投入使用的环境保护“三同时”制度。项目竣工后，建设单位应按照有关规定对配套建设的环境保护设施进行验收。</w:t>
      </w:r>
    </w:p>
    <w:p>
      <w:pPr>
        <w:pStyle w:val="9"/>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pPr>
        <w:pStyle w:val="9"/>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五、请奉节县生态环境保护综合行政执法支队负责该项目环境保护日常监督管理工作。</w:t>
      </w:r>
    </w:p>
    <w:p>
      <w:pPr>
        <w:spacing w:line="640" w:lineRule="exact"/>
        <w:ind w:left="210" w:right="323" w:firstLine="646"/>
        <w:jc w:val="center"/>
        <w:rPr>
          <w:rFonts w:hint="eastAsia" w:ascii="仿宋" w:hAnsi="仿宋" w:eastAsia="仿宋"/>
          <w:sz w:val="32"/>
          <w:szCs w:val="32"/>
        </w:rPr>
      </w:pPr>
      <w:r>
        <w:rPr>
          <w:rFonts w:hint="eastAsia" w:ascii="仿宋" w:hAnsi="仿宋" w:eastAsia="仿宋"/>
          <w:sz w:val="32"/>
          <w:szCs w:val="32"/>
        </w:rPr>
        <w:t xml:space="preserve"> </w:t>
      </w:r>
    </w:p>
    <w:p>
      <w:pPr>
        <w:spacing w:line="600" w:lineRule="exact"/>
        <w:ind w:left="210" w:right="323" w:firstLine="646"/>
        <w:jc w:val="center"/>
        <w:rPr>
          <w:rFonts w:hint="eastAsia" w:ascii="仿宋" w:hAnsi="仿宋" w:eastAsia="仿宋"/>
          <w:sz w:val="32"/>
          <w:szCs w:val="32"/>
        </w:rPr>
      </w:pPr>
      <w:r>
        <w:rPr>
          <w:rFonts w:hint="eastAsia" w:ascii="仿宋" w:hAnsi="仿宋" w:eastAsia="仿宋"/>
          <w:sz w:val="32"/>
          <w:szCs w:val="32"/>
        </w:rPr>
        <w:t xml:space="preserve">                </w:t>
      </w:r>
    </w:p>
    <w:p>
      <w:pPr>
        <w:spacing w:line="600" w:lineRule="exact"/>
        <w:ind w:right="323"/>
        <w:jc w:val="both"/>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210" w:right="323" w:firstLine="646"/>
        <w:jc w:val="center"/>
        <w:textAlignment w:val="auto"/>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 xml:space="preserve"> 2023年4月6日</w:t>
      </w:r>
    </w:p>
    <w:p>
      <w:pPr>
        <w:keepNext w:val="0"/>
        <w:keepLines w:val="0"/>
        <w:pageBreakBefore w:val="0"/>
        <w:widowControl w:val="0"/>
        <w:kinsoku/>
        <w:wordWrap/>
        <w:overflowPunct/>
        <w:topLinePunct w:val="0"/>
        <w:autoSpaceDE/>
        <w:autoSpaceDN/>
        <w:bidi w:val="0"/>
        <w:adjustRightInd/>
        <w:snapToGrid/>
        <w:spacing w:line="400" w:lineRule="exact"/>
        <w:ind w:right="963"/>
        <w:textAlignment w:val="auto"/>
        <w:rPr>
          <w:rFonts w:hint="eastAsia" w:ascii="仿宋" w:hAnsi="仿宋" w:eastAsia="仿宋"/>
          <w:sz w:val="32"/>
          <w:szCs w:val="32"/>
        </w:rPr>
      </w:pP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963"/>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right="963"/>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right="963"/>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right="963"/>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spacing w:val="-6"/>
          <w:sz w:val="32"/>
          <w:szCs w:val="32"/>
          <w:u w:val="single"/>
          <w:lang w:val="en-US" w:eastAsia="zh-CN"/>
        </w:rPr>
      </w:pPr>
      <w:r>
        <w:rPr>
          <w:rFonts w:hint="eastAsia" w:ascii="仿宋" w:hAnsi="仿宋" w:eastAsia="仿宋"/>
          <w:spacing w:val="-6"/>
          <w:sz w:val="32"/>
          <w:szCs w:val="32"/>
        </w:rPr>
        <w:t>抄送:</w:t>
      </w:r>
      <w:r>
        <w:rPr>
          <w:rFonts w:hint="eastAsia" w:ascii="仿宋" w:hAnsi="仿宋" w:eastAsia="仿宋"/>
          <w:sz w:val="32"/>
          <w:szCs w:val="32"/>
        </w:rPr>
        <w:t>奉节县生态环境保护综合行政执法支队</w:t>
      </w:r>
      <w:r>
        <w:rPr>
          <w:rFonts w:hint="eastAsia" w:ascii="仿宋" w:hAnsi="仿宋" w:eastAsia="仿宋"/>
          <w:spacing w:val="-6"/>
          <w:sz w:val="32"/>
          <w:szCs w:val="32"/>
        </w:rPr>
        <w:t>，</w:t>
      </w:r>
      <w:r>
        <w:rPr>
          <w:rFonts w:hint="eastAsia" w:ascii="仿宋" w:hAnsi="仿宋" w:eastAsia="仿宋"/>
          <w:sz w:val="32"/>
          <w:szCs w:val="32"/>
        </w:rPr>
        <w:t>重庆后科环保有限</w:t>
      </w:r>
      <w:r>
        <w:rPr>
          <w:rFonts w:hint="eastAsia" w:ascii="仿宋" w:hAnsi="仿宋" w:eastAsia="仿宋"/>
          <w:sz w:val="32"/>
          <w:szCs w:val="32"/>
          <w:u w:val="single"/>
        </w:rPr>
        <w:t>责任公司</w:t>
      </w:r>
      <w:r>
        <w:rPr>
          <w:rFonts w:hint="eastAsia" w:ascii="仿宋" w:hAnsi="仿宋" w:eastAsia="仿宋"/>
          <w:spacing w:val="-6"/>
          <w:sz w:val="32"/>
          <w:szCs w:val="32"/>
          <w:u w:val="single"/>
        </w:rPr>
        <w:t>。</w:t>
      </w:r>
      <w:r>
        <w:rPr>
          <w:rFonts w:hint="eastAsia" w:ascii="仿宋" w:hAnsi="仿宋" w:eastAsia="仿宋"/>
          <w:spacing w:val="-6"/>
          <w:sz w:val="32"/>
          <w:szCs w:val="32"/>
          <w:u w:val="single"/>
          <w:lang w:val="en-US" w:eastAsia="zh-CN"/>
        </w:rPr>
        <w:t xml:space="preserve">                                                   </w:t>
      </w:r>
    </w:p>
    <w:p>
      <w:pPr>
        <w:spacing w:line="600" w:lineRule="exact"/>
        <w:rPr>
          <w:rFonts w:hint="eastAsia" w:ascii="方正仿宋_GBK" w:hAnsi="方正仿宋_GBK"/>
        </w:rPr>
      </w:pPr>
      <w:r>
        <w:rPr>
          <w:rFonts w:ascii="方正仿宋_GBK" w:hAnsi="方正仿宋_GBK"/>
        </w:rPr>
        <w:t xml:space="preserve"> </w:t>
      </w:r>
    </w:p>
    <w:p/>
    <w:sectPr>
      <w:pgSz w:w="11906" w:h="16838"/>
      <w:pgMar w:top="1440" w:right="1259" w:bottom="1259"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4B1D"/>
    <w:rsid w:val="001D7361"/>
    <w:rsid w:val="00E04B1D"/>
    <w:rsid w:val="39785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next w:val="2"/>
    <w:unhideWhenUsed/>
    <w:qFormat/>
    <w:uiPriority w:val="99"/>
    <w:pPr>
      <w:adjustRightInd w:val="0"/>
      <w:snapToGrid w:val="0"/>
      <w:spacing w:line="360" w:lineRule="auto"/>
      <w:ind w:firstLine="480"/>
    </w:pPr>
    <w:rPr>
      <w:rFonts w:ascii="仿宋_GB2312" w:hAnsi="宋体" w:eastAsia="仿宋_GB2312"/>
      <w:sz w:val="24"/>
      <w:szCs w:val="24"/>
    </w:rPr>
  </w:style>
  <w:style w:type="paragraph" w:styleId="4">
    <w:name w:val="Body Text"/>
    <w:basedOn w:val="1"/>
    <w:link w:val="10"/>
    <w:unhideWhenUsed/>
    <w:uiPriority w:val="99"/>
    <w:pPr>
      <w:widowControl/>
      <w:jc w:val="left"/>
    </w:pPr>
    <w:rPr>
      <w:kern w:val="0"/>
      <w:sz w:val="32"/>
      <w:szCs w:val="32"/>
    </w:rPr>
  </w:style>
  <w:style w:type="paragraph" w:styleId="5">
    <w:name w:val="Balloon Text"/>
    <w:basedOn w:val="1"/>
    <w:link w:val="11"/>
    <w:semiHidden/>
    <w:unhideWhenUsed/>
    <w:uiPriority w:val="99"/>
    <w:rPr>
      <w:sz w:val="18"/>
      <w:szCs w:val="18"/>
    </w:rPr>
  </w:style>
  <w:style w:type="paragraph" w:customStyle="1" w:styleId="8">
    <w:name w:val="表格文字-hao-居中"/>
    <w:basedOn w:val="1"/>
    <w:qFormat/>
    <w:uiPriority w:val="0"/>
    <w:pPr>
      <w:widowControl/>
      <w:adjustRightInd w:val="0"/>
      <w:snapToGrid w:val="0"/>
      <w:jc w:val="center"/>
      <w:textAlignment w:val="center"/>
    </w:pPr>
    <w:rPr>
      <w:rFonts w:ascii="Times New Roman" w:hAnsi="Times New Roman" w:cs="Times New Roman"/>
      <w:kern w:val="0"/>
    </w:rPr>
  </w:style>
  <w:style w:type="paragraph" w:customStyle="1" w:styleId="9">
    <w:name w:val="tb"/>
    <w:basedOn w:val="1"/>
    <w:qFormat/>
    <w:uiPriority w:val="0"/>
    <w:pPr>
      <w:spacing w:line="400" w:lineRule="atLeast"/>
    </w:pPr>
    <w:rPr>
      <w:rFonts w:ascii="宋体" w:hAnsi="Arial"/>
      <w:sz w:val="24"/>
      <w:szCs w:val="24"/>
    </w:rPr>
  </w:style>
  <w:style w:type="character" w:customStyle="1" w:styleId="10">
    <w:name w:val="正文文本 Char"/>
    <w:basedOn w:val="7"/>
    <w:link w:val="4"/>
    <w:uiPriority w:val="99"/>
    <w:rPr>
      <w:rFonts w:ascii="Calibri" w:hAnsi="Calibri" w:eastAsia="宋体" w:cs="宋体"/>
      <w:kern w:val="0"/>
      <w:sz w:val="32"/>
      <w:szCs w:val="32"/>
    </w:rPr>
  </w:style>
  <w:style w:type="character" w:customStyle="1" w:styleId="11">
    <w:name w:val="批注框文本 Char"/>
    <w:basedOn w:val="7"/>
    <w:link w:val="5"/>
    <w:semiHidden/>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241</Words>
  <Characters>1379</Characters>
  <Lines>11</Lines>
  <Paragraphs>3</Paragraphs>
  <TotalTime>0</TotalTime>
  <ScaleCrop>false</ScaleCrop>
  <LinksUpToDate>false</LinksUpToDate>
  <CharactersWithSpaces>1617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2023-04-06T03:22:00Z</dcterms:created>
  <dc:creator>Administrator</dc:creator>
  <cp:lastModifiedBy>Administrator</cp:lastModifiedBy>
  <cp:lastPrinted>2023-04-06T03:33:26Z</cp:lastPrinted>
  <dcterms:modified xsi:type="dcterms:W3CDTF">2023-04-06T03:34:09Z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