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仿宋_GB2312"/>
          <w:color w:val="auto"/>
          <w:sz w:val="36"/>
          <w:szCs w:val="36"/>
          <w:highlight w:val="none"/>
          <w:lang w:eastAsia="zh-CN"/>
        </w:rPr>
      </w:pPr>
      <w:bookmarkStart w:id="7" w:name="_GoBack"/>
      <w:bookmarkEnd w:id="7"/>
      <w:r>
        <w:rPr>
          <w:rFonts w:hint="eastAsia" w:eastAsia="仿宋_GB2312"/>
          <w:color w:val="auto"/>
          <w:sz w:val="36"/>
          <w:szCs w:val="36"/>
          <w:highlight w:val="none"/>
          <w:lang w:eastAsia="zh-CN"/>
        </w:rPr>
        <w:drawing>
          <wp:inline distT="0" distB="0" distL="114300" distR="114300">
            <wp:extent cx="5291455" cy="8246110"/>
            <wp:effectExtent l="0" t="0" r="4445" b="2540"/>
            <wp:docPr id="7" name="图片 7" descr="2 内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内封"/>
                    <pic:cNvPicPr>
                      <a:picLocks noChangeAspect="1"/>
                    </pic:cNvPicPr>
                  </pic:nvPicPr>
                  <pic:blipFill>
                    <a:blip r:embed="rId8"/>
                    <a:stretch>
                      <a:fillRect/>
                    </a:stretch>
                  </pic:blipFill>
                  <pic:spPr>
                    <a:xfrm>
                      <a:off x="0" y="0"/>
                      <a:ext cx="5291455" cy="8246110"/>
                    </a:xfrm>
                    <a:prstGeom prst="rect">
                      <a:avLst/>
                    </a:prstGeom>
                  </pic:spPr>
                </pic:pic>
              </a:graphicData>
            </a:graphic>
          </wp:inline>
        </w:drawing>
      </w:r>
    </w:p>
    <w:p>
      <w:pPr>
        <w:rPr>
          <w:rFonts w:hint="eastAsia" w:eastAsia="仿宋_GB2312"/>
          <w:color w:val="auto"/>
          <w:sz w:val="36"/>
          <w:szCs w:val="36"/>
          <w:highlight w:val="none"/>
          <w:lang w:eastAsia="zh-CN"/>
        </w:rPr>
      </w:pPr>
      <w:r>
        <w:rPr>
          <w:rFonts w:hint="eastAsia" w:eastAsia="仿宋_GB2312"/>
          <w:color w:val="auto"/>
          <w:sz w:val="36"/>
          <w:szCs w:val="36"/>
          <w:highlight w:val="none"/>
          <w:lang w:eastAsia="zh-CN"/>
        </w:rPr>
        <w:drawing>
          <wp:inline distT="0" distB="0" distL="114300" distR="114300">
            <wp:extent cx="5330190" cy="8232775"/>
            <wp:effectExtent l="0" t="0" r="3810" b="15875"/>
            <wp:docPr id="9" name="图片 9" descr="3 编制单位和编制人员情况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编制单位和编制人员情况表"/>
                    <pic:cNvPicPr>
                      <a:picLocks noChangeAspect="1"/>
                    </pic:cNvPicPr>
                  </pic:nvPicPr>
                  <pic:blipFill>
                    <a:blip r:embed="rId9"/>
                    <a:stretch>
                      <a:fillRect/>
                    </a:stretch>
                  </pic:blipFill>
                  <pic:spPr>
                    <a:xfrm>
                      <a:off x="0" y="0"/>
                      <a:ext cx="5330190" cy="8232775"/>
                    </a:xfrm>
                    <a:prstGeom prst="rect">
                      <a:avLst/>
                    </a:prstGeom>
                  </pic:spPr>
                </pic:pic>
              </a:graphicData>
            </a:graphic>
          </wp:inline>
        </w:drawing>
      </w:r>
    </w:p>
    <w:p>
      <w:pPr>
        <w:ind w:left="0" w:leftChars="0" w:firstLine="0" w:firstLineChars="0"/>
        <w:rPr>
          <w:rFonts w:hint="eastAsia" w:eastAsia="仿宋_GB2312"/>
          <w:color w:val="auto"/>
          <w:sz w:val="36"/>
          <w:szCs w:val="36"/>
          <w:highlight w:val="none"/>
          <w:lang w:eastAsia="zh-CN"/>
        </w:rPr>
      </w:pPr>
      <w:r>
        <w:rPr>
          <w:rFonts w:hint="eastAsia" w:eastAsia="仿宋_GB2312"/>
          <w:color w:val="auto"/>
          <w:sz w:val="36"/>
          <w:szCs w:val="36"/>
          <w:highlight w:val="none"/>
          <w:lang w:eastAsia="zh-CN"/>
        </w:rPr>
        <w:drawing>
          <wp:inline distT="0" distB="0" distL="114300" distR="114300">
            <wp:extent cx="5514975" cy="8258175"/>
            <wp:effectExtent l="0" t="0" r="9525" b="9525"/>
            <wp:docPr id="13" name="图片 13" descr="7 确认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 确认函"/>
                    <pic:cNvPicPr>
                      <a:picLocks noChangeAspect="1"/>
                    </pic:cNvPicPr>
                  </pic:nvPicPr>
                  <pic:blipFill>
                    <a:blip r:embed="rId10"/>
                    <a:stretch>
                      <a:fillRect/>
                    </a:stretch>
                  </pic:blipFill>
                  <pic:spPr>
                    <a:xfrm>
                      <a:off x="0" y="0"/>
                      <a:ext cx="5514975" cy="8258175"/>
                    </a:xfrm>
                    <a:prstGeom prst="rect">
                      <a:avLst/>
                    </a:prstGeom>
                  </pic:spPr>
                </pic:pic>
              </a:graphicData>
            </a:graphic>
          </wp:inline>
        </w:drawing>
      </w:r>
    </w:p>
    <w:p>
      <w:pPr>
        <w:pStyle w:val="24"/>
        <w:jc w:val="center"/>
        <w:outlineLvl w:val="0"/>
        <w:rPr>
          <w:rFonts w:ascii="Times New Roman" w:hAnsi="Times New Roman" w:eastAsia="黑体"/>
          <w:snapToGrid w:val="0"/>
          <w:color w:val="auto"/>
          <w:sz w:val="30"/>
          <w:szCs w:val="30"/>
          <w:highlight w:val="none"/>
        </w:rPr>
        <w:sectPr>
          <w:footerReference r:id="rId3" w:type="default"/>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4"/>
        <w:jc w:val="center"/>
        <w:outlineLvl w:val="0"/>
        <w:rPr>
          <w:rFonts w:hint="eastAsia" w:ascii="Times New Roman" w:hAnsi="Times New Roman" w:eastAsia="黑体"/>
          <w:snapToGrid w:val="0"/>
          <w:color w:val="auto"/>
          <w:sz w:val="30"/>
          <w:szCs w:val="30"/>
          <w:highlight w:val="none"/>
          <w:lang w:eastAsia="zh-CN"/>
        </w:rPr>
      </w:pPr>
      <w:r>
        <w:rPr>
          <w:rFonts w:hint="eastAsia" w:ascii="Times New Roman" w:hAnsi="Times New Roman" w:eastAsia="黑体"/>
          <w:snapToGrid w:val="0"/>
          <w:color w:val="auto"/>
          <w:sz w:val="30"/>
          <w:szCs w:val="30"/>
          <w:highlight w:val="none"/>
          <w:lang w:eastAsia="zh-CN"/>
        </w:rPr>
        <w:drawing>
          <wp:inline distT="0" distB="0" distL="114300" distR="114300">
            <wp:extent cx="5476875" cy="8251825"/>
            <wp:effectExtent l="0" t="0" r="9525" b="15875"/>
            <wp:docPr id="15" name="图片 15" descr="6 公示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公示承诺书"/>
                    <pic:cNvPicPr>
                      <a:picLocks noChangeAspect="1"/>
                    </pic:cNvPicPr>
                  </pic:nvPicPr>
                  <pic:blipFill>
                    <a:blip r:embed="rId11"/>
                    <a:stretch>
                      <a:fillRect/>
                    </a:stretch>
                  </pic:blipFill>
                  <pic:spPr>
                    <a:xfrm>
                      <a:off x="0" y="0"/>
                      <a:ext cx="5476875" cy="8251825"/>
                    </a:xfrm>
                    <a:prstGeom prst="rect">
                      <a:avLst/>
                    </a:prstGeom>
                  </pic:spPr>
                </pic:pic>
              </a:graphicData>
            </a:graphic>
          </wp:inline>
        </w:drawing>
      </w:r>
    </w:p>
    <w:p>
      <w:pPr>
        <w:pStyle w:val="24"/>
        <w:jc w:val="center"/>
        <w:outlineLvl w:val="0"/>
        <w:rPr>
          <w:rFonts w:ascii="Times New Roman" w:hAnsi="Times New Roman" w:eastAsia="黑体"/>
          <w:snapToGrid w:val="0"/>
          <w:color w:val="auto"/>
          <w:sz w:val="30"/>
          <w:szCs w:val="30"/>
          <w:highlight w:val="none"/>
        </w:rPr>
        <w:sectPr>
          <w:footerReference r:id="rId4" w:type="default"/>
          <w:pgSz w:w="11907" w:h="16840"/>
          <w:pgMar w:top="1701" w:right="1531" w:bottom="2127"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pPr>
        <w:pStyle w:val="24"/>
        <w:jc w:val="center"/>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0"/>
          <w:szCs w:val="30"/>
          <w:highlight w:val="none"/>
        </w:rPr>
        <w:t>一、建设项目基本情况</w:t>
      </w:r>
    </w:p>
    <w:tbl>
      <w:tblPr>
        <w:tblStyle w:val="29"/>
        <w:tblW w:w="901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
        <w:gridCol w:w="1213"/>
        <w:gridCol w:w="23"/>
        <w:gridCol w:w="2130"/>
        <w:gridCol w:w="1817"/>
        <w:gridCol w:w="3803"/>
        <w:gridCol w:w="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After w:val="1"/>
          <w:wAfter w:w="19" w:type="dxa"/>
          <w:trHeight w:val="724" w:hRule="atLeast"/>
          <w:jc w:val="center"/>
        </w:trPr>
        <w:tc>
          <w:tcPr>
            <w:tcW w:w="1224" w:type="dxa"/>
            <w:gridSpan w:val="2"/>
            <w:tcMar>
              <w:top w:w="16" w:type="dxa"/>
              <w:left w:w="16" w:type="dxa"/>
              <w:right w:w="16" w:type="dxa"/>
            </w:tcMar>
            <w:vAlign w:val="center"/>
          </w:tcPr>
          <w:p>
            <w:pPr>
              <w:adjustRightInd w:val="0"/>
              <w:snapToGrid w:val="0"/>
              <w:ind w:left="0" w:leftChars="0" w:firstLine="0" w:firstLineChars="0"/>
              <w:jc w:val="center"/>
              <w:rPr>
                <w:color w:val="auto"/>
                <w:sz w:val="24"/>
                <w:highlight w:val="none"/>
              </w:rPr>
            </w:pPr>
            <w:r>
              <w:rPr>
                <w:color w:val="auto"/>
                <w:sz w:val="24"/>
                <w:highlight w:val="none"/>
              </w:rPr>
              <w:t>建设项目名称</w:t>
            </w:r>
          </w:p>
        </w:tc>
        <w:tc>
          <w:tcPr>
            <w:tcW w:w="7773" w:type="dxa"/>
            <w:gridSpan w:val="4"/>
            <w:vAlign w:val="center"/>
          </w:tcPr>
          <w:p>
            <w:pPr>
              <w:adjustRightInd w:val="0"/>
              <w:snapToGrid w:val="0"/>
              <w:ind w:left="0" w:leftChars="0" w:firstLine="0" w:firstLineChars="0"/>
              <w:jc w:val="center"/>
              <w:rPr>
                <w:rFonts w:hint="eastAsia" w:eastAsia="宋体"/>
                <w:color w:val="auto"/>
                <w:sz w:val="24"/>
                <w:highlight w:val="none"/>
                <w:lang w:eastAsia="zh-CN"/>
              </w:rPr>
            </w:pPr>
            <w:r>
              <w:rPr>
                <w:rFonts w:hint="eastAsia"/>
                <w:color w:val="auto"/>
                <w:sz w:val="24"/>
                <w:highlight w:val="none"/>
                <w:lang w:eastAsia="zh-CN"/>
              </w:rPr>
              <w:t>羊市镇中心卫生院迁建工程编制项目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After w:val="1"/>
          <w:wAfter w:w="19" w:type="dxa"/>
          <w:trHeight w:val="497" w:hRule="atLeast"/>
          <w:jc w:val="center"/>
        </w:trPr>
        <w:tc>
          <w:tcPr>
            <w:tcW w:w="1224" w:type="dxa"/>
            <w:gridSpan w:val="2"/>
            <w:tcMar>
              <w:top w:w="16" w:type="dxa"/>
              <w:left w:w="16" w:type="dxa"/>
              <w:right w:w="16" w:type="dxa"/>
            </w:tcMar>
            <w:vAlign w:val="center"/>
          </w:tcPr>
          <w:p>
            <w:pPr>
              <w:adjustRightInd w:val="0"/>
              <w:snapToGrid w:val="0"/>
              <w:ind w:left="0" w:leftChars="0" w:firstLine="0" w:firstLineChars="0"/>
              <w:jc w:val="center"/>
              <w:rPr>
                <w:color w:val="auto"/>
                <w:sz w:val="24"/>
                <w:highlight w:val="none"/>
              </w:rPr>
            </w:pPr>
            <w:r>
              <w:rPr>
                <w:color w:val="auto"/>
                <w:sz w:val="24"/>
                <w:highlight w:val="none"/>
              </w:rPr>
              <w:t>项目代码</w:t>
            </w:r>
          </w:p>
        </w:tc>
        <w:tc>
          <w:tcPr>
            <w:tcW w:w="7773" w:type="dxa"/>
            <w:gridSpan w:val="4"/>
            <w:vAlign w:val="center"/>
          </w:tcPr>
          <w:p>
            <w:pPr>
              <w:adjustRightInd w:val="0"/>
              <w:snapToGrid w:val="0"/>
              <w:ind w:left="0" w:leftChars="0" w:firstLine="0" w:firstLineChars="0"/>
              <w:jc w:val="center"/>
              <w:rPr>
                <w:rFonts w:hint="default" w:eastAsia="宋体"/>
                <w:color w:val="auto"/>
                <w:sz w:val="24"/>
                <w:highlight w:val="none"/>
                <w:lang w:val="en-US" w:eastAsia="zh-CN"/>
              </w:rPr>
            </w:pPr>
            <w:r>
              <w:rPr>
                <w:rFonts w:hint="eastAsia"/>
                <w:color w:val="auto"/>
                <w:sz w:val="24"/>
                <w:highlight w:val="none"/>
                <w:lang w:eastAsia="zh-CN"/>
              </w:rPr>
              <w:t>2210-500236-04-05-836243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After w:val="1"/>
          <w:wAfter w:w="19" w:type="dxa"/>
          <w:trHeight w:val="497" w:hRule="atLeast"/>
          <w:jc w:val="center"/>
        </w:trPr>
        <w:tc>
          <w:tcPr>
            <w:tcW w:w="1224" w:type="dxa"/>
            <w:gridSpan w:val="2"/>
            <w:tcMar>
              <w:top w:w="16" w:type="dxa"/>
              <w:left w:w="16" w:type="dxa"/>
              <w:right w:w="16" w:type="dxa"/>
            </w:tcMar>
            <w:vAlign w:val="center"/>
          </w:tcPr>
          <w:p>
            <w:pPr>
              <w:adjustRightInd w:val="0"/>
              <w:snapToGrid w:val="0"/>
              <w:ind w:left="0" w:leftChars="0" w:firstLine="0" w:firstLineChars="0"/>
              <w:jc w:val="center"/>
              <w:rPr>
                <w:color w:val="auto"/>
                <w:sz w:val="24"/>
                <w:highlight w:val="none"/>
              </w:rPr>
            </w:pPr>
            <w:r>
              <w:rPr>
                <w:color w:val="auto"/>
                <w:sz w:val="24"/>
                <w:highlight w:val="none"/>
              </w:rPr>
              <w:t>建设单位联系人</w:t>
            </w:r>
          </w:p>
        </w:tc>
        <w:tc>
          <w:tcPr>
            <w:tcW w:w="2153" w:type="dxa"/>
            <w:gridSpan w:val="2"/>
            <w:vAlign w:val="center"/>
          </w:tcPr>
          <w:p>
            <w:pPr>
              <w:adjustRightInd w:val="0"/>
              <w:snapToGrid w:val="0"/>
              <w:ind w:left="0" w:leftChars="0" w:firstLine="0" w:firstLineChars="0"/>
              <w:jc w:val="center"/>
              <w:rPr>
                <w:rFonts w:hint="default" w:eastAsia="宋体"/>
                <w:color w:val="auto"/>
                <w:sz w:val="24"/>
                <w:highlight w:val="none"/>
                <w:lang w:val="en-US" w:eastAsia="zh-CN"/>
              </w:rPr>
            </w:pPr>
            <w:r>
              <w:rPr>
                <w:rFonts w:hint="eastAsia"/>
                <w:color w:val="auto"/>
                <w:sz w:val="24"/>
                <w:highlight w:val="none"/>
                <w:lang w:val="en-US" w:eastAsia="zh-CN"/>
              </w:rPr>
              <w:t>周勇</w:t>
            </w:r>
          </w:p>
        </w:tc>
        <w:tc>
          <w:tcPr>
            <w:tcW w:w="1817" w:type="dxa"/>
            <w:vAlign w:val="center"/>
          </w:tcPr>
          <w:p>
            <w:pPr>
              <w:adjustRightInd w:val="0"/>
              <w:snapToGrid w:val="0"/>
              <w:ind w:left="0" w:leftChars="0" w:firstLine="0" w:firstLineChars="0"/>
              <w:jc w:val="center"/>
              <w:rPr>
                <w:color w:val="auto"/>
                <w:sz w:val="24"/>
                <w:highlight w:val="none"/>
              </w:rPr>
            </w:pPr>
            <w:r>
              <w:rPr>
                <w:color w:val="auto"/>
                <w:sz w:val="24"/>
                <w:highlight w:val="none"/>
              </w:rPr>
              <w:t>联系方式</w:t>
            </w:r>
          </w:p>
        </w:tc>
        <w:tc>
          <w:tcPr>
            <w:tcW w:w="3803" w:type="dxa"/>
            <w:vAlign w:val="center"/>
          </w:tcPr>
          <w:p>
            <w:pPr>
              <w:adjustRightInd w:val="0"/>
              <w:snapToGrid w:val="0"/>
              <w:ind w:left="0" w:leftChars="0" w:firstLine="0" w:firstLineChars="0"/>
              <w:jc w:val="center"/>
              <w:rPr>
                <w:color w:val="auto"/>
                <w:sz w:val="24"/>
                <w:highlight w:val="none"/>
              </w:rPr>
            </w:pPr>
            <w:r>
              <w:rPr>
                <w:rFonts w:hint="eastAsia"/>
                <w:color w:val="auto"/>
                <w:sz w:val="24"/>
                <w:highlight w:val="none"/>
              </w:rPr>
              <w:t>177</w:t>
            </w:r>
            <w:r>
              <w:rPr>
                <w:rFonts w:hint="eastAsia"/>
                <w:color w:val="auto"/>
                <w:sz w:val="24"/>
                <w:highlight w:val="none"/>
                <w:lang w:val="en-US" w:eastAsia="zh-CN"/>
              </w:rPr>
              <w:t>*******</w:t>
            </w:r>
            <w:r>
              <w:rPr>
                <w:rFonts w:hint="eastAsia"/>
                <w:color w:val="auto"/>
                <w:sz w:val="24"/>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After w:val="1"/>
          <w:wAfter w:w="19" w:type="dxa"/>
          <w:trHeight w:val="497" w:hRule="atLeast"/>
          <w:jc w:val="center"/>
        </w:trPr>
        <w:tc>
          <w:tcPr>
            <w:tcW w:w="1224" w:type="dxa"/>
            <w:gridSpan w:val="2"/>
            <w:tcMar>
              <w:top w:w="16" w:type="dxa"/>
              <w:left w:w="16" w:type="dxa"/>
              <w:right w:w="16" w:type="dxa"/>
            </w:tcMar>
            <w:vAlign w:val="center"/>
          </w:tcPr>
          <w:p>
            <w:pPr>
              <w:adjustRightInd w:val="0"/>
              <w:snapToGrid w:val="0"/>
              <w:ind w:left="0" w:leftChars="0" w:firstLine="0" w:firstLineChars="0"/>
              <w:jc w:val="center"/>
              <w:rPr>
                <w:color w:val="auto"/>
                <w:sz w:val="24"/>
                <w:highlight w:val="none"/>
              </w:rPr>
            </w:pPr>
            <w:r>
              <w:rPr>
                <w:color w:val="auto"/>
                <w:sz w:val="24"/>
                <w:highlight w:val="none"/>
              </w:rPr>
              <w:t>建设地点</w:t>
            </w:r>
          </w:p>
        </w:tc>
        <w:tc>
          <w:tcPr>
            <w:tcW w:w="7773" w:type="dxa"/>
            <w:gridSpan w:val="4"/>
            <w:vAlign w:val="center"/>
          </w:tcPr>
          <w:p>
            <w:pPr>
              <w:adjustRightInd w:val="0"/>
              <w:snapToGrid w:val="0"/>
              <w:ind w:left="0" w:leftChars="0" w:firstLine="0" w:firstLineChars="0"/>
              <w:jc w:val="center"/>
              <w:rPr>
                <w:rFonts w:hint="default" w:eastAsia="宋体"/>
                <w:color w:val="auto"/>
                <w:sz w:val="24"/>
                <w:highlight w:val="none"/>
                <w:lang w:val="en-US" w:eastAsia="zh-CN"/>
              </w:rPr>
            </w:pPr>
            <w:r>
              <w:rPr>
                <w:rFonts w:hint="eastAsia"/>
                <w:color w:val="auto"/>
                <w:sz w:val="24"/>
                <w:highlight w:val="none"/>
                <w:u w:val="none"/>
                <w:lang w:eastAsia="zh-CN"/>
              </w:rPr>
              <w:t>奉节县羊市镇渔灯社区</w:t>
            </w:r>
            <w:r>
              <w:rPr>
                <w:rFonts w:hint="eastAsia"/>
                <w:color w:val="auto"/>
                <w:sz w:val="24"/>
                <w:highlight w:val="none"/>
                <w:u w:val="none"/>
                <w:lang w:val="en-US" w:eastAsia="zh-CN"/>
              </w:rPr>
              <w:t>15社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After w:val="1"/>
          <w:wAfter w:w="19" w:type="dxa"/>
          <w:trHeight w:val="497" w:hRule="atLeast"/>
          <w:jc w:val="center"/>
        </w:trPr>
        <w:tc>
          <w:tcPr>
            <w:tcW w:w="1224" w:type="dxa"/>
            <w:gridSpan w:val="2"/>
            <w:tcMar>
              <w:top w:w="16" w:type="dxa"/>
              <w:left w:w="16" w:type="dxa"/>
              <w:right w:w="16" w:type="dxa"/>
            </w:tcMar>
            <w:vAlign w:val="center"/>
          </w:tcPr>
          <w:p>
            <w:pPr>
              <w:adjustRightInd w:val="0"/>
              <w:snapToGrid w:val="0"/>
              <w:ind w:left="0" w:leftChars="0" w:firstLine="0" w:firstLineChars="0"/>
              <w:jc w:val="center"/>
              <w:rPr>
                <w:color w:val="auto"/>
                <w:sz w:val="24"/>
                <w:highlight w:val="none"/>
              </w:rPr>
            </w:pPr>
            <w:r>
              <w:rPr>
                <w:color w:val="auto"/>
                <w:sz w:val="24"/>
                <w:highlight w:val="none"/>
              </w:rPr>
              <w:t>地理坐标</w:t>
            </w:r>
          </w:p>
        </w:tc>
        <w:tc>
          <w:tcPr>
            <w:tcW w:w="7773" w:type="dxa"/>
            <w:gridSpan w:val="4"/>
            <w:vAlign w:val="center"/>
          </w:tcPr>
          <w:p>
            <w:pPr>
              <w:ind w:left="0" w:leftChars="0" w:firstLine="0" w:firstLineChars="0"/>
              <w:jc w:val="center"/>
              <w:rPr>
                <w:color w:val="auto"/>
                <w:sz w:val="24"/>
                <w:highlight w:val="none"/>
              </w:rPr>
            </w:pPr>
            <w:r>
              <w:rPr>
                <w:color w:val="auto"/>
                <w:sz w:val="24"/>
                <w:highlight w:val="none"/>
              </w:rPr>
              <w:t>（</w:t>
            </w:r>
            <w:r>
              <w:rPr>
                <w:rFonts w:hint="eastAsia"/>
                <w:color w:val="auto"/>
                <w:sz w:val="24"/>
                <w:highlight w:val="none"/>
                <w:u w:val="single"/>
                <w:lang w:val="en-US" w:eastAsia="zh-CN"/>
              </w:rPr>
              <w:t xml:space="preserve"> 109</w:t>
            </w:r>
            <w:r>
              <w:rPr>
                <w:color w:val="auto"/>
                <w:sz w:val="24"/>
                <w:highlight w:val="none"/>
                <w:u w:val="single"/>
              </w:rPr>
              <w:t xml:space="preserve"> </w:t>
            </w:r>
            <w:r>
              <w:rPr>
                <w:color w:val="auto"/>
                <w:sz w:val="24"/>
                <w:highlight w:val="none"/>
              </w:rPr>
              <w:t>度</w:t>
            </w:r>
            <w:r>
              <w:rPr>
                <w:color w:val="auto"/>
                <w:sz w:val="24"/>
                <w:highlight w:val="none"/>
                <w:u w:val="single"/>
              </w:rPr>
              <w:t xml:space="preserve"> </w:t>
            </w:r>
            <w:r>
              <w:rPr>
                <w:rFonts w:hint="eastAsia"/>
                <w:color w:val="auto"/>
                <w:sz w:val="24"/>
                <w:highlight w:val="none"/>
                <w:u w:val="single"/>
                <w:lang w:val="en-US" w:eastAsia="zh-CN"/>
              </w:rPr>
              <w:t>2</w:t>
            </w:r>
            <w:r>
              <w:rPr>
                <w:color w:val="auto"/>
                <w:sz w:val="24"/>
                <w:highlight w:val="none"/>
              </w:rPr>
              <w:t>分</w:t>
            </w:r>
            <w:r>
              <w:rPr>
                <w:color w:val="auto"/>
                <w:sz w:val="24"/>
                <w:highlight w:val="none"/>
                <w:u w:val="single"/>
              </w:rPr>
              <w:t xml:space="preserve">  </w:t>
            </w:r>
            <w:r>
              <w:rPr>
                <w:rFonts w:hint="eastAsia"/>
                <w:color w:val="auto"/>
                <w:sz w:val="24"/>
                <w:highlight w:val="none"/>
                <w:u w:val="single"/>
                <w:lang w:val="en-US" w:eastAsia="zh-CN"/>
              </w:rPr>
              <w:t>45.448</w:t>
            </w:r>
            <w:r>
              <w:rPr>
                <w:color w:val="auto"/>
                <w:sz w:val="24"/>
                <w:highlight w:val="none"/>
                <w:u w:val="single"/>
              </w:rPr>
              <w:t xml:space="preserve">  </w:t>
            </w:r>
            <w:r>
              <w:rPr>
                <w:color w:val="auto"/>
                <w:sz w:val="24"/>
                <w:highlight w:val="none"/>
              </w:rPr>
              <w:t>秒，</w:t>
            </w:r>
            <w:r>
              <w:rPr>
                <w:color w:val="auto"/>
                <w:sz w:val="24"/>
                <w:highlight w:val="none"/>
                <w:u w:val="single"/>
              </w:rPr>
              <w:t xml:space="preserve"> </w:t>
            </w:r>
            <w:r>
              <w:rPr>
                <w:rFonts w:hint="eastAsia"/>
                <w:color w:val="auto"/>
                <w:sz w:val="24"/>
                <w:highlight w:val="none"/>
                <w:u w:val="single"/>
                <w:lang w:val="en-US" w:eastAsia="zh-CN"/>
              </w:rPr>
              <w:t>30</w:t>
            </w:r>
            <w:r>
              <w:rPr>
                <w:color w:val="auto"/>
                <w:sz w:val="24"/>
                <w:highlight w:val="none"/>
                <w:u w:val="single"/>
              </w:rPr>
              <w:t xml:space="preserve"> </w:t>
            </w:r>
            <w:r>
              <w:rPr>
                <w:color w:val="auto"/>
                <w:sz w:val="24"/>
                <w:highlight w:val="none"/>
              </w:rPr>
              <w:t>度</w:t>
            </w:r>
            <w:r>
              <w:rPr>
                <w:color w:val="auto"/>
                <w:sz w:val="24"/>
                <w:highlight w:val="none"/>
                <w:u w:val="single"/>
              </w:rPr>
              <w:t xml:space="preserve"> </w:t>
            </w:r>
            <w:r>
              <w:rPr>
                <w:rFonts w:hint="eastAsia"/>
                <w:color w:val="auto"/>
                <w:sz w:val="24"/>
                <w:highlight w:val="none"/>
                <w:u w:val="single"/>
                <w:lang w:val="en-US" w:eastAsia="zh-CN"/>
              </w:rPr>
              <w:t>49</w:t>
            </w:r>
            <w:r>
              <w:rPr>
                <w:color w:val="auto"/>
                <w:sz w:val="24"/>
                <w:highlight w:val="none"/>
                <w:u w:val="single"/>
              </w:rPr>
              <w:t xml:space="preserve"> </w:t>
            </w:r>
            <w:r>
              <w:rPr>
                <w:color w:val="auto"/>
                <w:sz w:val="24"/>
                <w:highlight w:val="none"/>
              </w:rPr>
              <w:t>分</w:t>
            </w:r>
            <w:r>
              <w:rPr>
                <w:color w:val="auto"/>
                <w:sz w:val="24"/>
                <w:highlight w:val="none"/>
                <w:u w:val="single"/>
              </w:rPr>
              <w:t xml:space="preserve">  </w:t>
            </w:r>
            <w:r>
              <w:rPr>
                <w:rFonts w:hint="eastAsia"/>
                <w:color w:val="auto"/>
                <w:sz w:val="24"/>
                <w:highlight w:val="none"/>
                <w:u w:val="single"/>
                <w:lang w:val="en-US" w:eastAsia="zh-CN"/>
              </w:rPr>
              <w:t>23.724</w:t>
            </w:r>
            <w:r>
              <w:rPr>
                <w:color w:val="auto"/>
                <w:sz w:val="24"/>
                <w:highlight w:val="none"/>
                <w:u w:val="single"/>
              </w:rPr>
              <w:t xml:space="preserve"> </w:t>
            </w:r>
            <w:r>
              <w:rPr>
                <w:color w:val="auto"/>
                <w:sz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After w:val="1"/>
          <w:wAfter w:w="19" w:type="dxa"/>
          <w:trHeight w:val="561" w:hRule="atLeast"/>
          <w:jc w:val="center"/>
        </w:trPr>
        <w:tc>
          <w:tcPr>
            <w:tcW w:w="1224" w:type="dxa"/>
            <w:gridSpan w:val="2"/>
            <w:tcMar>
              <w:top w:w="16" w:type="dxa"/>
              <w:left w:w="16" w:type="dxa"/>
              <w:right w:w="16" w:type="dxa"/>
            </w:tcMar>
            <w:vAlign w:val="center"/>
          </w:tcPr>
          <w:p>
            <w:pPr>
              <w:adjustRightInd w:val="0"/>
              <w:snapToGrid w:val="0"/>
              <w:spacing w:line="240" w:lineRule="auto"/>
              <w:ind w:left="0" w:leftChars="0" w:firstLine="0" w:firstLineChars="0"/>
              <w:jc w:val="center"/>
              <w:rPr>
                <w:color w:val="auto"/>
                <w:sz w:val="24"/>
                <w:highlight w:val="none"/>
              </w:rPr>
            </w:pPr>
            <w:r>
              <w:rPr>
                <w:color w:val="auto"/>
                <w:sz w:val="24"/>
                <w:highlight w:val="none"/>
              </w:rPr>
              <w:t>国民经济</w:t>
            </w:r>
          </w:p>
          <w:p>
            <w:pPr>
              <w:adjustRightInd w:val="0"/>
              <w:snapToGrid w:val="0"/>
              <w:spacing w:line="240" w:lineRule="auto"/>
              <w:ind w:left="0" w:leftChars="0" w:firstLine="0" w:firstLineChars="0"/>
              <w:jc w:val="center"/>
              <w:rPr>
                <w:color w:val="auto"/>
                <w:sz w:val="24"/>
                <w:highlight w:val="none"/>
              </w:rPr>
            </w:pPr>
            <w:r>
              <w:rPr>
                <w:color w:val="auto"/>
                <w:sz w:val="24"/>
                <w:highlight w:val="none"/>
              </w:rPr>
              <w:t>行业类别</w:t>
            </w:r>
          </w:p>
        </w:tc>
        <w:tc>
          <w:tcPr>
            <w:tcW w:w="2153" w:type="dxa"/>
            <w:gridSpan w:val="2"/>
            <w:vAlign w:val="center"/>
          </w:tcPr>
          <w:p>
            <w:pPr>
              <w:bidi w:val="0"/>
              <w:spacing w:line="240" w:lineRule="auto"/>
              <w:ind w:left="0" w:leftChars="0" w:firstLine="0" w:firstLineChars="0"/>
              <w:rPr>
                <w:rFonts w:hint="default"/>
                <w:color w:val="auto"/>
                <w:highlight w:val="none"/>
                <w:lang w:val="en-US" w:eastAsia="zh-CN"/>
              </w:rPr>
            </w:pPr>
            <w:r>
              <w:rPr>
                <w:rFonts w:hint="eastAsia"/>
                <w:color w:val="auto"/>
                <w:highlight w:val="none"/>
                <w:lang w:val="en-US" w:eastAsia="zh-CN"/>
              </w:rPr>
              <w:t>Q8423 乡镇卫生院</w:t>
            </w:r>
          </w:p>
        </w:tc>
        <w:tc>
          <w:tcPr>
            <w:tcW w:w="1817" w:type="dxa"/>
            <w:vAlign w:val="center"/>
          </w:tcPr>
          <w:p>
            <w:pPr>
              <w:adjustRightInd w:val="0"/>
              <w:snapToGrid w:val="0"/>
              <w:spacing w:line="240" w:lineRule="auto"/>
              <w:ind w:left="0" w:leftChars="0" w:firstLine="0" w:firstLineChars="0"/>
              <w:jc w:val="center"/>
              <w:rPr>
                <w:color w:val="auto"/>
                <w:sz w:val="24"/>
                <w:highlight w:val="none"/>
              </w:rPr>
            </w:pPr>
            <w:bookmarkStart w:id="0" w:name="_Hlk49843745"/>
            <w:r>
              <w:rPr>
                <w:color w:val="auto"/>
                <w:sz w:val="24"/>
                <w:highlight w:val="none"/>
              </w:rPr>
              <w:t>建设项目</w:t>
            </w:r>
          </w:p>
          <w:p>
            <w:pPr>
              <w:adjustRightInd w:val="0"/>
              <w:snapToGrid w:val="0"/>
              <w:spacing w:line="240" w:lineRule="auto"/>
              <w:ind w:left="0" w:leftChars="0" w:firstLine="0" w:firstLineChars="0"/>
              <w:jc w:val="center"/>
              <w:rPr>
                <w:color w:val="auto"/>
                <w:sz w:val="24"/>
                <w:highlight w:val="none"/>
              </w:rPr>
            </w:pPr>
            <w:r>
              <w:rPr>
                <w:color w:val="auto"/>
                <w:sz w:val="24"/>
                <w:highlight w:val="none"/>
              </w:rPr>
              <w:t>行业类别</w:t>
            </w:r>
            <w:bookmarkEnd w:id="0"/>
          </w:p>
        </w:tc>
        <w:tc>
          <w:tcPr>
            <w:tcW w:w="3803" w:type="dxa"/>
            <w:vAlign w:val="center"/>
          </w:tcPr>
          <w:p>
            <w:pPr>
              <w:bidi w:val="0"/>
              <w:spacing w:line="240" w:lineRule="auto"/>
              <w:ind w:left="0" w:leftChars="0" w:firstLine="0" w:firstLineChars="0"/>
              <w:rPr>
                <w:rFonts w:hint="default" w:eastAsia="宋体"/>
                <w:color w:val="auto"/>
                <w:highlight w:val="none"/>
                <w:lang w:val="en-US" w:eastAsia="zh-CN"/>
              </w:rPr>
            </w:pPr>
            <w:r>
              <w:rPr>
                <w:rFonts w:hint="eastAsia"/>
                <w:color w:val="auto"/>
                <w:highlight w:val="none"/>
                <w:lang w:val="en-US" w:eastAsia="zh-CN"/>
              </w:rPr>
              <w:t>四十九、卫生84-108基层医疗卫生服务 842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After w:val="1"/>
          <w:wAfter w:w="19" w:type="dxa"/>
          <w:trHeight w:val="1219" w:hRule="atLeast"/>
          <w:jc w:val="center"/>
        </w:trPr>
        <w:tc>
          <w:tcPr>
            <w:tcW w:w="1224" w:type="dxa"/>
            <w:gridSpan w:val="2"/>
            <w:tcMar>
              <w:top w:w="16" w:type="dxa"/>
              <w:left w:w="16" w:type="dxa"/>
              <w:right w:w="16" w:type="dxa"/>
            </w:tcMar>
            <w:vAlign w:val="center"/>
          </w:tcPr>
          <w:p>
            <w:pPr>
              <w:adjustRightInd w:val="0"/>
              <w:snapToGrid w:val="0"/>
              <w:spacing w:line="240" w:lineRule="auto"/>
              <w:ind w:left="0" w:leftChars="0" w:firstLine="0" w:firstLineChars="0"/>
              <w:jc w:val="center"/>
              <w:rPr>
                <w:color w:val="auto"/>
                <w:sz w:val="24"/>
                <w:highlight w:val="none"/>
              </w:rPr>
            </w:pPr>
            <w:r>
              <w:rPr>
                <w:color w:val="auto"/>
                <w:sz w:val="24"/>
                <w:highlight w:val="none"/>
              </w:rPr>
              <w:t>建设性质</w:t>
            </w:r>
          </w:p>
        </w:tc>
        <w:tc>
          <w:tcPr>
            <w:tcW w:w="2153" w:type="dxa"/>
            <w:gridSpan w:val="2"/>
            <w:vAlign w:val="center"/>
          </w:tcPr>
          <w:p>
            <w:pPr>
              <w:spacing w:line="240" w:lineRule="auto"/>
              <w:ind w:left="0" w:leftChars="0" w:firstLine="0" w:firstLineChars="0"/>
              <w:jc w:val="left"/>
              <w:rPr>
                <w:color w:val="auto"/>
                <w:sz w:val="24"/>
                <w:highlight w:val="none"/>
              </w:rPr>
            </w:pPr>
            <w:r>
              <w:rPr>
                <w:color w:val="auto"/>
                <w:sz w:val="24"/>
                <w:highlight w:val="none"/>
              </w:rPr>
              <w:sym w:font="Wingdings 2" w:char="0052"/>
            </w:r>
            <w:r>
              <w:rPr>
                <w:color w:val="auto"/>
                <w:sz w:val="24"/>
                <w:highlight w:val="none"/>
              </w:rPr>
              <w:t>新建（迁建）</w:t>
            </w:r>
          </w:p>
          <w:p>
            <w:pPr>
              <w:spacing w:line="240" w:lineRule="auto"/>
              <w:ind w:left="0" w:leftChars="0" w:firstLine="0" w:firstLineChars="0"/>
              <w:jc w:val="left"/>
              <w:rPr>
                <w:color w:val="auto"/>
                <w:sz w:val="24"/>
                <w:highlight w:val="none"/>
              </w:rPr>
            </w:pPr>
            <w:r>
              <w:rPr>
                <w:color w:val="auto"/>
                <w:sz w:val="24"/>
                <w:highlight w:val="none"/>
              </w:rPr>
              <w:sym w:font="Wingdings 2" w:char="00A3"/>
            </w:r>
            <w:r>
              <w:rPr>
                <w:color w:val="auto"/>
                <w:sz w:val="24"/>
                <w:highlight w:val="none"/>
              </w:rPr>
              <w:t>改建</w:t>
            </w:r>
          </w:p>
          <w:p>
            <w:pPr>
              <w:spacing w:line="240" w:lineRule="auto"/>
              <w:ind w:left="0" w:leftChars="0" w:firstLine="0" w:firstLineChars="0"/>
              <w:jc w:val="left"/>
              <w:rPr>
                <w:color w:val="auto"/>
                <w:sz w:val="24"/>
                <w:highlight w:val="none"/>
              </w:rPr>
            </w:pPr>
            <w:r>
              <w:rPr>
                <w:color w:val="auto"/>
                <w:sz w:val="24"/>
                <w:highlight w:val="none"/>
              </w:rPr>
              <w:sym w:font="Wingdings 2" w:char="00A3"/>
            </w:r>
            <w:r>
              <w:rPr>
                <w:color w:val="auto"/>
                <w:sz w:val="24"/>
                <w:highlight w:val="none"/>
              </w:rPr>
              <w:t>扩建</w:t>
            </w:r>
          </w:p>
          <w:p>
            <w:pPr>
              <w:spacing w:line="240" w:lineRule="auto"/>
              <w:ind w:left="0" w:leftChars="0" w:firstLine="0" w:firstLineChars="0"/>
              <w:jc w:val="left"/>
              <w:rPr>
                <w:color w:val="auto"/>
                <w:sz w:val="24"/>
                <w:highlight w:val="none"/>
              </w:rPr>
            </w:pPr>
            <w:r>
              <w:rPr>
                <w:color w:val="auto"/>
                <w:sz w:val="24"/>
                <w:highlight w:val="none"/>
              </w:rPr>
              <w:sym w:font="Wingdings 2" w:char="00A3"/>
            </w:r>
            <w:r>
              <w:rPr>
                <w:color w:val="auto"/>
                <w:sz w:val="24"/>
                <w:highlight w:val="none"/>
              </w:rPr>
              <w:t>技术改造</w:t>
            </w:r>
          </w:p>
        </w:tc>
        <w:tc>
          <w:tcPr>
            <w:tcW w:w="1817" w:type="dxa"/>
            <w:vAlign w:val="center"/>
          </w:tcPr>
          <w:p>
            <w:pPr>
              <w:adjustRightInd w:val="0"/>
              <w:snapToGrid w:val="0"/>
              <w:spacing w:line="240" w:lineRule="auto"/>
              <w:ind w:left="0" w:leftChars="0" w:firstLine="0" w:firstLineChars="0"/>
              <w:jc w:val="center"/>
              <w:rPr>
                <w:color w:val="auto"/>
                <w:sz w:val="24"/>
                <w:highlight w:val="none"/>
              </w:rPr>
            </w:pPr>
            <w:r>
              <w:rPr>
                <w:color w:val="auto"/>
                <w:sz w:val="24"/>
                <w:highlight w:val="none"/>
              </w:rPr>
              <w:t>建设项目</w:t>
            </w:r>
          </w:p>
          <w:p>
            <w:pPr>
              <w:adjustRightInd w:val="0"/>
              <w:snapToGrid w:val="0"/>
              <w:spacing w:line="240" w:lineRule="auto"/>
              <w:ind w:left="0" w:leftChars="0" w:firstLine="0" w:firstLineChars="0"/>
              <w:jc w:val="center"/>
              <w:rPr>
                <w:color w:val="auto"/>
                <w:sz w:val="24"/>
                <w:highlight w:val="none"/>
              </w:rPr>
            </w:pPr>
            <w:r>
              <w:rPr>
                <w:color w:val="auto"/>
                <w:sz w:val="24"/>
                <w:highlight w:val="none"/>
              </w:rPr>
              <w:t>申报情形</w:t>
            </w:r>
          </w:p>
        </w:tc>
        <w:tc>
          <w:tcPr>
            <w:tcW w:w="3803" w:type="dxa"/>
            <w:vAlign w:val="center"/>
          </w:tcPr>
          <w:p>
            <w:pPr>
              <w:spacing w:line="240" w:lineRule="auto"/>
              <w:ind w:left="0" w:leftChars="0" w:firstLine="0" w:firstLineChars="0"/>
              <w:jc w:val="left"/>
              <w:rPr>
                <w:color w:val="auto"/>
                <w:sz w:val="24"/>
                <w:highlight w:val="none"/>
              </w:rPr>
            </w:pPr>
            <w:r>
              <w:rPr>
                <w:rFonts w:ascii="Wingdings 2" w:hAnsi="Wingdings 2"/>
                <w:color w:val="auto"/>
                <w:sz w:val="24"/>
                <w:highlight w:val="none"/>
              </w:rPr>
              <w:t></w:t>
            </w:r>
            <w:r>
              <w:rPr>
                <w:color w:val="auto"/>
                <w:sz w:val="24"/>
                <w:highlight w:val="none"/>
              </w:rPr>
              <w:t xml:space="preserve">首次申报项目             </w:t>
            </w:r>
          </w:p>
          <w:p>
            <w:pPr>
              <w:spacing w:line="240" w:lineRule="auto"/>
              <w:ind w:left="0" w:leftChars="0" w:firstLine="0" w:firstLineChars="0"/>
              <w:jc w:val="left"/>
              <w:rPr>
                <w:color w:val="auto"/>
                <w:sz w:val="24"/>
                <w:highlight w:val="none"/>
              </w:rPr>
            </w:pPr>
            <w:r>
              <w:rPr>
                <w:color w:val="auto"/>
                <w:sz w:val="24"/>
                <w:highlight w:val="none"/>
              </w:rPr>
              <w:sym w:font="Wingdings 2" w:char="00A3"/>
            </w:r>
            <w:r>
              <w:rPr>
                <w:color w:val="auto"/>
                <w:sz w:val="24"/>
                <w:highlight w:val="none"/>
              </w:rPr>
              <w:t>不予批准后再次申报项目</w:t>
            </w:r>
          </w:p>
          <w:p>
            <w:pPr>
              <w:spacing w:line="240" w:lineRule="auto"/>
              <w:ind w:left="0" w:leftChars="0" w:firstLine="0" w:firstLineChars="0"/>
              <w:jc w:val="left"/>
              <w:rPr>
                <w:color w:val="auto"/>
                <w:sz w:val="24"/>
                <w:highlight w:val="none"/>
              </w:rPr>
            </w:pPr>
            <w:r>
              <w:rPr>
                <w:color w:val="auto"/>
                <w:sz w:val="24"/>
                <w:highlight w:val="none"/>
              </w:rPr>
              <w:sym w:font="Wingdings 2" w:char="00A3"/>
            </w:r>
            <w:r>
              <w:rPr>
                <w:color w:val="auto"/>
                <w:sz w:val="24"/>
                <w:highlight w:val="none"/>
              </w:rPr>
              <w:t xml:space="preserve">超五年重新审核项目     </w:t>
            </w:r>
          </w:p>
          <w:p>
            <w:pPr>
              <w:spacing w:line="240" w:lineRule="auto"/>
              <w:ind w:left="0" w:leftChars="0" w:firstLine="0" w:firstLineChars="0"/>
              <w:jc w:val="left"/>
              <w:rPr>
                <w:color w:val="auto"/>
                <w:sz w:val="24"/>
                <w:highlight w:val="none"/>
              </w:rPr>
            </w:pPr>
            <w:r>
              <w:rPr>
                <w:color w:val="auto"/>
                <w:sz w:val="24"/>
                <w:highlight w:val="none"/>
              </w:rPr>
              <w:sym w:font="Wingdings 2" w:char="00A3"/>
            </w:r>
            <w:r>
              <w:rPr>
                <w:color w:val="auto"/>
                <w:sz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After w:val="1"/>
          <w:wAfter w:w="19" w:type="dxa"/>
          <w:trHeight w:val="851" w:hRule="atLeast"/>
          <w:jc w:val="center"/>
        </w:trPr>
        <w:tc>
          <w:tcPr>
            <w:tcW w:w="1224" w:type="dxa"/>
            <w:gridSpan w:val="2"/>
            <w:tcMar>
              <w:top w:w="16" w:type="dxa"/>
              <w:left w:w="16" w:type="dxa"/>
              <w:right w:w="16" w:type="dxa"/>
            </w:tcMar>
            <w:vAlign w:val="center"/>
          </w:tcPr>
          <w:p>
            <w:pPr>
              <w:adjustRightInd w:val="0"/>
              <w:snapToGrid w:val="0"/>
              <w:spacing w:line="240" w:lineRule="auto"/>
              <w:ind w:left="0" w:leftChars="0" w:firstLine="0" w:firstLineChars="0"/>
              <w:jc w:val="center"/>
              <w:rPr>
                <w:color w:val="auto"/>
                <w:sz w:val="24"/>
                <w:highlight w:val="none"/>
              </w:rPr>
            </w:pPr>
            <w:r>
              <w:rPr>
                <w:color w:val="auto"/>
                <w:sz w:val="24"/>
                <w:highlight w:val="none"/>
              </w:rPr>
              <w:t>项目审批（核准/</w:t>
            </w:r>
          </w:p>
          <w:p>
            <w:pPr>
              <w:adjustRightInd w:val="0"/>
              <w:snapToGrid w:val="0"/>
              <w:spacing w:line="240" w:lineRule="auto"/>
              <w:ind w:left="0" w:leftChars="0" w:firstLine="0" w:firstLineChars="0"/>
              <w:jc w:val="center"/>
              <w:rPr>
                <w:color w:val="auto"/>
                <w:sz w:val="24"/>
                <w:highlight w:val="none"/>
              </w:rPr>
            </w:pPr>
            <w:r>
              <w:rPr>
                <w:color w:val="auto"/>
                <w:sz w:val="24"/>
                <w:highlight w:val="none"/>
              </w:rPr>
              <w:t>备案）部门（选填）</w:t>
            </w:r>
          </w:p>
        </w:tc>
        <w:tc>
          <w:tcPr>
            <w:tcW w:w="2153" w:type="dxa"/>
            <w:gridSpan w:val="2"/>
            <w:vAlign w:val="center"/>
          </w:tcPr>
          <w:p>
            <w:pPr>
              <w:adjustRightInd w:val="0"/>
              <w:snapToGrid w:val="0"/>
              <w:spacing w:line="240" w:lineRule="auto"/>
              <w:ind w:left="0" w:leftChars="0" w:firstLine="0" w:firstLineChars="0"/>
              <w:jc w:val="center"/>
              <w:rPr>
                <w:color w:val="auto"/>
                <w:sz w:val="24"/>
                <w:highlight w:val="none"/>
              </w:rPr>
            </w:pPr>
            <w:r>
              <w:rPr>
                <w:color w:val="auto"/>
                <w:sz w:val="24"/>
                <w:highlight w:val="none"/>
              </w:rPr>
              <w:t>重庆市</w:t>
            </w:r>
            <w:r>
              <w:rPr>
                <w:rFonts w:hint="eastAsia"/>
                <w:color w:val="auto"/>
                <w:sz w:val="24"/>
                <w:highlight w:val="none"/>
                <w:lang w:val="en-US" w:eastAsia="zh-CN"/>
              </w:rPr>
              <w:t>奉节县</w:t>
            </w:r>
            <w:r>
              <w:rPr>
                <w:rFonts w:hint="eastAsia"/>
                <w:color w:val="auto"/>
                <w:sz w:val="24"/>
                <w:highlight w:val="none"/>
              </w:rPr>
              <w:t>发展和改革委员会</w:t>
            </w:r>
          </w:p>
        </w:tc>
        <w:tc>
          <w:tcPr>
            <w:tcW w:w="1817" w:type="dxa"/>
            <w:vAlign w:val="center"/>
          </w:tcPr>
          <w:p>
            <w:pPr>
              <w:adjustRightInd w:val="0"/>
              <w:snapToGrid w:val="0"/>
              <w:spacing w:line="240" w:lineRule="auto"/>
              <w:ind w:left="0" w:leftChars="0" w:firstLine="0" w:firstLineChars="0"/>
              <w:jc w:val="both"/>
              <w:rPr>
                <w:color w:val="auto"/>
                <w:sz w:val="24"/>
                <w:highlight w:val="none"/>
              </w:rPr>
            </w:pPr>
            <w:r>
              <w:rPr>
                <w:color w:val="auto"/>
                <w:sz w:val="24"/>
                <w:highlight w:val="none"/>
              </w:rPr>
              <w:t>项目审批（核准/备案）文号（选填）</w:t>
            </w:r>
          </w:p>
        </w:tc>
        <w:tc>
          <w:tcPr>
            <w:tcW w:w="3803" w:type="dxa"/>
            <w:vAlign w:val="center"/>
          </w:tcPr>
          <w:p>
            <w:pPr>
              <w:adjustRightInd w:val="0"/>
              <w:snapToGrid w:val="0"/>
              <w:spacing w:line="240" w:lineRule="auto"/>
              <w:ind w:left="0" w:leftChars="0" w:firstLine="0" w:firstLineChars="0"/>
              <w:jc w:val="center"/>
              <w:rPr>
                <w:rFonts w:hint="eastAsia" w:eastAsia="宋体"/>
                <w:color w:val="auto"/>
                <w:sz w:val="24"/>
                <w:highlight w:val="none"/>
                <w:lang w:eastAsia="zh-CN"/>
              </w:rPr>
            </w:pPr>
            <w:r>
              <w:rPr>
                <w:rFonts w:hint="eastAsia"/>
                <w:color w:val="auto"/>
                <w:sz w:val="24"/>
                <w:highlight w:val="none"/>
                <w:lang w:eastAsia="zh-CN"/>
              </w:rPr>
              <w:t>2210-500236-04-05-836243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After w:val="1"/>
          <w:wAfter w:w="19" w:type="dxa"/>
          <w:trHeight w:val="497" w:hRule="atLeast"/>
          <w:jc w:val="center"/>
        </w:trPr>
        <w:tc>
          <w:tcPr>
            <w:tcW w:w="1224" w:type="dxa"/>
            <w:gridSpan w:val="2"/>
            <w:tcMar>
              <w:top w:w="16" w:type="dxa"/>
              <w:left w:w="16" w:type="dxa"/>
              <w:right w:w="16" w:type="dxa"/>
            </w:tcMar>
            <w:vAlign w:val="center"/>
          </w:tcPr>
          <w:p>
            <w:pPr>
              <w:adjustRightInd w:val="0"/>
              <w:snapToGrid w:val="0"/>
              <w:spacing w:line="240" w:lineRule="auto"/>
              <w:ind w:left="0" w:leftChars="0" w:firstLine="0" w:firstLineChars="0"/>
              <w:jc w:val="center"/>
              <w:rPr>
                <w:color w:val="auto"/>
                <w:sz w:val="24"/>
                <w:highlight w:val="none"/>
              </w:rPr>
            </w:pPr>
            <w:r>
              <w:rPr>
                <w:color w:val="auto"/>
                <w:sz w:val="24"/>
                <w:highlight w:val="none"/>
              </w:rPr>
              <w:t>总投资（万元）</w:t>
            </w:r>
          </w:p>
        </w:tc>
        <w:tc>
          <w:tcPr>
            <w:tcW w:w="2153" w:type="dxa"/>
            <w:gridSpan w:val="2"/>
            <w:vAlign w:val="center"/>
          </w:tcPr>
          <w:p>
            <w:pPr>
              <w:adjustRightInd w:val="0"/>
              <w:snapToGrid w:val="0"/>
              <w:spacing w:line="240" w:lineRule="auto"/>
              <w:ind w:left="0" w:leftChars="0" w:firstLine="0" w:firstLineChars="0"/>
              <w:jc w:val="center"/>
              <w:rPr>
                <w:rFonts w:hint="default"/>
                <w:color w:val="auto"/>
                <w:sz w:val="24"/>
                <w:highlight w:val="none"/>
                <w:lang w:val="en-US"/>
              </w:rPr>
            </w:pPr>
            <w:r>
              <w:rPr>
                <w:rFonts w:hint="eastAsia" w:ascii="仿宋" w:hAnsi="仿宋" w:eastAsia="仿宋"/>
                <w:color w:val="auto"/>
                <w:sz w:val="24"/>
                <w:highlight w:val="none"/>
                <w:lang w:val="en-US" w:eastAsia="zh-CN"/>
              </w:rPr>
              <w:t>1000</w:t>
            </w:r>
          </w:p>
        </w:tc>
        <w:tc>
          <w:tcPr>
            <w:tcW w:w="1817" w:type="dxa"/>
            <w:tcMar>
              <w:top w:w="16" w:type="dxa"/>
              <w:left w:w="16" w:type="dxa"/>
              <w:right w:w="16" w:type="dxa"/>
            </w:tcMar>
            <w:vAlign w:val="center"/>
          </w:tcPr>
          <w:p>
            <w:pPr>
              <w:adjustRightInd w:val="0"/>
              <w:snapToGrid w:val="0"/>
              <w:spacing w:line="240" w:lineRule="auto"/>
              <w:ind w:left="0" w:leftChars="0" w:firstLine="0" w:firstLineChars="0"/>
              <w:jc w:val="center"/>
              <w:rPr>
                <w:color w:val="auto"/>
                <w:sz w:val="24"/>
                <w:highlight w:val="none"/>
              </w:rPr>
            </w:pPr>
            <w:r>
              <w:rPr>
                <w:color w:val="auto"/>
                <w:sz w:val="24"/>
                <w:highlight w:val="none"/>
              </w:rPr>
              <w:t>环保投资（万元）</w:t>
            </w:r>
          </w:p>
        </w:tc>
        <w:tc>
          <w:tcPr>
            <w:tcW w:w="3803" w:type="dxa"/>
            <w:vAlign w:val="center"/>
          </w:tcPr>
          <w:p>
            <w:pPr>
              <w:adjustRightInd w:val="0"/>
              <w:snapToGrid w:val="0"/>
              <w:spacing w:line="240" w:lineRule="auto"/>
              <w:ind w:left="0" w:leftChars="0" w:firstLine="0" w:firstLineChars="0"/>
              <w:jc w:val="center"/>
              <w:rPr>
                <w:rFonts w:hint="default" w:eastAsia="宋体"/>
                <w:color w:val="auto"/>
                <w:sz w:val="24"/>
                <w:highlight w:val="none"/>
                <w:lang w:val="en-US" w:eastAsia="zh-CN"/>
              </w:rPr>
            </w:pPr>
            <w:r>
              <w:rPr>
                <w:rFonts w:hint="eastAsia"/>
                <w:color w:val="auto"/>
                <w:sz w:val="24"/>
                <w:highlight w:val="none"/>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After w:val="1"/>
          <w:wAfter w:w="19" w:type="dxa"/>
          <w:trHeight w:val="497" w:hRule="atLeast"/>
          <w:jc w:val="center"/>
        </w:trPr>
        <w:tc>
          <w:tcPr>
            <w:tcW w:w="1224" w:type="dxa"/>
            <w:gridSpan w:val="2"/>
            <w:tcMar>
              <w:top w:w="16" w:type="dxa"/>
              <w:left w:w="16" w:type="dxa"/>
              <w:right w:w="16" w:type="dxa"/>
            </w:tcMar>
            <w:vAlign w:val="center"/>
          </w:tcPr>
          <w:p>
            <w:pPr>
              <w:adjustRightInd w:val="0"/>
              <w:snapToGrid w:val="0"/>
              <w:spacing w:line="240" w:lineRule="auto"/>
              <w:ind w:left="0" w:leftChars="0" w:firstLine="0" w:firstLineChars="0"/>
              <w:jc w:val="center"/>
              <w:rPr>
                <w:color w:val="auto"/>
                <w:sz w:val="24"/>
                <w:highlight w:val="none"/>
              </w:rPr>
            </w:pPr>
            <w:r>
              <w:rPr>
                <w:color w:val="auto"/>
                <w:sz w:val="24"/>
                <w:highlight w:val="none"/>
              </w:rPr>
              <w:t>环保投资占比（%）</w:t>
            </w:r>
          </w:p>
        </w:tc>
        <w:tc>
          <w:tcPr>
            <w:tcW w:w="2153" w:type="dxa"/>
            <w:gridSpan w:val="2"/>
            <w:vAlign w:val="center"/>
          </w:tcPr>
          <w:p>
            <w:pPr>
              <w:adjustRightInd w:val="0"/>
              <w:snapToGrid w:val="0"/>
              <w:spacing w:line="240" w:lineRule="auto"/>
              <w:ind w:left="0" w:leftChars="0" w:firstLine="0" w:firstLineChars="0"/>
              <w:jc w:val="center"/>
              <w:rPr>
                <w:rFonts w:hint="default" w:eastAsia="宋体"/>
                <w:color w:val="auto"/>
                <w:sz w:val="24"/>
                <w:highlight w:val="none"/>
                <w:lang w:val="en-US" w:eastAsia="zh-CN"/>
              </w:rPr>
            </w:pPr>
            <w:r>
              <w:rPr>
                <w:rFonts w:hint="eastAsia"/>
                <w:color w:val="auto"/>
                <w:sz w:val="24"/>
                <w:highlight w:val="none"/>
                <w:lang w:val="en-US" w:eastAsia="zh-CN"/>
              </w:rPr>
              <w:t>6</w:t>
            </w:r>
          </w:p>
        </w:tc>
        <w:tc>
          <w:tcPr>
            <w:tcW w:w="1817" w:type="dxa"/>
            <w:tcMar>
              <w:top w:w="16" w:type="dxa"/>
              <w:left w:w="16" w:type="dxa"/>
              <w:right w:w="16" w:type="dxa"/>
            </w:tcMar>
            <w:vAlign w:val="center"/>
          </w:tcPr>
          <w:p>
            <w:pPr>
              <w:adjustRightInd w:val="0"/>
              <w:snapToGrid w:val="0"/>
              <w:spacing w:line="240" w:lineRule="auto"/>
              <w:ind w:left="0" w:leftChars="0" w:firstLine="0" w:firstLineChars="0"/>
              <w:jc w:val="center"/>
              <w:rPr>
                <w:color w:val="auto"/>
                <w:sz w:val="24"/>
                <w:highlight w:val="none"/>
              </w:rPr>
            </w:pPr>
            <w:r>
              <w:rPr>
                <w:color w:val="auto"/>
                <w:sz w:val="24"/>
                <w:highlight w:val="none"/>
              </w:rPr>
              <w:t>施工工期</w:t>
            </w:r>
          </w:p>
        </w:tc>
        <w:tc>
          <w:tcPr>
            <w:tcW w:w="3803" w:type="dxa"/>
            <w:vAlign w:val="center"/>
          </w:tcPr>
          <w:p>
            <w:pPr>
              <w:adjustRightInd w:val="0"/>
              <w:snapToGrid w:val="0"/>
              <w:spacing w:line="240" w:lineRule="auto"/>
              <w:ind w:left="0" w:leftChars="0" w:firstLine="0" w:firstLineChars="0"/>
              <w:jc w:val="center"/>
              <w:rPr>
                <w:color w:val="auto"/>
                <w:sz w:val="24"/>
                <w:highlight w:val="none"/>
              </w:rPr>
            </w:pPr>
            <w:r>
              <w:rPr>
                <w:rFonts w:hint="eastAsia"/>
                <w:color w:val="auto"/>
                <w:sz w:val="24"/>
                <w:highlight w:val="none"/>
                <w:lang w:val="en-US" w:eastAsia="zh-CN"/>
              </w:rPr>
              <w:t>12</w:t>
            </w:r>
            <w:r>
              <w:rPr>
                <w:color w:val="auto"/>
                <w:sz w:val="24"/>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gridAfter w:val="1"/>
          <w:wAfter w:w="19" w:type="dxa"/>
          <w:trHeight w:val="497" w:hRule="atLeast"/>
          <w:jc w:val="center"/>
        </w:trPr>
        <w:tc>
          <w:tcPr>
            <w:tcW w:w="1224" w:type="dxa"/>
            <w:gridSpan w:val="2"/>
            <w:tcMar>
              <w:top w:w="16" w:type="dxa"/>
              <w:left w:w="16" w:type="dxa"/>
              <w:right w:w="16" w:type="dxa"/>
            </w:tcMar>
            <w:vAlign w:val="center"/>
          </w:tcPr>
          <w:p>
            <w:pPr>
              <w:adjustRightInd w:val="0"/>
              <w:snapToGrid w:val="0"/>
              <w:spacing w:line="240" w:lineRule="auto"/>
              <w:ind w:left="0" w:leftChars="0" w:firstLine="0" w:firstLineChars="0"/>
              <w:jc w:val="center"/>
              <w:rPr>
                <w:color w:val="auto"/>
                <w:sz w:val="24"/>
                <w:highlight w:val="none"/>
              </w:rPr>
            </w:pPr>
            <w:r>
              <w:rPr>
                <w:color w:val="auto"/>
                <w:sz w:val="24"/>
                <w:highlight w:val="none"/>
              </w:rPr>
              <w:t>是否开工建设</w:t>
            </w:r>
          </w:p>
        </w:tc>
        <w:tc>
          <w:tcPr>
            <w:tcW w:w="2153" w:type="dxa"/>
            <w:gridSpan w:val="2"/>
            <w:vAlign w:val="center"/>
          </w:tcPr>
          <w:p>
            <w:pPr>
              <w:adjustRightInd w:val="0"/>
              <w:snapToGrid w:val="0"/>
              <w:spacing w:line="240" w:lineRule="auto"/>
              <w:ind w:left="0" w:leftChars="0" w:firstLine="0" w:firstLineChars="0"/>
              <w:jc w:val="left"/>
              <w:rPr>
                <w:color w:val="auto"/>
                <w:sz w:val="24"/>
                <w:highlight w:val="none"/>
              </w:rPr>
            </w:pPr>
            <w:r>
              <w:rPr>
                <w:rFonts w:ascii="Wingdings 2" w:hAnsi="Wingdings 2"/>
                <w:color w:val="auto"/>
                <w:sz w:val="24"/>
                <w:highlight w:val="none"/>
              </w:rPr>
              <w:t></w:t>
            </w:r>
            <w:r>
              <w:rPr>
                <w:color w:val="auto"/>
                <w:sz w:val="24"/>
                <w:highlight w:val="none"/>
              </w:rPr>
              <w:t>否</w:t>
            </w:r>
          </w:p>
          <w:p>
            <w:pPr>
              <w:adjustRightInd w:val="0"/>
              <w:snapToGrid w:val="0"/>
              <w:spacing w:line="240" w:lineRule="auto"/>
              <w:ind w:left="0" w:leftChars="0" w:firstLine="0" w:firstLineChars="0"/>
              <w:jc w:val="left"/>
              <w:rPr>
                <w:color w:val="auto"/>
                <w:sz w:val="24"/>
                <w:highlight w:val="none"/>
              </w:rPr>
            </w:pPr>
            <w:r>
              <w:rPr>
                <w:color w:val="auto"/>
                <w:sz w:val="24"/>
                <w:highlight w:val="none"/>
              </w:rPr>
              <w:sym w:font="Wingdings 2" w:char="00A3"/>
            </w:r>
            <w:r>
              <w:rPr>
                <w:color w:val="auto"/>
                <w:sz w:val="24"/>
                <w:highlight w:val="none"/>
              </w:rPr>
              <w:t>是：</w:t>
            </w:r>
          </w:p>
        </w:tc>
        <w:tc>
          <w:tcPr>
            <w:tcW w:w="1817" w:type="dxa"/>
            <w:tcMar>
              <w:top w:w="16" w:type="dxa"/>
              <w:left w:w="16" w:type="dxa"/>
              <w:right w:w="16" w:type="dxa"/>
            </w:tcMar>
            <w:vAlign w:val="center"/>
          </w:tcPr>
          <w:p>
            <w:pPr>
              <w:adjustRightInd w:val="0"/>
              <w:snapToGrid w:val="0"/>
              <w:spacing w:line="240" w:lineRule="auto"/>
              <w:ind w:left="0" w:leftChars="0" w:firstLine="0" w:firstLineChars="0"/>
              <w:jc w:val="center"/>
              <w:rPr>
                <w:color w:val="auto"/>
                <w:sz w:val="24"/>
                <w:highlight w:val="none"/>
              </w:rPr>
            </w:pPr>
            <w:r>
              <w:rPr>
                <w:color w:val="auto"/>
                <w:spacing w:val="-6"/>
                <w:sz w:val="24"/>
                <w:highlight w:val="none"/>
              </w:rPr>
              <w:t>用地面积（m</w:t>
            </w:r>
            <w:r>
              <w:rPr>
                <w:color w:val="auto"/>
                <w:spacing w:val="-6"/>
                <w:sz w:val="24"/>
                <w:highlight w:val="none"/>
                <w:vertAlign w:val="superscript"/>
              </w:rPr>
              <w:t>2</w:t>
            </w:r>
            <w:r>
              <w:rPr>
                <w:color w:val="auto"/>
                <w:spacing w:val="-6"/>
                <w:sz w:val="24"/>
                <w:highlight w:val="none"/>
              </w:rPr>
              <w:t>）</w:t>
            </w:r>
          </w:p>
        </w:tc>
        <w:tc>
          <w:tcPr>
            <w:tcW w:w="3803" w:type="dxa"/>
            <w:vAlign w:val="center"/>
          </w:tcPr>
          <w:p>
            <w:pPr>
              <w:adjustRightInd w:val="0"/>
              <w:snapToGrid w:val="0"/>
              <w:spacing w:line="240" w:lineRule="auto"/>
              <w:ind w:left="0" w:leftChars="0" w:firstLine="0" w:firstLineChars="0"/>
              <w:jc w:val="center"/>
              <w:rPr>
                <w:rFonts w:hint="default" w:eastAsia="宋体"/>
                <w:color w:val="auto"/>
                <w:sz w:val="24"/>
                <w:highlight w:val="none"/>
                <w:lang w:val="en-US" w:eastAsia="zh-CN"/>
              </w:rPr>
            </w:pPr>
            <w:r>
              <w:rPr>
                <w:rFonts w:hint="eastAsia"/>
                <w:color w:val="auto"/>
                <w:sz w:val="24"/>
                <w:highlight w:val="none"/>
                <w:lang w:val="en-US" w:eastAsia="zh-CN"/>
              </w:rPr>
              <w:t>2600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914" w:hRule="atLeast"/>
          <w:jc w:val="center"/>
        </w:trPr>
        <w:tc>
          <w:tcPr>
            <w:tcW w:w="1224" w:type="dxa"/>
            <w:gridSpan w:val="2"/>
            <w:vAlign w:val="center"/>
          </w:tcPr>
          <w:p>
            <w:pPr>
              <w:autoSpaceDE w:val="0"/>
              <w:autoSpaceDN w:val="0"/>
              <w:adjustRightInd w:val="0"/>
              <w:snapToGrid w:val="0"/>
              <w:spacing w:line="240" w:lineRule="auto"/>
              <w:ind w:left="0" w:leftChars="0" w:firstLine="0" w:firstLineChars="0"/>
              <w:jc w:val="center"/>
              <w:rPr>
                <w:color w:val="auto"/>
                <w:kern w:val="0"/>
                <w:sz w:val="24"/>
                <w:highlight w:val="none"/>
              </w:rPr>
            </w:pPr>
            <w:r>
              <w:rPr>
                <w:color w:val="auto"/>
                <w:kern w:val="0"/>
                <w:sz w:val="24"/>
                <w:highlight w:val="none"/>
              </w:rPr>
              <w:t>专项评价设置</w:t>
            </w:r>
          </w:p>
          <w:p>
            <w:pPr>
              <w:autoSpaceDE w:val="0"/>
              <w:autoSpaceDN w:val="0"/>
              <w:adjustRightInd w:val="0"/>
              <w:snapToGrid w:val="0"/>
              <w:spacing w:line="240" w:lineRule="auto"/>
              <w:ind w:left="0" w:leftChars="0" w:firstLine="0" w:firstLineChars="0"/>
              <w:jc w:val="center"/>
              <w:rPr>
                <w:color w:val="auto"/>
                <w:kern w:val="0"/>
                <w:sz w:val="24"/>
                <w:highlight w:val="none"/>
              </w:rPr>
            </w:pPr>
            <w:r>
              <w:rPr>
                <w:color w:val="auto"/>
                <w:kern w:val="0"/>
                <w:sz w:val="24"/>
                <w:highlight w:val="none"/>
              </w:rPr>
              <w:t>情况</w:t>
            </w:r>
          </w:p>
        </w:tc>
        <w:tc>
          <w:tcPr>
            <w:tcW w:w="777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本项目为卫生院新建项目，设置床位数为65张，根据《建设项目环境影响评价分类管理名录》（2021年版），本项目属于“108基层医疗卫生服务842：其他（住院床位20张以下的除外）”，应编制环境影响报告表。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根据建设项目环境影响报告表编制技术指南（污染影响类）（试行）表1，对照情况见下表:</w:t>
            </w:r>
          </w:p>
          <w:p>
            <w:pPr>
              <w:pStyle w:val="42"/>
              <w:spacing w:line="360" w:lineRule="auto"/>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表1</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1  本项目专项评价设置情况一览表</w:t>
            </w:r>
          </w:p>
          <w:tbl>
            <w:tblPr>
              <w:tblStyle w:val="29"/>
              <w:tblW w:w="74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2701"/>
              <w:gridCol w:w="2631"/>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0"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专项评价的类别</w:t>
                  </w:r>
                </w:p>
              </w:tc>
              <w:tc>
                <w:tcPr>
                  <w:tcW w:w="2701"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设置原则</w:t>
                  </w:r>
                </w:p>
              </w:tc>
              <w:tc>
                <w:tcPr>
                  <w:tcW w:w="2631"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本项目情况</w:t>
                  </w:r>
                </w:p>
              </w:tc>
              <w:tc>
                <w:tcPr>
                  <w:tcW w:w="1018"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是否设置专项评价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60"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大气</w:t>
                  </w:r>
                </w:p>
              </w:tc>
              <w:tc>
                <w:tcPr>
                  <w:tcW w:w="2701"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排放废气含有毒有害污染物</w:t>
                  </w:r>
                  <w:r>
                    <w:rPr>
                      <w:rFonts w:hint="eastAsia" w:ascii="宋体" w:hAnsi="宋体" w:eastAsia="宋体" w:cs="宋体"/>
                      <w:b w:val="0"/>
                      <w:bCs w:val="0"/>
                      <w:color w:val="auto"/>
                      <w:sz w:val="21"/>
                      <w:szCs w:val="21"/>
                      <w:highlight w:val="none"/>
                      <w:vertAlign w:val="superscript"/>
                    </w:rPr>
                    <w:t>1</w:t>
                  </w:r>
                  <w:r>
                    <w:rPr>
                      <w:rFonts w:hint="eastAsia" w:ascii="宋体" w:hAnsi="宋体" w:eastAsia="宋体" w:cs="宋体"/>
                      <w:b w:val="0"/>
                      <w:bCs w:val="0"/>
                      <w:color w:val="auto"/>
                      <w:sz w:val="21"/>
                      <w:szCs w:val="21"/>
                      <w:highlight w:val="none"/>
                    </w:rPr>
                    <w:t>、二噁英、苯并芘、氰化物、氯气且</w:t>
                  </w:r>
                  <w:r>
                    <w:rPr>
                      <w:rFonts w:hint="eastAsia" w:hAnsi="宋体" w:cs="宋体"/>
                      <w:b w:val="0"/>
                      <w:bCs w:val="0"/>
                      <w:color w:val="auto"/>
                      <w:sz w:val="21"/>
                      <w:szCs w:val="21"/>
                      <w:highlight w:val="none"/>
                      <w:lang w:eastAsia="zh-CN"/>
                    </w:rPr>
                    <w:t>场界</w:t>
                  </w:r>
                  <w:r>
                    <w:rPr>
                      <w:rFonts w:hint="eastAsia" w:ascii="宋体" w:hAnsi="宋体" w:eastAsia="宋体" w:cs="宋体"/>
                      <w:b w:val="0"/>
                      <w:bCs w:val="0"/>
                      <w:color w:val="auto"/>
                      <w:sz w:val="21"/>
                      <w:szCs w:val="21"/>
                      <w:highlight w:val="none"/>
                    </w:rPr>
                    <w:t>外500m范围内有环境空气保护目标</w:t>
                  </w:r>
                  <w:r>
                    <w:rPr>
                      <w:rFonts w:hint="eastAsia" w:ascii="宋体" w:hAnsi="宋体" w:eastAsia="宋体" w:cs="宋体"/>
                      <w:b w:val="0"/>
                      <w:bCs w:val="0"/>
                      <w:color w:val="auto"/>
                      <w:sz w:val="21"/>
                      <w:szCs w:val="21"/>
                      <w:highlight w:val="none"/>
                      <w:vertAlign w:val="superscript"/>
                    </w:rPr>
                    <w:t>2</w:t>
                  </w:r>
                  <w:r>
                    <w:rPr>
                      <w:rFonts w:hint="eastAsia" w:ascii="宋体" w:hAnsi="宋体" w:eastAsia="宋体" w:cs="宋体"/>
                      <w:b w:val="0"/>
                      <w:bCs w:val="0"/>
                      <w:color w:val="auto"/>
                      <w:sz w:val="21"/>
                      <w:szCs w:val="21"/>
                      <w:highlight w:val="none"/>
                    </w:rPr>
                    <w:t>的建设项目</w:t>
                  </w:r>
                </w:p>
              </w:tc>
              <w:tc>
                <w:tcPr>
                  <w:tcW w:w="26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本项目不排放入《有毒有害大气污染物名录》中的有毒有害污染物</w:t>
                  </w:r>
                </w:p>
              </w:tc>
              <w:tc>
                <w:tcPr>
                  <w:tcW w:w="1018"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5" w:hRule="atLeast"/>
                <w:jc w:val="center"/>
              </w:trPr>
              <w:tc>
                <w:tcPr>
                  <w:tcW w:w="1060"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地表水</w:t>
                  </w:r>
                </w:p>
              </w:tc>
              <w:tc>
                <w:tcPr>
                  <w:tcW w:w="2701"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新增工业废水直排建设项目（槽罐车外送污水处理厂的除外）；新增废水直排的污水集中处理厂</w:t>
                  </w:r>
                </w:p>
              </w:tc>
              <w:tc>
                <w:tcPr>
                  <w:tcW w:w="26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拟建项目污废水经卫生院自建污水处理站处理达标后通过市政污水管网排入羊市镇污水处理厂处理，不直接外排</w:t>
                  </w:r>
                </w:p>
              </w:tc>
              <w:tc>
                <w:tcPr>
                  <w:tcW w:w="1018"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1060"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环境风险</w:t>
                  </w:r>
                </w:p>
              </w:tc>
              <w:tc>
                <w:tcPr>
                  <w:tcW w:w="2701"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有毒有害和易燃易爆危险物质存储量超过临界量</w:t>
                  </w:r>
                  <w:r>
                    <w:rPr>
                      <w:rFonts w:hint="eastAsia" w:ascii="宋体" w:hAnsi="宋体" w:eastAsia="宋体" w:cs="宋体"/>
                      <w:b w:val="0"/>
                      <w:bCs w:val="0"/>
                      <w:color w:val="auto"/>
                      <w:sz w:val="21"/>
                      <w:szCs w:val="21"/>
                      <w:highlight w:val="none"/>
                      <w:vertAlign w:val="superscript"/>
                    </w:rPr>
                    <w:t>3</w:t>
                  </w:r>
                  <w:r>
                    <w:rPr>
                      <w:rFonts w:hint="eastAsia" w:ascii="宋体" w:hAnsi="宋体" w:eastAsia="宋体" w:cs="宋体"/>
                      <w:b w:val="0"/>
                      <w:bCs w:val="0"/>
                      <w:color w:val="auto"/>
                      <w:sz w:val="21"/>
                      <w:szCs w:val="21"/>
                      <w:highlight w:val="none"/>
                    </w:rPr>
                    <w:t>的建设项目</w:t>
                  </w:r>
                </w:p>
              </w:tc>
              <w:tc>
                <w:tcPr>
                  <w:tcW w:w="2631"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本项目危险物质存储量未超过临界量。</w:t>
                  </w:r>
                </w:p>
              </w:tc>
              <w:tc>
                <w:tcPr>
                  <w:tcW w:w="1018"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0"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生态</w:t>
                  </w:r>
                </w:p>
              </w:tc>
              <w:tc>
                <w:tcPr>
                  <w:tcW w:w="2701"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取水口下游500米范围内有重要水生生物的自然产卵、索饵场、越冬场和洄游通道的新增河道取水的污染类建设项目</w:t>
                  </w:r>
                </w:p>
              </w:tc>
              <w:tc>
                <w:tcPr>
                  <w:tcW w:w="2631"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本项目不涉及河道取水</w:t>
                  </w:r>
                </w:p>
              </w:tc>
              <w:tc>
                <w:tcPr>
                  <w:tcW w:w="1018"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0"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海洋</w:t>
                  </w:r>
                </w:p>
              </w:tc>
              <w:tc>
                <w:tcPr>
                  <w:tcW w:w="2701"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直接向海排放污染物的海洋工程建设项目</w:t>
                  </w:r>
                </w:p>
              </w:tc>
              <w:tc>
                <w:tcPr>
                  <w:tcW w:w="2631"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本项目不属于海洋工程建设项目</w:t>
                  </w:r>
                </w:p>
              </w:tc>
              <w:tc>
                <w:tcPr>
                  <w:tcW w:w="1018"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0" w:type="dxa"/>
                  <w:tcBorders>
                    <w:tl2br w:val="nil"/>
                    <w:tr2bl w:val="nil"/>
                  </w:tcBorders>
                  <w:noWrap w:val="0"/>
                  <w:vAlign w:val="center"/>
                </w:tcPr>
                <w:p>
                  <w:pPr>
                    <w:pStyle w:val="42"/>
                    <w:spacing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地下水</w:t>
                  </w:r>
                </w:p>
              </w:tc>
              <w:tc>
                <w:tcPr>
                  <w:tcW w:w="2701"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涉及集中式饮用水水源和热水、矿泉水、温泉等特殊地下水资源保护区</w:t>
                  </w:r>
                </w:p>
              </w:tc>
              <w:tc>
                <w:tcPr>
                  <w:tcW w:w="2631"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本项目不涉及集中式饮用水水源和热水、矿泉水、温泉等特殊地下水资源保护区。</w:t>
                  </w:r>
                </w:p>
              </w:tc>
              <w:tc>
                <w:tcPr>
                  <w:tcW w:w="1018" w:type="dxa"/>
                  <w:tcBorders>
                    <w:tl2br w:val="nil"/>
                    <w:tr2bl w:val="nil"/>
                  </w:tcBorders>
                  <w:noWrap w:val="0"/>
                  <w:vAlign w:val="center"/>
                </w:tcPr>
                <w:p>
                  <w:pPr>
                    <w:pStyle w:val="42"/>
                    <w:spacing w:line="240" w:lineRule="auto"/>
                    <w:ind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否</w:t>
                  </w:r>
                </w:p>
              </w:tc>
            </w:tr>
          </w:tbl>
          <w:p>
            <w:pPr>
              <w:pStyle w:val="42"/>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注：1</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废气中有毒有害污染物指纳入《有毒有害大气污染物名录》的污染物（不包括无排放标准的污染物）。</w:t>
            </w:r>
          </w:p>
          <w:p>
            <w:pPr>
              <w:pStyle w:val="42"/>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环境空气保护目标指自然保护区、风景名胜区、居住区、文化区和农村地区中人群较集中的区域。</w:t>
            </w:r>
          </w:p>
          <w:p>
            <w:pPr>
              <w:pStyle w:val="42"/>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临界量及其计算</w:t>
            </w:r>
            <w:r>
              <w:rPr>
                <w:rFonts w:hint="eastAsia" w:ascii="宋体" w:hAnsi="宋体" w:eastAsia="宋体" w:cs="宋体"/>
                <w:b w:val="0"/>
                <w:bCs w:val="0"/>
                <w:color w:val="auto"/>
                <w:sz w:val="21"/>
                <w:szCs w:val="21"/>
                <w:highlight w:val="none"/>
                <w:lang w:eastAsia="zh-CN"/>
              </w:rPr>
              <w:t>方法</w:t>
            </w:r>
            <w:r>
              <w:rPr>
                <w:rFonts w:hint="eastAsia" w:ascii="宋体" w:hAnsi="宋体" w:eastAsia="宋体" w:cs="宋体"/>
                <w:b w:val="0"/>
                <w:bCs w:val="0"/>
                <w:color w:val="auto"/>
                <w:sz w:val="21"/>
                <w:szCs w:val="21"/>
                <w:highlight w:val="none"/>
              </w:rPr>
              <w:t>参考《建设项目环境风险评价技术导则》（HJ169-2018）附录B、附录C。</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color w:val="auto"/>
                <w:highlight w:val="none"/>
              </w:rPr>
            </w:pPr>
            <w:r>
              <w:rPr>
                <w:rFonts w:hint="eastAsia" w:ascii="Times New Roman" w:hAnsi="Times New Roman" w:eastAsia="宋体" w:cs="Times New Roman"/>
                <w:color w:val="auto"/>
                <w:sz w:val="24"/>
                <w:highlight w:val="none"/>
                <w:lang w:val="en-US" w:eastAsia="zh-CN"/>
              </w:rPr>
              <w:t>根据以上情况的对比，本项目环境影响评价不需设置专项评价。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570" w:hRule="atLeast"/>
          <w:jc w:val="center"/>
        </w:trPr>
        <w:tc>
          <w:tcPr>
            <w:tcW w:w="1224" w:type="dxa"/>
            <w:gridSpan w:val="2"/>
            <w:vAlign w:val="center"/>
          </w:tcPr>
          <w:p>
            <w:pPr>
              <w:autoSpaceDE w:val="0"/>
              <w:autoSpaceDN w:val="0"/>
              <w:adjustRightInd w:val="0"/>
              <w:snapToGrid w:val="0"/>
              <w:spacing w:line="240" w:lineRule="auto"/>
              <w:ind w:left="0" w:leftChars="0" w:firstLine="0" w:firstLineChars="0"/>
              <w:jc w:val="center"/>
              <w:rPr>
                <w:color w:val="auto"/>
                <w:kern w:val="0"/>
                <w:sz w:val="24"/>
                <w:highlight w:val="none"/>
              </w:rPr>
            </w:pPr>
            <w:r>
              <w:rPr>
                <w:color w:val="auto"/>
                <w:sz w:val="24"/>
                <w:highlight w:val="none"/>
              </w:rPr>
              <w:t>规划情况</w:t>
            </w:r>
          </w:p>
        </w:tc>
        <w:tc>
          <w:tcPr>
            <w:tcW w:w="777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规划名称：《奉节县卫生健康事业发展“十四五”规划》</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审批机关：奉节县人民政府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审批文件名称及文号：《奉节县人民政府&lt;关于印发奉节县卫生健康事业发展“十四五”规划的通知&gt;》（奉节府〔2022〕22号）</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eastAsia="宋体"/>
                <w:color w:val="auto"/>
                <w:kern w:val="0"/>
                <w:sz w:val="24"/>
                <w:highlight w:val="none"/>
                <w:lang w:eastAsia="zh-CN"/>
              </w:rPr>
            </w:pPr>
            <w:r>
              <w:rPr>
                <w:rFonts w:hint="default" w:ascii="宋体" w:hAnsi="宋体" w:eastAsia="宋体" w:cs="宋体"/>
                <w:color w:val="auto"/>
                <w:sz w:val="24"/>
                <w:highlight w:val="none"/>
                <w:lang w:val="en-US" w:eastAsia="zh-CN"/>
              </w:rPr>
              <w:t>审批时间：20</w:t>
            </w:r>
            <w:r>
              <w:rPr>
                <w:rFonts w:hint="eastAsia" w:ascii="宋体" w:hAnsi="宋体" w:eastAsia="宋体" w:cs="宋体"/>
                <w:color w:val="auto"/>
                <w:sz w:val="24"/>
                <w:highlight w:val="none"/>
                <w:lang w:val="en-US" w:eastAsia="zh-CN"/>
              </w:rPr>
              <w:t>22</w:t>
            </w:r>
            <w:r>
              <w:rPr>
                <w:rFonts w:hint="default" w:ascii="宋体" w:hAnsi="宋体" w:eastAsia="宋体" w:cs="宋体"/>
                <w:color w:val="auto"/>
                <w:sz w:val="24"/>
                <w:highlight w:val="none"/>
                <w:lang w:val="en-US" w:eastAsia="zh-CN"/>
              </w:rPr>
              <w:t>年</w:t>
            </w:r>
            <w:r>
              <w:rPr>
                <w:rFonts w:hint="eastAsia" w:ascii="宋体" w:hAnsi="宋体" w:eastAsia="宋体" w:cs="宋体"/>
                <w:color w:val="auto"/>
                <w:sz w:val="24"/>
                <w:highlight w:val="none"/>
                <w:lang w:val="en-US" w:eastAsia="zh-CN"/>
              </w:rPr>
              <w:t>4</w:t>
            </w:r>
            <w:r>
              <w:rPr>
                <w:rFonts w:hint="default" w:ascii="宋体" w:hAnsi="宋体" w:eastAsia="宋体" w:cs="宋体"/>
                <w:color w:val="auto"/>
                <w:sz w:val="24"/>
                <w:highlight w:val="none"/>
                <w:lang w:val="en-US" w:eastAsia="zh-CN"/>
              </w:rPr>
              <w:t>月</w:t>
            </w:r>
            <w:r>
              <w:rPr>
                <w:rFonts w:hint="eastAsia" w:ascii="宋体" w:hAnsi="宋体" w:eastAsia="宋体" w:cs="宋体"/>
                <w:color w:val="auto"/>
                <w:sz w:val="24"/>
                <w:highlight w:val="none"/>
                <w:lang w:val="en-US" w:eastAsia="zh-CN"/>
              </w:rPr>
              <w:t>2</w:t>
            </w:r>
            <w:r>
              <w:rPr>
                <w:rFonts w:hint="default" w:ascii="宋体" w:hAnsi="宋体" w:eastAsia="宋体" w:cs="宋体"/>
                <w:color w:val="auto"/>
                <w:sz w:val="24"/>
                <w:highlight w:val="none"/>
                <w:lang w:val="en-US" w:eastAsia="zh-CN"/>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891" w:hRule="atLeast"/>
          <w:jc w:val="center"/>
        </w:trPr>
        <w:tc>
          <w:tcPr>
            <w:tcW w:w="1224" w:type="dxa"/>
            <w:gridSpan w:val="2"/>
            <w:vAlign w:val="center"/>
          </w:tcPr>
          <w:p>
            <w:pPr>
              <w:adjustRightInd w:val="0"/>
              <w:snapToGrid w:val="0"/>
              <w:spacing w:line="240" w:lineRule="auto"/>
              <w:ind w:left="0" w:leftChars="0" w:firstLine="0" w:firstLineChars="0"/>
              <w:jc w:val="center"/>
              <w:rPr>
                <w:color w:val="auto"/>
                <w:kern w:val="0"/>
                <w:sz w:val="24"/>
                <w:highlight w:val="none"/>
              </w:rPr>
            </w:pPr>
            <w:r>
              <w:rPr>
                <w:color w:val="auto"/>
                <w:sz w:val="24"/>
                <w:highlight w:val="none"/>
              </w:rPr>
              <w:t>规划环境影响评价情况</w:t>
            </w:r>
          </w:p>
        </w:tc>
        <w:tc>
          <w:tcPr>
            <w:tcW w:w="7773" w:type="dxa"/>
            <w:gridSpan w:val="4"/>
            <w:vAlign w:val="center"/>
          </w:tcPr>
          <w:p>
            <w:pPr>
              <w:autoSpaceDE w:val="0"/>
              <w:autoSpaceDN w:val="0"/>
              <w:adjustRightInd w:val="0"/>
              <w:snapToGrid w:val="0"/>
              <w:spacing w:line="240" w:lineRule="auto"/>
              <w:ind w:left="0" w:leftChars="0" w:firstLine="0" w:firstLineChars="0"/>
              <w:jc w:val="center"/>
              <w:rPr>
                <w:rFonts w:hint="eastAsia" w:eastAsia="宋体"/>
                <w:color w:val="auto"/>
                <w:kern w:val="0"/>
                <w:sz w:val="24"/>
                <w:highlight w:val="none"/>
                <w:lang w:eastAsia="zh-CN"/>
              </w:rPr>
            </w:pPr>
            <w:r>
              <w:rPr>
                <w:rFonts w:hint="eastAsia"/>
                <w:color w:val="auto"/>
                <w:kern w:val="0"/>
                <w:sz w:val="24"/>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11" w:type="dxa"/>
          <w:trHeight w:val="1775" w:hRule="atLeast"/>
          <w:jc w:val="center"/>
        </w:trPr>
        <w:tc>
          <w:tcPr>
            <w:tcW w:w="1236" w:type="dxa"/>
            <w:gridSpan w:val="2"/>
            <w:vAlign w:val="center"/>
          </w:tcPr>
          <w:p>
            <w:pPr>
              <w:autoSpaceDE w:val="0"/>
              <w:autoSpaceDN w:val="0"/>
              <w:adjustRightInd w:val="0"/>
              <w:snapToGrid w:val="0"/>
              <w:spacing w:line="240" w:lineRule="auto"/>
              <w:ind w:left="0" w:leftChars="0" w:firstLine="0" w:firstLineChars="0"/>
              <w:jc w:val="both"/>
              <w:rPr>
                <w:color w:val="auto"/>
                <w:kern w:val="0"/>
                <w:sz w:val="24"/>
                <w:highlight w:val="none"/>
              </w:rPr>
            </w:pPr>
            <w:r>
              <w:rPr>
                <w:color w:val="auto"/>
                <w:kern w:val="0"/>
                <w:sz w:val="24"/>
                <w:highlight w:val="none"/>
              </w:rPr>
              <w:t>规划及规划环境影响评价符合性分析</w:t>
            </w:r>
          </w:p>
        </w:tc>
        <w:tc>
          <w:tcPr>
            <w:tcW w:w="7769" w:type="dxa"/>
            <w:gridSpan w:val="4"/>
            <w:vAlign w:val="center"/>
          </w:tcPr>
          <w:p>
            <w:pPr>
              <w:pStyle w:val="69"/>
              <w:ind w:left="0" w:leftChars="0" w:firstLine="0" w:firstLineChars="0"/>
              <w:jc w:val="both"/>
              <w:rPr>
                <w:rFonts w:hint="eastAsia"/>
                <w:b/>
                <w:bCs/>
                <w:color w:val="auto"/>
                <w:highlight w:val="none"/>
                <w:u w:val="none"/>
                <w:lang w:eastAsia="zh-CN"/>
              </w:rPr>
            </w:pPr>
            <w:r>
              <w:rPr>
                <w:rFonts w:hint="eastAsia"/>
                <w:b/>
                <w:bCs/>
                <w:color w:val="auto"/>
                <w:highlight w:val="none"/>
                <w:u w:val="none"/>
                <w:lang w:eastAsia="zh-CN"/>
              </w:rPr>
              <w:t>1.</w:t>
            </w:r>
            <w:r>
              <w:rPr>
                <w:rFonts w:hint="eastAsia"/>
                <w:b/>
                <w:bCs/>
                <w:color w:val="auto"/>
                <w:highlight w:val="none"/>
                <w:u w:val="none"/>
                <w:lang w:val="en-US" w:eastAsia="zh-CN"/>
              </w:rPr>
              <w:t>1</w:t>
            </w:r>
            <w:r>
              <w:rPr>
                <w:rFonts w:hint="eastAsia"/>
                <w:b/>
                <w:bCs/>
                <w:color w:val="auto"/>
                <w:highlight w:val="none"/>
                <w:u w:val="none"/>
                <w:lang w:eastAsia="zh-CN"/>
              </w:rPr>
              <w:t>与《重庆市人民政府关于印发重庆市医疗卫生服务体系“十四五”规划（2021-2025）的通知》（渝府发﹝2022﹞6号）的符合性分析</w:t>
            </w:r>
          </w:p>
          <w:p>
            <w:pPr>
              <w:pStyle w:val="69"/>
              <w:ind w:left="0" w:leftChars="0" w:firstLine="480" w:firstLineChars="200"/>
              <w:jc w:val="both"/>
              <w:rPr>
                <w:rFonts w:hint="eastAsia"/>
                <w:color w:val="auto"/>
                <w:highlight w:val="none"/>
                <w:u w:val="none"/>
                <w:lang w:eastAsia="zh-CN"/>
              </w:rPr>
            </w:pPr>
            <w:r>
              <w:rPr>
                <w:rFonts w:hint="eastAsia"/>
                <w:color w:val="auto"/>
                <w:highlight w:val="none"/>
                <w:u w:val="none"/>
                <w:lang w:eastAsia="zh-CN"/>
              </w:rPr>
              <w:t>《重庆市人民政府关于印发重庆市医疗卫生服务体系“十四五”规划（2021-2015）的通知》（渝府发﹝2022﹞6号）中提出“推动医疗卫生服务体系高质量发展，加快建设国家医学中心和国家区域医疗中心，形成优质的医疗卫生服务集群，持续提升医疗卫生服务辐射力和影响力。到2025年，基本建成体系完整、分工明确、功能互补、密切协作、运行高效的整合型医疗卫生服务体系，以‘一老一小’为重点的全周期健康服务能力明显增强，实现优质医疗卫生资源配置均衡化、基本医疗卫生服务均质化、基本公共卫生服务均等化，形成基层首诊、双向转诊、上下联动、急慢分治的分级诊疗格局，居民健康水平居全国前列。”，“……加强基础设施建设，推进市级医院现址改扩建和异地新建，同步改善区县级医疗机构基础设施条件。……”。</w:t>
            </w:r>
          </w:p>
          <w:p>
            <w:pPr>
              <w:keepNext w:val="0"/>
              <w:keepLines w:val="0"/>
              <w:widowControl/>
              <w:suppressLineNumbers w:val="0"/>
              <w:jc w:val="left"/>
              <w:rPr>
                <w:color w:val="auto"/>
                <w:highlight w:val="none"/>
              </w:rPr>
            </w:pPr>
            <w:r>
              <w:rPr>
                <w:rFonts w:hint="eastAsia"/>
                <w:color w:val="auto"/>
                <w:highlight w:val="none"/>
                <w:u w:val="none"/>
                <w:lang w:eastAsia="zh-CN"/>
              </w:rPr>
              <w:t>本项目为乡镇中心卫生院建设项目，可有效改善区县级医疗机构基</w:t>
            </w:r>
            <w:r>
              <w:rPr>
                <w:rFonts w:hint="eastAsia" w:ascii="宋体" w:hAnsi="宋体" w:eastAsia="宋体" w:cs="宋体"/>
                <w:color w:val="auto"/>
                <w:kern w:val="0"/>
                <w:sz w:val="24"/>
                <w:szCs w:val="24"/>
                <w:highlight w:val="none"/>
                <w:lang w:val="en-US" w:eastAsia="zh-CN" w:bidi="ar"/>
              </w:rPr>
              <w:t>础设施条件，与《重庆市人民政府关于印发重庆市医疗卫生服务体系“十 四五”规划（</w:t>
            </w:r>
            <w:r>
              <w:rPr>
                <w:rFonts w:hint="default" w:ascii="Times New Roman" w:hAnsi="Times New Roman" w:eastAsia="宋体" w:cs="Times New Roman"/>
                <w:color w:val="auto"/>
                <w:kern w:val="0"/>
                <w:sz w:val="24"/>
                <w:szCs w:val="24"/>
                <w:highlight w:val="none"/>
                <w:lang w:val="en-US" w:eastAsia="zh-CN" w:bidi="ar"/>
              </w:rPr>
              <w:t>2021-2015</w:t>
            </w:r>
            <w:r>
              <w:rPr>
                <w:rFonts w:hint="eastAsia" w:ascii="宋体" w:hAnsi="宋体" w:eastAsia="宋体" w:cs="宋体"/>
                <w:color w:val="auto"/>
                <w:kern w:val="0"/>
                <w:sz w:val="24"/>
                <w:szCs w:val="24"/>
                <w:highlight w:val="none"/>
                <w:lang w:val="en-US" w:eastAsia="zh-CN" w:bidi="ar"/>
              </w:rPr>
              <w:t>）的通知》（渝府发﹝</w:t>
            </w:r>
            <w:r>
              <w:rPr>
                <w:rFonts w:hint="default" w:ascii="Times New Roman" w:hAnsi="Times New Roman" w:eastAsia="宋体" w:cs="Times New Roman"/>
                <w:color w:val="auto"/>
                <w:kern w:val="0"/>
                <w:sz w:val="24"/>
                <w:szCs w:val="24"/>
                <w:highlight w:val="none"/>
                <w:lang w:val="en-US" w:eastAsia="zh-CN" w:bidi="ar"/>
              </w:rPr>
              <w:t>2022</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号）的要求相符。</w:t>
            </w:r>
          </w:p>
          <w:p>
            <w:pPr>
              <w:keepNext w:val="0"/>
              <w:keepLines w:val="0"/>
              <w:widowControl/>
              <w:suppressLineNumbers w:val="0"/>
              <w:ind w:left="0" w:leftChars="0" w:firstLine="0" w:firstLineChars="0"/>
              <w:jc w:val="left"/>
              <w:rPr>
                <w:color w:val="auto"/>
                <w:highlight w:val="none"/>
              </w:rPr>
            </w:pPr>
            <w:r>
              <w:rPr>
                <w:rFonts w:hint="default" w:ascii="Times New Roman" w:hAnsi="Times New Roman" w:cs="Times New Roman"/>
                <w:b/>
                <w:bCs/>
                <w:color w:val="auto"/>
                <w:kern w:val="0"/>
                <w:sz w:val="24"/>
                <w:szCs w:val="24"/>
                <w:highlight w:val="none"/>
                <w:lang w:val="en-US" w:eastAsia="zh-CN" w:bidi="ar"/>
              </w:rPr>
              <w:t>1.</w:t>
            </w:r>
            <w:r>
              <w:rPr>
                <w:rFonts w:hint="eastAsia" w:ascii="Times New Roman" w:hAnsi="Times New Roman" w:cs="Times New Roman"/>
                <w:b/>
                <w:bCs/>
                <w:color w:val="auto"/>
                <w:kern w:val="0"/>
                <w:sz w:val="24"/>
                <w:szCs w:val="24"/>
                <w:highlight w:val="none"/>
                <w:lang w:val="en-US" w:eastAsia="zh-CN" w:bidi="ar"/>
              </w:rPr>
              <w:t>2</w:t>
            </w:r>
            <w:r>
              <w:rPr>
                <w:rFonts w:hint="eastAsia" w:ascii="宋体" w:hAnsi="宋体" w:eastAsia="宋体" w:cs="宋体"/>
                <w:b/>
                <w:bCs/>
                <w:color w:val="auto"/>
                <w:kern w:val="0"/>
                <w:sz w:val="24"/>
                <w:szCs w:val="24"/>
                <w:highlight w:val="none"/>
                <w:lang w:val="en-US" w:eastAsia="zh-CN" w:bidi="ar"/>
              </w:rPr>
              <w:t>与《重庆市卫生健康发展“十四五”规划》（渝卫发﹝</w:t>
            </w:r>
            <w:r>
              <w:rPr>
                <w:rFonts w:hint="default" w:ascii="Times New Roman" w:hAnsi="Times New Roman" w:eastAsia="宋体" w:cs="Times New Roman"/>
                <w:b/>
                <w:bCs/>
                <w:color w:val="auto"/>
                <w:kern w:val="0"/>
                <w:sz w:val="24"/>
                <w:szCs w:val="24"/>
                <w:highlight w:val="none"/>
                <w:lang w:val="en-US" w:eastAsia="zh-CN" w:bidi="ar"/>
              </w:rPr>
              <w:t>2022</w:t>
            </w:r>
            <w:r>
              <w:rPr>
                <w:rFonts w:hint="eastAsia" w:ascii="宋体" w:hAnsi="宋体" w:eastAsia="宋体" w:cs="宋体"/>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62</w:t>
            </w:r>
            <w:r>
              <w:rPr>
                <w:rFonts w:hint="eastAsia" w:ascii="宋体" w:hAnsi="宋体" w:eastAsia="宋体" w:cs="宋体"/>
                <w:b/>
                <w:bCs/>
                <w:color w:val="auto"/>
                <w:kern w:val="0"/>
                <w:sz w:val="24"/>
                <w:szCs w:val="24"/>
                <w:highlight w:val="none"/>
                <w:lang w:val="en-US" w:eastAsia="zh-CN" w:bidi="ar"/>
              </w:rPr>
              <w:t xml:space="preserve">号）的符合性分析 </w:t>
            </w:r>
          </w:p>
          <w:p>
            <w:pPr>
              <w:keepNext w:val="0"/>
              <w:keepLines w:val="0"/>
              <w:widowControl/>
              <w:suppressLineNumbers w:val="0"/>
              <w:ind w:left="0" w:leftChars="0" w:firstLine="480" w:firstLineChars="200"/>
              <w:jc w:val="left"/>
              <w:rPr>
                <w:color w:val="auto"/>
                <w:highlight w:val="none"/>
              </w:rPr>
            </w:pPr>
            <w:r>
              <w:rPr>
                <w:rFonts w:hint="eastAsia" w:ascii="宋体" w:hAnsi="宋体" w:eastAsia="宋体" w:cs="宋体"/>
                <w:color w:val="auto"/>
                <w:kern w:val="0"/>
                <w:sz w:val="24"/>
                <w:szCs w:val="24"/>
                <w:highlight w:val="none"/>
                <w:lang w:val="en-US" w:eastAsia="zh-CN" w:bidi="ar"/>
              </w:rPr>
              <w:t>《重庆市卫生健康发展“十四五”规划》（渝卫发﹝</w:t>
            </w:r>
            <w:r>
              <w:rPr>
                <w:rFonts w:hint="default" w:ascii="Times New Roman" w:hAnsi="Times New Roman" w:eastAsia="宋体" w:cs="Times New Roman"/>
                <w:color w:val="auto"/>
                <w:kern w:val="0"/>
                <w:sz w:val="24"/>
                <w:szCs w:val="24"/>
                <w:highlight w:val="none"/>
                <w:lang w:val="en-US" w:eastAsia="zh-CN" w:bidi="ar"/>
              </w:rPr>
              <w:t>2022</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62</w:t>
            </w:r>
            <w:r>
              <w:rPr>
                <w:rFonts w:hint="eastAsia" w:ascii="宋体" w:hAnsi="宋体" w:eastAsia="宋体" w:cs="宋体"/>
                <w:color w:val="auto"/>
                <w:kern w:val="0"/>
                <w:sz w:val="24"/>
                <w:szCs w:val="24"/>
                <w:highlight w:val="none"/>
                <w:lang w:val="en-US" w:eastAsia="zh-CN" w:bidi="ar"/>
              </w:rPr>
              <w:t>号）中提出：“到</w:t>
            </w:r>
            <w:r>
              <w:rPr>
                <w:rFonts w:hint="default" w:ascii="Times New Roman" w:hAnsi="Times New Roman" w:eastAsia="宋体" w:cs="Times New Roman"/>
                <w:color w:val="auto"/>
                <w:kern w:val="0"/>
                <w:sz w:val="24"/>
                <w:szCs w:val="24"/>
                <w:highlight w:val="none"/>
                <w:lang w:val="en-US" w:eastAsia="zh-CN" w:bidi="ar"/>
              </w:rPr>
              <w:t>2025</w:t>
            </w:r>
            <w:r>
              <w:rPr>
                <w:rFonts w:hint="eastAsia" w:ascii="宋体" w:hAnsi="宋体" w:eastAsia="宋体" w:cs="宋体"/>
                <w:color w:val="auto"/>
                <w:kern w:val="0"/>
                <w:sz w:val="24"/>
                <w:szCs w:val="24"/>
                <w:highlight w:val="none"/>
                <w:lang w:val="en-US" w:eastAsia="zh-CN" w:bidi="ar"/>
              </w:rPr>
              <w:t>年，基本医疗卫生制度更加完善，建设与重庆中西部唯一直辖市、国家中心城市、国际消费中心城市经济社会发挥在那水平相适应、“一区两群”功能定位相匹配的优质高效医疗卫生服务体系，突发公共卫生事件应急管理能力明显提成，科技水平创新能力不断提升，建成具有一定国际影响力的国家医学中心，保障全民健康的制度更加完善，健康领域发展更加协调，健康服务质量和健康保障水平不断增强，健康生活方式得到普及，居民健康水平进一步提高，基本实现健康公平”，“</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推动市级医院优质发展，加快区县级医院综合服务能力全面提升。</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p>
          <w:p>
            <w:pPr>
              <w:keepNext w:val="0"/>
              <w:keepLines w:val="0"/>
              <w:widowControl/>
              <w:suppressLineNumbers w:val="0"/>
              <w:jc w:val="left"/>
              <w:rPr>
                <w:rFonts w:ascii="仿宋_GB2312" w:hAnsi="仿宋_GB2312" w:eastAsia="仿宋_GB2312" w:cs="仿宋_GB2312"/>
                <w:b/>
                <w:bCs/>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拟建项目属于乡镇卫生院建设项目，可提升周边居民健康服务质量和健康保障水平，符合《重庆市卫生健康发展“十四五”规划》（渝卫发﹝</w:t>
            </w:r>
            <w:r>
              <w:rPr>
                <w:rFonts w:hint="default" w:ascii="Times New Roman" w:hAnsi="Times New Roman" w:eastAsia="宋体" w:cs="Times New Roman"/>
                <w:color w:val="auto"/>
                <w:kern w:val="0"/>
                <w:sz w:val="24"/>
                <w:szCs w:val="24"/>
                <w:highlight w:val="none"/>
                <w:lang w:val="en-US" w:eastAsia="zh-CN" w:bidi="ar"/>
              </w:rPr>
              <w:t>2022</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62</w:t>
            </w:r>
            <w:r>
              <w:rPr>
                <w:rFonts w:hint="eastAsia" w:ascii="宋体" w:hAnsi="宋体" w:eastAsia="宋体" w:cs="宋体"/>
                <w:color w:val="auto"/>
                <w:kern w:val="0"/>
                <w:sz w:val="24"/>
                <w:szCs w:val="24"/>
                <w:highlight w:val="none"/>
                <w:lang w:val="en-US" w:eastAsia="zh-CN" w:bidi="ar"/>
              </w:rPr>
              <w:t>号）</w:t>
            </w:r>
            <w:r>
              <w:rPr>
                <w:rFonts w:ascii="仿宋_GB2312" w:hAnsi="仿宋_GB2312" w:eastAsia="仿宋_GB2312" w:cs="仿宋_GB2312"/>
                <w:b/>
                <w:bCs/>
                <w:color w:val="auto"/>
                <w:kern w:val="0"/>
                <w:sz w:val="24"/>
                <w:szCs w:val="24"/>
                <w:highlight w:val="none"/>
                <w:lang w:val="en-US" w:eastAsia="zh-CN" w:bidi="ar"/>
              </w:rPr>
              <w:t xml:space="preserve">。 </w:t>
            </w:r>
          </w:p>
          <w:p>
            <w:pPr>
              <w:keepNext w:val="0"/>
              <w:keepLines w:val="0"/>
              <w:widowControl/>
              <w:suppressLineNumbers w:val="0"/>
              <w:ind w:left="0" w:leftChars="0" w:firstLine="0" w:firstLineChars="0"/>
              <w:jc w:val="left"/>
              <w:rPr>
                <w:rFonts w:hint="eastAsia" w:ascii="宋体" w:hAnsi="宋体" w:eastAsia="宋体" w:cs="宋体"/>
                <w:b/>
                <w:bCs/>
                <w:color w:val="auto"/>
                <w:kern w:val="0"/>
                <w:sz w:val="24"/>
                <w:szCs w:val="24"/>
                <w:highlight w:val="none"/>
                <w:lang w:val="en-US" w:eastAsia="zh-CN" w:bidi="ar"/>
              </w:rPr>
            </w:pPr>
            <w:r>
              <w:rPr>
                <w:rFonts w:hint="default" w:ascii="Times New Roman" w:hAnsi="Times New Roman" w:cs="Times New Roman"/>
                <w:b/>
                <w:bCs/>
                <w:color w:val="auto"/>
                <w:kern w:val="0"/>
                <w:sz w:val="24"/>
                <w:szCs w:val="24"/>
                <w:highlight w:val="none"/>
                <w:lang w:val="en-US" w:eastAsia="zh-CN" w:bidi="ar"/>
              </w:rPr>
              <w:t>1.</w:t>
            </w:r>
            <w:r>
              <w:rPr>
                <w:rFonts w:hint="eastAsia" w:ascii="Times New Roman" w:hAnsi="Times New Roman" w:cs="Times New Roman"/>
                <w:b/>
                <w:bCs/>
                <w:color w:val="auto"/>
                <w:kern w:val="0"/>
                <w:sz w:val="24"/>
                <w:szCs w:val="24"/>
                <w:highlight w:val="none"/>
                <w:lang w:val="en-US" w:eastAsia="zh-CN" w:bidi="ar"/>
              </w:rPr>
              <w:t>3</w:t>
            </w:r>
            <w:r>
              <w:rPr>
                <w:rFonts w:hint="eastAsia" w:ascii="宋体" w:hAnsi="宋体" w:eastAsia="宋体" w:cs="宋体"/>
                <w:b/>
                <w:bCs/>
                <w:color w:val="auto"/>
                <w:kern w:val="0"/>
                <w:sz w:val="24"/>
                <w:szCs w:val="24"/>
                <w:highlight w:val="none"/>
                <w:lang w:val="en-US" w:eastAsia="zh-CN" w:bidi="ar"/>
              </w:rPr>
              <w:t>与《奉节县卫生健康事业发展</w:t>
            </w:r>
            <w:r>
              <w:rPr>
                <w:rFonts w:hint="default" w:ascii="宋体" w:hAnsi="宋体" w:eastAsia="宋体" w:cs="宋体"/>
                <w:b/>
                <w:bCs/>
                <w:color w:val="auto"/>
                <w:kern w:val="0"/>
                <w:sz w:val="24"/>
                <w:szCs w:val="24"/>
                <w:highlight w:val="none"/>
                <w:lang w:val="en-US" w:eastAsia="zh-CN" w:bidi="ar"/>
              </w:rPr>
              <w:t>“十四五”规划</w:t>
            </w:r>
            <w:r>
              <w:rPr>
                <w:rFonts w:hint="eastAsia" w:ascii="宋体" w:hAnsi="宋体" w:eastAsia="宋体" w:cs="宋体"/>
                <w:b/>
                <w:bCs/>
                <w:color w:val="auto"/>
                <w:kern w:val="0"/>
                <w:sz w:val="24"/>
                <w:szCs w:val="24"/>
                <w:highlight w:val="none"/>
                <w:lang w:val="en-US" w:eastAsia="zh-CN" w:bidi="ar"/>
              </w:rPr>
              <w:t>》（</w:t>
            </w:r>
            <w:r>
              <w:rPr>
                <w:rFonts w:hint="default" w:ascii="宋体" w:hAnsi="宋体" w:eastAsia="宋体" w:cs="宋体"/>
                <w:b/>
                <w:bCs/>
                <w:color w:val="auto"/>
                <w:kern w:val="0"/>
                <w:sz w:val="24"/>
                <w:szCs w:val="24"/>
                <w:highlight w:val="none"/>
                <w:lang w:val="en-US" w:eastAsia="zh-CN" w:bidi="ar"/>
              </w:rPr>
              <w:t>奉节府〔20</w:t>
            </w:r>
            <w:r>
              <w:rPr>
                <w:rFonts w:hint="eastAsia" w:ascii="宋体" w:hAnsi="宋体" w:eastAsia="宋体" w:cs="宋体"/>
                <w:b/>
                <w:bCs/>
                <w:color w:val="auto"/>
                <w:kern w:val="0"/>
                <w:sz w:val="24"/>
                <w:szCs w:val="24"/>
                <w:highlight w:val="none"/>
                <w:lang w:val="en-US" w:eastAsia="zh-CN" w:bidi="ar"/>
              </w:rPr>
              <w:t>22</w:t>
            </w:r>
            <w:r>
              <w:rPr>
                <w:rFonts w:hint="default" w:ascii="宋体" w:hAnsi="宋体" w:eastAsia="宋体" w:cs="宋体"/>
                <w:b/>
                <w:bCs/>
                <w:color w:val="auto"/>
                <w:kern w:val="0"/>
                <w:sz w:val="24"/>
                <w:szCs w:val="24"/>
                <w:highlight w:val="none"/>
                <w:lang w:val="en-US" w:eastAsia="zh-CN" w:bidi="ar"/>
              </w:rPr>
              <w:t>〕</w:t>
            </w:r>
            <w:r>
              <w:rPr>
                <w:rFonts w:hint="eastAsia" w:ascii="宋体" w:hAnsi="宋体" w:eastAsia="宋体" w:cs="宋体"/>
                <w:b/>
                <w:bCs/>
                <w:color w:val="auto"/>
                <w:kern w:val="0"/>
                <w:sz w:val="24"/>
                <w:szCs w:val="24"/>
                <w:highlight w:val="none"/>
                <w:lang w:val="en-US" w:eastAsia="zh-CN" w:bidi="ar"/>
              </w:rPr>
              <w:t>22</w:t>
            </w:r>
            <w:r>
              <w:rPr>
                <w:rFonts w:hint="default" w:ascii="宋体" w:hAnsi="宋体" w:eastAsia="宋体" w:cs="宋体"/>
                <w:b/>
                <w:bCs/>
                <w:color w:val="auto"/>
                <w:kern w:val="0"/>
                <w:sz w:val="24"/>
                <w:szCs w:val="24"/>
                <w:highlight w:val="none"/>
                <w:lang w:val="en-US" w:eastAsia="zh-CN" w:bidi="ar"/>
              </w:rPr>
              <w:t>号</w:t>
            </w:r>
            <w:r>
              <w:rPr>
                <w:rFonts w:hint="eastAsia" w:ascii="宋体" w:hAnsi="宋体" w:eastAsia="宋体" w:cs="宋体"/>
                <w:b/>
                <w:bCs/>
                <w:color w:val="auto"/>
                <w:kern w:val="0"/>
                <w:sz w:val="24"/>
                <w:szCs w:val="24"/>
                <w:highlight w:val="none"/>
                <w:lang w:val="en-US" w:eastAsia="zh-CN" w:bidi="ar"/>
              </w:rPr>
              <w:t xml:space="preserve">）的符合性分析 </w:t>
            </w:r>
          </w:p>
          <w:p>
            <w:pPr>
              <w:pStyle w:val="69"/>
              <w:ind w:left="0" w:leftChars="0"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根据《奉节县卫生健康事业发展</w:t>
            </w:r>
            <w:r>
              <w:rPr>
                <w:rFonts w:hint="default" w:ascii="宋体" w:hAnsi="宋体" w:eastAsia="宋体" w:cs="宋体"/>
                <w:color w:val="auto"/>
                <w:kern w:val="0"/>
                <w:sz w:val="24"/>
                <w:szCs w:val="24"/>
                <w:highlight w:val="none"/>
                <w:lang w:val="en-US" w:eastAsia="zh-CN" w:bidi="ar"/>
              </w:rPr>
              <w:t>“十四五”规划</w:t>
            </w:r>
            <w:r>
              <w:rPr>
                <w:rFonts w:hint="eastAsia" w:ascii="宋体" w:hAnsi="宋体" w:eastAsia="宋体" w:cs="宋体"/>
                <w:color w:val="auto"/>
                <w:kern w:val="0"/>
                <w:sz w:val="24"/>
                <w:szCs w:val="24"/>
                <w:highlight w:val="none"/>
                <w:lang w:val="en-US" w:eastAsia="zh-CN" w:bidi="ar"/>
              </w:rPr>
              <w:t>》（</w:t>
            </w:r>
            <w:r>
              <w:rPr>
                <w:rFonts w:hint="default" w:ascii="宋体" w:hAnsi="宋体" w:eastAsia="宋体" w:cs="宋体"/>
                <w:color w:val="auto"/>
                <w:kern w:val="0"/>
                <w:sz w:val="24"/>
                <w:szCs w:val="24"/>
                <w:highlight w:val="none"/>
                <w:lang w:val="en-US" w:eastAsia="zh-CN" w:bidi="ar"/>
              </w:rPr>
              <w:t>奉节府〔20</w:t>
            </w:r>
            <w:r>
              <w:rPr>
                <w:rFonts w:hint="eastAsia" w:ascii="宋体" w:hAnsi="宋体" w:eastAsia="宋体" w:cs="宋体"/>
                <w:color w:val="auto"/>
                <w:kern w:val="0"/>
                <w:sz w:val="24"/>
                <w:szCs w:val="24"/>
                <w:highlight w:val="none"/>
                <w:lang w:val="en-US" w:eastAsia="zh-CN" w:bidi="ar"/>
              </w:rPr>
              <w:t>22</w:t>
            </w:r>
            <w:r>
              <w:rPr>
                <w:rFonts w:hint="default"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22</w:t>
            </w:r>
            <w:r>
              <w:rPr>
                <w:rFonts w:hint="default" w:ascii="宋体" w:hAnsi="宋体" w:eastAsia="宋体" w:cs="宋体"/>
                <w:color w:val="auto"/>
                <w:kern w:val="0"/>
                <w:sz w:val="24"/>
                <w:szCs w:val="24"/>
                <w:highlight w:val="none"/>
                <w:lang w:val="en-US" w:eastAsia="zh-CN" w:bidi="ar"/>
              </w:rPr>
              <w:t>号</w:t>
            </w:r>
            <w:r>
              <w:rPr>
                <w:rFonts w:hint="eastAsia" w:ascii="宋体" w:hAnsi="宋体" w:eastAsia="宋体" w:cs="宋体"/>
                <w:color w:val="auto"/>
                <w:kern w:val="0"/>
                <w:sz w:val="24"/>
                <w:szCs w:val="24"/>
                <w:highlight w:val="none"/>
                <w:lang w:val="en-US" w:eastAsia="zh-CN" w:bidi="ar"/>
              </w:rPr>
              <w:t>）的符合性分析中“完善基层医疗服务网络。</w:t>
            </w:r>
            <w:r>
              <w:rPr>
                <w:rFonts w:hint="default" w:ascii="宋体" w:hAnsi="宋体" w:eastAsia="宋体" w:cs="宋体"/>
                <w:color w:val="auto"/>
                <w:kern w:val="0"/>
                <w:sz w:val="24"/>
                <w:szCs w:val="24"/>
                <w:highlight w:val="none"/>
                <w:lang w:val="en-US" w:eastAsia="zh-CN" w:bidi="ar"/>
              </w:rPr>
              <w:t>将基层医疗卫生服务体系纳入乡村振兴战略全局统筹推进，每个乡镇（街道）设置1个标准化卫生院（社区卫生服务中心），每个行政村设置1个标准村卫生室。重点推进兴隆、吐祥、甲高、康乐、公平、竹园、羊市、鹤峰等乡镇卫生院的迁建、改扩建项目，视政策资金情况有序推进大树、青莲、五马、长安、云雾等其他基层医疗卫生机构的改扩建项目建设</w:t>
            </w:r>
            <w:r>
              <w:rPr>
                <w:rFonts w:hint="eastAsia" w:ascii="宋体" w:hAnsi="宋体" w:eastAsia="宋体" w:cs="宋体"/>
                <w:color w:val="auto"/>
                <w:kern w:val="0"/>
                <w:sz w:val="24"/>
                <w:szCs w:val="24"/>
                <w:highlight w:val="none"/>
                <w:lang w:val="en-US" w:eastAsia="zh-CN" w:bidi="ar"/>
              </w:rPr>
              <w:t>……”</w:t>
            </w:r>
          </w:p>
          <w:p>
            <w:pPr>
              <w:pStyle w:val="69"/>
              <w:ind w:left="0" w:leftChars="0" w:firstLine="480" w:firstLineChars="200"/>
              <w:jc w:val="left"/>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本项目为乡镇卫生院建设项目，与完善医疗卫生制度，实现居民健康水平相匹配，本项目与《奉节县卫生健康事业发展</w:t>
            </w:r>
            <w:r>
              <w:rPr>
                <w:rFonts w:hint="default" w:ascii="宋体" w:hAnsi="宋体" w:eastAsia="宋体" w:cs="宋体"/>
                <w:color w:val="auto"/>
                <w:kern w:val="0"/>
                <w:sz w:val="24"/>
                <w:szCs w:val="24"/>
                <w:highlight w:val="none"/>
                <w:lang w:val="en-US" w:eastAsia="zh-CN" w:bidi="ar"/>
              </w:rPr>
              <w:t>“十四五”规划</w:t>
            </w:r>
            <w:r>
              <w:rPr>
                <w:rFonts w:hint="eastAsia" w:ascii="宋体" w:hAnsi="宋体" w:eastAsia="宋体" w:cs="宋体"/>
                <w:color w:val="auto"/>
                <w:kern w:val="0"/>
                <w:sz w:val="24"/>
                <w:szCs w:val="24"/>
                <w:highlight w:val="none"/>
                <w:lang w:val="en-US" w:eastAsia="zh-CN" w:bidi="ar"/>
              </w:rPr>
              <w:t>》（</w:t>
            </w:r>
            <w:r>
              <w:rPr>
                <w:rFonts w:hint="default" w:ascii="宋体" w:hAnsi="宋体" w:eastAsia="宋体" w:cs="宋体"/>
                <w:color w:val="auto"/>
                <w:kern w:val="0"/>
                <w:sz w:val="24"/>
                <w:szCs w:val="24"/>
                <w:highlight w:val="none"/>
                <w:lang w:val="en-US" w:eastAsia="zh-CN" w:bidi="ar"/>
              </w:rPr>
              <w:t>奉节府〔20</w:t>
            </w:r>
            <w:r>
              <w:rPr>
                <w:rFonts w:hint="eastAsia" w:ascii="宋体" w:hAnsi="宋体" w:eastAsia="宋体" w:cs="宋体"/>
                <w:color w:val="auto"/>
                <w:kern w:val="0"/>
                <w:sz w:val="24"/>
                <w:szCs w:val="24"/>
                <w:highlight w:val="none"/>
                <w:lang w:val="en-US" w:eastAsia="zh-CN" w:bidi="ar"/>
              </w:rPr>
              <w:t>22</w:t>
            </w:r>
            <w:r>
              <w:rPr>
                <w:rFonts w:hint="default"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22</w:t>
            </w:r>
            <w:r>
              <w:rPr>
                <w:rFonts w:hint="default" w:ascii="宋体" w:hAnsi="宋体" w:eastAsia="宋体" w:cs="宋体"/>
                <w:color w:val="auto"/>
                <w:kern w:val="0"/>
                <w:sz w:val="24"/>
                <w:szCs w:val="24"/>
                <w:highlight w:val="none"/>
                <w:lang w:val="en-US" w:eastAsia="zh-CN" w:bidi="ar"/>
              </w:rPr>
              <w:t>号</w:t>
            </w:r>
            <w:r>
              <w:rPr>
                <w:rFonts w:hint="eastAsia" w:ascii="宋体" w:hAnsi="宋体" w:eastAsia="宋体" w:cs="宋体"/>
                <w:color w:val="auto"/>
                <w:kern w:val="0"/>
                <w:sz w:val="24"/>
                <w:szCs w:val="24"/>
                <w:highlight w:val="none"/>
                <w:lang w:val="en-US" w:eastAsia="zh-CN" w:bidi="ar"/>
              </w:rPr>
              <w:t>）要求相符。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11" w:type="dxa"/>
          <w:trHeight w:val="2001" w:hRule="atLeast"/>
          <w:jc w:val="center"/>
        </w:trPr>
        <w:tc>
          <w:tcPr>
            <w:tcW w:w="1236" w:type="dxa"/>
            <w:gridSpan w:val="2"/>
            <w:vAlign w:val="center"/>
          </w:tcPr>
          <w:p>
            <w:pPr>
              <w:autoSpaceDE w:val="0"/>
              <w:autoSpaceDN w:val="0"/>
              <w:adjustRightInd w:val="0"/>
              <w:snapToGrid w:val="0"/>
              <w:spacing w:line="240" w:lineRule="auto"/>
              <w:ind w:left="0" w:leftChars="0" w:firstLine="0" w:firstLineChars="0"/>
              <w:jc w:val="both"/>
              <w:rPr>
                <w:rFonts w:hint="eastAsia" w:eastAsia="宋体"/>
                <w:color w:val="auto"/>
                <w:kern w:val="0"/>
                <w:sz w:val="24"/>
                <w:highlight w:val="none"/>
                <w:lang w:eastAsia="zh-CN"/>
              </w:rPr>
            </w:pPr>
            <w:r>
              <w:rPr>
                <w:color w:val="auto"/>
                <w:kern w:val="0"/>
                <w:sz w:val="24"/>
                <w:highlight w:val="none"/>
              </w:rPr>
              <w:t>其他符合性分析</w:t>
            </w:r>
          </w:p>
        </w:tc>
        <w:tc>
          <w:tcPr>
            <w:tcW w:w="7769" w:type="dxa"/>
            <w:gridSpan w:val="4"/>
            <w:vAlign w:val="center"/>
          </w:tcPr>
          <w:p>
            <w:pPr>
              <w:keepNext w:val="0"/>
              <w:keepLines w:val="0"/>
              <w:widowControl/>
              <w:suppressLineNumbers w:val="0"/>
              <w:ind w:left="0" w:leftChars="0" w:firstLine="0" w:firstLineChars="0"/>
              <w:jc w:val="left"/>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1.4 建设项目“三线一单”符合性分析</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本项目所在区域参照奉节县</w:t>
            </w:r>
            <w:r>
              <w:rPr>
                <w:rFonts w:hint="default"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三线一单</w:t>
            </w:r>
            <w:r>
              <w:rPr>
                <w:rFonts w:hint="default"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 xml:space="preserve">进行分析。 </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w:t>
            </w:r>
            <w:r>
              <w:rPr>
                <w:rFonts w:hint="default" w:ascii="宋体" w:hAnsi="宋体" w:eastAsia="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 xml:space="preserve">）生态保护红线 </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根据《重庆市人民政府关于落实生态保护红线、环境质量底线、资源利用上线制定生态环境准入清单实施生态环境分区管控的实施意见》（渝府发〔</w:t>
            </w:r>
            <w:r>
              <w:rPr>
                <w:rFonts w:hint="default" w:ascii="宋体" w:hAnsi="宋体" w:eastAsia="宋体" w:cs="宋体"/>
                <w:color w:val="auto"/>
                <w:kern w:val="0"/>
                <w:sz w:val="24"/>
                <w:szCs w:val="24"/>
                <w:highlight w:val="none"/>
                <w:lang w:val="en-US" w:eastAsia="zh-CN" w:bidi="ar"/>
              </w:rPr>
              <w:t>2020</w:t>
            </w:r>
            <w:r>
              <w:rPr>
                <w:rFonts w:hint="eastAsia" w:ascii="宋体" w:hAnsi="宋体" w:eastAsia="宋体" w:cs="宋体"/>
                <w:color w:val="auto"/>
                <w:kern w:val="0"/>
                <w:sz w:val="24"/>
                <w:szCs w:val="24"/>
                <w:highlight w:val="none"/>
                <w:lang w:val="en-US" w:eastAsia="zh-CN" w:bidi="ar"/>
              </w:rPr>
              <w:t>〕</w:t>
            </w:r>
            <w:r>
              <w:rPr>
                <w:rFonts w:hint="default" w:ascii="宋体" w:hAnsi="宋体" w:eastAsia="宋体" w:cs="宋体"/>
                <w:color w:val="auto"/>
                <w:kern w:val="0"/>
                <w:sz w:val="24"/>
                <w:szCs w:val="24"/>
                <w:highlight w:val="none"/>
                <w:lang w:val="en-US" w:eastAsia="zh-CN" w:bidi="ar"/>
              </w:rPr>
              <w:t>11</w:t>
            </w:r>
            <w:r>
              <w:rPr>
                <w:rFonts w:hint="eastAsia" w:ascii="宋体" w:hAnsi="宋体" w:eastAsia="宋体" w:cs="宋体"/>
                <w:color w:val="auto"/>
                <w:kern w:val="0"/>
                <w:sz w:val="24"/>
                <w:szCs w:val="24"/>
                <w:highlight w:val="none"/>
                <w:lang w:val="en-US" w:eastAsia="zh-CN" w:bidi="ar"/>
              </w:rPr>
              <w:t>号）和所在区域生态红线图（详见附图8），本项目位于</w:t>
            </w:r>
            <w:r>
              <w:rPr>
                <w:rFonts w:hint="eastAsia"/>
                <w:color w:val="auto"/>
                <w:sz w:val="24"/>
                <w:highlight w:val="none"/>
                <w:u w:val="none"/>
                <w:lang w:eastAsia="zh-CN"/>
              </w:rPr>
              <w:t>奉节县羊市镇渔灯社区</w:t>
            </w:r>
            <w:r>
              <w:rPr>
                <w:rFonts w:hint="eastAsia"/>
                <w:color w:val="auto"/>
                <w:sz w:val="24"/>
                <w:highlight w:val="none"/>
                <w:u w:val="none"/>
                <w:lang w:val="en-US" w:eastAsia="zh-CN"/>
              </w:rPr>
              <w:t>15社</w:t>
            </w:r>
            <w:r>
              <w:rPr>
                <w:rFonts w:hint="eastAsia" w:ascii="宋体" w:hAnsi="宋体" w:eastAsia="宋体" w:cs="宋体"/>
                <w:color w:val="auto"/>
                <w:kern w:val="0"/>
                <w:sz w:val="24"/>
                <w:szCs w:val="24"/>
                <w:highlight w:val="none"/>
                <w:lang w:val="en-US" w:eastAsia="zh-CN" w:bidi="ar"/>
              </w:rPr>
              <w:t>，项目所在区域不属于所在区域生态保护红线管控的重点生态功能区、禁止开发区以及</w:t>
            </w:r>
            <w:r>
              <w:rPr>
                <w:rFonts w:hint="default"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四山</w:t>
            </w:r>
            <w:r>
              <w:rPr>
                <w:rFonts w:hint="default"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 xml:space="preserve">管制区，项目不属于生态保护红线范围内，不属于禁止建设区。 </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w:t>
            </w:r>
            <w:r>
              <w:rPr>
                <w:rFonts w:hint="default" w:ascii="宋体" w:hAnsi="宋体" w:eastAsia="宋体"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 xml:space="preserve">）环境质量底线清单 </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根据</w:t>
            </w:r>
            <w:r>
              <w:rPr>
                <w:rFonts w:hint="default" w:ascii="宋体" w:hAnsi="宋体" w:eastAsia="宋体" w:cs="宋体"/>
                <w:color w:val="auto"/>
                <w:kern w:val="0"/>
                <w:sz w:val="24"/>
                <w:szCs w:val="24"/>
                <w:highlight w:val="none"/>
                <w:lang w:val="en-US" w:eastAsia="zh-CN" w:bidi="ar"/>
              </w:rPr>
              <w:t>202</w:t>
            </w:r>
            <w:r>
              <w:rPr>
                <w:rFonts w:hint="eastAsia" w:ascii="宋体" w:hAnsi="宋体" w:eastAsia="宋体" w:cs="宋体"/>
                <w:color w:val="auto"/>
                <w:kern w:val="0"/>
                <w:sz w:val="24"/>
                <w:szCs w:val="24"/>
                <w:highlight w:val="none"/>
                <w:lang w:val="en-US" w:eastAsia="zh-CN" w:bidi="ar"/>
              </w:rPr>
              <w:t xml:space="preserve">2年重庆市生态环境状况公报，重庆奉节县属于环境空气质量达标区；长滩河黄荆沟断面各监测因子均满足《地表水环境质量标准》 </w:t>
            </w:r>
          </w:p>
          <w:p>
            <w:pPr>
              <w:keepNext w:val="0"/>
              <w:keepLines w:val="0"/>
              <w:widowControl/>
              <w:suppressLineNumbers w:val="0"/>
              <w:ind w:left="0" w:leftChars="0" w:firstLine="0" w:firstLineChars="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w:t>
            </w:r>
            <w:r>
              <w:rPr>
                <w:rFonts w:hint="default" w:ascii="宋体" w:hAnsi="宋体" w:eastAsia="宋体" w:cs="宋体"/>
                <w:color w:val="auto"/>
                <w:kern w:val="0"/>
                <w:sz w:val="24"/>
                <w:szCs w:val="24"/>
                <w:highlight w:val="none"/>
                <w:lang w:val="en-US" w:eastAsia="zh-CN" w:bidi="ar"/>
              </w:rPr>
              <w:t>GB3838-2002</w:t>
            </w:r>
            <w:r>
              <w:rPr>
                <w:rFonts w:hint="eastAsia" w:ascii="宋体" w:hAnsi="宋体" w:eastAsia="宋体" w:cs="宋体"/>
                <w:color w:val="auto"/>
                <w:kern w:val="0"/>
                <w:sz w:val="24"/>
                <w:szCs w:val="24"/>
                <w:highlight w:val="none"/>
                <w:lang w:val="en-US" w:eastAsia="zh-CN" w:bidi="ar"/>
              </w:rPr>
              <w:t xml:space="preserve">）Ⅱ类水域水质标准要求。本项目所在区域环境质量现状较好，具有一定的环境容量。本项目废水、废气、声和固体废物经有效处置后，对外环境的影响小。 </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综上，本项目的建设不会突破环境质量底线。 </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w:t>
            </w:r>
            <w:r>
              <w:rPr>
                <w:rFonts w:hint="default" w:ascii="宋体" w:hAnsi="宋体" w:eastAsia="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 xml:space="preserve">）资源利用上线 </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本项目用电为市政用电，能够满足用电的消耗需求；项目用水为市政供水，能够满足用水的消耗需求。项目的建设不会影响区域的资源利用。 </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w:t>
            </w:r>
            <w:r>
              <w:rPr>
                <w:rFonts w:hint="default" w:ascii="宋体" w:hAnsi="宋体" w:eastAsia="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 xml:space="preserve">）环境准入负面清单 </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根据重庆市“三线一单”智检系统查询结果，本项目不位于重庆市生态保护红线范围内，项目所在地属于ZH50023630003奉节县一般管控单元—长江白帝城奉节段。本项目与“三线一单”管控要求的符合性见表1.2。</w:t>
            </w:r>
          </w:p>
          <w:p>
            <w:pPr>
              <w:autoSpaceDE w:val="0"/>
              <w:autoSpaceDN w:val="0"/>
              <w:adjustRightInd w:val="0"/>
              <w:snapToGrid w:val="0"/>
              <w:spacing w:line="500" w:lineRule="exact"/>
              <w:jc w:val="center"/>
              <w:rPr>
                <w:b/>
                <w:bCs/>
                <w:color w:val="auto"/>
                <w:kern w:val="0"/>
                <w:sz w:val="24"/>
                <w:highlight w:val="none"/>
              </w:rPr>
            </w:pPr>
            <w:r>
              <w:rPr>
                <w:rFonts w:hint="eastAsia"/>
                <w:b/>
                <w:bCs/>
                <w:color w:val="auto"/>
                <w:kern w:val="0"/>
                <w:sz w:val="24"/>
                <w:highlight w:val="none"/>
              </w:rPr>
              <w:t>表</w:t>
            </w:r>
            <w:r>
              <w:rPr>
                <w:b/>
                <w:bCs/>
                <w:color w:val="auto"/>
                <w:kern w:val="0"/>
                <w:sz w:val="24"/>
                <w:highlight w:val="none"/>
              </w:rPr>
              <w:t>1</w:t>
            </w:r>
            <w:r>
              <w:rPr>
                <w:rFonts w:hint="eastAsia"/>
                <w:b/>
                <w:bCs/>
                <w:color w:val="auto"/>
                <w:kern w:val="0"/>
                <w:sz w:val="24"/>
                <w:highlight w:val="none"/>
                <w:lang w:val="en-US" w:eastAsia="zh-CN"/>
              </w:rPr>
              <w:t>.2</w:t>
            </w:r>
            <w:r>
              <w:rPr>
                <w:b/>
                <w:bCs/>
                <w:color w:val="auto"/>
                <w:kern w:val="0"/>
                <w:sz w:val="24"/>
                <w:highlight w:val="none"/>
              </w:rPr>
              <w:t xml:space="preserve"> </w:t>
            </w:r>
            <w:r>
              <w:rPr>
                <w:rFonts w:hint="eastAsia"/>
                <w:b/>
                <w:bCs/>
                <w:color w:val="auto"/>
                <w:kern w:val="0"/>
                <w:sz w:val="24"/>
                <w:highlight w:val="none"/>
              </w:rPr>
              <w:t xml:space="preserve"> 本项目与“三线一单”管控要求的符合性分析表</w:t>
            </w:r>
          </w:p>
          <w:tbl>
            <w:tblPr>
              <w:tblStyle w:val="29"/>
              <w:tblW w:w="73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914"/>
              <w:gridCol w:w="3002"/>
              <w:gridCol w:w="1422"/>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61" w:type="dxa"/>
                  <w:gridSpan w:val="2"/>
                  <w:vAlign w:val="center"/>
                </w:tcPr>
                <w:p>
                  <w:pPr>
                    <w:pStyle w:val="85"/>
                    <w:adjustRightInd w:val="0"/>
                    <w:snapToGrid w:val="0"/>
                    <w:spacing w:line="240" w:lineRule="auto"/>
                    <w:ind w:left="0" w:leftChars="0" w:firstLine="0" w:firstLineChars="0"/>
                    <w:jc w:val="both"/>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环境管控单元编码</w:t>
                  </w:r>
                </w:p>
              </w:tc>
              <w:tc>
                <w:tcPr>
                  <w:tcW w:w="3002" w:type="dxa"/>
                  <w:vAlign w:val="center"/>
                </w:tcPr>
                <w:p>
                  <w:pPr>
                    <w:pStyle w:val="85"/>
                    <w:adjustRightInd w:val="0"/>
                    <w:snapToGrid w:val="0"/>
                    <w:spacing w:line="240" w:lineRule="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环境管控单元名称</w:t>
                  </w:r>
                </w:p>
              </w:tc>
              <w:tc>
                <w:tcPr>
                  <w:tcW w:w="2328" w:type="dxa"/>
                  <w:gridSpan w:val="2"/>
                  <w:vAlign w:val="center"/>
                </w:tcPr>
                <w:p>
                  <w:pPr>
                    <w:pStyle w:val="85"/>
                    <w:adjustRightInd w:val="0"/>
                    <w:snapToGrid w:val="0"/>
                    <w:spacing w:line="240" w:lineRule="auto"/>
                    <w:ind w:left="0" w:leftChars="0" w:firstLine="0" w:firstLineChars="0"/>
                    <w:jc w:val="both"/>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环境管控单元类型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61" w:type="dxa"/>
                  <w:gridSpan w:val="2"/>
                  <w:vAlign w:val="center"/>
                </w:tcPr>
                <w:p>
                  <w:pPr>
                    <w:pStyle w:val="85"/>
                    <w:adjustRightInd w:val="0"/>
                    <w:snapToGrid w:val="0"/>
                    <w:spacing w:line="240" w:lineRule="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ZH50023630003</w:t>
                  </w:r>
                </w:p>
              </w:tc>
              <w:tc>
                <w:tcPr>
                  <w:tcW w:w="3002" w:type="dxa"/>
                  <w:vAlign w:val="center"/>
                </w:tcPr>
                <w:p>
                  <w:pPr>
                    <w:pStyle w:val="85"/>
                    <w:adjustRightInd w:val="0"/>
                    <w:snapToGrid w:val="0"/>
                    <w:spacing w:line="240" w:lineRule="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长江白帝城奉节段</w:t>
                  </w:r>
                </w:p>
              </w:tc>
              <w:tc>
                <w:tcPr>
                  <w:tcW w:w="2328" w:type="dxa"/>
                  <w:gridSpan w:val="2"/>
                  <w:vAlign w:val="center"/>
                </w:tcPr>
                <w:p>
                  <w:pPr>
                    <w:pStyle w:val="85"/>
                    <w:adjustRightInd w:val="0"/>
                    <w:snapToGrid w:val="0"/>
                    <w:spacing w:line="240" w:lineRule="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7" w:type="dxa"/>
                  <w:vAlign w:val="center"/>
                </w:tcPr>
                <w:p>
                  <w:pPr>
                    <w:pStyle w:val="85"/>
                    <w:adjustRightInd w:val="0"/>
                    <w:snapToGrid w:val="0"/>
                    <w:spacing w:line="240" w:lineRule="auto"/>
                    <w:ind w:left="0" w:leftChars="0" w:firstLine="0" w:firstLineChars="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管控要求层级</w:t>
                  </w:r>
                </w:p>
              </w:tc>
              <w:tc>
                <w:tcPr>
                  <w:tcW w:w="914" w:type="dxa"/>
                  <w:vAlign w:val="center"/>
                </w:tcPr>
                <w:p>
                  <w:pPr>
                    <w:pStyle w:val="85"/>
                    <w:adjustRightInd w:val="0"/>
                    <w:snapToGrid w:val="0"/>
                    <w:spacing w:line="240" w:lineRule="auto"/>
                    <w:ind w:left="0" w:leftChars="0" w:firstLine="0" w:firstLineChars="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管控类型</w:t>
                  </w:r>
                </w:p>
              </w:tc>
              <w:tc>
                <w:tcPr>
                  <w:tcW w:w="3002" w:type="dxa"/>
                  <w:vAlign w:val="center"/>
                </w:tcPr>
                <w:p>
                  <w:pPr>
                    <w:pStyle w:val="85"/>
                    <w:adjustRightInd w:val="0"/>
                    <w:snapToGrid w:val="0"/>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管控要求</w:t>
                  </w:r>
                </w:p>
              </w:tc>
              <w:tc>
                <w:tcPr>
                  <w:tcW w:w="1422" w:type="dxa"/>
                  <w:vAlign w:val="center"/>
                </w:tcPr>
                <w:p>
                  <w:pPr>
                    <w:pStyle w:val="85"/>
                    <w:adjustRightInd w:val="0"/>
                    <w:snapToGrid w:val="0"/>
                    <w:spacing w:line="240" w:lineRule="auto"/>
                    <w:ind w:left="0" w:leftChars="0" w:firstLine="0" w:firstLineChars="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项目对应情况介绍</w:t>
                  </w:r>
                </w:p>
              </w:tc>
              <w:tc>
                <w:tcPr>
                  <w:tcW w:w="906" w:type="dxa"/>
                  <w:vAlign w:val="center"/>
                </w:tcPr>
                <w:p>
                  <w:pPr>
                    <w:pStyle w:val="85"/>
                    <w:adjustRightInd w:val="0"/>
                    <w:snapToGrid w:val="0"/>
                    <w:spacing w:line="240" w:lineRule="auto"/>
                    <w:ind w:left="0" w:leftChars="0" w:firstLine="0" w:firstLineChars="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3" w:hRule="atLeast"/>
                <w:jc w:val="center"/>
              </w:trPr>
              <w:tc>
                <w:tcPr>
                  <w:tcW w:w="1147" w:type="dxa"/>
                  <w:vMerge w:val="restart"/>
                  <w:vAlign w:val="center"/>
                </w:tcPr>
                <w:p>
                  <w:pPr>
                    <w:pStyle w:val="85"/>
                    <w:adjustRightInd w:val="0"/>
                    <w:snapToGrid w:val="0"/>
                    <w:spacing w:line="240" w:lineRule="auto"/>
                    <w:ind w:left="0" w:leftChars="0" w:firstLine="0" w:firstLineChars="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全市总体管控要求</w:t>
                  </w:r>
                </w:p>
              </w:tc>
              <w:tc>
                <w:tcPr>
                  <w:tcW w:w="914" w:type="dxa"/>
                  <w:vAlign w:val="center"/>
                </w:tcPr>
                <w:p>
                  <w:pPr>
                    <w:pStyle w:val="85"/>
                    <w:adjustRightInd w:val="0"/>
                    <w:snapToGrid w:val="0"/>
                    <w:spacing w:line="240" w:lineRule="auto"/>
                    <w:ind w:left="0" w:leftChars="0" w:firstLine="0" w:firstLineChars="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空间布局约束</w:t>
                  </w:r>
                </w:p>
              </w:tc>
              <w:tc>
                <w:tcPr>
                  <w:tcW w:w="3002" w:type="dxa"/>
                  <w:vAlign w:val="center"/>
                </w:tcPr>
                <w:p>
                  <w:pPr>
                    <w:pStyle w:val="85"/>
                    <w:adjustRightInd w:val="0"/>
                    <w:snapToGrid w:val="0"/>
                    <w:spacing w:line="240" w:lineRule="auto"/>
                    <w:ind w:left="0" w:leftChars="0" w:firstLine="0" w:firstLineChars="0"/>
                    <w:jc w:val="left"/>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1.严格执行《产业结构调整指导目录》、《重庆市产业投资准入工作手册》、《重庆市工业项目环境准入规定》、《重庆市长江经济带发展负面清单指南实施细则（试行）》等文件要求，优化重点区域、流域、产业的空间布局。对不符合准入要求的既有项目，依法依规实施整改、退出等分类治理方案。</w:t>
                  </w:r>
                </w:p>
                <w:p>
                  <w:pPr>
                    <w:pStyle w:val="85"/>
                    <w:adjustRightInd w:val="0"/>
                    <w:snapToGrid w:val="0"/>
                    <w:spacing w:line="240" w:lineRule="auto"/>
                    <w:ind w:left="0" w:leftChars="0" w:firstLine="0" w:firstLineChars="0"/>
                    <w:jc w:val="left"/>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禁止在长江干流及主要支流岸线1公里范围内新建重化工、纺织、造纸等存在污染风险的工业项目，禁止在长江干支流1公里范围内新建、扩建化工园区和化工项目。5公里范围内除经国家和市政府批准设立、仍在建设的工业园区外，不再新布局工业园区（不包括现有工业园区拓展）。新建有污染物排放的工业项目应进入工业园区或工业集中区，不得在工业园区（集聚区）以外区域实施单纯增加产能的技改（扩建）项目。</w:t>
                  </w:r>
                </w:p>
                <w:p>
                  <w:pPr>
                    <w:pStyle w:val="85"/>
                    <w:adjustRightInd w:val="0"/>
                    <w:snapToGrid w:val="0"/>
                    <w:spacing w:line="240" w:lineRule="auto"/>
                    <w:ind w:left="0" w:leftChars="0" w:firstLine="0" w:firstLineChars="0"/>
                    <w:jc w:val="left"/>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在长江鱼嘴以上江段及其一级支流汇入口上游20公里、嘉陵江及其一级支流汇入口上游20公里、集中式饮用水水源取水口上游20公里范围内的沿岸地区（江河50年一遇洪水位向陆域一侧1公里范围内），禁止新建、扩建排放重点重金属（铬、镉、汞、砷、铅等五类重金属）、剧毒物质和持久性有机污染物的工业项目。</w:t>
                  </w:r>
                </w:p>
                <w:p>
                  <w:pPr>
                    <w:pStyle w:val="85"/>
                    <w:adjustRightInd w:val="0"/>
                    <w:snapToGrid w:val="0"/>
                    <w:spacing w:line="240" w:lineRule="auto"/>
                    <w:ind w:left="0" w:leftChars="0" w:firstLine="0" w:firstLineChars="0"/>
                    <w:jc w:val="left"/>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4.严格执行相关行业企业布局选址要求，优化环境防护距离设置，按要求设置生态隔离带，防范工业园区（工业集聚区）涉生态环境“邻避”问题，将环境防护距离优化控制在园区边界或用地红线以内。</w:t>
                  </w:r>
                </w:p>
                <w:p>
                  <w:pPr>
                    <w:pStyle w:val="85"/>
                    <w:adjustRightInd w:val="0"/>
                    <w:snapToGrid w:val="0"/>
                    <w:spacing w:line="240" w:lineRule="auto"/>
                    <w:ind w:left="0" w:leftChars="0" w:firstLine="0" w:firstLineChars="0"/>
                    <w:jc w:val="left"/>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5.加快布局分散的企业向园区集中，鼓励现有工业项目、化工项目分别搬入工业集聚区、化工产业集聚区。</w:t>
                  </w:r>
                </w:p>
                <w:p>
                  <w:pPr>
                    <w:pStyle w:val="85"/>
                    <w:adjustRightInd w:val="0"/>
                    <w:snapToGrid w:val="0"/>
                    <w:spacing w:line="240" w:lineRule="auto"/>
                    <w:ind w:left="0" w:leftChars="0" w:firstLine="0" w:firstLineChars="0"/>
                    <w:jc w:val="left"/>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6.优化城镇功能布局，开发活动限制在资源环境承载能力之内。科学确定城镇开发强度，提高城镇土地利用效率、建成区人口密度，划定城镇开发边界，从严供给城市建设用地，推动城镇化发展由外延扩张式向内涵提升式转变。精心维护自然山水和城乡人居环境，凸显历史文化底蕴，充分塑造和着力体现重庆的山水自然人文特色。</w:t>
                  </w:r>
                </w:p>
              </w:tc>
              <w:tc>
                <w:tcPr>
                  <w:tcW w:w="1422" w:type="dxa"/>
                  <w:vAlign w:val="center"/>
                </w:tcPr>
                <w:p>
                  <w:pPr>
                    <w:pStyle w:val="85"/>
                    <w:adjustRightInd w:val="0"/>
                    <w:snapToGrid w:val="0"/>
                    <w:spacing w:line="240" w:lineRule="auto"/>
                    <w:ind w:left="0" w:leftChars="0" w:firstLine="0" w:firstLineChars="0"/>
                    <w:jc w:val="both"/>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项目符合《产业结构调整指导目录》等文件要求。项目属于乡镇卫生院建设项目，不属于重化工、纺织、造纸等存在污染风险的工业项目，也不属于化工园区和化工项目，也不排放重点重金属、剧毒物质以及持久性有机污染物。</w:t>
                  </w:r>
                </w:p>
              </w:tc>
              <w:tc>
                <w:tcPr>
                  <w:tcW w:w="906" w:type="dxa"/>
                  <w:vAlign w:val="center"/>
                </w:tcPr>
                <w:p>
                  <w:pPr>
                    <w:pStyle w:val="85"/>
                    <w:adjustRightInd w:val="0"/>
                    <w:snapToGrid w:val="0"/>
                    <w:spacing w:line="240" w:lineRule="auto"/>
                    <w:ind w:left="0" w:leftChars="0" w:firstLine="0" w:firstLineChars="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7" w:type="dxa"/>
                  <w:vMerge w:val="continue"/>
                  <w:vAlign w:val="center"/>
                </w:tcPr>
                <w:p>
                  <w:pPr>
                    <w:pStyle w:val="85"/>
                    <w:adjustRightInd w:val="0"/>
                    <w:snapToGrid w:val="0"/>
                    <w:rPr>
                      <w:rFonts w:hint="eastAsia" w:ascii="宋体" w:hAnsi="宋体" w:eastAsia="宋体" w:cs="宋体"/>
                      <w:bCs/>
                      <w:color w:val="auto"/>
                      <w:sz w:val="21"/>
                      <w:szCs w:val="21"/>
                      <w:highlight w:val="none"/>
                    </w:rPr>
                  </w:pPr>
                </w:p>
              </w:tc>
              <w:tc>
                <w:tcPr>
                  <w:tcW w:w="914"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污染物排放管控</w:t>
                  </w:r>
                </w:p>
              </w:tc>
              <w:tc>
                <w:tcPr>
                  <w:tcW w:w="3002"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7.未达到国家环境质量标准的重点区域、流域的有关地方人民政府，应当制定限期达标规划，并采取措施按期达标。</w:t>
                  </w:r>
                </w:p>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8.巩固“十一小”（不符合国家产业政策的小型造纸、制革、印染、染料、炼焦、炼硫、炼砷、炼油、电镀、农药、涉磷生产和使用等企业）取缔成果，防止死灰复燃。巩固“十一大”（造纸、焦化、氮肥、有色金属、印染、农副产品及食品加工、原料药制造（生化制药）、制革、农药、电镀以及涉磷产品等）企业污染整治成果。</w:t>
                  </w:r>
                </w:p>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9.主城区及江津区、合川区、璧山区、铜梁区二氧化硫、氮氧化物、颗粒物、挥发性有机物严格执行大气污染物特别排放限值，并逐步将执行范围扩大到重点控制区重点行业。</w:t>
                  </w:r>
                </w:p>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10.新建、改建、扩建涉VOCs排放的项目，加强源头控制，使用低（无）VOCs含量的原辅料，加强废气收集，安装高效治理设施。有条件的工业集聚区建设集中喷涂中心，配备高效治污设施，替代企业独立喷涂工序。</w:t>
                  </w:r>
                </w:p>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11.集中治理工业集聚区水污染，新建、升级工业集聚区应同步规划建设污水集中处理设施并安装自动在线监控装置。组织评估依托城镇生活污水处理设施处理园区工业废水对出水的影响，导致出水不能稳定达标的，要限期退出城镇污水处理设施并另行专门处理。</w:t>
                  </w:r>
                </w:p>
              </w:tc>
              <w:tc>
                <w:tcPr>
                  <w:tcW w:w="1422"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项目位于奉节县，属于环境空气达标区，项目不属于“十一小”及“十一大”项目，不涉及VOCs排放。</w:t>
                  </w:r>
                </w:p>
              </w:tc>
              <w:tc>
                <w:tcPr>
                  <w:tcW w:w="906" w:type="dxa"/>
                  <w:vAlign w:val="center"/>
                </w:tcPr>
                <w:p>
                  <w:pPr>
                    <w:pStyle w:val="85"/>
                    <w:adjustRightInd w:val="0"/>
                    <w:snapToGrid w:val="0"/>
                    <w:ind w:left="0" w:leftChars="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7" w:type="dxa"/>
                  <w:vMerge w:val="continue"/>
                  <w:vAlign w:val="center"/>
                </w:tcPr>
                <w:p>
                  <w:pPr>
                    <w:pStyle w:val="85"/>
                    <w:adjustRightInd w:val="0"/>
                    <w:snapToGrid w:val="0"/>
                    <w:rPr>
                      <w:rFonts w:hint="eastAsia" w:ascii="宋体" w:hAnsi="宋体" w:eastAsia="宋体" w:cs="宋体"/>
                      <w:bCs/>
                      <w:color w:val="auto"/>
                      <w:sz w:val="21"/>
                      <w:szCs w:val="21"/>
                      <w:highlight w:val="none"/>
                    </w:rPr>
                  </w:pPr>
                </w:p>
              </w:tc>
              <w:tc>
                <w:tcPr>
                  <w:tcW w:w="914"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环境风险防控</w:t>
                  </w:r>
                </w:p>
              </w:tc>
              <w:tc>
                <w:tcPr>
                  <w:tcW w:w="3002"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12.健全风险防范体系，制定环境风险防范协调联动工作机制。开展涉及化工生产的工业园区突发环境事件风险评估。长江三峡库区干流流域、城市集中式饮用水源、涉及化工生产的化工园区等按要求开展突发环境事件风险评估。</w:t>
                  </w:r>
                </w:p>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13.禁止建设存在重大环境安全隐患的工业项目。严禁工艺技术落后、环境风险高的化工企业向我市转移。</w:t>
                  </w:r>
                </w:p>
              </w:tc>
              <w:tc>
                <w:tcPr>
                  <w:tcW w:w="1422"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项目不属于重大环境安全隐患的工业项目。</w:t>
                  </w:r>
                </w:p>
              </w:tc>
              <w:tc>
                <w:tcPr>
                  <w:tcW w:w="906" w:type="dxa"/>
                  <w:vAlign w:val="center"/>
                </w:tcPr>
                <w:p>
                  <w:pPr>
                    <w:pStyle w:val="85"/>
                    <w:adjustRightInd w:val="0"/>
                    <w:snapToGrid w:val="0"/>
                    <w:ind w:left="0" w:leftChars="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7" w:type="dxa"/>
                  <w:vMerge w:val="continue"/>
                  <w:vAlign w:val="center"/>
                </w:tcPr>
                <w:p>
                  <w:pPr>
                    <w:pStyle w:val="85"/>
                    <w:adjustRightInd w:val="0"/>
                    <w:snapToGrid w:val="0"/>
                    <w:rPr>
                      <w:rFonts w:hint="eastAsia" w:ascii="宋体" w:hAnsi="宋体" w:eastAsia="宋体" w:cs="宋体"/>
                      <w:bCs/>
                      <w:color w:val="auto"/>
                      <w:sz w:val="21"/>
                      <w:szCs w:val="21"/>
                      <w:highlight w:val="none"/>
                    </w:rPr>
                  </w:pPr>
                </w:p>
              </w:tc>
              <w:tc>
                <w:tcPr>
                  <w:tcW w:w="914"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资源开发利用效率</w:t>
                  </w:r>
                </w:p>
              </w:tc>
              <w:tc>
                <w:tcPr>
                  <w:tcW w:w="3002"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14.加强资源节约集约利用。实行能源、水资源、建设用地总量和强度双控行动，推进节能、节水、节地、节材等节约自然资源行动，从源头减少污染物排放。</w:t>
                  </w:r>
                </w:p>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15.在禁燃区内，禁止销售、燃用高污染燃料，禁止新建、改建、扩建任何燃用高污染燃料的项目和设备，已建成使用高污染燃料的各类设备应当拆除或者改用管道天然气、页岩气、液化石油气、电或者其他清洁能源；在不具备使用清洁能源条件的区域，可使用配备专用锅炉和除尘装置的生物质成型燃料。</w:t>
                  </w:r>
                </w:p>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16.电力、钢铁、纺织、造纸、石油石化、化工、食品发酵等高耗水行业达到先进定额标准。</w:t>
                  </w:r>
                </w:p>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17.重点控制区域新建高耗能项目单位产品（产值）能耗要达到国际先进水平。</w:t>
                  </w:r>
                </w:p>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18.水利水电工程应保证合理的生态流量，具备条件的都应实施生态流量监测监控。</w:t>
                  </w:r>
                </w:p>
              </w:tc>
              <w:tc>
                <w:tcPr>
                  <w:tcW w:w="1422"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项目不涉及高污染燃料。</w:t>
                  </w:r>
                </w:p>
              </w:tc>
              <w:tc>
                <w:tcPr>
                  <w:tcW w:w="906" w:type="dxa"/>
                  <w:vAlign w:val="center"/>
                </w:tcPr>
                <w:p>
                  <w:pPr>
                    <w:pStyle w:val="85"/>
                    <w:adjustRightInd w:val="0"/>
                    <w:snapToGrid w:val="0"/>
                    <w:ind w:left="0" w:leftChars="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7" w:type="dxa"/>
                  <w:vMerge w:val="restart"/>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区县总体管控要求</w:t>
                  </w:r>
                </w:p>
              </w:tc>
              <w:tc>
                <w:tcPr>
                  <w:tcW w:w="914"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空间布局约束</w:t>
                  </w:r>
                </w:p>
              </w:tc>
              <w:tc>
                <w:tcPr>
                  <w:tcW w:w="3002"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第一条  一江四河（长江干流以及朱衣河、梅溪河、草堂河、大溪河等支流）消落带内禁止从事畜禽养殖经营活动。新布局企业应优先布局进入草堂组团或康乐组团内。</w:t>
                  </w:r>
                </w:p>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第二条  新布局清洁能源产业（如水电、风电等）应避开生态保护红线。自然保护区、森林公园、风景名胜区等区域为风电项目禁止建设区域。</w:t>
                  </w:r>
                </w:p>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第三条  旅游产业布局应满足自然保护区、森林公园、地质公园、风景名胜区等对于旅游产业的选址布局及管理要求。</w:t>
                  </w:r>
                </w:p>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第四条  对工业用地上“零土地”（不涉及新征建设用地）技术改造升级且“两不增”（不增加污染物排放总量、不增大环境风险）的建设项目，对原老工业企业集聚区（地）在城乡规划未改变其工业用地性质的前提和期限内，且列入所在区县工业发展等规划并依法开展了规划环评的项目，依法依规加快推进环评文件审批。</w:t>
                  </w:r>
                </w:p>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第五条  一江四河流域水土流失严重的区域限制或者禁止可能造成水土流失的生产建设活动，坡耕地优先布局坡耕地改经果林或水土保持林，缓解坡耕地造成的水土流失。</w:t>
                  </w:r>
                </w:p>
              </w:tc>
              <w:tc>
                <w:tcPr>
                  <w:tcW w:w="1422"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项目为</w:t>
                  </w:r>
                  <w:r>
                    <w:rPr>
                      <w:rFonts w:hint="eastAsia" w:ascii="宋体" w:hAnsi="宋体" w:eastAsia="宋体" w:cs="宋体"/>
                      <w:bCs/>
                      <w:color w:val="auto"/>
                      <w:sz w:val="21"/>
                      <w:szCs w:val="21"/>
                      <w:highlight w:val="none"/>
                      <w:lang w:val="en-US" w:eastAsia="zh-CN"/>
                    </w:rPr>
                    <w:t>乡镇卫生院建设项目，位于奉节县羊市镇渔灯社区15社，不涉及生态保护红线、自然保护区、森林</w:t>
                  </w:r>
                  <w:r>
                    <w:rPr>
                      <w:rFonts w:hint="eastAsia" w:ascii="宋体" w:hAnsi="宋体" w:eastAsia="宋体" w:cs="宋体"/>
                      <w:bCs/>
                      <w:color w:val="auto"/>
                      <w:sz w:val="21"/>
                      <w:szCs w:val="21"/>
                      <w:highlight w:val="none"/>
                    </w:rPr>
                    <w:t>公园、风景、森林公园、地质公园等区域。</w:t>
                  </w:r>
                </w:p>
              </w:tc>
              <w:tc>
                <w:tcPr>
                  <w:tcW w:w="906" w:type="dxa"/>
                  <w:vAlign w:val="center"/>
                </w:tcPr>
                <w:p>
                  <w:pPr>
                    <w:pStyle w:val="85"/>
                    <w:adjustRightInd w:val="0"/>
                    <w:snapToGrid w:val="0"/>
                    <w:ind w:left="0" w:leftChars="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7" w:type="dxa"/>
                  <w:vMerge w:val="continue"/>
                  <w:vAlign w:val="center"/>
                </w:tcPr>
                <w:p>
                  <w:pPr>
                    <w:pStyle w:val="85"/>
                    <w:adjustRightInd w:val="0"/>
                    <w:snapToGrid w:val="0"/>
                    <w:rPr>
                      <w:rFonts w:hint="eastAsia" w:ascii="宋体" w:hAnsi="宋体" w:eastAsia="宋体" w:cs="宋体"/>
                      <w:bCs/>
                      <w:color w:val="auto"/>
                      <w:sz w:val="21"/>
                      <w:szCs w:val="21"/>
                      <w:highlight w:val="none"/>
                    </w:rPr>
                  </w:pPr>
                </w:p>
              </w:tc>
              <w:tc>
                <w:tcPr>
                  <w:tcW w:w="914"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污染物排放管控</w:t>
                  </w:r>
                </w:p>
              </w:tc>
              <w:tc>
                <w:tcPr>
                  <w:tcW w:w="3002"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第六条  完善城镇生活污水处理厂建设及配套管网建设，加强生活面源及农业面源整治，严格控制总磷、总氮排放，杜绝水体富营养化。</w:t>
                  </w:r>
                </w:p>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第七条  严格控制化肥农药使用量，加强畜禽养殖行业污染治理。</w:t>
                  </w:r>
                </w:p>
              </w:tc>
              <w:tc>
                <w:tcPr>
                  <w:tcW w:w="1422"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项目为</w:t>
                  </w:r>
                  <w:r>
                    <w:rPr>
                      <w:rFonts w:hint="eastAsia" w:ascii="宋体" w:hAnsi="宋体" w:eastAsia="宋体" w:cs="宋体"/>
                      <w:bCs/>
                      <w:color w:val="auto"/>
                      <w:sz w:val="21"/>
                      <w:szCs w:val="21"/>
                      <w:highlight w:val="none"/>
                      <w:lang w:val="en-US" w:eastAsia="zh-CN"/>
                    </w:rPr>
                    <w:t>卫生院建设项目</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产生的废水经医院污水处理站处理达标后进入羊市污水处理厂处理</w:t>
                  </w:r>
                  <w:r>
                    <w:rPr>
                      <w:rFonts w:hint="eastAsia" w:ascii="宋体" w:hAnsi="宋体" w:eastAsia="宋体" w:cs="宋体"/>
                      <w:bCs/>
                      <w:color w:val="auto"/>
                      <w:sz w:val="21"/>
                      <w:szCs w:val="21"/>
                      <w:highlight w:val="none"/>
                    </w:rPr>
                    <w:t>。项目不使用化肥农药。</w:t>
                  </w:r>
                </w:p>
              </w:tc>
              <w:tc>
                <w:tcPr>
                  <w:tcW w:w="906" w:type="dxa"/>
                  <w:vAlign w:val="center"/>
                </w:tcPr>
                <w:p>
                  <w:pPr>
                    <w:pStyle w:val="85"/>
                    <w:adjustRightInd w:val="0"/>
                    <w:snapToGrid w:val="0"/>
                    <w:ind w:left="0" w:leftChars="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7" w:type="dxa"/>
                  <w:vMerge w:val="continue"/>
                  <w:vAlign w:val="center"/>
                </w:tcPr>
                <w:p>
                  <w:pPr>
                    <w:pStyle w:val="85"/>
                    <w:adjustRightInd w:val="0"/>
                    <w:snapToGrid w:val="0"/>
                    <w:rPr>
                      <w:rFonts w:hint="eastAsia" w:ascii="宋体" w:hAnsi="宋体" w:eastAsia="宋体" w:cs="宋体"/>
                      <w:bCs/>
                      <w:color w:val="auto"/>
                      <w:sz w:val="21"/>
                      <w:szCs w:val="21"/>
                      <w:highlight w:val="none"/>
                    </w:rPr>
                  </w:pPr>
                </w:p>
              </w:tc>
              <w:tc>
                <w:tcPr>
                  <w:tcW w:w="914"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环境风险防控</w:t>
                  </w:r>
                </w:p>
              </w:tc>
              <w:tc>
                <w:tcPr>
                  <w:tcW w:w="3002"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第八条  草堂组团以及规划的康乐组团应建立环境风险三级防控体系，进一步优化完善风险防范措施和应急预案体系，严控环境风险事故发生，严防事故废水进入水体。</w:t>
                  </w:r>
                </w:p>
              </w:tc>
              <w:tc>
                <w:tcPr>
                  <w:tcW w:w="1422"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项目按要求制定风险防范措施和应急预案。</w:t>
                  </w:r>
                </w:p>
              </w:tc>
              <w:tc>
                <w:tcPr>
                  <w:tcW w:w="906" w:type="dxa"/>
                  <w:vAlign w:val="center"/>
                </w:tcPr>
                <w:p>
                  <w:pPr>
                    <w:pStyle w:val="85"/>
                    <w:adjustRightInd w:val="0"/>
                    <w:snapToGrid w:val="0"/>
                    <w:ind w:left="0" w:leftChars="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7" w:type="dxa"/>
                  <w:vMerge w:val="continue"/>
                  <w:vAlign w:val="center"/>
                </w:tcPr>
                <w:p>
                  <w:pPr>
                    <w:pStyle w:val="85"/>
                    <w:adjustRightInd w:val="0"/>
                    <w:snapToGrid w:val="0"/>
                    <w:rPr>
                      <w:rFonts w:hint="eastAsia" w:ascii="宋体" w:hAnsi="宋体" w:eastAsia="宋体" w:cs="宋体"/>
                      <w:bCs/>
                      <w:color w:val="auto"/>
                      <w:sz w:val="21"/>
                      <w:szCs w:val="21"/>
                      <w:highlight w:val="none"/>
                    </w:rPr>
                  </w:pPr>
                </w:p>
              </w:tc>
              <w:tc>
                <w:tcPr>
                  <w:tcW w:w="914"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资源开发利用效率</w:t>
                  </w:r>
                </w:p>
              </w:tc>
              <w:tc>
                <w:tcPr>
                  <w:tcW w:w="3002"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第九条  提高草堂组团及康乐组团企业清洁生产水平；提高眼镜制造产业、环保建材产业以及机械制造等产业生产用水重复利用率，减少废水排放。</w:t>
                  </w:r>
                </w:p>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第十条  组织开展存在减水河段的小水电站生态流量确定、泄放设施改造、生态调度运行、监测监控等工作，切实加强长江经济带小水电站生态流量监督管理。</w:t>
                  </w:r>
                </w:p>
              </w:tc>
              <w:tc>
                <w:tcPr>
                  <w:tcW w:w="1422"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项目为</w:t>
                  </w:r>
                  <w:r>
                    <w:rPr>
                      <w:rFonts w:hint="eastAsia" w:ascii="宋体" w:hAnsi="宋体" w:eastAsia="宋体" w:cs="宋体"/>
                      <w:bCs/>
                      <w:color w:val="auto"/>
                      <w:sz w:val="21"/>
                      <w:szCs w:val="21"/>
                      <w:highlight w:val="none"/>
                      <w:lang w:val="en-US" w:eastAsia="zh-CN"/>
                    </w:rPr>
                    <w:t>卫生院建设项目</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产生的废水经医院污水处理站处理达标后进入羊市污水处理厂处理</w:t>
                  </w:r>
                  <w:r>
                    <w:rPr>
                      <w:rFonts w:hint="eastAsia" w:ascii="宋体" w:hAnsi="宋体" w:eastAsia="宋体" w:cs="宋体"/>
                      <w:bCs/>
                      <w:color w:val="auto"/>
                      <w:sz w:val="21"/>
                      <w:szCs w:val="21"/>
                      <w:highlight w:val="none"/>
                    </w:rPr>
                    <w:t>。</w:t>
                  </w:r>
                </w:p>
              </w:tc>
              <w:tc>
                <w:tcPr>
                  <w:tcW w:w="906" w:type="dxa"/>
                  <w:vAlign w:val="center"/>
                </w:tcPr>
                <w:p>
                  <w:pPr>
                    <w:pStyle w:val="85"/>
                    <w:adjustRightInd w:val="0"/>
                    <w:snapToGrid w:val="0"/>
                    <w:ind w:left="0" w:leftChars="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7" w:type="dxa"/>
                  <w:vMerge w:val="restart"/>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单元管控要求（奉节县一般管控单元—长江白帝城奉节段）</w:t>
                  </w:r>
                </w:p>
              </w:tc>
              <w:tc>
                <w:tcPr>
                  <w:tcW w:w="914"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空间布局约束</w:t>
                  </w:r>
                </w:p>
              </w:tc>
              <w:tc>
                <w:tcPr>
                  <w:tcW w:w="3002"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严格落实《奉节县畜禽规模养殖污染治理实施方案》，不得在禁养区内布局畜禽养殖类项目；限养区不再新增畜禽养殖规模。禁止河道围网养殖、水库肥水养殖和投饵网箱养殖，鼓励发展生态养殖。规整一江四河沿岸排污口。新布局企业应优先布局进入草堂组团或康乐组团内。</w:t>
                  </w:r>
                </w:p>
              </w:tc>
              <w:tc>
                <w:tcPr>
                  <w:tcW w:w="1422"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项目为</w:t>
                  </w:r>
                  <w:r>
                    <w:rPr>
                      <w:rFonts w:hint="eastAsia" w:ascii="宋体" w:hAnsi="宋体" w:eastAsia="宋体" w:cs="宋体"/>
                      <w:bCs/>
                      <w:color w:val="auto"/>
                      <w:sz w:val="21"/>
                      <w:szCs w:val="21"/>
                      <w:highlight w:val="none"/>
                      <w:lang w:val="en-US" w:eastAsia="zh-CN"/>
                    </w:rPr>
                    <w:t>卫生院建设项目</w:t>
                  </w:r>
                  <w:r>
                    <w:rPr>
                      <w:rFonts w:hint="eastAsia" w:ascii="宋体" w:hAnsi="宋体" w:eastAsia="宋体" w:cs="宋体"/>
                      <w:bCs/>
                      <w:color w:val="auto"/>
                      <w:sz w:val="21"/>
                      <w:szCs w:val="21"/>
                      <w:highlight w:val="none"/>
                    </w:rPr>
                    <w:t>，不属于养殖项目。</w:t>
                  </w:r>
                </w:p>
              </w:tc>
              <w:tc>
                <w:tcPr>
                  <w:tcW w:w="906" w:type="dxa"/>
                  <w:vAlign w:val="center"/>
                </w:tcPr>
                <w:p>
                  <w:pPr>
                    <w:pStyle w:val="85"/>
                    <w:adjustRightInd w:val="0"/>
                    <w:snapToGrid w:val="0"/>
                    <w:ind w:left="0" w:leftChars="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7" w:type="dxa"/>
                  <w:vMerge w:val="continue"/>
                  <w:vAlign w:val="center"/>
                </w:tcPr>
                <w:p>
                  <w:pPr>
                    <w:pStyle w:val="85"/>
                    <w:adjustRightInd w:val="0"/>
                    <w:snapToGrid w:val="0"/>
                    <w:rPr>
                      <w:rFonts w:hint="eastAsia" w:ascii="宋体" w:hAnsi="宋体" w:eastAsia="宋体" w:cs="宋体"/>
                      <w:bCs/>
                      <w:color w:val="auto"/>
                      <w:sz w:val="21"/>
                      <w:szCs w:val="21"/>
                      <w:highlight w:val="none"/>
                    </w:rPr>
                  </w:pPr>
                </w:p>
              </w:tc>
              <w:tc>
                <w:tcPr>
                  <w:tcW w:w="914"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污染物排放管控</w:t>
                  </w:r>
                </w:p>
              </w:tc>
              <w:tc>
                <w:tcPr>
                  <w:tcW w:w="3002"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持续实施禁养区内畜禽养殖场的搬迁关闭工作。经果林推广科学施肥，减少化肥使用和农药使用量。逐步完善乡镇污水处理厂以及配套管网建设。完成农家乐集中片区污水治理。</w:t>
                  </w:r>
                </w:p>
              </w:tc>
              <w:tc>
                <w:tcPr>
                  <w:tcW w:w="1422"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项目不属于畜禽项目，不使用农药、化肥。</w:t>
                  </w:r>
                </w:p>
              </w:tc>
              <w:tc>
                <w:tcPr>
                  <w:tcW w:w="906" w:type="dxa"/>
                  <w:vAlign w:val="center"/>
                </w:tcPr>
                <w:p>
                  <w:pPr>
                    <w:pStyle w:val="85"/>
                    <w:adjustRightInd w:val="0"/>
                    <w:snapToGrid w:val="0"/>
                    <w:ind w:left="0" w:leftChars="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7" w:type="dxa"/>
                  <w:vMerge w:val="continue"/>
                  <w:vAlign w:val="center"/>
                </w:tcPr>
                <w:p>
                  <w:pPr>
                    <w:pStyle w:val="85"/>
                    <w:adjustRightInd w:val="0"/>
                    <w:snapToGrid w:val="0"/>
                    <w:rPr>
                      <w:rFonts w:hint="eastAsia" w:ascii="宋体" w:hAnsi="宋体" w:eastAsia="宋体" w:cs="宋体"/>
                      <w:bCs/>
                      <w:color w:val="auto"/>
                      <w:sz w:val="21"/>
                      <w:szCs w:val="21"/>
                      <w:highlight w:val="none"/>
                    </w:rPr>
                  </w:pPr>
                </w:p>
              </w:tc>
              <w:tc>
                <w:tcPr>
                  <w:tcW w:w="914"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环境风险防控</w:t>
                  </w:r>
                </w:p>
              </w:tc>
              <w:tc>
                <w:tcPr>
                  <w:tcW w:w="3002" w:type="dxa"/>
                  <w:vAlign w:val="center"/>
                </w:tcPr>
                <w:p>
                  <w:pPr>
                    <w:pStyle w:val="85"/>
                    <w:adjustRightInd w:val="0"/>
                    <w:snapToGrid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无</w:t>
                  </w:r>
                </w:p>
              </w:tc>
              <w:tc>
                <w:tcPr>
                  <w:tcW w:w="1422" w:type="dxa"/>
                  <w:vAlign w:val="center"/>
                </w:tcPr>
                <w:p>
                  <w:pPr>
                    <w:pStyle w:val="85"/>
                    <w:adjustRightInd w:val="0"/>
                    <w:snapToGrid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c>
                <w:tcPr>
                  <w:tcW w:w="906" w:type="dxa"/>
                  <w:vAlign w:val="center"/>
                </w:tcPr>
                <w:p>
                  <w:pPr>
                    <w:pStyle w:val="85"/>
                    <w:adjustRightInd w:val="0"/>
                    <w:snapToGrid w:val="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7" w:type="dxa"/>
                  <w:vMerge w:val="continue"/>
                  <w:vAlign w:val="center"/>
                </w:tcPr>
                <w:p>
                  <w:pPr>
                    <w:pStyle w:val="85"/>
                    <w:adjustRightInd w:val="0"/>
                    <w:snapToGrid w:val="0"/>
                    <w:rPr>
                      <w:rFonts w:hint="eastAsia" w:ascii="宋体" w:hAnsi="宋体" w:eastAsia="宋体" w:cs="宋体"/>
                      <w:bCs/>
                      <w:color w:val="auto"/>
                      <w:sz w:val="21"/>
                      <w:szCs w:val="21"/>
                      <w:highlight w:val="none"/>
                    </w:rPr>
                  </w:pPr>
                </w:p>
              </w:tc>
              <w:tc>
                <w:tcPr>
                  <w:tcW w:w="914"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资源开发利用效率</w:t>
                  </w:r>
                </w:p>
              </w:tc>
              <w:tc>
                <w:tcPr>
                  <w:tcW w:w="3002"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水电项目必须科学估算并落实下泄生态流量。</w:t>
                  </w:r>
                </w:p>
              </w:tc>
              <w:tc>
                <w:tcPr>
                  <w:tcW w:w="1422" w:type="dxa"/>
                  <w:vAlign w:val="center"/>
                </w:tcPr>
                <w:p>
                  <w:pPr>
                    <w:pStyle w:val="85"/>
                    <w:adjustRightInd w:val="0"/>
                    <w:snapToGrid w:val="0"/>
                    <w:ind w:left="0" w:leftChars="0" w:firstLine="0" w:firstLineChars="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项目不属于水电项目。</w:t>
                  </w:r>
                </w:p>
              </w:tc>
              <w:tc>
                <w:tcPr>
                  <w:tcW w:w="906" w:type="dxa"/>
                  <w:vAlign w:val="center"/>
                </w:tcPr>
                <w:p>
                  <w:pPr>
                    <w:pStyle w:val="85"/>
                    <w:adjustRightInd w:val="0"/>
                    <w:snapToGrid w:val="0"/>
                    <w:ind w:left="0" w:leftChars="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符合</w:t>
                  </w:r>
                </w:p>
              </w:tc>
            </w:tr>
          </w:tbl>
          <w:p>
            <w:pPr>
              <w:pageBreakBefore w:val="0"/>
              <w:kinsoku/>
              <w:wordWrap/>
              <w:overflowPunct/>
              <w:topLinePunct w:val="0"/>
              <w:autoSpaceDE w:val="0"/>
              <w:autoSpaceDN w:val="0"/>
              <w:bidi w:val="0"/>
              <w:adjustRightInd w:val="0"/>
              <w:snapToGrid w:val="0"/>
              <w:spacing w:line="360" w:lineRule="auto"/>
              <w:ind w:firstLine="480" w:firstLineChars="200"/>
              <w:textAlignment w:val="auto"/>
              <w:rPr>
                <w:rFonts w:cs="宋体"/>
                <w:color w:val="auto"/>
                <w:kern w:val="21"/>
                <w:sz w:val="24"/>
                <w:highlight w:val="none"/>
              </w:rPr>
            </w:pPr>
            <w:r>
              <w:rPr>
                <w:rFonts w:hint="eastAsia"/>
                <w:color w:val="auto"/>
                <w:kern w:val="0"/>
                <w:sz w:val="24"/>
                <w:highlight w:val="none"/>
              </w:rPr>
              <w:t>由上表可知，本项目符合重庆市、奉节县、环境管控单元“三线一单”的相关要求。</w:t>
            </w:r>
          </w:p>
          <w:p>
            <w:pPr>
              <w:pStyle w:val="4"/>
              <w:pageBreakBefore w:val="0"/>
              <w:kinsoku/>
              <w:wordWrap/>
              <w:overflowPunct/>
              <w:topLinePunct w:val="0"/>
              <w:bidi w:val="0"/>
              <w:spacing w:line="360" w:lineRule="auto"/>
              <w:textAlignment w:val="auto"/>
              <w:rPr>
                <w:color w:val="auto"/>
                <w:highlight w:val="none"/>
              </w:rPr>
            </w:pPr>
            <w:r>
              <w:rPr>
                <w:rFonts w:hint="eastAsia"/>
                <w:color w:val="auto"/>
                <w:highlight w:val="none"/>
                <w:lang w:val="en-US" w:eastAsia="zh-CN"/>
              </w:rPr>
              <w:t xml:space="preserve">1.5 </w:t>
            </w:r>
            <w:r>
              <w:rPr>
                <w:rFonts w:hint="eastAsia"/>
                <w:color w:val="auto"/>
                <w:highlight w:val="none"/>
              </w:rPr>
              <w:t>产业政策符合性分析</w:t>
            </w:r>
          </w:p>
          <w:p>
            <w:pPr>
              <w:keepNext w:val="0"/>
              <w:keepLines w:val="0"/>
              <w:pageBreakBefore w:val="0"/>
              <w:widowControl/>
              <w:suppressLineNumbers w:val="0"/>
              <w:kinsoku/>
              <w:wordWrap/>
              <w:overflowPunct/>
              <w:topLinePunct w:val="0"/>
              <w:bidi w:val="0"/>
              <w:spacing w:line="360" w:lineRule="auto"/>
              <w:jc w:val="left"/>
              <w:textAlignment w:val="auto"/>
              <w:rPr>
                <w:color w:val="auto"/>
                <w:highlight w:val="none"/>
              </w:rPr>
            </w:pPr>
            <w:r>
              <w:rPr>
                <w:rFonts w:hint="eastAsia"/>
                <w:color w:val="auto"/>
                <w:highlight w:val="none"/>
                <w:u w:val="none"/>
              </w:rPr>
              <w:t>项目为乡镇卫生院建设项目，属于基础医疗服务设施建设，对照《产业结构调整指导目录（2019年本）》属于第三十七条“卫生健康”中“医疗卫生服务设施建设”，属于鼓励类。</w:t>
            </w:r>
            <w:r>
              <w:rPr>
                <w:rFonts w:hint="eastAsia" w:ascii="宋体" w:hAnsi="宋体" w:eastAsia="宋体" w:cs="宋体"/>
                <w:color w:val="auto"/>
                <w:kern w:val="0"/>
                <w:sz w:val="24"/>
                <w:szCs w:val="24"/>
                <w:highlight w:val="none"/>
                <w:lang w:val="en-US" w:eastAsia="zh-CN" w:bidi="ar"/>
              </w:rPr>
              <w:t xml:space="preserve">符合国家产业政策。 </w:t>
            </w:r>
          </w:p>
          <w:p>
            <w:pPr>
              <w:keepNext w:val="0"/>
              <w:keepLines w:val="0"/>
              <w:pageBreakBefore w:val="0"/>
              <w:widowControl/>
              <w:suppressLineNumbers w:val="0"/>
              <w:kinsoku/>
              <w:wordWrap/>
              <w:overflowPunct/>
              <w:topLinePunct w:val="0"/>
              <w:bidi w:val="0"/>
              <w:spacing w:line="360" w:lineRule="auto"/>
              <w:ind w:left="0" w:leftChars="0"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本项目已取得了重庆市奉节县发展和改革委员会关于同意奉节县羊市镇中心卫生院迁建工程编制项目建议书的批复：奉节发改投〔</w:t>
            </w:r>
            <w:r>
              <w:rPr>
                <w:rFonts w:hint="default" w:ascii="宋体" w:hAnsi="宋体" w:eastAsia="宋体" w:cs="宋体"/>
                <w:color w:val="auto"/>
                <w:kern w:val="0"/>
                <w:sz w:val="24"/>
                <w:szCs w:val="24"/>
                <w:highlight w:val="none"/>
                <w:lang w:val="en-US" w:eastAsia="zh-CN" w:bidi="ar"/>
              </w:rPr>
              <w:t>202</w:t>
            </w:r>
            <w:r>
              <w:rPr>
                <w:rFonts w:hint="eastAsia" w:ascii="宋体" w:hAnsi="宋体"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650</w:t>
            </w:r>
            <w:r>
              <w:rPr>
                <w:rFonts w:hint="eastAsia" w:ascii="宋体" w:hAnsi="宋体" w:eastAsia="宋体" w:cs="宋体"/>
                <w:color w:val="auto"/>
                <w:kern w:val="0"/>
                <w:sz w:val="24"/>
                <w:szCs w:val="24"/>
                <w:highlight w:val="none"/>
                <w:lang w:val="en-US" w:eastAsia="zh-CN" w:bidi="ar"/>
              </w:rPr>
              <w:t xml:space="preserve">号。因此，本项目的建设符合国家和重庆市的产业政策要求。 </w:t>
            </w:r>
          </w:p>
          <w:p>
            <w:pPr>
              <w:pStyle w:val="4"/>
              <w:pageBreakBefore w:val="0"/>
              <w:kinsoku/>
              <w:wordWrap/>
              <w:overflowPunct/>
              <w:topLinePunct w:val="0"/>
              <w:bidi w:val="0"/>
              <w:spacing w:line="360" w:lineRule="auto"/>
              <w:textAlignment w:val="auto"/>
              <w:rPr>
                <w:rFonts w:hint="eastAsia"/>
                <w:color w:val="auto"/>
                <w:highlight w:val="none"/>
                <w:lang w:val="en-US" w:eastAsia="zh-CN"/>
              </w:rPr>
            </w:pPr>
            <w:r>
              <w:rPr>
                <w:rFonts w:hint="eastAsia"/>
                <w:color w:val="auto"/>
                <w:highlight w:val="none"/>
                <w:lang w:val="en-US" w:eastAsia="zh-CN"/>
              </w:rPr>
              <w:t xml:space="preserve">1.3与《中共中央、国务院关于深化医药卫生体制改革的意见》的符合性 </w:t>
            </w:r>
          </w:p>
          <w:p>
            <w:pPr>
              <w:pStyle w:val="4"/>
              <w:pageBreakBefore w:val="0"/>
              <w:kinsoku/>
              <w:wordWrap/>
              <w:overflowPunct/>
              <w:topLinePunct w:val="0"/>
              <w:bidi w:val="0"/>
              <w:spacing w:line="360" w:lineRule="auto"/>
              <w:textAlignment w:val="auto"/>
              <w:rPr>
                <w:rFonts w:hint="eastAsia"/>
                <w:color w:val="auto"/>
                <w:highlight w:val="none"/>
                <w:lang w:val="en-US" w:eastAsia="zh-CN"/>
              </w:rPr>
            </w:pPr>
            <w:r>
              <w:rPr>
                <w:rFonts w:hint="eastAsia"/>
                <w:color w:val="auto"/>
                <w:highlight w:val="none"/>
                <w:lang w:val="en-US" w:eastAsia="zh-CN"/>
              </w:rPr>
              <w:t xml:space="preserve">分析 </w:t>
            </w:r>
          </w:p>
          <w:p>
            <w:pPr>
              <w:keepNext w:val="0"/>
              <w:keepLines w:val="0"/>
              <w:pageBreakBefore w:val="0"/>
              <w:widowControl/>
              <w:suppressLineNumbers w:val="0"/>
              <w:kinsoku/>
              <w:wordWrap/>
              <w:overflowPunct/>
              <w:topLinePunct w:val="0"/>
              <w:bidi w:val="0"/>
              <w:spacing w:line="360" w:lineRule="auto"/>
              <w:jc w:val="left"/>
              <w:textAlignment w:val="auto"/>
              <w:rPr>
                <w:rFonts w:hint="eastAsia"/>
                <w:color w:val="auto"/>
                <w:highlight w:val="none"/>
                <w:u w:val="none"/>
              </w:rPr>
            </w:pPr>
            <w:r>
              <w:rPr>
                <w:rFonts w:hint="default" w:ascii="Times New Roman" w:hAnsi="Times New Roman" w:eastAsia="宋体" w:cs="Times New Roman"/>
                <w:color w:val="auto"/>
                <w:kern w:val="0"/>
                <w:sz w:val="24"/>
                <w:szCs w:val="24"/>
                <w:highlight w:val="none"/>
                <w:lang w:val="en-US" w:eastAsia="zh-CN" w:bidi="ar"/>
              </w:rPr>
              <w:t>2</w:t>
            </w:r>
            <w:r>
              <w:rPr>
                <w:rFonts w:hint="default"/>
                <w:color w:val="auto"/>
                <w:highlight w:val="none"/>
                <w:u w:val="none"/>
                <w:lang w:val="en-US" w:eastAsia="zh-CN"/>
              </w:rPr>
              <w:t>009</w:t>
            </w:r>
            <w:r>
              <w:rPr>
                <w:rFonts w:hint="eastAsia"/>
                <w:color w:val="auto"/>
                <w:highlight w:val="none"/>
                <w:u w:val="none"/>
                <w:lang w:val="en-US" w:eastAsia="zh-CN"/>
              </w:rPr>
              <w:t>年</w:t>
            </w:r>
            <w:r>
              <w:rPr>
                <w:rFonts w:hint="default"/>
                <w:color w:val="auto"/>
                <w:highlight w:val="none"/>
                <w:u w:val="none"/>
                <w:lang w:val="en-US" w:eastAsia="zh-CN"/>
              </w:rPr>
              <w:t>3</w:t>
            </w:r>
            <w:r>
              <w:rPr>
                <w:rFonts w:hint="eastAsia"/>
                <w:color w:val="auto"/>
                <w:highlight w:val="none"/>
                <w:u w:val="none"/>
                <w:lang w:val="en-US" w:eastAsia="zh-CN"/>
              </w:rPr>
              <w:t>月</w:t>
            </w:r>
            <w:r>
              <w:rPr>
                <w:rFonts w:hint="default"/>
                <w:color w:val="auto"/>
                <w:highlight w:val="none"/>
                <w:u w:val="none"/>
                <w:lang w:val="en-US" w:eastAsia="zh-CN"/>
              </w:rPr>
              <w:t>17</w:t>
            </w:r>
            <w:r>
              <w:rPr>
                <w:rFonts w:hint="eastAsia"/>
                <w:color w:val="auto"/>
                <w:highlight w:val="none"/>
                <w:u w:val="none"/>
                <w:lang w:val="en-US" w:eastAsia="zh-CN"/>
              </w:rPr>
              <w:t>日发布的《中共中央、国务院关于深化医药卫生体制改革的意见》，其中第三条中第（五）</w:t>
            </w:r>
            <w:r>
              <w:rPr>
                <w:rFonts w:hint="default"/>
                <w:color w:val="auto"/>
                <w:highlight w:val="none"/>
                <w:u w:val="none"/>
                <w:lang w:val="en-US" w:eastAsia="zh-CN"/>
              </w:rPr>
              <w:t>“</w:t>
            </w:r>
            <w:r>
              <w:rPr>
                <w:rFonts w:hint="eastAsia"/>
                <w:color w:val="auto"/>
                <w:highlight w:val="none"/>
                <w:u w:val="none"/>
                <w:lang w:val="en-US" w:eastAsia="zh-CN"/>
              </w:rPr>
              <w:t xml:space="preserve">进一步完善医疗服务体系。坚持非营利性医疗机构为主体、营利性医疗机构为补充，公立医疗机构为主 </w:t>
            </w:r>
          </w:p>
          <w:p>
            <w:pPr>
              <w:keepNext w:val="0"/>
              <w:keepLines w:val="0"/>
              <w:pageBreakBefore w:val="0"/>
              <w:widowControl/>
              <w:suppressLineNumbers w:val="0"/>
              <w:kinsoku/>
              <w:wordWrap/>
              <w:overflowPunct/>
              <w:topLinePunct w:val="0"/>
              <w:bidi w:val="0"/>
              <w:spacing w:line="360" w:lineRule="auto"/>
              <w:ind w:left="0" w:leftChars="0" w:firstLine="0" w:firstLineChars="0"/>
              <w:jc w:val="left"/>
              <w:textAlignment w:val="auto"/>
              <w:rPr>
                <w:rFonts w:hint="eastAsia"/>
                <w:color w:val="auto"/>
                <w:highlight w:val="none"/>
                <w:u w:val="none"/>
              </w:rPr>
            </w:pPr>
            <w:r>
              <w:rPr>
                <w:rFonts w:hint="eastAsia"/>
                <w:color w:val="auto"/>
                <w:highlight w:val="none"/>
                <w:u w:val="none"/>
                <w:lang w:val="en-US" w:eastAsia="zh-CN"/>
              </w:rPr>
              <w:t xml:space="preserve">导、非公立医疗机构共同发展的办医原则，建设结构合理、覆盖城乡的 </w:t>
            </w:r>
          </w:p>
          <w:p>
            <w:pPr>
              <w:keepNext w:val="0"/>
              <w:keepLines w:val="0"/>
              <w:pageBreakBefore w:val="0"/>
              <w:widowControl/>
              <w:suppressLineNumbers w:val="0"/>
              <w:kinsoku/>
              <w:wordWrap/>
              <w:overflowPunct/>
              <w:topLinePunct w:val="0"/>
              <w:bidi w:val="0"/>
              <w:spacing w:line="360" w:lineRule="auto"/>
              <w:ind w:left="0" w:leftChars="0" w:firstLine="0" w:firstLineChars="0"/>
              <w:jc w:val="left"/>
              <w:textAlignment w:val="auto"/>
              <w:rPr>
                <w:color w:val="auto"/>
                <w:highlight w:val="none"/>
              </w:rPr>
            </w:pPr>
            <w:r>
              <w:rPr>
                <w:rFonts w:hint="eastAsia"/>
                <w:color w:val="auto"/>
                <w:highlight w:val="none"/>
                <w:u w:val="none"/>
                <w:lang w:val="en-US" w:eastAsia="zh-CN"/>
              </w:rPr>
              <w:t>医疗服务体系。</w:t>
            </w:r>
            <w:r>
              <w:rPr>
                <w:rFonts w:hint="default"/>
                <w:color w:val="auto"/>
                <w:highlight w:val="none"/>
                <w:u w:val="none"/>
                <w:lang w:val="en-US" w:eastAsia="zh-CN"/>
              </w:rPr>
              <w:t>”</w:t>
            </w:r>
            <w:r>
              <w:rPr>
                <w:rFonts w:hint="eastAsia"/>
                <w:color w:val="auto"/>
                <w:highlight w:val="none"/>
                <w:u w:val="none"/>
                <w:lang w:val="en-US" w:eastAsia="zh-CN"/>
              </w:rPr>
              <w:t>羊市镇中心卫生院，属于公立医疗机构，主要为方便周边百姓就医，符合《中共中央、国务院关于深化医药卫生体制改革的意见》的相关要求。</w:t>
            </w:r>
            <w:r>
              <w:rPr>
                <w:rFonts w:hint="eastAsia" w:ascii="宋体" w:hAnsi="宋体" w:eastAsia="宋体" w:cs="宋体"/>
                <w:color w:val="auto"/>
                <w:kern w:val="0"/>
                <w:sz w:val="24"/>
                <w:szCs w:val="24"/>
                <w:highlight w:val="none"/>
                <w:lang w:val="en-US" w:eastAsia="zh-CN" w:bidi="ar"/>
              </w:rPr>
              <w:t xml:space="preserve"> </w:t>
            </w:r>
          </w:p>
          <w:p>
            <w:pPr>
              <w:pStyle w:val="4"/>
              <w:pageBreakBefore w:val="0"/>
              <w:kinsoku/>
              <w:wordWrap/>
              <w:overflowPunct/>
              <w:topLinePunct w:val="0"/>
              <w:bidi w:val="0"/>
              <w:spacing w:line="360" w:lineRule="auto"/>
              <w:textAlignment w:val="auto"/>
              <w:rPr>
                <w:rFonts w:hint="eastAsia"/>
                <w:color w:val="auto"/>
                <w:highlight w:val="none"/>
                <w:lang w:val="en-US" w:eastAsia="zh-CN"/>
              </w:rPr>
            </w:pPr>
            <w:r>
              <w:rPr>
                <w:rFonts w:hint="eastAsia"/>
                <w:color w:val="auto"/>
                <w:highlight w:val="none"/>
                <w:lang w:val="en-US" w:eastAsia="zh-CN"/>
              </w:rPr>
              <w:t xml:space="preserve">1.4 与《国务院关于推进重庆市统筹城乡改革和发展的若干意见》的符 </w:t>
            </w:r>
          </w:p>
          <w:p>
            <w:pPr>
              <w:pStyle w:val="4"/>
              <w:pageBreakBefore w:val="0"/>
              <w:kinsoku/>
              <w:wordWrap/>
              <w:overflowPunct/>
              <w:topLinePunct w:val="0"/>
              <w:bidi w:val="0"/>
              <w:spacing w:line="360" w:lineRule="auto"/>
              <w:textAlignment w:val="auto"/>
              <w:rPr>
                <w:rFonts w:hint="eastAsia"/>
                <w:color w:val="auto"/>
                <w:highlight w:val="none"/>
                <w:lang w:val="en-US" w:eastAsia="zh-CN"/>
              </w:rPr>
            </w:pPr>
            <w:r>
              <w:rPr>
                <w:rFonts w:hint="eastAsia"/>
                <w:color w:val="auto"/>
                <w:highlight w:val="none"/>
                <w:lang w:val="en-US" w:eastAsia="zh-CN"/>
              </w:rPr>
              <w:t xml:space="preserve">合性分析 </w:t>
            </w:r>
          </w:p>
          <w:p>
            <w:pPr>
              <w:keepNext w:val="0"/>
              <w:keepLines w:val="0"/>
              <w:pageBreakBefore w:val="0"/>
              <w:widowControl/>
              <w:suppressLineNumbers w:val="0"/>
              <w:kinsoku/>
              <w:wordWrap/>
              <w:overflowPunct/>
              <w:topLinePunct w:val="0"/>
              <w:autoSpaceDE/>
              <w:autoSpaceDN/>
              <w:bidi w:val="0"/>
              <w:spacing w:line="360" w:lineRule="auto"/>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根据《国务院关于推进重庆市统筹城乡改革和发展的若干意见》 （国发〔</w:t>
            </w:r>
            <w:r>
              <w:rPr>
                <w:rFonts w:hint="default" w:ascii="Times New Roman" w:hAnsi="Times New Roman" w:eastAsia="宋体" w:cs="Times New Roman"/>
                <w:color w:val="auto"/>
                <w:kern w:val="0"/>
                <w:sz w:val="24"/>
                <w:szCs w:val="24"/>
                <w:highlight w:val="none"/>
                <w:lang w:val="en-US" w:eastAsia="zh-CN" w:bidi="ar"/>
              </w:rPr>
              <w:t>2009</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号文）中</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二十八）完善城乡医疗卫生体系。深化医药卫生体制改革，加快建立覆盖城乡居民的基本医疗卫生制度，在西部地区率先实现人人享有基本医疗卫生服务的目标。支持重点市级医院现代化建设，加强县级医疗机构基础设施建设和乡村、社区卫生服务机构标准化、规范化建设。加大对基层医疗机构和公共卫生的投入，加强疾病预防控制、卫生监督、妇幼保健、精神卫生等公共卫生机构建设，提高公共服务水平、应急救治能力，以及重大传染病、慢性病和地方病的预防控制能力</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拟建项目为医院建设，与《国务院关于推进重庆市统筹城乡改革和发展的若干意见》中大力发展社会事业，提高公共服务水平的指导思想相符。新建城区、郊区、卫星城区等薄弱区域，政府要有计划、有步骤建设公立医疗卫生机构，满足群众基本医疗卫生需求。</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拟建项目为医疗卫生服务设施建设，与国发〔</w:t>
            </w:r>
            <w:r>
              <w:rPr>
                <w:rFonts w:hint="default" w:ascii="Times New Roman" w:hAnsi="Times New Roman" w:eastAsia="宋体" w:cs="Times New Roman"/>
                <w:color w:val="auto"/>
                <w:kern w:val="0"/>
                <w:sz w:val="24"/>
                <w:szCs w:val="24"/>
                <w:highlight w:val="none"/>
                <w:lang w:val="en-US" w:eastAsia="zh-CN" w:bidi="ar"/>
              </w:rPr>
              <w:t>2009</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 xml:space="preserve">号中大力发展 </w:t>
            </w:r>
          </w:p>
          <w:p>
            <w:pPr>
              <w:keepNext w:val="0"/>
              <w:keepLines w:val="0"/>
              <w:pageBreakBefore w:val="0"/>
              <w:widowControl/>
              <w:suppressLineNumbers w:val="0"/>
              <w:kinsoku/>
              <w:wordWrap/>
              <w:overflowPunct/>
              <w:topLinePunct w:val="0"/>
              <w:autoSpaceDE/>
              <w:autoSpaceDN/>
              <w:bidi w:val="0"/>
              <w:ind w:left="0" w:leftChars="0" w:firstLine="0" w:firstLineChars="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社会事业，提高公共服务水平的指导思想相符。 </w:t>
            </w:r>
          </w:p>
          <w:p>
            <w:pPr>
              <w:pStyle w:val="69"/>
              <w:keepNext w:val="0"/>
              <w:keepLines w:val="0"/>
              <w:pageBreakBefore w:val="0"/>
              <w:kinsoku/>
              <w:wordWrap/>
              <w:overflowPunct/>
              <w:topLinePunct w:val="0"/>
              <w:autoSpaceDE/>
              <w:autoSpaceDN/>
              <w:bidi w:val="0"/>
              <w:ind w:left="0" w:leftChars="0" w:firstLine="0" w:firstLineChars="0"/>
              <w:jc w:val="left"/>
              <w:textAlignment w:val="auto"/>
              <w:rPr>
                <w:rFonts w:hint="eastAsia"/>
                <w:b/>
                <w:bCs/>
                <w:color w:val="auto"/>
                <w:highlight w:val="none"/>
                <w:lang w:val="en-US" w:eastAsia="zh-CN"/>
              </w:rPr>
            </w:pPr>
            <w:r>
              <w:rPr>
                <w:rFonts w:hint="eastAsia"/>
                <w:b/>
                <w:bCs/>
                <w:color w:val="auto"/>
                <w:highlight w:val="none"/>
                <w:lang w:val="en-US" w:eastAsia="zh-CN"/>
              </w:rPr>
              <w:t>1.5与《全国医疗卫生服务体系规划纲要（2015-2020）》（国办发﹝2015﹞14号）的符合性分析</w:t>
            </w:r>
          </w:p>
          <w:p>
            <w:pPr>
              <w:pStyle w:val="69"/>
              <w:keepNext w:val="0"/>
              <w:keepLines w:val="0"/>
              <w:pageBreakBefore w:val="0"/>
              <w:kinsoku/>
              <w:wordWrap/>
              <w:overflowPunct/>
              <w:topLinePunct w:val="0"/>
              <w:autoSpaceDE/>
              <w:autoSpaceDN/>
              <w:bidi w:val="0"/>
              <w:ind w:left="0" w:leftChars="0" w:firstLine="480" w:firstLineChars="200"/>
              <w:jc w:val="both"/>
              <w:textAlignment w:val="auto"/>
              <w:rPr>
                <w:rFonts w:hint="eastAsia"/>
                <w:b w:val="0"/>
                <w:bCs w:val="0"/>
                <w:color w:val="auto"/>
                <w:highlight w:val="none"/>
                <w:lang w:val="en-US" w:eastAsia="zh-CN"/>
              </w:rPr>
            </w:pPr>
            <w:r>
              <w:rPr>
                <w:rFonts w:hint="eastAsia"/>
                <w:b w:val="0"/>
                <w:bCs w:val="0"/>
                <w:color w:val="auto"/>
                <w:highlight w:val="none"/>
                <w:lang w:val="en-US" w:eastAsia="zh-CN"/>
              </w:rPr>
              <w:t>根据《全国医疗卫生服务体系规划纲要（2015-2020）》（国办发﹝2015﹞14号）中提出“优化医疗卫生资源配置，构建与国民经济和社会发展水平相适应、与居民健康需求相匹配、体系完整、分工明确、功能互补、密切协作的整合型医疗卫生服务体系，……”</w:t>
            </w:r>
          </w:p>
          <w:p>
            <w:pPr>
              <w:pStyle w:val="69"/>
              <w:keepNext w:val="0"/>
              <w:keepLines w:val="0"/>
              <w:pageBreakBefore w:val="0"/>
              <w:kinsoku/>
              <w:wordWrap/>
              <w:overflowPunct/>
              <w:topLinePunct w:val="0"/>
              <w:autoSpaceDE/>
              <w:autoSpaceDN/>
              <w:bidi w:val="0"/>
              <w:ind w:left="0" w:leftChars="0" w:firstLine="480" w:firstLineChars="200"/>
              <w:jc w:val="both"/>
              <w:textAlignment w:val="auto"/>
              <w:rPr>
                <w:rFonts w:hint="eastAsia"/>
                <w:b/>
                <w:bCs/>
                <w:color w:val="auto"/>
                <w:highlight w:val="none"/>
                <w:u w:val="none"/>
                <w:lang w:eastAsia="zh-CN"/>
              </w:rPr>
            </w:pPr>
            <w:r>
              <w:rPr>
                <w:rFonts w:hint="eastAsia"/>
                <w:b w:val="0"/>
                <w:bCs w:val="0"/>
                <w:color w:val="auto"/>
                <w:highlight w:val="none"/>
                <w:lang w:val="en-US" w:eastAsia="zh-CN"/>
              </w:rPr>
              <w:t>本项目为乡镇中心卫生院建设项目，与周边居民健康需求相匹配，与《全国医疗卫生服务体系规划纲要（2015-2020）》（国办发</w:t>
            </w:r>
            <w:r>
              <w:rPr>
                <w:rFonts w:hint="eastAsia" w:ascii="宋体" w:hAnsi="宋体" w:eastAsia="宋体" w:cs="宋体"/>
                <w:color w:val="auto"/>
                <w:kern w:val="0"/>
                <w:sz w:val="24"/>
                <w:szCs w:val="24"/>
                <w:highlight w:val="none"/>
                <w:lang w:val="en-US" w:eastAsia="zh-CN" w:bidi="ar"/>
              </w:rPr>
              <w:t>〔</w:t>
            </w:r>
            <w:r>
              <w:rPr>
                <w:rFonts w:hint="eastAsia"/>
                <w:b w:val="0"/>
                <w:bCs w:val="0"/>
                <w:color w:val="auto"/>
                <w:highlight w:val="none"/>
                <w:lang w:val="en-US" w:eastAsia="zh-CN"/>
              </w:rPr>
              <w:t>2015</w:t>
            </w:r>
            <w:r>
              <w:rPr>
                <w:rFonts w:hint="eastAsia" w:ascii="宋体" w:hAnsi="宋体" w:eastAsia="宋体" w:cs="宋体"/>
                <w:color w:val="auto"/>
                <w:kern w:val="0"/>
                <w:sz w:val="24"/>
                <w:szCs w:val="24"/>
                <w:highlight w:val="none"/>
                <w:lang w:val="en-US" w:eastAsia="zh-CN" w:bidi="ar"/>
              </w:rPr>
              <w:t>〕</w:t>
            </w:r>
            <w:r>
              <w:rPr>
                <w:rFonts w:hint="eastAsia"/>
                <w:b w:val="0"/>
                <w:bCs w:val="0"/>
                <w:color w:val="auto"/>
                <w:highlight w:val="none"/>
                <w:lang w:val="en-US" w:eastAsia="zh-CN"/>
              </w:rPr>
              <w:t>14号）的要求相符</w:t>
            </w:r>
            <w:r>
              <w:rPr>
                <w:rFonts w:hint="eastAsia"/>
                <w:b/>
                <w:bCs/>
                <w:color w:val="auto"/>
                <w:highlight w:val="none"/>
                <w:lang w:val="en-US" w:eastAsia="zh-CN"/>
              </w:rPr>
              <w:t>。</w:t>
            </w:r>
          </w:p>
          <w:p>
            <w:pPr>
              <w:keepNext w:val="0"/>
              <w:keepLines w:val="0"/>
              <w:pageBreakBefore w:val="0"/>
              <w:widowControl/>
              <w:suppressLineNumbers w:val="0"/>
              <w:kinsoku/>
              <w:wordWrap/>
              <w:overflowPunct/>
              <w:topLinePunct w:val="0"/>
              <w:autoSpaceDE/>
              <w:autoSpaceDN/>
              <w:bidi w:val="0"/>
              <w:ind w:left="0" w:leftChars="0" w:firstLine="0" w:firstLineChars="0"/>
              <w:jc w:val="left"/>
              <w:textAlignment w:val="auto"/>
              <w:rPr>
                <w:color w:val="auto"/>
                <w:highlight w:val="none"/>
              </w:rPr>
            </w:pPr>
            <w:r>
              <w:rPr>
                <w:rFonts w:hint="default" w:ascii="Times New Roman" w:hAnsi="Times New Roman" w:eastAsia="宋体" w:cs="Times New Roman"/>
                <w:b/>
                <w:bCs/>
                <w:color w:val="auto"/>
                <w:kern w:val="0"/>
                <w:sz w:val="24"/>
                <w:szCs w:val="24"/>
                <w:highlight w:val="none"/>
                <w:lang w:val="en-US" w:eastAsia="zh-CN" w:bidi="ar"/>
              </w:rPr>
              <w:t>1.</w:t>
            </w:r>
            <w:r>
              <w:rPr>
                <w:rFonts w:hint="eastAsia" w:cs="Times New Roman"/>
                <w:b/>
                <w:bCs/>
                <w:color w:val="auto"/>
                <w:kern w:val="0"/>
                <w:sz w:val="24"/>
                <w:szCs w:val="24"/>
                <w:highlight w:val="none"/>
                <w:lang w:val="en-US" w:eastAsia="zh-CN" w:bidi="ar"/>
              </w:rPr>
              <w:t>6</w:t>
            </w:r>
            <w:r>
              <w:rPr>
                <w:rFonts w:hint="eastAsia" w:ascii="宋体" w:hAnsi="宋体" w:eastAsia="宋体" w:cs="宋体"/>
                <w:b/>
                <w:bCs/>
                <w:color w:val="auto"/>
                <w:kern w:val="0"/>
                <w:sz w:val="24"/>
                <w:szCs w:val="24"/>
                <w:highlight w:val="none"/>
                <w:lang w:val="en-US" w:eastAsia="zh-CN" w:bidi="ar"/>
              </w:rPr>
              <w:t>与《国务院关于推进重庆市统筹城乡改革和发展的若干意见》（国发﹝</w:t>
            </w:r>
            <w:r>
              <w:rPr>
                <w:rFonts w:hint="default" w:ascii="Times New Roman" w:hAnsi="Times New Roman" w:eastAsia="宋体" w:cs="Times New Roman"/>
                <w:b/>
                <w:bCs/>
                <w:color w:val="auto"/>
                <w:kern w:val="0"/>
                <w:sz w:val="24"/>
                <w:szCs w:val="24"/>
                <w:highlight w:val="none"/>
                <w:lang w:val="en-US" w:eastAsia="zh-CN" w:bidi="ar"/>
              </w:rPr>
              <w:t>2009</w:t>
            </w:r>
            <w:r>
              <w:rPr>
                <w:rFonts w:hint="eastAsia" w:ascii="宋体" w:hAnsi="宋体" w:eastAsia="宋体" w:cs="宋体"/>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3</w:t>
            </w:r>
            <w:r>
              <w:rPr>
                <w:rFonts w:hint="eastAsia" w:ascii="宋体" w:hAnsi="宋体" w:eastAsia="宋体" w:cs="宋体"/>
                <w:b/>
                <w:bCs/>
                <w:color w:val="auto"/>
                <w:kern w:val="0"/>
                <w:sz w:val="24"/>
                <w:szCs w:val="24"/>
                <w:highlight w:val="none"/>
                <w:lang w:val="en-US" w:eastAsia="zh-CN" w:bidi="ar"/>
              </w:rPr>
              <w:t xml:space="preserve">号）的符合性分析 </w:t>
            </w:r>
          </w:p>
          <w:p>
            <w:pPr>
              <w:keepNext w:val="0"/>
              <w:keepLines w:val="0"/>
              <w:pageBreakBefore w:val="0"/>
              <w:widowControl/>
              <w:suppressLineNumbers w:val="0"/>
              <w:kinsoku/>
              <w:wordWrap/>
              <w:overflowPunct/>
              <w:topLinePunct w:val="0"/>
              <w:autoSpaceDE/>
              <w:autoSpaceDN/>
              <w:bidi w:val="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根据《国务院关于推进重庆市统筹城乡改革和发展的若干意见》（国发﹝</w:t>
            </w:r>
            <w:r>
              <w:rPr>
                <w:rFonts w:hint="default" w:ascii="Times New Roman" w:hAnsi="Times New Roman" w:eastAsia="宋体" w:cs="Times New Roman"/>
                <w:color w:val="auto"/>
                <w:kern w:val="0"/>
                <w:sz w:val="24"/>
                <w:szCs w:val="24"/>
                <w:highlight w:val="none"/>
                <w:lang w:val="en-US" w:eastAsia="zh-CN" w:bidi="ar"/>
              </w:rPr>
              <w:t>2009</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号文）中“（二十八）完善城乡医疗卫生体系。深化医药卫生体制改革，加快建立覆盖城乡居民的基本医疗卫生制度，在西部地区率先实现人人享有基本医疗卫生服务的目标。支持重点市级医院现代化建设，加强县级医疗机构基础设施建设和乡村、社区卫生服务机构标准化、规范化建设。加大对基层医疗机构和公共卫生的投入，加强疾病预防控制、卫生监督、妇幼保健、精神卫生等公共卫生机构建设，提高公共服务水平、应急救治能力，以及重大传染病、慢性病和地方病的预防控制能力。扶持中医药发展。</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本项目为乡镇中心卫生院建设项目，与《国务院关于推进重庆市统筹城乡改革和发展的若干意见》中大力发展社会事业，提高公共服务水平的指导思想相符。</w:t>
            </w:r>
          </w:p>
          <w:p>
            <w:pPr>
              <w:keepNext w:val="0"/>
              <w:keepLines w:val="0"/>
              <w:pageBreakBefore w:val="0"/>
              <w:widowControl/>
              <w:suppressLineNumbers w:val="0"/>
              <w:kinsoku/>
              <w:wordWrap/>
              <w:overflowPunct/>
              <w:topLinePunct w:val="0"/>
              <w:autoSpaceDE/>
              <w:autoSpaceDN/>
              <w:bidi w:val="0"/>
              <w:ind w:left="0" w:leftChars="0" w:firstLine="0" w:firstLineChars="0"/>
              <w:jc w:val="left"/>
              <w:textAlignment w:val="auto"/>
              <w:rPr>
                <w:color w:val="auto"/>
                <w:highlight w:val="none"/>
              </w:rPr>
            </w:pPr>
            <w:r>
              <w:rPr>
                <w:rFonts w:hint="default" w:ascii="Times New Roman" w:hAnsi="Times New Roman" w:eastAsia="宋体" w:cs="Times New Roman"/>
                <w:b/>
                <w:bCs/>
                <w:color w:val="auto"/>
                <w:kern w:val="0"/>
                <w:sz w:val="24"/>
                <w:szCs w:val="24"/>
                <w:highlight w:val="none"/>
                <w:lang w:val="en-US" w:eastAsia="zh-CN" w:bidi="ar"/>
              </w:rPr>
              <w:t>1.</w:t>
            </w:r>
            <w:r>
              <w:rPr>
                <w:rFonts w:hint="eastAsia" w:cs="Times New Roman"/>
                <w:b/>
                <w:bCs/>
                <w:color w:val="auto"/>
                <w:kern w:val="0"/>
                <w:sz w:val="24"/>
                <w:szCs w:val="24"/>
                <w:highlight w:val="none"/>
                <w:lang w:val="en-US" w:eastAsia="zh-CN" w:bidi="ar"/>
              </w:rPr>
              <w:t>7</w:t>
            </w:r>
            <w:r>
              <w:rPr>
                <w:rFonts w:hint="eastAsia" w:ascii="宋体" w:hAnsi="宋体" w:eastAsia="宋体" w:cs="宋体"/>
                <w:b/>
                <w:bCs/>
                <w:color w:val="auto"/>
                <w:kern w:val="0"/>
                <w:sz w:val="24"/>
                <w:szCs w:val="24"/>
                <w:highlight w:val="none"/>
                <w:lang w:val="en-US" w:eastAsia="zh-CN" w:bidi="ar"/>
              </w:rPr>
              <w:t>与《国务院办公厅关于印发“十四五”国民健康规划的通知》（国办发〔</w:t>
            </w:r>
            <w:r>
              <w:rPr>
                <w:rFonts w:hint="default" w:ascii="Times New Roman" w:hAnsi="Times New Roman" w:eastAsia="宋体" w:cs="Times New Roman"/>
                <w:b/>
                <w:bCs/>
                <w:color w:val="auto"/>
                <w:kern w:val="0"/>
                <w:sz w:val="24"/>
                <w:szCs w:val="24"/>
                <w:highlight w:val="none"/>
                <w:lang w:val="en-US" w:eastAsia="zh-CN" w:bidi="ar"/>
              </w:rPr>
              <w:t>2022</w:t>
            </w:r>
            <w:r>
              <w:rPr>
                <w:rFonts w:hint="eastAsia" w:ascii="宋体" w:hAnsi="宋体" w:eastAsia="宋体" w:cs="宋体"/>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11</w:t>
            </w:r>
            <w:r>
              <w:rPr>
                <w:rFonts w:hint="eastAsia" w:ascii="宋体" w:hAnsi="宋体" w:eastAsia="宋体" w:cs="宋体"/>
                <w:b/>
                <w:bCs/>
                <w:color w:val="auto"/>
                <w:kern w:val="0"/>
                <w:sz w:val="24"/>
                <w:szCs w:val="24"/>
                <w:highlight w:val="none"/>
                <w:lang w:val="en-US" w:eastAsia="zh-CN" w:bidi="ar"/>
              </w:rPr>
              <w:t xml:space="preserve">号）的符合性分析 </w:t>
            </w:r>
          </w:p>
          <w:p>
            <w:pPr>
              <w:keepNext w:val="0"/>
              <w:keepLines w:val="0"/>
              <w:pageBreakBefore w:val="0"/>
              <w:widowControl/>
              <w:suppressLineNumbers w:val="0"/>
              <w:kinsoku/>
              <w:wordWrap/>
              <w:overflowPunct/>
              <w:topLinePunct w:val="0"/>
              <w:autoSpaceDE/>
              <w:autoSpaceDN/>
              <w:bidi w:val="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根据《国务院办公厅关于印发“十四五”国民健康规划的通知》（国办发〔</w:t>
            </w:r>
            <w:r>
              <w:rPr>
                <w:rFonts w:hint="default" w:ascii="Times New Roman" w:hAnsi="Times New Roman" w:eastAsia="宋体" w:cs="Times New Roman"/>
                <w:color w:val="auto"/>
                <w:kern w:val="0"/>
                <w:sz w:val="24"/>
                <w:szCs w:val="24"/>
                <w:highlight w:val="none"/>
                <w:lang w:val="en-US" w:eastAsia="zh-CN" w:bidi="ar"/>
              </w:rPr>
              <w:t>2022</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11</w:t>
            </w:r>
            <w:r>
              <w:rPr>
                <w:rFonts w:hint="eastAsia" w:ascii="宋体" w:hAnsi="宋体" w:eastAsia="宋体" w:cs="宋体"/>
                <w:color w:val="auto"/>
                <w:kern w:val="0"/>
                <w:sz w:val="24"/>
                <w:szCs w:val="24"/>
                <w:highlight w:val="none"/>
                <w:lang w:val="en-US" w:eastAsia="zh-CN" w:bidi="ar"/>
              </w:rPr>
              <w:t xml:space="preserve">号）中“医疗卫生服务质量持续改善。基层医疗卫生服务能力不断提升，全方位全周期健康服务体系逐步健全，分级诊疗格局逐步构建，中医药特色优势进一步彰显。” </w:t>
            </w:r>
          </w:p>
          <w:p>
            <w:pPr>
              <w:keepNext w:val="0"/>
              <w:keepLines w:val="0"/>
              <w:pageBreakBefore w:val="0"/>
              <w:widowControl/>
              <w:suppressLineNumbers w:val="0"/>
              <w:kinsoku/>
              <w:wordWrap/>
              <w:overflowPunct/>
              <w:topLinePunct w:val="0"/>
              <w:autoSpaceDE/>
              <w:autoSpaceDN/>
              <w:bidi w:val="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本项目属于乡镇卫生院建设项目，位于</w:t>
            </w:r>
            <w:r>
              <w:rPr>
                <w:rFonts w:hint="eastAsia" w:ascii="宋体" w:hAnsi="宋体" w:cs="宋体"/>
                <w:color w:val="auto"/>
                <w:kern w:val="0"/>
                <w:sz w:val="24"/>
                <w:szCs w:val="24"/>
                <w:highlight w:val="none"/>
                <w:lang w:val="en-US" w:eastAsia="zh-CN" w:bidi="ar"/>
              </w:rPr>
              <w:t>奉节县</w:t>
            </w:r>
            <w:r>
              <w:rPr>
                <w:rFonts w:hint="eastAsia" w:ascii="宋体" w:hAnsi="宋体" w:eastAsia="宋体" w:cs="宋体"/>
                <w:color w:val="auto"/>
                <w:kern w:val="0"/>
                <w:sz w:val="24"/>
                <w:szCs w:val="24"/>
                <w:highlight w:val="none"/>
                <w:lang w:val="en-US" w:eastAsia="zh-CN" w:bidi="ar"/>
              </w:rPr>
              <w:t>，与附近及周边居民健康需求相匹配，可提高当地医疗服务水平，医院涉及多种诊疗科室等，符合分级诊疗格局，与《国务院办公厅关于印发“十四五”国民健康规划的通知》（国办发〔</w:t>
            </w:r>
            <w:r>
              <w:rPr>
                <w:rFonts w:hint="default" w:ascii="Times New Roman" w:hAnsi="Times New Roman" w:eastAsia="宋体" w:cs="Times New Roman"/>
                <w:color w:val="auto"/>
                <w:kern w:val="0"/>
                <w:sz w:val="24"/>
                <w:szCs w:val="24"/>
                <w:highlight w:val="none"/>
                <w:lang w:val="en-US" w:eastAsia="zh-CN" w:bidi="ar"/>
              </w:rPr>
              <w:t>2022</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11</w:t>
            </w:r>
            <w:r>
              <w:rPr>
                <w:rFonts w:hint="eastAsia" w:ascii="宋体" w:hAnsi="宋体" w:eastAsia="宋体" w:cs="宋体"/>
                <w:color w:val="auto"/>
                <w:kern w:val="0"/>
                <w:sz w:val="24"/>
                <w:szCs w:val="24"/>
                <w:highlight w:val="none"/>
                <w:lang w:val="en-US" w:eastAsia="zh-CN" w:bidi="ar"/>
              </w:rPr>
              <w:t>号）相符。</w:t>
            </w:r>
          </w:p>
          <w:p>
            <w:pPr>
              <w:keepNext w:val="0"/>
              <w:keepLines w:val="0"/>
              <w:pageBreakBefore w:val="0"/>
              <w:widowControl/>
              <w:suppressLineNumbers w:val="0"/>
              <w:kinsoku/>
              <w:wordWrap/>
              <w:overflowPunct/>
              <w:topLinePunct w:val="0"/>
              <w:autoSpaceDE/>
              <w:autoSpaceDN/>
              <w:bidi w:val="0"/>
              <w:ind w:left="0" w:leftChars="0" w:firstLine="0" w:firstLineChars="0"/>
              <w:jc w:val="left"/>
              <w:textAlignment w:val="auto"/>
              <w:rPr>
                <w:color w:val="auto"/>
                <w:highlight w:val="none"/>
              </w:rPr>
            </w:pPr>
            <w:r>
              <w:rPr>
                <w:rFonts w:hint="default" w:ascii="Times New Roman" w:hAnsi="Times New Roman" w:eastAsia="宋体" w:cs="Times New Roman"/>
                <w:b/>
                <w:bCs/>
                <w:color w:val="auto"/>
                <w:kern w:val="0"/>
                <w:sz w:val="24"/>
                <w:szCs w:val="24"/>
                <w:highlight w:val="none"/>
                <w:lang w:val="en-US" w:eastAsia="zh-CN" w:bidi="ar"/>
              </w:rPr>
              <w:t>1.</w:t>
            </w:r>
            <w:r>
              <w:rPr>
                <w:rFonts w:hint="eastAsia" w:cs="Times New Roman"/>
                <w:b/>
                <w:bCs/>
                <w:color w:val="auto"/>
                <w:kern w:val="0"/>
                <w:sz w:val="24"/>
                <w:szCs w:val="24"/>
                <w:highlight w:val="none"/>
                <w:lang w:val="en-US" w:eastAsia="zh-CN" w:bidi="ar"/>
              </w:rPr>
              <w:t>8</w:t>
            </w:r>
            <w:r>
              <w:rPr>
                <w:rFonts w:hint="default" w:ascii="Times New Roman" w:hAnsi="Times New Roman" w:eastAsia="宋体" w:cs="Times New Roman"/>
                <w:b/>
                <w:bCs/>
                <w:color w:val="auto"/>
                <w:kern w:val="0"/>
                <w:sz w:val="24"/>
                <w:szCs w:val="24"/>
                <w:highlight w:val="none"/>
                <w:lang w:val="en-US" w:eastAsia="zh-CN" w:bidi="ar"/>
              </w:rPr>
              <w:t xml:space="preserve"> </w:t>
            </w:r>
            <w:r>
              <w:rPr>
                <w:rFonts w:hint="eastAsia" w:ascii="宋体" w:hAnsi="宋体" w:eastAsia="宋体" w:cs="宋体"/>
                <w:b/>
                <w:bCs/>
                <w:color w:val="auto"/>
                <w:kern w:val="0"/>
                <w:sz w:val="24"/>
                <w:szCs w:val="24"/>
                <w:highlight w:val="none"/>
                <w:lang w:val="en-US" w:eastAsia="zh-CN" w:bidi="ar"/>
              </w:rPr>
              <w:t>与《重庆市人民政府关于印发重庆市国民经济和社会发展第十四个五年规划和二〇三五年远景目标纲要的通知》（渝府发﹝</w:t>
            </w:r>
            <w:r>
              <w:rPr>
                <w:rFonts w:hint="default" w:ascii="Times New Roman" w:hAnsi="Times New Roman" w:eastAsia="宋体" w:cs="Times New Roman"/>
                <w:b/>
                <w:bCs/>
                <w:color w:val="auto"/>
                <w:kern w:val="0"/>
                <w:sz w:val="24"/>
                <w:szCs w:val="24"/>
                <w:highlight w:val="none"/>
                <w:lang w:val="en-US" w:eastAsia="zh-CN" w:bidi="ar"/>
              </w:rPr>
              <w:t>2021</w:t>
            </w:r>
            <w:r>
              <w:rPr>
                <w:rFonts w:hint="eastAsia" w:ascii="宋体" w:hAnsi="宋体" w:eastAsia="宋体" w:cs="宋体"/>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 xml:space="preserve">6 </w:t>
            </w:r>
            <w:r>
              <w:rPr>
                <w:rFonts w:hint="eastAsia" w:ascii="宋体" w:hAnsi="宋体" w:eastAsia="宋体" w:cs="宋体"/>
                <w:b/>
                <w:bCs/>
                <w:color w:val="auto"/>
                <w:kern w:val="0"/>
                <w:sz w:val="24"/>
                <w:szCs w:val="24"/>
                <w:highlight w:val="none"/>
                <w:lang w:val="en-US" w:eastAsia="zh-CN" w:bidi="ar"/>
              </w:rPr>
              <w:t xml:space="preserve">号）的符合性分析 </w:t>
            </w:r>
          </w:p>
          <w:p>
            <w:pPr>
              <w:keepNext w:val="0"/>
              <w:keepLines w:val="0"/>
              <w:pageBreakBefore w:val="0"/>
              <w:widowControl/>
              <w:suppressLineNumbers w:val="0"/>
              <w:kinsoku/>
              <w:wordWrap/>
              <w:overflowPunct/>
              <w:topLinePunct w:val="0"/>
              <w:autoSpaceDE/>
              <w:autoSpaceDN/>
              <w:bidi w:val="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根据《重庆市人民政府关于印发重庆市国民经济和社会发展第十四个五年规划和二〇三五年远景目标纲要的通知》（渝府发﹝</w:t>
            </w:r>
            <w:r>
              <w:rPr>
                <w:rFonts w:hint="default" w:ascii="Times New Roman" w:hAnsi="Times New Roman" w:eastAsia="宋体" w:cs="Times New Roman"/>
                <w:color w:val="auto"/>
                <w:kern w:val="0"/>
                <w:sz w:val="24"/>
                <w:szCs w:val="24"/>
                <w:highlight w:val="none"/>
                <w:lang w:val="en-US" w:eastAsia="zh-CN" w:bidi="ar"/>
              </w:rPr>
              <w:t>2021</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号）中“持续提升乡村基础设施和公共服务水平。推动基础设施向农村延伸、社会事业向农村覆盖，加快实现城乡基础设施一体化、公共服务均等化。……支持发展区县域教育联合体和卫生健康共同体，提升农村教育、医疗卫生服务水平……。”本项目属于乡镇卫生院建设项目，可提升农村医疗卫生服务水平。</w:t>
            </w:r>
          </w:p>
          <w:p>
            <w:pPr>
              <w:keepNext w:val="0"/>
              <w:keepLines w:val="0"/>
              <w:pageBreakBefore w:val="0"/>
              <w:widowControl/>
              <w:suppressLineNumbers w:val="0"/>
              <w:kinsoku/>
              <w:wordWrap/>
              <w:overflowPunct/>
              <w:topLinePunct w:val="0"/>
              <w:autoSpaceDE/>
              <w:autoSpaceDN/>
              <w:bidi w:val="0"/>
              <w:jc w:val="left"/>
              <w:textAlignment w:val="auto"/>
              <w:rPr>
                <w:rFonts w:hint="eastAsia" w:ascii="宋体" w:hAnsi="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本项目与《重庆市人民政府关于印发重庆市国民经济和社会发展第十四个五年规划和二〇三五年远景目标纲要的通知》（渝府发﹝</w:t>
            </w:r>
            <w:r>
              <w:rPr>
                <w:rFonts w:hint="default" w:ascii="Times New Roman" w:hAnsi="Times New Roman" w:eastAsia="宋体" w:cs="Times New Roman"/>
                <w:color w:val="auto"/>
                <w:kern w:val="0"/>
                <w:sz w:val="24"/>
                <w:szCs w:val="24"/>
                <w:highlight w:val="none"/>
                <w:lang w:val="en-US" w:eastAsia="zh-CN" w:bidi="ar"/>
              </w:rPr>
              <w:t>2021</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号）的要求相符</w:t>
            </w:r>
            <w:r>
              <w:rPr>
                <w:rFonts w:hint="eastAsia" w:ascii="宋体" w:hAnsi="宋体" w:cs="宋体"/>
                <w:color w:val="auto"/>
                <w:kern w:val="0"/>
                <w:sz w:val="24"/>
                <w:szCs w:val="24"/>
                <w:highlight w:val="none"/>
                <w:lang w:val="en-US" w:eastAsia="zh-CN" w:bidi="ar"/>
              </w:rPr>
              <w:t>。</w:t>
            </w:r>
          </w:p>
          <w:p>
            <w:pPr>
              <w:keepNext w:val="0"/>
              <w:keepLines w:val="0"/>
              <w:widowControl/>
              <w:suppressLineNumbers w:val="0"/>
              <w:ind w:left="0" w:leftChars="0" w:firstLine="0" w:firstLineChars="0"/>
              <w:jc w:val="left"/>
              <w:rPr>
                <w:color w:val="auto"/>
                <w:highlight w:val="none"/>
              </w:rPr>
            </w:pPr>
            <w:r>
              <w:rPr>
                <w:rFonts w:hint="default" w:ascii="Times New Roman" w:hAnsi="Times New Roman" w:cs="Times New Roman"/>
                <w:b/>
                <w:bCs/>
                <w:color w:val="auto"/>
                <w:kern w:val="0"/>
                <w:sz w:val="24"/>
                <w:szCs w:val="24"/>
                <w:highlight w:val="none"/>
                <w:lang w:val="en-US" w:eastAsia="zh-CN" w:bidi="ar"/>
              </w:rPr>
              <w:t>1.</w:t>
            </w:r>
            <w:r>
              <w:rPr>
                <w:rFonts w:hint="eastAsia" w:cs="Times New Roman"/>
                <w:b/>
                <w:bCs/>
                <w:color w:val="auto"/>
                <w:kern w:val="0"/>
                <w:sz w:val="24"/>
                <w:szCs w:val="24"/>
                <w:highlight w:val="none"/>
                <w:lang w:val="en-US" w:eastAsia="zh-CN" w:bidi="ar"/>
              </w:rPr>
              <w:t>9</w:t>
            </w:r>
            <w:r>
              <w:rPr>
                <w:rFonts w:hint="eastAsia" w:ascii="宋体" w:hAnsi="宋体" w:eastAsia="宋体" w:cs="宋体"/>
                <w:b/>
                <w:bCs/>
                <w:color w:val="auto"/>
                <w:kern w:val="0"/>
                <w:sz w:val="24"/>
                <w:szCs w:val="24"/>
                <w:highlight w:val="none"/>
                <w:lang w:val="en-US" w:eastAsia="zh-CN" w:bidi="ar"/>
              </w:rPr>
              <w:t>与《四川省、重庆市</w:t>
            </w:r>
            <w:r>
              <w:rPr>
                <w:rFonts w:hint="eastAsia" w:ascii="宋体" w:hAnsi="宋体" w:cs="宋体"/>
                <w:b/>
                <w:bCs/>
                <w:color w:val="auto"/>
                <w:kern w:val="0"/>
                <w:sz w:val="24"/>
                <w:szCs w:val="24"/>
                <w:highlight w:val="none"/>
                <w:lang w:val="en-US" w:eastAsia="zh-CN" w:bidi="ar"/>
              </w:rPr>
              <w:t>长江</w:t>
            </w:r>
            <w:r>
              <w:rPr>
                <w:rFonts w:hint="eastAsia" w:ascii="宋体" w:hAnsi="宋体" w:eastAsia="宋体" w:cs="宋体"/>
                <w:b/>
                <w:bCs/>
                <w:color w:val="auto"/>
                <w:kern w:val="0"/>
                <w:sz w:val="24"/>
                <w:szCs w:val="24"/>
                <w:highlight w:val="none"/>
                <w:lang w:val="en-US" w:eastAsia="zh-CN" w:bidi="ar"/>
              </w:rPr>
              <w:t>经济带发展负面清单实施细则（试行</w:t>
            </w:r>
            <w:r>
              <w:rPr>
                <w:rFonts w:hint="default" w:ascii="Times New Roman" w:hAnsi="Times New Roman" w:eastAsia="宋体" w:cs="Times New Roman"/>
                <w:b/>
                <w:bCs/>
                <w:color w:val="auto"/>
                <w:kern w:val="0"/>
                <w:sz w:val="24"/>
                <w:szCs w:val="24"/>
                <w:highlight w:val="none"/>
                <w:lang w:val="en-US" w:eastAsia="zh-CN" w:bidi="ar"/>
              </w:rPr>
              <w:t xml:space="preserve">2022 </w:t>
            </w:r>
            <w:r>
              <w:rPr>
                <w:rFonts w:hint="eastAsia" w:ascii="宋体" w:hAnsi="宋体" w:eastAsia="宋体" w:cs="宋体"/>
                <w:b/>
                <w:bCs/>
                <w:color w:val="auto"/>
                <w:kern w:val="0"/>
                <w:sz w:val="24"/>
                <w:szCs w:val="24"/>
                <w:highlight w:val="none"/>
                <w:lang w:val="en-US" w:eastAsia="zh-CN" w:bidi="ar"/>
              </w:rPr>
              <w:t>年版）》符合性分析</w:t>
            </w:r>
          </w:p>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b/>
                <w:bCs/>
                <w:color w:val="auto"/>
                <w:kern w:val="0"/>
                <w:sz w:val="24"/>
                <w:highlight w:val="none"/>
                <w:lang w:val="en-US" w:eastAsia="zh-CN"/>
              </w:rPr>
            </w:pPr>
            <w:r>
              <w:rPr>
                <w:rFonts w:hint="eastAsia"/>
                <w:b/>
                <w:bCs/>
                <w:color w:val="auto"/>
                <w:kern w:val="0"/>
                <w:sz w:val="24"/>
                <w:highlight w:val="none"/>
                <w:lang w:val="en-US" w:eastAsia="zh-CN"/>
              </w:rPr>
              <w:t xml:space="preserve">表 </w:t>
            </w:r>
            <w:r>
              <w:rPr>
                <w:rFonts w:hint="default"/>
                <w:b/>
                <w:bCs/>
                <w:color w:val="auto"/>
                <w:kern w:val="0"/>
                <w:sz w:val="24"/>
                <w:highlight w:val="none"/>
                <w:lang w:val="en-US" w:eastAsia="zh-CN"/>
              </w:rPr>
              <w:t>1.</w:t>
            </w:r>
            <w:r>
              <w:rPr>
                <w:rFonts w:hint="eastAsia"/>
                <w:b/>
                <w:bCs/>
                <w:color w:val="auto"/>
                <w:kern w:val="0"/>
                <w:sz w:val="24"/>
                <w:highlight w:val="none"/>
                <w:lang w:val="en-US" w:eastAsia="zh-CN"/>
              </w:rPr>
              <w:t xml:space="preserve">4与《四川省、重庆市长江经济带发展负面清单实施细则（试行 </w:t>
            </w:r>
            <w:r>
              <w:rPr>
                <w:rFonts w:hint="default"/>
                <w:b/>
                <w:bCs/>
                <w:color w:val="auto"/>
                <w:kern w:val="0"/>
                <w:sz w:val="24"/>
                <w:highlight w:val="none"/>
                <w:lang w:val="en-US" w:eastAsia="zh-CN"/>
              </w:rPr>
              <w:t xml:space="preserve">2022 </w:t>
            </w:r>
            <w:r>
              <w:rPr>
                <w:rFonts w:hint="eastAsia"/>
                <w:b/>
                <w:bCs/>
                <w:color w:val="auto"/>
                <w:kern w:val="0"/>
                <w:sz w:val="24"/>
                <w:highlight w:val="none"/>
                <w:lang w:val="en-US" w:eastAsia="zh-CN"/>
              </w:rPr>
              <w:t>年版）》符合性分析</w:t>
            </w:r>
          </w:p>
          <w:tbl>
            <w:tblPr>
              <w:tblStyle w:val="30"/>
              <w:tblW w:w="75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3953"/>
              <w:gridCol w:w="1910"/>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序号</w:t>
                  </w:r>
                </w:p>
              </w:tc>
              <w:tc>
                <w:tcPr>
                  <w:tcW w:w="3953"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相关要求</w:t>
                  </w:r>
                </w:p>
              </w:tc>
              <w:tc>
                <w:tcPr>
                  <w:tcW w:w="1910"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olor w:val="auto"/>
                      <w:sz w:val="21"/>
                      <w:szCs w:val="21"/>
                      <w:highlight w:val="none"/>
                      <w:u w:val="none"/>
                      <w:vertAlign w:val="baseline"/>
                      <w:lang w:val="en-US" w:eastAsia="zh-CN"/>
                    </w:rPr>
                  </w:pPr>
                  <w:r>
                    <w:rPr>
                      <w:rFonts w:hint="eastAsia"/>
                      <w:color w:val="auto"/>
                      <w:sz w:val="21"/>
                      <w:szCs w:val="21"/>
                      <w:highlight w:val="none"/>
                      <w:u w:val="none"/>
                      <w:vertAlign w:val="baseline"/>
                      <w:lang w:val="en-US" w:eastAsia="zh-CN"/>
                    </w:rPr>
                    <w:t>本项目情况</w:t>
                  </w:r>
                </w:p>
              </w:tc>
              <w:tc>
                <w:tcPr>
                  <w:tcW w:w="867"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pStyle w:val="69"/>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default"/>
                      <w:color w:val="auto"/>
                      <w:sz w:val="21"/>
                      <w:szCs w:val="21"/>
                      <w:highlight w:val="none"/>
                      <w:u w:val="none"/>
                      <w:vertAlign w:val="baseline"/>
                      <w:lang w:val="en-US" w:eastAsia="zh-CN"/>
                    </w:rPr>
                  </w:pPr>
                </w:p>
              </w:tc>
              <w:tc>
                <w:tcPr>
                  <w:tcW w:w="3953"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禁止新建、改建和扩建不符合全国港口布局规划，以及《四川省内河水运发展规划》《泸州—宜宾—乐山港口群布局规划》《重庆港总体规划（</w:t>
                  </w:r>
                  <w:r>
                    <w:rPr>
                      <w:rFonts w:hint="eastAsia"/>
                      <w:color w:val="auto"/>
                      <w:sz w:val="21"/>
                      <w:szCs w:val="21"/>
                      <w:highlight w:val="none"/>
                      <w:u w:val="none"/>
                      <w:vertAlign w:val="baseline"/>
                      <w:lang w:val="en-US" w:eastAsia="zh-CN"/>
                    </w:rPr>
                    <w:t>2035年</w:t>
                  </w:r>
                  <w:r>
                    <w:rPr>
                      <w:rFonts w:hint="eastAsia"/>
                      <w:color w:val="auto"/>
                      <w:sz w:val="21"/>
                      <w:szCs w:val="21"/>
                      <w:highlight w:val="none"/>
                      <w:u w:val="none"/>
                      <w:vertAlign w:val="baseline"/>
                      <w:lang w:eastAsia="zh-CN"/>
                    </w:rPr>
                    <w:t>）》等省级港口布局规划及市级港口总体规划的码头项目。</w:t>
                  </w:r>
                </w:p>
              </w:tc>
              <w:tc>
                <w:tcPr>
                  <w:tcW w:w="1910"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不属于码头项目</w:t>
                  </w:r>
                </w:p>
              </w:tc>
              <w:tc>
                <w:tcPr>
                  <w:tcW w:w="867"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pStyle w:val="69"/>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color w:val="auto"/>
                      <w:sz w:val="21"/>
                      <w:szCs w:val="21"/>
                      <w:highlight w:val="none"/>
                      <w:u w:val="none"/>
                      <w:vertAlign w:val="baseline"/>
                      <w:lang w:eastAsia="zh-CN"/>
                    </w:rPr>
                  </w:pPr>
                </w:p>
              </w:tc>
              <w:tc>
                <w:tcPr>
                  <w:tcW w:w="3953"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禁止新建、改建和扩建不符合《长滩河岸线过江通道布局规划（</w:t>
                  </w:r>
                  <w:r>
                    <w:rPr>
                      <w:rFonts w:hint="eastAsia"/>
                      <w:color w:val="auto"/>
                      <w:sz w:val="21"/>
                      <w:szCs w:val="21"/>
                      <w:highlight w:val="none"/>
                      <w:u w:val="none"/>
                      <w:vertAlign w:val="baseline"/>
                      <w:lang w:val="en-US" w:eastAsia="zh-CN"/>
                    </w:rPr>
                    <w:t>2020-2035年</w:t>
                  </w:r>
                  <w:r>
                    <w:rPr>
                      <w:rFonts w:hint="eastAsia"/>
                      <w:color w:val="auto"/>
                      <w:sz w:val="21"/>
                      <w:szCs w:val="21"/>
                      <w:highlight w:val="none"/>
                      <w:u w:val="none"/>
                      <w:vertAlign w:val="baseline"/>
                      <w:lang w:eastAsia="zh-CN"/>
                    </w:rPr>
                    <w:t>）》的过长滩河通道项目（含桥梁、隧道），国家发展改革委同意过长滩河通道线位调整的除外。</w:t>
                  </w:r>
                </w:p>
              </w:tc>
              <w:tc>
                <w:tcPr>
                  <w:tcW w:w="1910"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不属于过长滩河通道项目（含桥梁、隧道）</w:t>
                  </w:r>
                </w:p>
              </w:tc>
              <w:tc>
                <w:tcPr>
                  <w:tcW w:w="867"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pStyle w:val="69"/>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color w:val="auto"/>
                      <w:sz w:val="21"/>
                      <w:szCs w:val="21"/>
                      <w:highlight w:val="none"/>
                      <w:u w:val="none"/>
                      <w:vertAlign w:val="baseline"/>
                      <w:lang w:eastAsia="zh-CN"/>
                    </w:rPr>
                  </w:pPr>
                </w:p>
              </w:tc>
              <w:tc>
                <w:tcPr>
                  <w:tcW w:w="3953"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禁止在自然保护区核心区、缓冲区的岸线和河段范围内投资建设旅游和生产经营项目。自然保护区的内部未分区的，依照核心区和缓冲区的规定管控。</w:t>
                  </w:r>
                </w:p>
              </w:tc>
              <w:tc>
                <w:tcPr>
                  <w:tcW w:w="1910" w:type="dxa"/>
                  <w:vMerge w:val="restart"/>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项目位于奉节县羊市镇，不涉及上述区域</w:t>
                  </w:r>
                </w:p>
              </w:tc>
              <w:tc>
                <w:tcPr>
                  <w:tcW w:w="867"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pStyle w:val="69"/>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color w:val="auto"/>
                      <w:sz w:val="21"/>
                      <w:szCs w:val="21"/>
                      <w:highlight w:val="none"/>
                      <w:u w:val="none"/>
                      <w:vertAlign w:val="baseline"/>
                      <w:lang w:eastAsia="zh-CN"/>
                    </w:rPr>
                  </w:pPr>
                </w:p>
              </w:tc>
              <w:tc>
                <w:tcPr>
                  <w:tcW w:w="3953"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禁止违反风景名胜区规划，在风景名胜区内设立各类开发区。禁止在风景名胜区核心景区的岸线和河段范围内建设宾馆、招待所、培训中心、疗养院以及与风景名胜资源保护无关的项目。</w:t>
                  </w:r>
                </w:p>
              </w:tc>
              <w:tc>
                <w:tcPr>
                  <w:tcW w:w="1910" w:type="dxa"/>
                  <w:vMerge w:val="continue"/>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p>
              </w:tc>
              <w:tc>
                <w:tcPr>
                  <w:tcW w:w="867"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pStyle w:val="69"/>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color w:val="auto"/>
                      <w:sz w:val="21"/>
                      <w:szCs w:val="21"/>
                      <w:highlight w:val="none"/>
                      <w:u w:val="none"/>
                      <w:vertAlign w:val="baseline"/>
                      <w:lang w:eastAsia="zh-CN"/>
                    </w:rPr>
                  </w:pPr>
                </w:p>
              </w:tc>
              <w:tc>
                <w:tcPr>
                  <w:tcW w:w="3953"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禁止在饮用水水源保护区的岸线和河段范围内新建、扩建对水体污染严重的建设项目，禁止改建增加排污量的建设项目。</w:t>
                  </w:r>
                </w:p>
              </w:tc>
              <w:tc>
                <w:tcPr>
                  <w:tcW w:w="1910" w:type="dxa"/>
                  <w:vMerge w:val="continue"/>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p>
              </w:tc>
              <w:tc>
                <w:tcPr>
                  <w:tcW w:w="867"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pStyle w:val="69"/>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color w:val="auto"/>
                      <w:sz w:val="21"/>
                      <w:szCs w:val="21"/>
                      <w:highlight w:val="none"/>
                      <w:u w:val="none"/>
                      <w:vertAlign w:val="baseline"/>
                      <w:lang w:eastAsia="zh-CN"/>
                    </w:rPr>
                  </w:pPr>
                </w:p>
              </w:tc>
              <w:tc>
                <w:tcPr>
                  <w:tcW w:w="3953"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color w:val="auto"/>
                      <w:sz w:val="21"/>
                      <w:szCs w:val="21"/>
                      <w:highlight w:val="none"/>
                      <w:u w:val="none"/>
                      <w:vertAlign w:val="baseline"/>
                      <w:lang w:val="en-US" w:eastAsia="zh-CN"/>
                    </w:rPr>
                  </w:pPr>
                  <w:r>
                    <w:rPr>
                      <w:rFonts w:hint="eastAsia"/>
                      <w:color w:val="auto"/>
                      <w:sz w:val="21"/>
                      <w:szCs w:val="21"/>
                      <w:highlight w:val="none"/>
                      <w:u w:val="none"/>
                      <w:vertAlign w:val="baseline"/>
                      <w:lang w:val="en-US" w:eastAsia="zh-CN"/>
                    </w:rPr>
                    <w:t>饮用水水源二级保护区的岸线和河段范围内，除遵守准保护区规定外，禁止新建、改建、扩建排放污染物的投资项目；禁止从事对水体有污染的水产养殖等活动。</w:t>
                  </w:r>
                </w:p>
              </w:tc>
              <w:tc>
                <w:tcPr>
                  <w:tcW w:w="1910" w:type="dxa"/>
                  <w:vMerge w:val="continue"/>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p>
              </w:tc>
              <w:tc>
                <w:tcPr>
                  <w:tcW w:w="867"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pStyle w:val="69"/>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color w:val="auto"/>
                      <w:sz w:val="21"/>
                      <w:szCs w:val="21"/>
                      <w:highlight w:val="none"/>
                      <w:u w:val="none"/>
                      <w:vertAlign w:val="baseline"/>
                      <w:lang w:eastAsia="zh-CN"/>
                    </w:rPr>
                  </w:pPr>
                </w:p>
              </w:tc>
              <w:tc>
                <w:tcPr>
                  <w:tcW w:w="3953"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910" w:type="dxa"/>
                  <w:vMerge w:val="continue"/>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p>
              </w:tc>
              <w:tc>
                <w:tcPr>
                  <w:tcW w:w="867"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pStyle w:val="69"/>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color w:val="auto"/>
                      <w:sz w:val="21"/>
                      <w:szCs w:val="21"/>
                      <w:highlight w:val="none"/>
                      <w:u w:val="none"/>
                      <w:vertAlign w:val="baseline"/>
                      <w:lang w:eastAsia="zh-CN"/>
                    </w:rPr>
                  </w:pPr>
                </w:p>
              </w:tc>
              <w:tc>
                <w:tcPr>
                  <w:tcW w:w="3953"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禁止在国家湿地公园的岸线和河段范围内开（围）垦、填埋或者排干湿地，截断湿地水源，挖沙、采矿，倾倒有毒有害物质、废弃物</w:t>
                  </w:r>
                </w:p>
              </w:tc>
              <w:tc>
                <w:tcPr>
                  <w:tcW w:w="1910"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不属于上述项目</w:t>
                  </w:r>
                </w:p>
              </w:tc>
              <w:tc>
                <w:tcPr>
                  <w:tcW w:w="867"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pStyle w:val="69"/>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color w:val="auto"/>
                      <w:sz w:val="21"/>
                      <w:szCs w:val="21"/>
                      <w:highlight w:val="none"/>
                      <w:u w:val="none"/>
                      <w:vertAlign w:val="baseline"/>
                      <w:lang w:eastAsia="zh-CN"/>
                    </w:rPr>
                  </w:pPr>
                </w:p>
              </w:tc>
              <w:tc>
                <w:tcPr>
                  <w:tcW w:w="3953"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910"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不属于上述项目</w:t>
                  </w:r>
                </w:p>
              </w:tc>
              <w:tc>
                <w:tcPr>
                  <w:tcW w:w="867"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pStyle w:val="69"/>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color w:val="auto"/>
                      <w:sz w:val="21"/>
                      <w:szCs w:val="21"/>
                      <w:highlight w:val="none"/>
                      <w:u w:val="none"/>
                      <w:vertAlign w:val="baseline"/>
                      <w:lang w:eastAsia="zh-CN"/>
                    </w:rPr>
                  </w:pPr>
                </w:p>
              </w:tc>
              <w:tc>
                <w:tcPr>
                  <w:tcW w:w="3953"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禁止违法利用、占用长滩河流域河湖岸线。禁止在《长滩河岸线保护和开发利用总体规划》划定的岸线保护区和岸线保留区内投资建设除事关公共安全及公众利益的防洪护岸、河道治理、供水、生态环境保护、航道整治、国家重要基础设施以外的项目。</w:t>
                  </w:r>
                </w:p>
              </w:tc>
              <w:tc>
                <w:tcPr>
                  <w:tcW w:w="1910"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项目位于奉节县羊市镇，不涉及上述区域</w:t>
                  </w:r>
                </w:p>
              </w:tc>
              <w:tc>
                <w:tcPr>
                  <w:tcW w:w="867"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pStyle w:val="69"/>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color w:val="auto"/>
                      <w:sz w:val="21"/>
                      <w:szCs w:val="21"/>
                      <w:highlight w:val="none"/>
                      <w:u w:val="none"/>
                      <w:vertAlign w:val="baseline"/>
                      <w:lang w:eastAsia="zh-CN"/>
                    </w:rPr>
                  </w:pPr>
                </w:p>
              </w:tc>
              <w:tc>
                <w:tcPr>
                  <w:tcW w:w="3953"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禁止在《全国重要江河湖泊水功能区划》划定的河段及湖泊保护区、保留区内投资建设不利于水资源及自然生态保护的项目。</w:t>
                  </w:r>
                </w:p>
              </w:tc>
              <w:tc>
                <w:tcPr>
                  <w:tcW w:w="1910"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项目位于奉节县羊市镇，不涉及上述区域</w:t>
                  </w:r>
                </w:p>
              </w:tc>
              <w:tc>
                <w:tcPr>
                  <w:tcW w:w="867"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pStyle w:val="69"/>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color w:val="auto"/>
                      <w:sz w:val="21"/>
                      <w:szCs w:val="21"/>
                      <w:highlight w:val="none"/>
                      <w:u w:val="none"/>
                      <w:vertAlign w:val="baseline"/>
                      <w:lang w:eastAsia="zh-CN"/>
                    </w:rPr>
                  </w:pPr>
                </w:p>
              </w:tc>
              <w:tc>
                <w:tcPr>
                  <w:tcW w:w="3953"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禁止在长滩河流域江河、湖泊新设、改设或者扩大排污口，经有管辖权的生态环境主管部门或者长滩河流域生态环境监督管理机构同意的除外。</w:t>
                  </w:r>
                </w:p>
              </w:tc>
              <w:tc>
                <w:tcPr>
                  <w:tcW w:w="1910"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本项目不涉及新增排污口</w:t>
                  </w:r>
                </w:p>
              </w:tc>
              <w:tc>
                <w:tcPr>
                  <w:tcW w:w="867"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pStyle w:val="69"/>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color w:val="auto"/>
                      <w:sz w:val="21"/>
                      <w:szCs w:val="21"/>
                      <w:highlight w:val="none"/>
                      <w:u w:val="none"/>
                      <w:vertAlign w:val="baseline"/>
                      <w:lang w:eastAsia="zh-CN"/>
                    </w:rPr>
                  </w:pPr>
                </w:p>
              </w:tc>
              <w:tc>
                <w:tcPr>
                  <w:tcW w:w="3953"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禁止在长滩河干流、大渡河、岷江、赤水河、沱江、嘉陵江、乌江、汉江和51个（四川省45个、重庆市6个）水生生物保护区开展生产性捕捞。</w:t>
                  </w:r>
                </w:p>
              </w:tc>
              <w:tc>
                <w:tcPr>
                  <w:tcW w:w="1910"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不属于生产性捕捞</w:t>
                  </w:r>
                </w:p>
              </w:tc>
              <w:tc>
                <w:tcPr>
                  <w:tcW w:w="867"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pStyle w:val="69"/>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color w:val="auto"/>
                      <w:sz w:val="21"/>
                      <w:szCs w:val="21"/>
                      <w:highlight w:val="none"/>
                      <w:u w:val="none"/>
                      <w:vertAlign w:val="baseline"/>
                      <w:lang w:eastAsia="zh-CN"/>
                    </w:rPr>
                  </w:pPr>
                </w:p>
              </w:tc>
              <w:tc>
                <w:tcPr>
                  <w:tcW w:w="3953"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禁止在长滩河干支流、重要湖泊岸线一公里范围内新建、扩建化工园区和化工项目。</w:t>
                  </w:r>
                </w:p>
              </w:tc>
              <w:tc>
                <w:tcPr>
                  <w:tcW w:w="1910" w:type="dxa"/>
                  <w:vMerge w:val="restart"/>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本项目不属于化工园区及化工项目；本项目不属于尾矿库、冶炼渣库、磷石膏膏库</w:t>
                  </w:r>
                </w:p>
              </w:tc>
              <w:tc>
                <w:tcPr>
                  <w:tcW w:w="867"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pStyle w:val="69"/>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color w:val="auto"/>
                      <w:sz w:val="21"/>
                      <w:szCs w:val="21"/>
                      <w:highlight w:val="none"/>
                      <w:u w:val="none"/>
                      <w:vertAlign w:val="baseline"/>
                      <w:lang w:eastAsia="zh-CN"/>
                    </w:rPr>
                  </w:pPr>
                </w:p>
              </w:tc>
              <w:tc>
                <w:tcPr>
                  <w:tcW w:w="3953"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禁止在长滩河干流岸线三公里范围内和重要支流岸线一公里范围内新建、改建、扩建尾矿库、冶炼渣库、磷石膏库，以提升安全、生态环境保护水平为目的的改建除外。</w:t>
                  </w:r>
                </w:p>
              </w:tc>
              <w:tc>
                <w:tcPr>
                  <w:tcW w:w="1910" w:type="dxa"/>
                  <w:vMerge w:val="continue"/>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p>
              </w:tc>
              <w:tc>
                <w:tcPr>
                  <w:tcW w:w="867"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pStyle w:val="69"/>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color w:val="auto"/>
                      <w:sz w:val="21"/>
                      <w:szCs w:val="21"/>
                      <w:highlight w:val="none"/>
                      <w:u w:val="none"/>
                      <w:vertAlign w:val="baseline"/>
                      <w:lang w:eastAsia="zh-CN"/>
                    </w:rPr>
                  </w:pPr>
                </w:p>
              </w:tc>
              <w:tc>
                <w:tcPr>
                  <w:tcW w:w="3953"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禁止在生态保护红线区域、永久基本农田集中区域和其他需要特别保护的区域内选址建设尾矿库、冶炼渣库、磷石膏库。</w:t>
                  </w:r>
                </w:p>
              </w:tc>
              <w:tc>
                <w:tcPr>
                  <w:tcW w:w="1910"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不涉及上述区域，且不属于上述项目</w:t>
                  </w:r>
                </w:p>
              </w:tc>
              <w:tc>
                <w:tcPr>
                  <w:tcW w:w="867"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813" w:type="dxa"/>
                  <w:vAlign w:val="center"/>
                </w:tcPr>
                <w:p>
                  <w:pPr>
                    <w:pStyle w:val="69"/>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color w:val="auto"/>
                      <w:sz w:val="21"/>
                      <w:szCs w:val="21"/>
                      <w:highlight w:val="none"/>
                      <w:u w:val="none"/>
                      <w:vertAlign w:val="baseline"/>
                      <w:lang w:eastAsia="zh-CN"/>
                    </w:rPr>
                  </w:pPr>
                </w:p>
              </w:tc>
              <w:tc>
                <w:tcPr>
                  <w:tcW w:w="3953"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禁止在合规园区外新建、扩建钢铁、石化、化工、焦化、建材、有色、制浆造纸等高污染项目。</w:t>
                  </w:r>
                </w:p>
              </w:tc>
              <w:tc>
                <w:tcPr>
                  <w:tcW w:w="1910"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不属于上述项目</w:t>
                  </w:r>
                </w:p>
              </w:tc>
              <w:tc>
                <w:tcPr>
                  <w:tcW w:w="867"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pStyle w:val="69"/>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color w:val="auto"/>
                      <w:sz w:val="21"/>
                      <w:szCs w:val="21"/>
                      <w:highlight w:val="none"/>
                      <w:u w:val="none"/>
                      <w:vertAlign w:val="baseline"/>
                      <w:lang w:eastAsia="zh-CN"/>
                    </w:rPr>
                  </w:pPr>
                </w:p>
              </w:tc>
              <w:tc>
                <w:tcPr>
                  <w:tcW w:w="3953"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禁止新建、扩建不符合国家石化、现代煤化工等产业布局规划的项目。</w:t>
                  </w:r>
                </w:p>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（一）严格控制新增炼油产能，未列入《石化产业规划布局方案（修订版）》的新增炼油产能一律不得建设。</w:t>
                  </w:r>
                </w:p>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（二）新建煤制烯烃、煤制芳烃项目必须列入《现代煤化工产业创新发展布局方案》，必须符合《现代煤化工建设项目环境准入条件（试行）》要求。</w:t>
                  </w:r>
                </w:p>
              </w:tc>
              <w:tc>
                <w:tcPr>
                  <w:tcW w:w="1910"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不属于石化、现代煤化工项目</w:t>
                  </w:r>
                </w:p>
              </w:tc>
              <w:tc>
                <w:tcPr>
                  <w:tcW w:w="867"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pStyle w:val="69"/>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color w:val="auto"/>
                      <w:sz w:val="21"/>
                      <w:szCs w:val="21"/>
                      <w:highlight w:val="none"/>
                      <w:u w:val="none"/>
                      <w:vertAlign w:val="baseline"/>
                      <w:lang w:eastAsia="zh-CN"/>
                    </w:rPr>
                  </w:pPr>
                </w:p>
              </w:tc>
              <w:tc>
                <w:tcPr>
                  <w:tcW w:w="3953"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910"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项目属于鼓励类项目</w:t>
                  </w:r>
                </w:p>
              </w:tc>
              <w:tc>
                <w:tcPr>
                  <w:tcW w:w="867"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pStyle w:val="69"/>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color w:val="auto"/>
                      <w:sz w:val="21"/>
                      <w:szCs w:val="21"/>
                      <w:highlight w:val="none"/>
                      <w:u w:val="none"/>
                      <w:vertAlign w:val="baseline"/>
                      <w:lang w:eastAsia="zh-CN"/>
                    </w:rPr>
                  </w:pPr>
                </w:p>
              </w:tc>
              <w:tc>
                <w:tcPr>
                  <w:tcW w:w="3953"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禁止新建、扩建不符合国家产能置换要求的严重过剩产能行业的项目。对于不符合国家产能置换要求的严重过剩产能行业，不得以其他任何名义、任何方式备案新增产能项目。</w:t>
                  </w:r>
                </w:p>
              </w:tc>
              <w:tc>
                <w:tcPr>
                  <w:tcW w:w="1910"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不属于产能过剩项目</w:t>
                  </w:r>
                </w:p>
              </w:tc>
              <w:tc>
                <w:tcPr>
                  <w:tcW w:w="867"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pStyle w:val="69"/>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color w:val="auto"/>
                      <w:sz w:val="21"/>
                      <w:szCs w:val="21"/>
                      <w:highlight w:val="none"/>
                      <w:u w:val="none"/>
                      <w:vertAlign w:val="baseline"/>
                      <w:lang w:eastAsia="zh-CN"/>
                    </w:rPr>
                  </w:pPr>
                </w:p>
              </w:tc>
              <w:tc>
                <w:tcPr>
                  <w:tcW w:w="3953"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禁止建设以下燃油汽车投资项目（不在中国境内销售产品的投资项目除外）:（一）新建独立燃油汽车企业；</w:t>
                  </w:r>
                </w:p>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（二）现有汽车企业跨乘用车、商用车类别建设燃油汽车生产能力；</w:t>
                  </w:r>
                </w:p>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（三）外省现有燃油汽车企业整体搬迁至本省（列入国家级区域发展规划或不改变企业股权结构的项目除外）；</w:t>
                  </w:r>
                </w:p>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（四）对行业管理部门特别公示的燃油汽车企业进行投资（企业原有股东投资或将该企业转为非独立法人的投资项目除外）。</w:t>
                  </w:r>
                </w:p>
              </w:tc>
              <w:tc>
                <w:tcPr>
                  <w:tcW w:w="1910"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不属于燃油汽车项目</w:t>
                  </w:r>
                </w:p>
              </w:tc>
              <w:tc>
                <w:tcPr>
                  <w:tcW w:w="867"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pStyle w:val="69"/>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color w:val="auto"/>
                      <w:sz w:val="21"/>
                      <w:szCs w:val="21"/>
                      <w:highlight w:val="none"/>
                      <w:u w:val="none"/>
                      <w:vertAlign w:val="baseline"/>
                      <w:lang w:eastAsia="zh-CN"/>
                    </w:rPr>
                  </w:pPr>
                </w:p>
              </w:tc>
              <w:tc>
                <w:tcPr>
                  <w:tcW w:w="3953"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禁止新建、扩建不符合要求的高耗能、高排放、低水平项目。</w:t>
                  </w:r>
                </w:p>
              </w:tc>
              <w:tc>
                <w:tcPr>
                  <w:tcW w:w="1910"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不属于高耗能、高排放、低水平项目</w:t>
                  </w:r>
                </w:p>
              </w:tc>
              <w:tc>
                <w:tcPr>
                  <w:tcW w:w="867" w:type="dxa"/>
                  <w:vAlign w:val="center"/>
                </w:tcPr>
                <w:p>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highlight w:val="none"/>
                      <w:u w:val="none"/>
                      <w:vertAlign w:val="baseline"/>
                      <w:lang w:eastAsia="zh-CN"/>
                    </w:rPr>
                  </w:pPr>
                  <w:r>
                    <w:rPr>
                      <w:rFonts w:hint="eastAsia"/>
                      <w:color w:val="auto"/>
                      <w:sz w:val="21"/>
                      <w:szCs w:val="21"/>
                      <w:highlight w:val="none"/>
                      <w:u w:val="none"/>
                      <w:vertAlign w:val="baseline"/>
                      <w:lang w:eastAsia="zh-CN"/>
                    </w:rPr>
                    <w:t>符合</w:t>
                  </w:r>
                </w:p>
              </w:tc>
            </w:tr>
          </w:tbl>
          <w:p>
            <w:pPr>
              <w:pStyle w:val="69"/>
              <w:keepNext w:val="0"/>
              <w:keepLines w:val="0"/>
              <w:pageBreakBefore w:val="0"/>
              <w:kinsoku/>
              <w:wordWrap/>
              <w:overflowPunct/>
              <w:topLinePunct w:val="0"/>
              <w:autoSpaceDE/>
              <w:autoSpaceDN/>
              <w:bidi w:val="0"/>
              <w:ind w:left="0" w:leftChars="0" w:firstLine="420" w:firstLineChars="200"/>
              <w:jc w:val="both"/>
              <w:textAlignment w:val="auto"/>
              <w:rPr>
                <w:rFonts w:hint="eastAsia"/>
                <w:color w:val="auto"/>
                <w:highlight w:val="none"/>
                <w:u w:val="none"/>
                <w:lang w:eastAsia="zh-CN"/>
              </w:rPr>
            </w:pPr>
            <w:r>
              <w:rPr>
                <w:rFonts w:hint="eastAsia" w:ascii="Times New Roman" w:hAnsi="Times New Roman" w:eastAsia="宋体" w:cs="Times New Roman"/>
                <w:color w:val="auto"/>
                <w:kern w:val="0"/>
                <w:sz w:val="21"/>
                <w:szCs w:val="24"/>
                <w:highlight w:val="none"/>
                <w:lang w:val="en-US" w:eastAsia="zh-CN" w:bidi="ar-SA"/>
              </w:rPr>
              <w:t>综上，本项目符合《四川省、重庆市长江经济带发展负面清单实施细则（试行，2022年版）》（川长江办〔2022〕17号）相关要求。</w:t>
            </w:r>
          </w:p>
          <w:p>
            <w:pPr>
              <w:keepNext w:val="0"/>
              <w:keepLines w:val="0"/>
              <w:pageBreakBefore w:val="0"/>
              <w:widowControl/>
              <w:suppressLineNumbers w:val="0"/>
              <w:kinsoku/>
              <w:wordWrap/>
              <w:overflowPunct/>
              <w:topLinePunct w:val="0"/>
              <w:autoSpaceDE/>
              <w:autoSpaceDN/>
              <w:bidi w:val="0"/>
              <w:ind w:left="0" w:leftChars="0" w:firstLine="0" w:firstLineChars="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1</w:t>
            </w:r>
            <w:r>
              <w:rPr>
                <w:rFonts w:hint="eastAsia" w:ascii="Times New Roman" w:hAnsi="Times New Roman" w:eastAsia="宋体" w:cs="Times New Roman"/>
                <w:b/>
                <w:bCs/>
                <w:color w:val="auto"/>
                <w:kern w:val="0"/>
                <w:sz w:val="24"/>
                <w:szCs w:val="24"/>
                <w:highlight w:val="none"/>
                <w:lang w:val="en-US" w:eastAsia="zh-CN" w:bidi="ar"/>
              </w:rPr>
              <w:t>.10 选址合理性分析</w:t>
            </w:r>
          </w:p>
          <w:p>
            <w:pPr>
              <w:keepNext w:val="0"/>
              <w:keepLines w:val="0"/>
              <w:pageBreakBefore w:val="0"/>
              <w:widowControl/>
              <w:suppressLineNumbers w:val="0"/>
              <w:kinsoku/>
              <w:wordWrap/>
              <w:overflowPunct/>
              <w:topLinePunct w:val="0"/>
              <w:autoSpaceDE/>
              <w:autoSpaceDN/>
              <w:bidi w:val="0"/>
              <w:jc w:val="left"/>
              <w:textAlignment w:val="auto"/>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（1）场地条件</w:t>
            </w:r>
          </w:p>
          <w:p>
            <w:pPr>
              <w:keepNext w:val="0"/>
              <w:keepLines w:val="0"/>
              <w:pageBreakBefore w:val="0"/>
              <w:widowControl/>
              <w:suppressLineNumbers w:val="0"/>
              <w:kinsoku/>
              <w:wordWrap/>
              <w:overflowPunct/>
              <w:topLinePunct w:val="0"/>
              <w:autoSpaceDE/>
              <w:autoSpaceDN/>
              <w:bidi w:val="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对照《重庆市城乡公共服务设施规划标准》（</w:t>
            </w:r>
            <w:r>
              <w:rPr>
                <w:rFonts w:hint="default" w:ascii="Times New Roman" w:hAnsi="Times New Roman" w:eastAsia="宋体" w:cs="Times New Roman"/>
                <w:color w:val="auto"/>
                <w:kern w:val="0"/>
                <w:sz w:val="24"/>
                <w:szCs w:val="24"/>
                <w:highlight w:val="none"/>
                <w:lang w:val="en-US" w:eastAsia="zh-CN" w:bidi="ar"/>
              </w:rPr>
              <w:t>DB50/T543-2014</w:t>
            </w:r>
            <w:r>
              <w:rPr>
                <w:rFonts w:hint="eastAsia" w:ascii="宋体" w:hAnsi="宋体" w:eastAsia="宋体" w:cs="宋体"/>
                <w:color w:val="auto"/>
                <w:kern w:val="0"/>
                <w:sz w:val="24"/>
                <w:szCs w:val="24"/>
                <w:highlight w:val="none"/>
                <w:lang w:val="en-US" w:eastAsia="zh-CN" w:bidi="ar"/>
              </w:rPr>
              <w:t>），并结合项目所在</w:t>
            </w:r>
            <w:r>
              <w:rPr>
                <w:rFonts w:hint="eastAsia" w:ascii="宋体" w:hAnsi="宋体" w:cs="宋体"/>
                <w:color w:val="auto"/>
                <w:kern w:val="0"/>
                <w:sz w:val="24"/>
                <w:szCs w:val="24"/>
                <w:highlight w:val="none"/>
                <w:lang w:val="en-US" w:eastAsia="zh-CN" w:bidi="ar"/>
              </w:rPr>
              <w:t>羊市镇</w:t>
            </w:r>
            <w:r>
              <w:rPr>
                <w:rFonts w:hint="eastAsia" w:ascii="宋体" w:hAnsi="宋体" w:eastAsia="宋体" w:cs="宋体"/>
                <w:color w:val="auto"/>
                <w:kern w:val="0"/>
                <w:sz w:val="24"/>
                <w:szCs w:val="24"/>
                <w:highlight w:val="none"/>
                <w:lang w:val="en-US" w:eastAsia="zh-CN" w:bidi="ar"/>
              </w:rPr>
              <w:t>功能布局，拟建项目</w:t>
            </w:r>
            <w:r>
              <w:rPr>
                <w:rFonts w:hint="eastAsia" w:ascii="宋体" w:hAnsi="宋体" w:cs="宋体"/>
                <w:color w:val="auto"/>
                <w:kern w:val="0"/>
                <w:sz w:val="24"/>
                <w:szCs w:val="24"/>
                <w:highlight w:val="none"/>
                <w:lang w:val="en-US" w:eastAsia="zh-CN" w:bidi="ar"/>
              </w:rPr>
              <w:t>用地性质属于医疗用地，</w:t>
            </w:r>
            <w:r>
              <w:rPr>
                <w:rFonts w:hint="eastAsia" w:ascii="宋体" w:hAnsi="宋体" w:eastAsia="宋体" w:cs="宋体"/>
                <w:color w:val="auto"/>
                <w:kern w:val="0"/>
                <w:sz w:val="24"/>
                <w:szCs w:val="24"/>
                <w:highlight w:val="none"/>
                <w:lang w:val="en-US" w:eastAsia="zh-CN" w:bidi="ar"/>
              </w:rPr>
              <w:t>不直接与市场、学校、幼儿园、公共娱乐场所、消防站、垃圾转运站、强电磁辐射源等毗邻；项目场地现状及周边地形结构简单，未发现滑坡、泥石流、断层破碎带、岩溶和地下洞室等不良工程地质现象，现状稳定；</w:t>
            </w:r>
            <w:r>
              <w:rPr>
                <w:rFonts w:hint="eastAsia" w:ascii="宋体" w:hAnsi="宋体" w:cs="宋体"/>
                <w:color w:val="auto"/>
                <w:kern w:val="0"/>
                <w:sz w:val="24"/>
                <w:szCs w:val="24"/>
                <w:highlight w:val="none"/>
                <w:lang w:val="en-US" w:eastAsia="zh-CN" w:bidi="ar"/>
              </w:rPr>
              <w:t>北</w:t>
            </w:r>
            <w:r>
              <w:rPr>
                <w:rFonts w:hint="eastAsia" w:ascii="宋体" w:hAnsi="宋体" w:eastAsia="宋体" w:cs="宋体"/>
                <w:color w:val="auto"/>
                <w:kern w:val="0"/>
                <w:sz w:val="24"/>
                <w:szCs w:val="24"/>
                <w:highlight w:val="none"/>
                <w:lang w:val="en-US" w:eastAsia="zh-CN" w:bidi="ar"/>
              </w:rPr>
              <w:t>侧为</w:t>
            </w:r>
            <w:r>
              <w:rPr>
                <w:rFonts w:hint="eastAsia" w:ascii="宋体" w:hAnsi="宋体" w:cs="宋体"/>
                <w:color w:val="auto"/>
                <w:kern w:val="0"/>
                <w:sz w:val="24"/>
                <w:szCs w:val="24"/>
                <w:highlight w:val="none"/>
                <w:lang w:val="en-US" w:eastAsia="zh-CN" w:bidi="ar"/>
              </w:rPr>
              <w:t>乡镇道路</w:t>
            </w:r>
            <w:r>
              <w:rPr>
                <w:rFonts w:hint="eastAsia" w:ascii="宋体" w:hAnsi="宋体" w:eastAsia="宋体" w:cs="宋体"/>
                <w:color w:val="auto"/>
                <w:kern w:val="0"/>
                <w:sz w:val="24"/>
                <w:szCs w:val="24"/>
                <w:highlight w:val="none"/>
                <w:lang w:val="en-US" w:eastAsia="zh-CN" w:bidi="ar"/>
              </w:rPr>
              <w:t>，车流量较小；本项目最低标高</w:t>
            </w:r>
            <w:r>
              <w:rPr>
                <w:rFonts w:hint="eastAsia" w:cs="Times New Roman"/>
                <w:color w:val="auto"/>
                <w:kern w:val="0"/>
                <w:sz w:val="24"/>
                <w:szCs w:val="24"/>
                <w:highlight w:val="none"/>
                <w:lang w:val="en-US" w:eastAsia="zh-CN" w:bidi="ar"/>
              </w:rPr>
              <w:t>190.0</w:t>
            </w:r>
            <w:r>
              <w:rPr>
                <w:rFonts w:hint="default" w:ascii="Times New Roman" w:hAnsi="Times New Roman" w:eastAsia="宋体" w:cs="Times New Roman"/>
                <w:color w:val="auto"/>
                <w:kern w:val="0"/>
                <w:sz w:val="24"/>
                <w:szCs w:val="24"/>
                <w:highlight w:val="none"/>
                <w:lang w:val="en-US" w:eastAsia="zh-CN" w:bidi="ar"/>
              </w:rPr>
              <w:t>m</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长滩</w:t>
            </w:r>
            <w:r>
              <w:rPr>
                <w:rFonts w:hint="eastAsia" w:ascii="宋体" w:hAnsi="宋体" w:eastAsia="宋体" w:cs="宋体"/>
                <w:color w:val="auto"/>
                <w:kern w:val="0"/>
                <w:sz w:val="24"/>
                <w:szCs w:val="24"/>
                <w:highlight w:val="none"/>
                <w:lang w:val="en-US" w:eastAsia="zh-CN" w:bidi="ar"/>
              </w:rPr>
              <w:t>河</w:t>
            </w:r>
            <w:r>
              <w:rPr>
                <w:rFonts w:hint="default" w:ascii="Times New Roman" w:hAnsi="Times New Roman" w:eastAsia="宋体" w:cs="Times New Roman"/>
                <w:color w:val="auto"/>
                <w:kern w:val="0"/>
                <w:sz w:val="24"/>
                <w:szCs w:val="24"/>
                <w:highlight w:val="none"/>
                <w:lang w:val="en-US" w:eastAsia="zh-CN" w:bidi="ar"/>
              </w:rPr>
              <w:t>50</w:t>
            </w:r>
            <w:r>
              <w:rPr>
                <w:rFonts w:hint="eastAsia" w:ascii="宋体" w:hAnsi="宋体" w:eastAsia="宋体" w:cs="宋体"/>
                <w:color w:val="auto"/>
                <w:kern w:val="0"/>
                <w:sz w:val="24"/>
                <w:szCs w:val="24"/>
                <w:highlight w:val="none"/>
                <w:lang w:val="en-US" w:eastAsia="zh-CN" w:bidi="ar"/>
              </w:rPr>
              <w:t>年一遇的最高水位</w:t>
            </w:r>
            <w:r>
              <w:rPr>
                <w:rFonts w:hint="eastAsia" w:ascii="Times New Roman" w:hAnsi="Times New Roman" w:eastAsia="宋体" w:cs="Times New Roman"/>
                <w:color w:val="auto"/>
                <w:kern w:val="0"/>
                <w:sz w:val="24"/>
                <w:szCs w:val="24"/>
                <w:highlight w:val="none"/>
                <w:lang w:val="en-US" w:eastAsia="zh-CN" w:bidi="ar"/>
              </w:rPr>
              <w:t>为160m</w:t>
            </w:r>
            <w:r>
              <w:rPr>
                <w:rFonts w:hint="eastAsia" w:ascii="宋体" w:hAnsi="宋体" w:eastAsia="宋体" w:cs="宋体"/>
                <w:color w:val="auto"/>
                <w:kern w:val="0"/>
                <w:sz w:val="24"/>
                <w:szCs w:val="24"/>
                <w:highlight w:val="none"/>
                <w:lang w:val="en-US" w:eastAsia="zh-CN" w:bidi="ar"/>
              </w:rPr>
              <w:t>，未超过本项目最低标高，项目所在地周边不涉及洪水淹没区、污染源和易燃易爆物的生产与贮存场所、各类控制区和保护区以及其他不安全地块；且不涉及架空高压输电线、高压电缆、油气管道、通航河道等。因此，拟建项目场地条件较好，周边环境简单。</w:t>
            </w:r>
          </w:p>
          <w:p>
            <w:pPr>
              <w:keepNext w:val="0"/>
              <w:keepLines w:val="0"/>
              <w:pageBreakBefore w:val="0"/>
              <w:widowControl/>
              <w:suppressLineNumbers w:val="0"/>
              <w:kinsoku/>
              <w:wordWrap/>
              <w:overflowPunct/>
              <w:topLinePunct w:val="0"/>
              <w:autoSpaceDE/>
              <w:autoSpaceDN/>
              <w:bidi w:val="0"/>
              <w:jc w:val="left"/>
              <w:textAlignment w:val="auto"/>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w:t>
            </w:r>
            <w:r>
              <w:rPr>
                <w:rFonts w:hint="default" w:ascii="宋体" w:hAnsi="宋体" w:eastAsia="宋体" w:cs="宋体"/>
                <w:b/>
                <w:bCs/>
                <w:color w:val="auto"/>
                <w:kern w:val="0"/>
                <w:sz w:val="24"/>
                <w:szCs w:val="24"/>
                <w:highlight w:val="none"/>
                <w:lang w:val="en-US" w:eastAsia="zh-CN" w:bidi="ar"/>
              </w:rPr>
              <w:t>2</w:t>
            </w:r>
            <w:r>
              <w:rPr>
                <w:rFonts w:hint="eastAsia" w:ascii="宋体" w:hAnsi="宋体" w:eastAsia="宋体" w:cs="宋体"/>
                <w:b/>
                <w:bCs/>
                <w:color w:val="auto"/>
                <w:kern w:val="0"/>
                <w:sz w:val="24"/>
                <w:szCs w:val="24"/>
                <w:highlight w:val="none"/>
                <w:lang w:val="en-US" w:eastAsia="zh-CN" w:bidi="ar"/>
              </w:rPr>
              <w:t xml:space="preserve">）基础设施 </w:t>
            </w:r>
          </w:p>
          <w:p>
            <w:pPr>
              <w:keepNext w:val="0"/>
              <w:keepLines w:val="0"/>
              <w:pageBreakBefore w:val="0"/>
              <w:widowControl/>
              <w:suppressLineNumbers w:val="0"/>
              <w:kinsoku/>
              <w:wordWrap/>
              <w:overflowPunct/>
              <w:topLinePunct w:val="0"/>
              <w:autoSpaceDE/>
              <w:autoSpaceDN/>
              <w:bidi w:val="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调查了解到拟建项目所处区域的供水、供电、供气、排水、道路等市政基础设施完善，完全能够满足项目的建设。 </w:t>
            </w:r>
          </w:p>
          <w:p>
            <w:pPr>
              <w:keepNext w:val="0"/>
              <w:keepLines w:val="0"/>
              <w:pageBreakBefore w:val="0"/>
              <w:widowControl/>
              <w:suppressLineNumbers w:val="0"/>
              <w:kinsoku/>
              <w:wordWrap/>
              <w:overflowPunct/>
              <w:topLinePunct w:val="0"/>
              <w:autoSpaceDE/>
              <w:autoSpaceDN/>
              <w:bidi w:val="0"/>
              <w:jc w:val="left"/>
              <w:textAlignment w:val="auto"/>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w:t>
            </w:r>
            <w:r>
              <w:rPr>
                <w:rFonts w:hint="default" w:ascii="宋体" w:hAnsi="宋体" w:eastAsia="宋体" w:cs="宋体"/>
                <w:b/>
                <w:bCs/>
                <w:color w:val="auto"/>
                <w:kern w:val="0"/>
                <w:sz w:val="24"/>
                <w:szCs w:val="24"/>
                <w:highlight w:val="none"/>
                <w:lang w:val="en-US" w:eastAsia="zh-CN" w:bidi="ar"/>
              </w:rPr>
              <w:t>3</w:t>
            </w:r>
            <w:r>
              <w:rPr>
                <w:rFonts w:hint="eastAsia" w:ascii="宋体" w:hAnsi="宋体" w:eastAsia="宋体" w:cs="宋体"/>
                <w:b/>
                <w:bCs/>
                <w:color w:val="auto"/>
                <w:kern w:val="0"/>
                <w:sz w:val="24"/>
                <w:szCs w:val="24"/>
                <w:highlight w:val="none"/>
                <w:lang w:val="en-US" w:eastAsia="zh-CN" w:bidi="ar"/>
              </w:rPr>
              <w:t xml:space="preserve">）环境容量 </w:t>
            </w:r>
          </w:p>
          <w:p>
            <w:pPr>
              <w:keepNext w:val="0"/>
              <w:keepLines w:val="0"/>
              <w:pageBreakBefore w:val="0"/>
              <w:widowControl/>
              <w:suppressLineNumbers w:val="0"/>
              <w:kinsoku/>
              <w:wordWrap/>
              <w:overflowPunct/>
              <w:topLinePunct w:val="0"/>
              <w:autoSpaceDE/>
              <w:autoSpaceDN/>
              <w:bidi w:val="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根据收集的地表水、大气环境质量数据和实测的声环境现状值可知，拟建项目所在区域的水、气、声环境质量良好，不会对项目造成制约因素。 </w:t>
            </w:r>
          </w:p>
          <w:p>
            <w:pPr>
              <w:keepNext w:val="0"/>
              <w:keepLines w:val="0"/>
              <w:pageBreakBefore w:val="0"/>
              <w:widowControl/>
              <w:suppressLineNumbers w:val="0"/>
              <w:kinsoku/>
              <w:wordWrap/>
              <w:overflowPunct/>
              <w:topLinePunct w:val="0"/>
              <w:autoSpaceDE/>
              <w:autoSpaceDN/>
              <w:bidi w:val="0"/>
              <w:jc w:val="left"/>
              <w:textAlignment w:val="auto"/>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w:t>
            </w:r>
            <w:r>
              <w:rPr>
                <w:rFonts w:hint="default" w:ascii="宋体" w:hAnsi="宋体" w:eastAsia="宋体" w:cs="宋体"/>
                <w:b/>
                <w:bCs/>
                <w:color w:val="auto"/>
                <w:kern w:val="0"/>
                <w:sz w:val="24"/>
                <w:szCs w:val="24"/>
                <w:highlight w:val="none"/>
                <w:lang w:val="en-US" w:eastAsia="zh-CN" w:bidi="ar"/>
              </w:rPr>
              <w:t>4</w:t>
            </w:r>
            <w:r>
              <w:rPr>
                <w:rFonts w:hint="eastAsia" w:ascii="宋体" w:hAnsi="宋体" w:eastAsia="宋体" w:cs="宋体"/>
                <w:b/>
                <w:bCs/>
                <w:color w:val="auto"/>
                <w:kern w:val="0"/>
                <w:sz w:val="24"/>
                <w:szCs w:val="24"/>
                <w:highlight w:val="none"/>
                <w:lang w:val="en-US" w:eastAsia="zh-CN" w:bidi="ar"/>
              </w:rPr>
              <w:t xml:space="preserve">）工程建成后对环境的影响 </w:t>
            </w:r>
          </w:p>
          <w:p>
            <w:pPr>
              <w:keepNext w:val="0"/>
              <w:keepLines w:val="0"/>
              <w:pageBreakBefore w:val="0"/>
              <w:widowControl/>
              <w:suppressLineNumbers w:val="0"/>
              <w:kinsoku/>
              <w:wordWrap/>
              <w:overflowPunct/>
              <w:topLinePunct w:val="0"/>
              <w:autoSpaceDE/>
              <w:autoSpaceDN/>
              <w:bidi w:val="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拟建项目建成后，污染物通过采取相应有效的污染防治措施后，项目对周边声环境、大气环境和水环境影响较小。 </w:t>
            </w:r>
          </w:p>
          <w:p>
            <w:pPr>
              <w:keepNext w:val="0"/>
              <w:keepLines w:val="0"/>
              <w:pageBreakBefore w:val="0"/>
              <w:widowControl/>
              <w:suppressLineNumbers w:val="0"/>
              <w:kinsoku/>
              <w:wordWrap/>
              <w:overflowPunct/>
              <w:topLinePunct w:val="0"/>
              <w:autoSpaceDE/>
              <w:autoSpaceDN/>
              <w:bidi w:val="0"/>
              <w:jc w:val="left"/>
              <w:textAlignment w:val="auto"/>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w:t>
            </w:r>
            <w:r>
              <w:rPr>
                <w:rFonts w:hint="default" w:ascii="宋体" w:hAnsi="宋体" w:eastAsia="宋体" w:cs="宋体"/>
                <w:b/>
                <w:bCs/>
                <w:color w:val="auto"/>
                <w:kern w:val="0"/>
                <w:sz w:val="24"/>
                <w:szCs w:val="24"/>
                <w:highlight w:val="none"/>
                <w:lang w:val="en-US" w:eastAsia="zh-CN" w:bidi="ar"/>
              </w:rPr>
              <w:t>5</w:t>
            </w:r>
            <w:r>
              <w:rPr>
                <w:rFonts w:hint="eastAsia" w:ascii="宋体" w:hAnsi="宋体" w:eastAsia="宋体" w:cs="宋体"/>
                <w:b/>
                <w:bCs/>
                <w:color w:val="auto"/>
                <w:kern w:val="0"/>
                <w:sz w:val="24"/>
                <w:szCs w:val="24"/>
                <w:highlight w:val="none"/>
                <w:lang w:val="en-US" w:eastAsia="zh-CN" w:bidi="ar"/>
              </w:rPr>
              <w:t xml:space="preserve">）外环境对项目的支撑 </w:t>
            </w:r>
          </w:p>
          <w:p>
            <w:pPr>
              <w:keepNext w:val="0"/>
              <w:keepLines w:val="0"/>
              <w:pageBreakBefore w:val="0"/>
              <w:widowControl/>
              <w:suppressLineNumbers w:val="0"/>
              <w:kinsoku/>
              <w:wordWrap/>
              <w:overflowPunct/>
              <w:topLinePunct w:val="0"/>
              <w:autoSpaceDE/>
              <w:autoSpaceDN/>
              <w:bidi w:val="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根据现场踏勘，拟建项目位于</w:t>
            </w:r>
            <w:r>
              <w:rPr>
                <w:rFonts w:hint="eastAsia"/>
                <w:color w:val="auto"/>
                <w:sz w:val="24"/>
                <w:highlight w:val="none"/>
                <w:u w:val="none"/>
                <w:lang w:eastAsia="zh-CN"/>
              </w:rPr>
              <w:t>奉节县羊市镇渔灯社区</w:t>
            </w:r>
            <w:r>
              <w:rPr>
                <w:rFonts w:hint="eastAsia"/>
                <w:color w:val="auto"/>
                <w:sz w:val="24"/>
                <w:highlight w:val="none"/>
                <w:u w:val="none"/>
                <w:lang w:val="en-US" w:eastAsia="zh-CN"/>
              </w:rPr>
              <w:t>15社</w:t>
            </w:r>
            <w:r>
              <w:rPr>
                <w:rFonts w:hint="eastAsia" w:ascii="宋体" w:hAnsi="宋体" w:eastAsia="宋体" w:cs="宋体"/>
                <w:color w:val="auto"/>
                <w:kern w:val="0"/>
                <w:sz w:val="24"/>
                <w:szCs w:val="24"/>
                <w:highlight w:val="none"/>
                <w:lang w:val="en-US" w:eastAsia="zh-CN" w:bidi="ar"/>
              </w:rPr>
              <w:t>，项目</w:t>
            </w:r>
            <w:r>
              <w:rPr>
                <w:rFonts w:hint="eastAsia" w:ascii="宋体" w:hAnsi="宋体" w:cs="宋体"/>
                <w:color w:val="auto"/>
                <w:kern w:val="0"/>
                <w:sz w:val="24"/>
                <w:szCs w:val="24"/>
                <w:highlight w:val="none"/>
                <w:lang w:val="en-US" w:eastAsia="zh-CN" w:bidi="ar"/>
              </w:rPr>
              <w:t>北</w:t>
            </w:r>
            <w:r>
              <w:rPr>
                <w:rFonts w:hint="eastAsia" w:ascii="宋体" w:hAnsi="宋体" w:eastAsia="宋体" w:cs="宋体"/>
                <w:color w:val="auto"/>
                <w:kern w:val="0"/>
                <w:sz w:val="24"/>
                <w:szCs w:val="24"/>
                <w:highlight w:val="none"/>
                <w:lang w:val="en-US" w:eastAsia="zh-CN" w:bidi="ar"/>
              </w:rPr>
              <w:t>侧</w:t>
            </w:r>
            <w:r>
              <w:rPr>
                <w:rFonts w:hint="eastAsia" w:ascii="宋体" w:hAnsi="宋体" w:cs="宋体"/>
                <w:color w:val="auto"/>
                <w:kern w:val="0"/>
                <w:sz w:val="24"/>
                <w:szCs w:val="24"/>
                <w:highlight w:val="none"/>
                <w:lang w:val="en-US" w:eastAsia="zh-CN" w:bidi="ar"/>
              </w:rPr>
              <w:t>场界</w:t>
            </w:r>
            <w:r>
              <w:rPr>
                <w:rFonts w:hint="eastAsia" w:ascii="宋体" w:hAnsi="宋体" w:eastAsia="宋体" w:cs="宋体"/>
                <w:color w:val="auto"/>
                <w:kern w:val="0"/>
                <w:sz w:val="24"/>
                <w:szCs w:val="24"/>
                <w:highlight w:val="none"/>
                <w:lang w:val="en-US" w:eastAsia="zh-CN" w:bidi="ar"/>
              </w:rPr>
              <w:t xml:space="preserve">临近乡镇道路，车流量较小，西南侧均有居民点，与项目用地有一定距离。因此，项目周边外环境对项目影响较小。 </w:t>
            </w:r>
          </w:p>
          <w:p>
            <w:pPr>
              <w:keepNext w:val="0"/>
              <w:keepLines w:val="0"/>
              <w:pageBreakBefore w:val="0"/>
              <w:widowControl/>
              <w:suppressLineNumbers w:val="0"/>
              <w:kinsoku/>
              <w:wordWrap/>
              <w:overflowPunct/>
              <w:topLinePunct w:val="0"/>
              <w:autoSpaceDE/>
              <w:autoSpaceDN/>
              <w:bidi w:val="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综上所述，拟建项目所在地及周边无明显制约因素，从环境保护角度，项目选址基本合理。</w:t>
            </w:r>
          </w:p>
          <w:p>
            <w:pPr>
              <w:pStyle w:val="69"/>
              <w:ind w:left="0" w:leftChars="0" w:firstLine="480" w:firstLineChars="200"/>
              <w:jc w:val="both"/>
              <w:rPr>
                <w:rFonts w:hint="eastAsia"/>
                <w:color w:val="auto"/>
                <w:highlight w:val="none"/>
                <w:u w:val="none"/>
                <w:lang w:eastAsia="zh-CN"/>
              </w:rPr>
            </w:pPr>
          </w:p>
          <w:p>
            <w:pPr>
              <w:pStyle w:val="69"/>
              <w:ind w:left="0" w:leftChars="0" w:firstLine="480" w:firstLineChars="200"/>
              <w:jc w:val="both"/>
              <w:rPr>
                <w:rFonts w:hint="eastAsia"/>
                <w:color w:val="auto"/>
                <w:highlight w:val="none"/>
                <w:u w:val="none"/>
                <w:lang w:eastAsia="zh-CN"/>
              </w:rPr>
            </w:pPr>
          </w:p>
          <w:p>
            <w:pPr>
              <w:pStyle w:val="69"/>
              <w:ind w:left="0" w:leftChars="0" w:firstLine="480" w:firstLineChars="200"/>
              <w:jc w:val="both"/>
              <w:rPr>
                <w:rFonts w:hint="eastAsia"/>
                <w:color w:val="auto"/>
                <w:highlight w:val="none"/>
                <w:u w:val="none"/>
                <w:lang w:eastAsia="zh-CN"/>
              </w:rPr>
            </w:pPr>
          </w:p>
          <w:p>
            <w:pPr>
              <w:pStyle w:val="69"/>
              <w:ind w:left="0" w:leftChars="0" w:firstLine="480" w:firstLineChars="200"/>
              <w:jc w:val="both"/>
              <w:rPr>
                <w:rFonts w:hint="eastAsia"/>
                <w:color w:val="auto"/>
                <w:highlight w:val="none"/>
                <w:u w:val="none"/>
                <w:lang w:eastAsia="zh-CN"/>
              </w:rPr>
            </w:pPr>
          </w:p>
          <w:p>
            <w:pPr>
              <w:pStyle w:val="69"/>
              <w:ind w:left="0" w:leftChars="0" w:firstLine="480" w:firstLineChars="200"/>
              <w:jc w:val="both"/>
              <w:rPr>
                <w:rFonts w:hint="eastAsia"/>
                <w:color w:val="auto"/>
                <w:highlight w:val="none"/>
                <w:u w:val="none"/>
                <w:lang w:eastAsia="zh-CN"/>
              </w:rPr>
            </w:pPr>
          </w:p>
          <w:p>
            <w:pPr>
              <w:pStyle w:val="69"/>
              <w:ind w:left="0" w:leftChars="0" w:firstLine="480" w:firstLineChars="200"/>
              <w:jc w:val="both"/>
              <w:rPr>
                <w:rFonts w:hint="eastAsia"/>
                <w:color w:val="auto"/>
                <w:highlight w:val="none"/>
                <w:u w:val="none"/>
                <w:lang w:eastAsia="zh-CN"/>
              </w:rPr>
            </w:pPr>
          </w:p>
          <w:p>
            <w:pPr>
              <w:pStyle w:val="69"/>
              <w:ind w:left="0" w:leftChars="0" w:firstLine="0" w:firstLineChars="0"/>
              <w:jc w:val="both"/>
              <w:rPr>
                <w:rFonts w:hint="eastAsia"/>
                <w:color w:val="auto"/>
                <w:highlight w:val="none"/>
                <w:u w:val="none"/>
                <w:lang w:eastAsia="zh-CN"/>
              </w:rPr>
            </w:pPr>
          </w:p>
          <w:p>
            <w:pPr>
              <w:pStyle w:val="69"/>
              <w:ind w:left="0" w:leftChars="0" w:firstLine="480" w:firstLineChars="200"/>
              <w:jc w:val="both"/>
              <w:rPr>
                <w:rFonts w:hint="eastAsia"/>
                <w:color w:val="auto"/>
                <w:highlight w:val="none"/>
                <w:u w:val="none"/>
                <w:lang w:eastAsia="zh-CN"/>
              </w:rPr>
            </w:pPr>
          </w:p>
          <w:p>
            <w:pPr>
              <w:pStyle w:val="69"/>
              <w:ind w:left="0" w:leftChars="0" w:firstLine="480" w:firstLineChars="200"/>
              <w:jc w:val="both"/>
              <w:rPr>
                <w:rFonts w:hint="eastAsia"/>
                <w:color w:val="auto"/>
                <w:highlight w:val="none"/>
                <w:u w:val="none"/>
                <w:lang w:eastAsia="zh-CN"/>
              </w:rPr>
            </w:pPr>
          </w:p>
          <w:p>
            <w:pPr>
              <w:pStyle w:val="69"/>
              <w:ind w:left="0" w:leftChars="0" w:firstLine="480" w:firstLineChars="200"/>
              <w:jc w:val="both"/>
              <w:rPr>
                <w:rFonts w:hint="eastAsia"/>
                <w:color w:val="auto"/>
                <w:highlight w:val="none"/>
                <w:u w:val="none"/>
                <w:lang w:eastAsia="zh-CN"/>
              </w:rPr>
            </w:pPr>
          </w:p>
          <w:p>
            <w:pPr>
              <w:pStyle w:val="69"/>
              <w:ind w:left="0" w:leftChars="0" w:firstLine="480" w:firstLineChars="200"/>
              <w:jc w:val="both"/>
              <w:rPr>
                <w:rFonts w:hint="eastAsia"/>
                <w:color w:val="auto"/>
                <w:highlight w:val="none"/>
                <w:u w:val="none"/>
                <w:lang w:eastAsia="zh-CN"/>
              </w:rPr>
            </w:pPr>
          </w:p>
          <w:p>
            <w:pPr>
              <w:pStyle w:val="69"/>
              <w:ind w:left="0" w:leftChars="0" w:firstLine="480" w:firstLineChars="200"/>
              <w:jc w:val="both"/>
              <w:rPr>
                <w:rFonts w:hint="eastAsia"/>
                <w:color w:val="auto"/>
                <w:highlight w:val="none"/>
                <w:u w:val="none"/>
                <w:lang w:eastAsia="zh-CN"/>
              </w:rPr>
            </w:pPr>
          </w:p>
          <w:p>
            <w:pPr>
              <w:pStyle w:val="69"/>
              <w:ind w:left="0" w:leftChars="0" w:firstLine="0" w:firstLineChars="0"/>
              <w:jc w:val="both"/>
              <w:rPr>
                <w:rFonts w:hint="eastAsia"/>
                <w:color w:val="auto"/>
                <w:highlight w:val="none"/>
                <w:u w:val="none"/>
                <w:lang w:eastAsia="zh-CN"/>
              </w:rPr>
            </w:pPr>
          </w:p>
          <w:p>
            <w:pPr>
              <w:pStyle w:val="69"/>
              <w:ind w:left="0" w:leftChars="0" w:firstLine="480" w:firstLineChars="200"/>
              <w:jc w:val="both"/>
              <w:rPr>
                <w:rFonts w:hint="eastAsia"/>
                <w:color w:val="auto"/>
                <w:highlight w:val="none"/>
                <w:u w:val="none"/>
                <w:lang w:val="en-US" w:eastAsia="zh-CN"/>
              </w:rPr>
            </w:pPr>
          </w:p>
        </w:tc>
      </w:tr>
    </w:tbl>
    <w:p>
      <w:pPr>
        <w:pStyle w:val="24"/>
        <w:ind w:left="0" w:leftChars="0" w:firstLine="0" w:firstLineChars="0"/>
        <w:jc w:val="both"/>
        <w:outlineLvl w:val="0"/>
        <w:rPr>
          <w:rFonts w:ascii="Times New Roman" w:hAnsi="Times New Roman" w:eastAsia="黑体"/>
          <w:snapToGrid w:val="0"/>
          <w:color w:val="auto"/>
          <w:sz w:val="30"/>
          <w:szCs w:val="30"/>
          <w:highlight w:val="none"/>
        </w:rPr>
        <w:sectPr>
          <w:footerReference r:id="rId5" w:type="default"/>
          <w:pgSz w:w="11907" w:h="16840"/>
          <w:pgMar w:top="1701" w:right="1531" w:bottom="2127"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pPr>
        <w:pStyle w:val="24"/>
        <w:jc w:val="center"/>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0"/>
          <w:szCs w:val="30"/>
          <w:highlight w:val="none"/>
        </w:rPr>
        <w:t>二、建设项目工程分析</w:t>
      </w:r>
    </w:p>
    <w:tbl>
      <w:tblPr>
        <w:tblStyle w:val="29"/>
        <w:tblW w:w="9061"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
      <w:tblGrid>
        <w:gridCol w:w="752"/>
        <w:gridCol w:w="830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trHeight w:val="11308" w:hRule="atLeast"/>
          <w:jc w:val="center"/>
        </w:trPr>
        <w:tc>
          <w:tcPr>
            <w:tcW w:w="752" w:type="dxa"/>
            <w:tcBorders>
              <w:tl2br w:val="nil"/>
              <w:tr2bl w:val="nil"/>
            </w:tcBorders>
            <w:vAlign w:val="center"/>
          </w:tcPr>
          <w:p>
            <w:pPr>
              <w:pStyle w:val="24"/>
              <w:adjustRightInd w:val="0"/>
              <w:snapToGrid w:val="0"/>
              <w:spacing w:before="0" w:beforeAutospacing="0" w:after="0" w:afterAutospacing="0"/>
              <w:ind w:left="0" w:leftChars="0" w:firstLine="0" w:firstLineChars="0"/>
              <w:jc w:val="both"/>
              <w:rPr>
                <w:rFonts w:ascii="Times New Roman" w:hAnsi="Times New Roman"/>
                <w:color w:val="auto"/>
                <w:szCs w:val="24"/>
                <w:highlight w:val="none"/>
              </w:rPr>
            </w:pPr>
            <w:r>
              <w:rPr>
                <w:rFonts w:ascii="Times New Roman" w:hAnsi="Times New Roman"/>
                <w:color w:val="auto"/>
                <w:szCs w:val="24"/>
                <w:highlight w:val="none"/>
              </w:rPr>
              <w:t>建设内容</w:t>
            </w:r>
          </w:p>
        </w:tc>
        <w:tc>
          <w:tcPr>
            <w:tcW w:w="8309" w:type="dxa"/>
            <w:tcBorders>
              <w:tl2br w:val="nil"/>
              <w:tr2bl w:val="nil"/>
            </w:tcBorders>
          </w:tcPr>
          <w:p>
            <w:pPr>
              <w:pStyle w:val="3"/>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 项目</w:t>
            </w:r>
            <w:r>
              <w:rPr>
                <w:rFonts w:hint="eastAsia" w:ascii="宋体" w:hAnsi="宋体" w:cs="宋体"/>
                <w:color w:val="auto"/>
                <w:highlight w:val="none"/>
                <w:lang w:val="en-US" w:eastAsia="zh-CN"/>
              </w:rPr>
              <w:t>由来</w:t>
            </w:r>
          </w:p>
          <w:p>
            <w:pPr>
              <w:keepNext w:val="0"/>
              <w:keepLines w:val="0"/>
              <w:widowControl/>
              <w:suppressLineNumbers w:val="0"/>
              <w:jc w:val="left"/>
              <w:rPr>
                <w:rFonts w:hint="default"/>
                <w:color w:val="auto"/>
                <w:highlight w:val="none"/>
                <w:lang w:val="en-US"/>
              </w:rPr>
            </w:pPr>
            <w:r>
              <w:rPr>
                <w:rFonts w:hint="eastAsia" w:eastAsia="宋体"/>
                <w:color w:val="auto"/>
                <w:sz w:val="24"/>
                <w:szCs w:val="24"/>
                <w:highlight w:val="none"/>
                <w:lang w:val="en-US" w:eastAsia="zh-CN"/>
              </w:rPr>
              <w:t>羊市镇中心卫生院（统一社会信用代码：12500236451874727Y</w:t>
            </w:r>
            <w:r>
              <w:rPr>
                <w:rFonts w:hint="default" w:eastAsia="宋体"/>
                <w:color w:val="auto"/>
                <w:sz w:val="24"/>
                <w:szCs w:val="24"/>
                <w:highlight w:val="none"/>
                <w:lang w:val="en-US" w:eastAsia="zh-CN"/>
              </w:rPr>
              <w:t> </w:t>
            </w:r>
            <w:r>
              <w:rPr>
                <w:rFonts w:hint="eastAsia" w:eastAsia="宋体"/>
                <w:color w:val="auto"/>
                <w:sz w:val="24"/>
                <w:szCs w:val="24"/>
                <w:highlight w:val="none"/>
                <w:lang w:val="en-US" w:eastAsia="zh-CN"/>
              </w:rPr>
              <w:t>）</w:t>
            </w:r>
            <w:r>
              <w:rPr>
                <w:rFonts w:hint="eastAsia"/>
                <w:color w:val="auto"/>
                <w:sz w:val="24"/>
                <w:szCs w:val="24"/>
                <w:highlight w:val="none"/>
                <w:lang w:val="en-US" w:eastAsia="zh-CN"/>
              </w:rPr>
              <w:t>现</w:t>
            </w:r>
            <w:r>
              <w:rPr>
                <w:rFonts w:hint="eastAsia" w:eastAsia="宋体"/>
                <w:color w:val="auto"/>
                <w:sz w:val="24"/>
                <w:szCs w:val="24"/>
                <w:highlight w:val="none"/>
                <w:lang w:val="en-US" w:eastAsia="zh-CN"/>
              </w:rPr>
              <w:t>位于</w:t>
            </w:r>
            <w:r>
              <w:rPr>
                <w:rFonts w:hint="eastAsia"/>
                <w:color w:val="auto"/>
                <w:sz w:val="24"/>
                <w:szCs w:val="24"/>
                <w:highlight w:val="none"/>
                <w:lang w:val="en-US" w:eastAsia="zh-CN"/>
              </w:rPr>
              <w:t>奉节县</w:t>
            </w:r>
            <w:r>
              <w:rPr>
                <w:rFonts w:hint="eastAsia" w:eastAsia="宋体"/>
                <w:color w:val="auto"/>
                <w:sz w:val="24"/>
                <w:szCs w:val="24"/>
                <w:highlight w:val="none"/>
                <w:lang w:val="en-US" w:eastAsia="zh-CN"/>
              </w:rPr>
              <w:t>羊市镇渔灯社区15组</w:t>
            </w:r>
            <w:r>
              <w:rPr>
                <w:rFonts w:hint="eastAsia"/>
                <w:color w:val="auto"/>
                <w:sz w:val="24"/>
                <w:szCs w:val="24"/>
                <w:highlight w:val="none"/>
                <w:lang w:val="en-US" w:eastAsia="zh-CN"/>
              </w:rPr>
              <w:t>，卫生院</w:t>
            </w:r>
            <w:r>
              <w:rPr>
                <w:rFonts w:hint="eastAsia" w:eastAsia="宋体"/>
                <w:color w:val="auto"/>
                <w:sz w:val="24"/>
                <w:szCs w:val="24"/>
                <w:highlight w:val="none"/>
                <w:lang w:val="en-US" w:eastAsia="zh-CN"/>
              </w:rPr>
              <w:t>始建于1989年，砖混结构，占地700平方米，建筑面积1935平方米。</w:t>
            </w:r>
            <w:r>
              <w:rPr>
                <w:rFonts w:hint="eastAsia" w:ascii="宋体" w:hAnsi="宋体" w:eastAsia="宋体" w:cs="宋体"/>
                <w:color w:val="auto"/>
                <w:kern w:val="0"/>
                <w:sz w:val="24"/>
                <w:szCs w:val="24"/>
                <w:highlight w:val="none"/>
                <w:lang w:val="en-US" w:eastAsia="zh-CN" w:bidi="ar"/>
              </w:rPr>
              <w:t>建设内容及规模为：建设预防保健科、全科医疗科、妇科、医学检验科、医学影像科、中医科等科室，</w:t>
            </w:r>
            <w:r>
              <w:rPr>
                <w:rFonts w:hint="eastAsia" w:ascii="宋体" w:hAnsi="宋体" w:eastAsia="宋体" w:cs="宋体"/>
                <w:b/>
                <w:bCs/>
                <w:color w:val="auto"/>
                <w:kern w:val="0"/>
                <w:sz w:val="24"/>
                <w:szCs w:val="24"/>
                <w:highlight w:val="none"/>
                <w:lang w:val="en-US" w:eastAsia="zh-CN" w:bidi="ar"/>
              </w:rPr>
              <w:t>床位</w:t>
            </w: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0</w:t>
            </w:r>
            <w:r>
              <w:rPr>
                <w:rFonts w:hint="eastAsia" w:ascii="宋体" w:hAnsi="宋体" w:eastAsia="宋体" w:cs="宋体"/>
                <w:b/>
                <w:bCs/>
                <w:color w:val="auto"/>
                <w:kern w:val="0"/>
                <w:sz w:val="24"/>
                <w:szCs w:val="24"/>
                <w:highlight w:val="none"/>
                <w:lang w:val="en-US" w:eastAsia="zh-CN" w:bidi="ar"/>
              </w:rPr>
              <w:t>张，门诊人数</w:t>
            </w:r>
            <w:r>
              <w:rPr>
                <w:rFonts w:hint="eastAsia" w:ascii="Times New Roman" w:hAnsi="Times New Roman" w:eastAsia="宋体" w:cs="Times New Roman"/>
                <w:b/>
                <w:bCs/>
                <w:color w:val="auto"/>
                <w:kern w:val="0"/>
                <w:sz w:val="24"/>
                <w:szCs w:val="24"/>
                <w:highlight w:val="none"/>
                <w:lang w:val="en-US" w:eastAsia="zh-CN" w:bidi="ar"/>
              </w:rPr>
              <w:t>4</w:t>
            </w:r>
            <w:r>
              <w:rPr>
                <w:rFonts w:hint="default" w:ascii="Times New Roman" w:hAnsi="Times New Roman" w:eastAsia="宋体" w:cs="Times New Roman"/>
                <w:b/>
                <w:bCs/>
                <w:color w:val="auto"/>
                <w:kern w:val="0"/>
                <w:sz w:val="24"/>
                <w:szCs w:val="24"/>
                <w:highlight w:val="none"/>
                <w:lang w:val="en-US" w:eastAsia="zh-CN" w:bidi="ar"/>
              </w:rPr>
              <w:t>0</w:t>
            </w:r>
            <w:r>
              <w:rPr>
                <w:rFonts w:hint="eastAsia" w:ascii="Times New Roman" w:hAnsi="Times New Roman" w:eastAsia="宋体" w:cs="Times New Roman"/>
                <w:b/>
                <w:bCs/>
                <w:color w:val="auto"/>
                <w:kern w:val="0"/>
                <w:sz w:val="24"/>
                <w:szCs w:val="24"/>
                <w:highlight w:val="none"/>
                <w:lang w:val="en-US" w:eastAsia="zh-CN" w:bidi="ar"/>
              </w:rPr>
              <w:t>0</w:t>
            </w:r>
            <w:r>
              <w:rPr>
                <w:rFonts w:hint="eastAsia" w:ascii="宋体" w:hAnsi="宋体" w:eastAsia="宋体" w:cs="宋体"/>
                <w:b/>
                <w:bCs/>
                <w:color w:val="auto"/>
                <w:kern w:val="0"/>
                <w:sz w:val="24"/>
                <w:szCs w:val="24"/>
                <w:highlight w:val="none"/>
                <w:lang w:val="en-US" w:eastAsia="zh-CN" w:bidi="ar"/>
              </w:rPr>
              <w:t>人</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宋体" w:hAnsi="宋体" w:eastAsia="宋体" w:cs="宋体"/>
                <w:b/>
                <w:bCs/>
                <w:color w:val="auto"/>
                <w:kern w:val="0"/>
                <w:sz w:val="24"/>
                <w:szCs w:val="24"/>
                <w:highlight w:val="none"/>
                <w:lang w:val="en-US" w:eastAsia="zh-CN" w:bidi="ar"/>
              </w:rPr>
              <w:t>年，劳动定员</w:t>
            </w:r>
            <w:r>
              <w:rPr>
                <w:rFonts w:hint="default" w:ascii="Times New Roman" w:hAnsi="Times New Roman" w:eastAsia="宋体" w:cs="Times New Roman"/>
                <w:b/>
                <w:bCs/>
                <w:color w:val="auto"/>
                <w:kern w:val="0"/>
                <w:sz w:val="24"/>
                <w:szCs w:val="24"/>
                <w:highlight w:val="none"/>
                <w:lang w:val="en-US" w:eastAsia="zh-CN" w:bidi="ar"/>
              </w:rPr>
              <w:t>20</w:t>
            </w:r>
            <w:r>
              <w:rPr>
                <w:rFonts w:hint="eastAsia" w:ascii="宋体" w:hAnsi="宋体" w:eastAsia="宋体" w:cs="宋体"/>
                <w:b/>
                <w:bCs/>
                <w:color w:val="auto"/>
                <w:kern w:val="0"/>
                <w:sz w:val="24"/>
                <w:szCs w:val="24"/>
                <w:highlight w:val="none"/>
                <w:lang w:val="en-US" w:eastAsia="zh-CN" w:bidi="ar"/>
              </w:rPr>
              <w:t>人</w:t>
            </w:r>
            <w:r>
              <w:rPr>
                <w:rFonts w:hint="eastAsia" w:ascii="宋体" w:hAnsi="宋体" w:eastAsia="宋体" w:cs="宋体"/>
                <w:color w:val="auto"/>
                <w:kern w:val="0"/>
                <w:sz w:val="24"/>
                <w:szCs w:val="24"/>
                <w:highlight w:val="none"/>
                <w:lang w:val="en-US" w:eastAsia="zh-CN" w:bidi="ar"/>
              </w:rPr>
              <w:t>。并配套建设污水处理、辅助设备及业务用房等，项目于</w:t>
            </w:r>
            <w:r>
              <w:rPr>
                <w:rFonts w:hint="eastAsia" w:ascii="Times New Roman" w:hAnsi="Times New Roman" w:eastAsia="宋体" w:cs="Times New Roman"/>
                <w:color w:val="auto"/>
                <w:kern w:val="0"/>
                <w:sz w:val="24"/>
                <w:szCs w:val="24"/>
                <w:highlight w:val="none"/>
                <w:lang w:val="en-US" w:eastAsia="zh-CN" w:bidi="ar"/>
              </w:rPr>
              <w:t>1989</w:t>
            </w:r>
            <w:r>
              <w:rPr>
                <w:rFonts w:hint="eastAsia" w:ascii="宋体" w:hAnsi="宋体" w:eastAsia="宋体" w:cs="宋体"/>
                <w:color w:val="auto"/>
                <w:kern w:val="0"/>
                <w:sz w:val="24"/>
                <w:szCs w:val="24"/>
                <w:highlight w:val="none"/>
                <w:lang w:val="en-US" w:eastAsia="zh-CN" w:bidi="ar"/>
              </w:rPr>
              <w:t>年开始建设，</w:t>
            </w:r>
            <w:r>
              <w:rPr>
                <w:rFonts w:hint="eastAsia" w:ascii="Times New Roman" w:hAnsi="Times New Roman" w:eastAsia="宋体" w:cs="Times New Roman"/>
                <w:color w:val="auto"/>
                <w:kern w:val="0"/>
                <w:sz w:val="24"/>
                <w:szCs w:val="24"/>
                <w:highlight w:val="none"/>
                <w:lang w:val="en-US" w:eastAsia="zh-CN" w:bidi="ar"/>
              </w:rPr>
              <w:t>1991</w:t>
            </w:r>
            <w:r>
              <w:rPr>
                <w:rFonts w:hint="eastAsia" w:ascii="宋体" w:hAnsi="宋体" w:eastAsia="宋体" w:cs="宋体"/>
                <w:color w:val="auto"/>
                <w:kern w:val="0"/>
                <w:sz w:val="24"/>
                <w:szCs w:val="24"/>
                <w:highlight w:val="none"/>
                <w:lang w:val="en-US" w:eastAsia="zh-CN" w:bidi="ar"/>
              </w:rPr>
              <w:t>年建成。</w:t>
            </w:r>
          </w:p>
          <w:p>
            <w:pPr>
              <w:adjustRightInd w:val="0"/>
              <w:snapToGrid w:val="0"/>
              <w:spacing w:line="360" w:lineRule="auto"/>
              <w:rPr>
                <w:rFonts w:hint="eastAsia"/>
                <w:color w:val="auto"/>
                <w:sz w:val="24"/>
                <w:szCs w:val="24"/>
                <w:highlight w:val="none"/>
                <w:lang w:val="en-US" w:eastAsia="zh-CN"/>
              </w:rPr>
            </w:pPr>
            <w:r>
              <w:rPr>
                <w:rFonts w:hint="eastAsia" w:eastAsia="宋体"/>
                <w:color w:val="auto"/>
                <w:sz w:val="24"/>
                <w:szCs w:val="24"/>
                <w:highlight w:val="none"/>
                <w:lang w:val="en-US" w:eastAsia="zh-CN"/>
              </w:rPr>
              <w:t>由于年久失修，存在极大的安全隐患，同时，医疗服务规范无法达标，患者就医体验差。随着社会经济的不断发展和集镇人口的不断增长，导致看病难、住院难问题较为突出，条件较为落后，功能设计也难以满足现代医疗及消防安全的有关要求</w:t>
            </w:r>
            <w:r>
              <w:rPr>
                <w:rFonts w:hint="eastAsia"/>
                <w:color w:val="auto"/>
                <w:sz w:val="24"/>
                <w:szCs w:val="24"/>
                <w:highlight w:val="none"/>
                <w:lang w:val="en-US" w:eastAsia="zh-CN"/>
              </w:rPr>
              <w:t>，故奉节县羊市镇中心卫生院拟异地新建“奉节县羊市镇中心卫生院迁建工程编制项目”，新建5层框架结构综合大楼1栋，总建筑面积</w:t>
            </w:r>
            <w:r>
              <w:rPr>
                <w:rFonts w:hint="eastAsia" w:cs="Times New Roman"/>
                <w:color w:val="auto"/>
                <w:kern w:val="0"/>
                <w:sz w:val="24"/>
                <w:szCs w:val="24"/>
                <w:highlight w:val="none"/>
                <w:lang w:val="en-US" w:eastAsia="zh-CN" w:bidi="ar"/>
              </w:rPr>
              <w:t>2725.74</w:t>
            </w:r>
            <w:r>
              <w:rPr>
                <w:rFonts w:hint="eastAsia"/>
                <w:color w:val="auto"/>
                <w:sz w:val="24"/>
                <w:szCs w:val="24"/>
                <w:highlight w:val="none"/>
                <w:lang w:val="en-US" w:eastAsia="zh-CN"/>
              </w:rPr>
              <w:t>平方米；配置36m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/d医疗废水处理系统，中心供氧、呼叫系统及办公设备设施，设置标准床位65张。</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根据《中华人民共和国环境保护法》、《中华人民共和国环境影响评价法》 </w:t>
            </w:r>
          </w:p>
          <w:p>
            <w:pPr>
              <w:keepNext w:val="0"/>
              <w:keepLines w:val="0"/>
              <w:widowControl/>
              <w:suppressLineNumbers w:val="0"/>
              <w:ind w:left="0" w:leftChars="0" w:firstLine="0" w:firstLineChars="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及《建设项目环境保护管理条例》的有关规定，对照《建设项目环境影响评价分类管理名录》，本项目属于“四十九、卫生 </w:t>
            </w:r>
            <w:r>
              <w:rPr>
                <w:rFonts w:hint="default" w:ascii="Times New Roman" w:hAnsi="Times New Roman" w:eastAsia="宋体" w:cs="Times New Roman"/>
                <w:color w:val="auto"/>
                <w:kern w:val="0"/>
                <w:sz w:val="24"/>
                <w:szCs w:val="24"/>
                <w:highlight w:val="none"/>
                <w:lang w:val="en-US" w:eastAsia="zh-CN" w:bidi="ar"/>
              </w:rPr>
              <w:t>84</w:t>
            </w:r>
            <w:r>
              <w:rPr>
                <w:rFonts w:hint="eastAsia" w:ascii="宋体" w:hAnsi="宋体" w:eastAsia="宋体" w:cs="宋体"/>
                <w:color w:val="auto"/>
                <w:kern w:val="0"/>
                <w:sz w:val="24"/>
                <w:szCs w:val="24"/>
                <w:highlight w:val="none"/>
                <w:lang w:val="en-US" w:eastAsia="zh-CN" w:bidi="ar"/>
              </w:rPr>
              <w:t xml:space="preserve">”中的“其他（住院床位 </w:t>
            </w:r>
            <w:r>
              <w:rPr>
                <w:rFonts w:hint="default" w:ascii="Times New Roman" w:hAnsi="Times New Roman" w:eastAsia="宋体" w:cs="Times New Roman"/>
                <w:color w:val="auto"/>
                <w:kern w:val="0"/>
                <w:sz w:val="24"/>
                <w:szCs w:val="24"/>
                <w:highlight w:val="none"/>
                <w:lang w:val="en-US" w:eastAsia="zh-CN" w:bidi="ar"/>
              </w:rPr>
              <w:t xml:space="preserve">20 </w:t>
            </w:r>
            <w:r>
              <w:rPr>
                <w:rFonts w:hint="eastAsia" w:ascii="宋体" w:hAnsi="宋体" w:eastAsia="宋体" w:cs="宋体"/>
                <w:color w:val="auto"/>
                <w:kern w:val="0"/>
                <w:sz w:val="24"/>
                <w:szCs w:val="24"/>
                <w:highlight w:val="none"/>
                <w:lang w:val="en-US" w:eastAsia="zh-CN" w:bidi="ar"/>
              </w:rPr>
              <w:t>张以下的除外）”。由此，本项目应编制环境影响报告表。我公司受</w:t>
            </w:r>
            <w:r>
              <w:rPr>
                <w:rFonts w:hint="eastAsia" w:eastAsia="宋体"/>
                <w:color w:val="auto"/>
                <w:sz w:val="24"/>
                <w:szCs w:val="24"/>
                <w:highlight w:val="none"/>
                <w:lang w:val="en-US" w:eastAsia="zh-CN"/>
              </w:rPr>
              <w:t>羊市镇中心卫生院</w:t>
            </w:r>
            <w:r>
              <w:rPr>
                <w:rFonts w:hint="eastAsia" w:ascii="宋体" w:hAnsi="宋体" w:eastAsia="宋体" w:cs="宋体"/>
                <w:color w:val="auto"/>
                <w:kern w:val="0"/>
                <w:sz w:val="24"/>
                <w:szCs w:val="24"/>
                <w:highlight w:val="none"/>
                <w:lang w:val="en-US" w:eastAsia="zh-CN" w:bidi="ar"/>
              </w:rPr>
              <w:t>委托，承担了本项目的环境影响评价工作。接受委托后，我公司即派技术人员现场踏勘，经资料收集、分析、调研后，根据项目的特点和项目所在地的环境特征，按照相关法律法规以及评价技术导则，对本项目建设可能造成的环境影响进行分析、预测和评价。在此基础上，编制完成了《</w:t>
            </w:r>
            <w:r>
              <w:rPr>
                <w:rFonts w:hint="eastAsia"/>
                <w:color w:val="auto"/>
                <w:sz w:val="24"/>
                <w:szCs w:val="24"/>
                <w:highlight w:val="none"/>
                <w:lang w:val="en-US" w:eastAsia="zh-CN"/>
              </w:rPr>
              <w:t>羊市镇中心卫生院迁建工程编制项目</w:t>
            </w:r>
            <w:r>
              <w:rPr>
                <w:rFonts w:hint="eastAsia" w:ascii="宋体" w:hAnsi="宋体" w:eastAsia="宋体" w:cs="宋体"/>
                <w:color w:val="auto"/>
                <w:kern w:val="0"/>
                <w:sz w:val="24"/>
                <w:szCs w:val="24"/>
                <w:highlight w:val="none"/>
                <w:lang w:val="en-US" w:eastAsia="zh-CN" w:bidi="ar"/>
              </w:rPr>
              <w:t>环境影响报告表》。</w:t>
            </w:r>
          </w:p>
          <w:p>
            <w:pPr>
              <w:pStyle w:val="3"/>
              <w:bidi w:val="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2.2 建设内容</w:t>
            </w:r>
          </w:p>
          <w:p>
            <w:pPr>
              <w:adjustRightInd w:val="0"/>
              <w:snapToGrid w:val="0"/>
              <w:spacing w:line="360" w:lineRule="auto"/>
              <w:ind w:firstLine="482" w:firstLineChars="200"/>
              <w:rPr>
                <w:rFonts w:hint="default"/>
                <w:b/>
                <w:bCs/>
                <w:color w:val="auto"/>
                <w:sz w:val="24"/>
                <w:szCs w:val="24"/>
                <w:highlight w:val="none"/>
                <w:lang w:val="en-US" w:eastAsia="zh-CN"/>
              </w:rPr>
            </w:pPr>
            <w:r>
              <w:rPr>
                <w:rFonts w:hint="eastAsia"/>
                <w:b/>
                <w:bCs/>
                <w:color w:val="auto"/>
                <w:sz w:val="24"/>
                <w:szCs w:val="24"/>
                <w:highlight w:val="none"/>
                <w:lang w:val="en-US" w:eastAsia="zh-CN"/>
              </w:rPr>
              <w:t>（1）项目基本情况</w:t>
            </w:r>
          </w:p>
          <w:p>
            <w:pPr>
              <w:adjustRightInd w:val="0"/>
              <w:snapToGrid w:val="0"/>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项目名称：羊市镇中心卫生院迁建工程编制项目</w:t>
            </w:r>
          </w:p>
          <w:p>
            <w:pPr>
              <w:adjustRightInd w:val="0"/>
              <w:snapToGrid w:val="0"/>
              <w:spacing w:line="360" w:lineRule="auto"/>
              <w:ind w:firstLine="480" w:firstLineChars="200"/>
              <w:rPr>
                <w:rFonts w:hint="default"/>
                <w:color w:val="auto"/>
                <w:sz w:val="24"/>
                <w:szCs w:val="24"/>
                <w:highlight w:val="none"/>
                <w:lang w:val="en-US" w:eastAsia="zh-CN"/>
              </w:rPr>
            </w:pPr>
            <w:r>
              <w:rPr>
                <w:rFonts w:hint="eastAsia"/>
                <w:color w:val="auto"/>
                <w:sz w:val="24"/>
                <w:szCs w:val="24"/>
                <w:highlight w:val="none"/>
                <w:lang w:val="en-US" w:eastAsia="zh-CN"/>
              </w:rPr>
              <w:t>建设地点：奉节县羊市镇渔灯社区15社</w:t>
            </w:r>
          </w:p>
          <w:p>
            <w:pPr>
              <w:adjustRightInd w:val="0"/>
              <w:snapToGrid w:val="0"/>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建设单位：奉节县羊市镇中心卫生院</w:t>
            </w:r>
          </w:p>
          <w:p>
            <w:pPr>
              <w:adjustRightInd w:val="0"/>
              <w:snapToGrid w:val="0"/>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项目性质：新建</w:t>
            </w:r>
          </w:p>
          <w:p>
            <w:pPr>
              <w:bidi w:val="0"/>
              <w:rPr>
                <w:rFonts w:hint="default"/>
                <w:color w:val="auto"/>
                <w:highlight w:val="none"/>
                <w:lang w:val="en-US" w:eastAsia="zh-CN"/>
              </w:rPr>
            </w:pPr>
            <w:r>
              <w:rPr>
                <w:rFonts w:hint="eastAsia"/>
                <w:color w:val="auto"/>
                <w:highlight w:val="none"/>
                <w:lang w:val="en-US" w:eastAsia="zh-CN"/>
              </w:rPr>
              <w:t>建筑面积：</w:t>
            </w:r>
            <w:r>
              <w:rPr>
                <w:rFonts w:hint="eastAsia" w:cs="Times New Roman"/>
                <w:color w:val="auto"/>
                <w:kern w:val="0"/>
                <w:sz w:val="24"/>
                <w:szCs w:val="24"/>
                <w:highlight w:val="none"/>
                <w:lang w:val="en-US" w:eastAsia="zh-CN" w:bidi="ar"/>
              </w:rPr>
              <w:t>2725.74</w:t>
            </w:r>
            <w:r>
              <w:rPr>
                <w:rFonts w:hint="eastAsia"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2</w:t>
            </w:r>
          </w:p>
          <w:p>
            <w:pPr>
              <w:adjustRightInd w:val="0"/>
              <w:snapToGrid w:val="0"/>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项目投资：总投资1000万元，其中环保投资60万元，环保投资比例为6%。</w:t>
            </w:r>
          </w:p>
          <w:p>
            <w:pPr>
              <w:keepNext w:val="0"/>
              <w:keepLines w:val="0"/>
              <w:widowControl/>
              <w:suppressLineNumbers w:val="0"/>
              <w:jc w:val="left"/>
              <w:rPr>
                <w:color w:val="auto"/>
                <w:highlight w:val="none"/>
              </w:rPr>
            </w:pPr>
            <w:r>
              <w:rPr>
                <w:rFonts w:hint="eastAsia"/>
                <w:color w:val="auto"/>
                <w:sz w:val="24"/>
                <w:szCs w:val="24"/>
                <w:highlight w:val="none"/>
                <w:lang w:val="en-US" w:eastAsia="zh-CN"/>
              </w:rPr>
              <w:t>建设内容及规模：</w:t>
            </w:r>
            <w:r>
              <w:rPr>
                <w:rFonts w:hint="eastAsia" w:ascii="宋体" w:hAnsi="宋体" w:eastAsia="宋体" w:cs="宋体"/>
                <w:color w:val="auto"/>
                <w:kern w:val="0"/>
                <w:sz w:val="24"/>
                <w:szCs w:val="24"/>
                <w:highlight w:val="none"/>
                <w:lang w:val="en-US" w:eastAsia="zh-CN" w:bidi="ar"/>
              </w:rPr>
              <w:t>项目总占地面积为</w:t>
            </w:r>
            <w:r>
              <w:rPr>
                <w:rFonts w:hint="eastAsia" w:ascii="Times New Roman" w:hAnsi="Times New Roman" w:eastAsia="宋体" w:cs="Times New Roman"/>
                <w:color w:val="auto"/>
                <w:kern w:val="0"/>
                <w:sz w:val="24"/>
                <w:szCs w:val="24"/>
                <w:highlight w:val="none"/>
                <w:lang w:val="en-US" w:eastAsia="zh-CN" w:bidi="ar"/>
              </w:rPr>
              <w:t>2600m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，新建</w:t>
            </w:r>
            <w:r>
              <w:rPr>
                <w:rFonts w:hint="eastAsia" w:ascii="Times New Roman" w:hAnsi="Times New Roman" w:eastAsia="宋体" w:cs="Times New Roman"/>
                <w:color w:val="auto"/>
                <w:kern w:val="0"/>
                <w:sz w:val="24"/>
                <w:szCs w:val="24"/>
                <w:highlight w:val="none"/>
                <w:lang w:val="en-US" w:eastAsia="zh-CN" w:bidi="ar"/>
              </w:rPr>
              <w:t>5层</w:t>
            </w:r>
            <w:r>
              <w:rPr>
                <w:rFonts w:hint="eastAsia" w:ascii="宋体" w:hAnsi="宋体" w:eastAsia="宋体" w:cs="宋体"/>
                <w:color w:val="auto"/>
                <w:kern w:val="0"/>
                <w:sz w:val="24"/>
                <w:szCs w:val="24"/>
                <w:highlight w:val="none"/>
                <w:lang w:val="en-US" w:eastAsia="zh-CN" w:bidi="ar"/>
              </w:rPr>
              <w:t>框架结构综合大楼</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栋，总建筑面积</w:t>
            </w:r>
            <w:r>
              <w:rPr>
                <w:rFonts w:hint="eastAsia" w:cs="Times New Roman"/>
                <w:color w:val="auto"/>
                <w:kern w:val="0"/>
                <w:sz w:val="24"/>
                <w:szCs w:val="24"/>
                <w:highlight w:val="none"/>
                <w:lang w:val="en-US" w:eastAsia="zh-CN" w:bidi="ar"/>
              </w:rPr>
              <w:t>2725.74</w:t>
            </w:r>
            <w:r>
              <w:rPr>
                <w:rFonts w:hint="eastAsia"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；项目主要开展公共卫生科、内科、外科、儿科、妇科、医学检验科、医学影像科、中医科、中医针灸理疗科，共设置</w:t>
            </w:r>
            <w:r>
              <w:rPr>
                <w:rFonts w:hint="eastAsia" w:ascii="Times New Roman" w:hAnsi="Times New Roman" w:eastAsia="宋体" w:cs="Times New Roman"/>
                <w:color w:val="auto"/>
                <w:kern w:val="0"/>
                <w:sz w:val="24"/>
                <w:szCs w:val="24"/>
                <w:highlight w:val="none"/>
                <w:lang w:val="en-US" w:eastAsia="zh-CN" w:bidi="ar"/>
              </w:rPr>
              <w:t>65</w:t>
            </w:r>
            <w:r>
              <w:rPr>
                <w:rFonts w:hint="eastAsia" w:ascii="宋体" w:hAnsi="宋体" w:eastAsia="宋体" w:cs="宋体"/>
                <w:color w:val="auto"/>
                <w:kern w:val="0"/>
                <w:sz w:val="24"/>
                <w:szCs w:val="24"/>
                <w:highlight w:val="none"/>
                <w:lang w:val="en-US" w:eastAsia="zh-CN" w:bidi="ar"/>
              </w:rPr>
              <w:t>张医疗床位。建成后预计门诊</w:t>
            </w:r>
            <w:r>
              <w:rPr>
                <w:rFonts w:hint="eastAsia" w:ascii="Times New Roman" w:hAnsi="Times New Roman" w:eastAsia="宋体" w:cs="Times New Roman"/>
                <w:color w:val="auto"/>
                <w:kern w:val="0"/>
                <w:sz w:val="24"/>
                <w:szCs w:val="24"/>
                <w:highlight w:val="none"/>
                <w:lang w:val="en-US" w:eastAsia="zh-CN" w:bidi="ar"/>
              </w:rPr>
              <w:t>量80人</w:t>
            </w:r>
            <w:r>
              <w:rPr>
                <w:rFonts w:hint="eastAsia" w:ascii="宋体" w:hAnsi="宋体" w:eastAsia="宋体" w:cs="宋体"/>
                <w:color w:val="auto"/>
                <w:kern w:val="0"/>
                <w:sz w:val="24"/>
                <w:szCs w:val="24"/>
                <w:highlight w:val="none"/>
                <w:lang w:val="en-US" w:eastAsia="zh-CN" w:bidi="ar"/>
              </w:rPr>
              <w:t>次</w:t>
            </w:r>
            <w:r>
              <w:rPr>
                <w:rFonts w:hint="default" w:ascii="Times New Roman" w:hAnsi="Times New Roman" w:eastAsia="宋体" w:cs="Times New Roman"/>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val="en-US" w:eastAsia="zh-CN" w:bidi="ar"/>
              </w:rPr>
              <w:t>。项目建成后，主要缓解现有奉节县羊市镇卫生院病房住院床位紧张的问题和解决患者看诊长时间等待问题等，同时为患者提供更好的卫生服务环境。</w:t>
            </w:r>
          </w:p>
          <w:p>
            <w:pPr>
              <w:keepNext w:val="0"/>
              <w:keepLines w:val="0"/>
              <w:widowControl/>
              <w:suppressLineNumbers w:val="0"/>
              <w:jc w:val="left"/>
              <w:rPr>
                <w:color w:val="auto"/>
                <w:highlight w:val="none"/>
              </w:rPr>
            </w:pPr>
            <w:r>
              <w:rPr>
                <w:rFonts w:hint="eastAsia"/>
                <w:color w:val="auto"/>
                <w:highlight w:val="none"/>
                <w:lang w:val="en-US" w:eastAsia="zh-CN"/>
              </w:rPr>
              <w:t>劳动定员及工作制度：劳动定员29人，</w:t>
            </w:r>
            <w:r>
              <w:rPr>
                <w:rFonts w:hint="eastAsia" w:ascii="宋体" w:hAnsi="宋体" w:eastAsia="宋体" w:cs="宋体"/>
                <w:color w:val="auto"/>
                <w:kern w:val="0"/>
                <w:sz w:val="24"/>
                <w:szCs w:val="24"/>
                <w:highlight w:val="none"/>
                <w:lang w:val="en-US" w:eastAsia="zh-CN" w:bidi="ar"/>
              </w:rPr>
              <w:t>（其中后勤工作人员</w:t>
            </w:r>
            <w:r>
              <w:rPr>
                <w:rFonts w:hint="eastAsia"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人，医护人员</w:t>
            </w:r>
            <w:r>
              <w:rPr>
                <w:rFonts w:hint="eastAsia" w:ascii="Times New Roman" w:hAnsi="Times New Roman" w:eastAsia="宋体" w:cs="Times New Roman"/>
                <w:color w:val="auto"/>
                <w:kern w:val="0"/>
                <w:sz w:val="24"/>
                <w:szCs w:val="24"/>
                <w:highlight w:val="none"/>
                <w:lang w:val="en-US" w:eastAsia="zh-CN" w:bidi="ar"/>
              </w:rPr>
              <w:t>25</w:t>
            </w:r>
            <w:r>
              <w:rPr>
                <w:rFonts w:hint="eastAsia" w:ascii="宋体" w:hAnsi="宋体" w:eastAsia="宋体" w:cs="宋体"/>
                <w:color w:val="auto"/>
                <w:kern w:val="0"/>
                <w:sz w:val="24"/>
                <w:szCs w:val="24"/>
                <w:highlight w:val="none"/>
                <w:lang w:val="en-US" w:eastAsia="zh-CN" w:bidi="ar"/>
              </w:rPr>
              <w:t>人），建成后最大门诊量</w:t>
            </w:r>
            <w:r>
              <w:rPr>
                <w:rFonts w:hint="default" w:ascii="Times New Roman" w:hAnsi="Times New Roman" w:eastAsia="宋体" w:cs="Times New Roman"/>
                <w:color w:val="auto"/>
                <w:kern w:val="0"/>
                <w:sz w:val="24"/>
                <w:szCs w:val="24"/>
                <w:highlight w:val="none"/>
                <w:lang w:val="en-US" w:eastAsia="zh-CN" w:bidi="ar"/>
              </w:rPr>
              <w:t>80</w:t>
            </w:r>
            <w:r>
              <w:rPr>
                <w:rFonts w:hint="eastAsia" w:ascii="宋体" w:hAnsi="宋体" w:eastAsia="宋体" w:cs="宋体"/>
                <w:color w:val="auto"/>
                <w:kern w:val="0"/>
                <w:sz w:val="24"/>
                <w:szCs w:val="24"/>
                <w:highlight w:val="none"/>
                <w:lang w:val="en-US" w:eastAsia="zh-CN" w:bidi="ar"/>
              </w:rPr>
              <w:t>人</w:t>
            </w:r>
            <w:r>
              <w:rPr>
                <w:rFonts w:hint="default" w:ascii="Times New Roman" w:hAnsi="Times New Roman" w:eastAsia="宋体" w:cs="Times New Roman"/>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val="en-US" w:eastAsia="zh-CN" w:bidi="ar"/>
              </w:rPr>
              <w:t>，年工作</w:t>
            </w:r>
            <w:r>
              <w:rPr>
                <w:rFonts w:hint="default" w:ascii="Times New Roman" w:hAnsi="Times New Roman" w:eastAsia="宋体" w:cs="Times New Roman"/>
                <w:color w:val="auto"/>
                <w:kern w:val="0"/>
                <w:sz w:val="24"/>
                <w:szCs w:val="24"/>
                <w:highlight w:val="none"/>
                <w:lang w:val="en-US" w:eastAsia="zh-CN" w:bidi="ar"/>
              </w:rPr>
              <w:t>365d</w:t>
            </w:r>
            <w:r>
              <w:rPr>
                <w:rFonts w:hint="eastAsia" w:ascii="宋体" w:hAnsi="宋体" w:eastAsia="宋体" w:cs="宋体"/>
                <w:color w:val="auto"/>
                <w:kern w:val="0"/>
                <w:sz w:val="24"/>
                <w:szCs w:val="24"/>
                <w:highlight w:val="none"/>
                <w:lang w:val="en-US" w:eastAsia="zh-CN" w:bidi="ar"/>
              </w:rPr>
              <w:t>，住院部医护人员</w:t>
            </w:r>
            <w:r>
              <w:rPr>
                <w:rFonts w:hint="eastAsia" w:ascii="宋体" w:hAnsi="宋体" w:cs="宋体"/>
                <w:color w:val="auto"/>
                <w:kern w:val="0"/>
                <w:sz w:val="24"/>
                <w:szCs w:val="24"/>
                <w:highlight w:val="none"/>
                <w:lang w:val="en-US" w:eastAsia="zh-CN" w:bidi="ar"/>
              </w:rPr>
              <w:t>两</w:t>
            </w:r>
            <w:r>
              <w:rPr>
                <w:rFonts w:hint="eastAsia" w:ascii="宋体" w:hAnsi="宋体" w:eastAsia="宋体" w:cs="宋体"/>
                <w:color w:val="auto"/>
                <w:kern w:val="0"/>
                <w:sz w:val="24"/>
                <w:szCs w:val="24"/>
                <w:highlight w:val="none"/>
                <w:lang w:val="en-US" w:eastAsia="zh-CN" w:bidi="ar"/>
              </w:rPr>
              <w:t>班制，</w:t>
            </w:r>
            <w:r>
              <w:rPr>
                <w:rFonts w:hint="eastAsia"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h/</w:t>
            </w:r>
            <w:r>
              <w:rPr>
                <w:rFonts w:hint="eastAsia" w:ascii="宋体" w:hAnsi="宋体" w:eastAsia="宋体" w:cs="宋体"/>
                <w:color w:val="auto"/>
                <w:kern w:val="0"/>
                <w:sz w:val="24"/>
                <w:szCs w:val="24"/>
                <w:highlight w:val="none"/>
                <w:lang w:val="en-US" w:eastAsia="zh-CN" w:bidi="ar"/>
              </w:rPr>
              <w:t xml:space="preserve">班。 </w:t>
            </w:r>
          </w:p>
          <w:p>
            <w:pPr>
              <w:bidi w:val="0"/>
              <w:rPr>
                <w:rFonts w:hint="default"/>
                <w:color w:val="auto"/>
                <w:highlight w:val="none"/>
                <w:lang w:val="en-US" w:eastAsia="zh-CN"/>
              </w:rPr>
            </w:pPr>
            <w:r>
              <w:rPr>
                <w:rFonts w:hint="eastAsia"/>
                <w:color w:val="auto"/>
                <w:highlight w:val="none"/>
                <w:lang w:val="en-US" w:eastAsia="zh-CN"/>
              </w:rPr>
              <w:t>建设周期：12个月</w:t>
            </w:r>
          </w:p>
          <w:p>
            <w:pPr>
              <w:adjustRightInd w:val="0"/>
              <w:snapToGrid w:val="0"/>
              <w:spacing w:line="360" w:lineRule="auto"/>
              <w:ind w:firstLine="482" w:firstLineChars="200"/>
              <w:rPr>
                <w:rFonts w:hint="default"/>
                <w:b/>
                <w:bCs/>
                <w:color w:val="auto"/>
                <w:sz w:val="24"/>
                <w:szCs w:val="24"/>
                <w:highlight w:val="none"/>
                <w:lang w:val="en-US" w:eastAsia="zh-CN"/>
              </w:rPr>
            </w:pPr>
            <w:r>
              <w:rPr>
                <w:rFonts w:hint="eastAsia"/>
                <w:b/>
                <w:bCs/>
                <w:color w:val="auto"/>
                <w:sz w:val="24"/>
                <w:szCs w:val="24"/>
                <w:highlight w:val="none"/>
                <w:lang w:val="en-US" w:eastAsia="zh-CN"/>
              </w:rPr>
              <w:t>（2）工程建设内容</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拟建项目建设内容包括主体工程、辅助工程、公用工程及环保工程，新建 </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栋住院大楼，总建筑面积</w:t>
            </w:r>
            <w:r>
              <w:rPr>
                <w:rFonts w:hint="eastAsia"/>
                <w:color w:val="auto"/>
                <w:sz w:val="24"/>
                <w:szCs w:val="24"/>
                <w:highlight w:val="none"/>
                <w:lang w:val="en-US" w:eastAsia="zh-CN"/>
              </w:rPr>
              <w:t>2425.74平方米</w:t>
            </w:r>
            <w:r>
              <w:rPr>
                <w:rFonts w:hint="eastAsia" w:ascii="宋体" w:hAnsi="宋体" w:eastAsia="宋体" w:cs="宋体"/>
                <w:color w:val="auto"/>
                <w:kern w:val="0"/>
                <w:sz w:val="24"/>
                <w:szCs w:val="24"/>
                <w:highlight w:val="none"/>
                <w:lang w:val="en-US" w:eastAsia="zh-CN" w:bidi="ar"/>
              </w:rPr>
              <w:t xml:space="preserve">。项目内共设置 </w:t>
            </w:r>
            <w:r>
              <w:rPr>
                <w:rFonts w:hint="eastAsia" w:ascii="Times New Roman" w:hAnsi="Times New Roman" w:eastAsia="宋体" w:cs="Times New Roman"/>
                <w:color w:val="auto"/>
                <w:kern w:val="0"/>
                <w:sz w:val="24"/>
                <w:szCs w:val="24"/>
                <w:highlight w:val="none"/>
                <w:lang w:val="en-US" w:eastAsia="zh-CN" w:bidi="ar"/>
              </w:rPr>
              <w:t>65</w:t>
            </w:r>
            <w:r>
              <w:rPr>
                <w:rFonts w:hint="eastAsia" w:ascii="宋体" w:hAnsi="宋体" w:eastAsia="宋体" w:cs="宋体"/>
                <w:color w:val="auto"/>
                <w:kern w:val="0"/>
                <w:sz w:val="24"/>
                <w:szCs w:val="24"/>
                <w:highlight w:val="none"/>
                <w:lang w:val="en-US" w:eastAsia="zh-CN" w:bidi="ar"/>
              </w:rPr>
              <w:t>张医疗床位</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其中在北侧设一处发热（单独设置出入口），用于接待发热病人，一旦发现传染病患者立即转去传染病专科医院或其他设置有传染科室的综合医院，不设置传染科。</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项目内不设太平间、临终关怀科等，不设置</w:t>
            </w:r>
            <w:r>
              <w:rPr>
                <w:rFonts w:hint="eastAsia" w:ascii="宋体" w:hAnsi="宋体" w:cs="宋体"/>
                <w:color w:val="auto"/>
                <w:kern w:val="0"/>
                <w:sz w:val="24"/>
                <w:szCs w:val="24"/>
                <w:highlight w:val="none"/>
                <w:lang w:val="en-US" w:eastAsia="zh-CN" w:bidi="ar"/>
              </w:rPr>
              <w:t>锅炉房、</w:t>
            </w:r>
            <w:r>
              <w:rPr>
                <w:rFonts w:hint="eastAsia" w:ascii="宋体" w:hAnsi="宋体" w:eastAsia="宋体" w:cs="宋体"/>
                <w:color w:val="auto"/>
                <w:kern w:val="0"/>
                <w:sz w:val="24"/>
                <w:szCs w:val="24"/>
                <w:highlight w:val="none"/>
                <w:lang w:val="en-US" w:eastAsia="zh-CN" w:bidi="ar"/>
              </w:rPr>
              <w:t>食堂，洗衣房。</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拟建项目组成表见下表 </w:t>
            </w:r>
            <w:r>
              <w:rPr>
                <w:rFonts w:hint="default" w:ascii="Times New Roman" w:hAnsi="Times New Roman" w:eastAsia="宋体" w:cs="Times New Roman"/>
                <w:color w:val="auto"/>
                <w:kern w:val="0"/>
                <w:sz w:val="24"/>
                <w:szCs w:val="24"/>
                <w:highlight w:val="none"/>
                <w:lang w:val="en-US" w:eastAsia="zh-CN" w:bidi="ar"/>
              </w:rPr>
              <w:t>2</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w:t>
            </w:r>
          </w:p>
          <w:p>
            <w:pPr>
              <w:adjustRightInd w:val="0"/>
              <w:snapToGrid w:val="0"/>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表2</w:t>
            </w: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 xml:space="preserve"> </w:t>
            </w:r>
            <w:r>
              <w:rPr>
                <w:rFonts w:hint="eastAsia" w:ascii="宋体" w:hAnsi="宋体" w:eastAsia="宋体" w:cs="宋体"/>
                <w:b/>
                <w:bCs/>
                <w:color w:val="auto"/>
                <w:highlight w:val="none"/>
                <w:lang w:val="en-US" w:eastAsia="zh-CN"/>
              </w:rPr>
              <w:t xml:space="preserve"> 拟建项目组成</w:t>
            </w:r>
            <w:r>
              <w:rPr>
                <w:rFonts w:hint="eastAsia" w:ascii="宋体" w:hAnsi="宋体" w:eastAsia="宋体" w:cs="宋体"/>
                <w:b/>
                <w:bCs/>
                <w:color w:val="auto"/>
                <w:highlight w:val="none"/>
              </w:rPr>
              <w:t>表</w:t>
            </w:r>
          </w:p>
          <w:tbl>
            <w:tblPr>
              <w:tblStyle w:val="29"/>
              <w:tblW w:w="80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9"/>
              <w:gridCol w:w="813"/>
              <w:gridCol w:w="1155"/>
              <w:gridCol w:w="4530"/>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exact"/>
                <w:tblHeader/>
                <w:jc w:val="center"/>
              </w:trPr>
              <w:tc>
                <w:tcPr>
                  <w:tcW w:w="793" w:type="dxa"/>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类别</w:t>
                  </w:r>
                </w:p>
              </w:tc>
              <w:tc>
                <w:tcPr>
                  <w:tcW w:w="832" w:type="dxa"/>
                  <w:gridSpan w:val="2"/>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项目</w:t>
                  </w:r>
                </w:p>
                <w:p>
                  <w:pPr>
                    <w:bidi w:val="0"/>
                    <w:spacing w:line="240" w:lineRule="auto"/>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名称</w:t>
                  </w:r>
                </w:p>
              </w:tc>
              <w:tc>
                <w:tcPr>
                  <w:tcW w:w="5685" w:type="dxa"/>
                  <w:gridSpan w:val="2"/>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建设</w:t>
                  </w:r>
                  <w:r>
                    <w:rPr>
                      <w:rFonts w:hint="eastAsia"/>
                      <w:color w:val="auto"/>
                      <w:sz w:val="21"/>
                      <w:szCs w:val="21"/>
                      <w:highlight w:val="none"/>
                      <w:lang w:val="en-US" w:eastAsia="zh-CN"/>
                    </w:rPr>
                    <w:t>主要</w:t>
                  </w:r>
                  <w:r>
                    <w:rPr>
                      <w:color w:val="auto"/>
                      <w:sz w:val="21"/>
                      <w:szCs w:val="21"/>
                      <w:highlight w:val="none"/>
                    </w:rPr>
                    <w:t>内容</w:t>
                  </w:r>
                </w:p>
              </w:tc>
              <w:tc>
                <w:tcPr>
                  <w:tcW w:w="770" w:type="dxa"/>
                  <w:tcBorders>
                    <w:tl2br w:val="nil"/>
                    <w:tr2bl w:val="nil"/>
                  </w:tcBorders>
                  <w:vAlign w:val="center"/>
                </w:tcPr>
                <w:p>
                  <w:pPr>
                    <w:bidi w:val="0"/>
                    <w:spacing w:line="240" w:lineRule="auto"/>
                    <w:ind w:left="0" w:leftChars="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2" w:hRule="exact"/>
                <w:jc w:val="center"/>
              </w:trPr>
              <w:tc>
                <w:tcPr>
                  <w:tcW w:w="793" w:type="dxa"/>
                  <w:vMerge w:val="restart"/>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rPr>
                  </w:pPr>
                  <w:r>
                    <w:rPr>
                      <w:rFonts w:hint="eastAsia"/>
                      <w:color w:val="auto"/>
                      <w:sz w:val="21"/>
                      <w:szCs w:val="21"/>
                      <w:highlight w:val="none"/>
                    </w:rPr>
                    <w:t>主体</w:t>
                  </w:r>
                </w:p>
                <w:p>
                  <w:pPr>
                    <w:bidi w:val="0"/>
                    <w:spacing w:line="240" w:lineRule="auto"/>
                    <w:ind w:left="0" w:leftChars="0" w:firstLine="0" w:firstLineChars="0"/>
                    <w:jc w:val="center"/>
                    <w:rPr>
                      <w:color w:val="auto"/>
                      <w:sz w:val="21"/>
                      <w:szCs w:val="21"/>
                      <w:highlight w:val="none"/>
                    </w:rPr>
                  </w:pPr>
                  <w:r>
                    <w:rPr>
                      <w:rFonts w:hint="eastAsia"/>
                      <w:color w:val="auto"/>
                      <w:sz w:val="21"/>
                      <w:szCs w:val="21"/>
                      <w:highlight w:val="none"/>
                    </w:rPr>
                    <w:t>工程</w:t>
                  </w:r>
                </w:p>
              </w:tc>
              <w:tc>
                <w:tcPr>
                  <w:tcW w:w="832" w:type="dxa"/>
                  <w:gridSpan w:val="2"/>
                  <w:vMerge w:val="restart"/>
                  <w:tcBorders>
                    <w:tl2br w:val="nil"/>
                    <w:tr2bl w:val="nil"/>
                  </w:tcBorders>
                  <w:vAlign w:val="center"/>
                </w:tcPr>
                <w:p>
                  <w:pPr>
                    <w:bidi w:val="0"/>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综合楼</w:t>
                  </w:r>
                </w:p>
              </w:tc>
              <w:tc>
                <w:tcPr>
                  <w:tcW w:w="1155" w:type="dxa"/>
                  <w:tcBorders>
                    <w:tl2br w:val="nil"/>
                    <w:tr2bl w:val="nil"/>
                  </w:tcBorders>
                  <w:vAlign w:val="center"/>
                </w:tcPr>
                <w:p>
                  <w:pPr>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就诊区</w:t>
                  </w:r>
                </w:p>
              </w:tc>
              <w:tc>
                <w:tcPr>
                  <w:tcW w:w="4530" w:type="dxa"/>
                  <w:tcBorders>
                    <w:tl2br w:val="nil"/>
                    <w:tr2bl w:val="nil"/>
                  </w:tcBorders>
                  <w:vAlign w:val="center"/>
                </w:tcPr>
                <w:p>
                  <w:pPr>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设置在新建大楼</w:t>
                  </w:r>
                  <w:r>
                    <w:rPr>
                      <w:rFonts w:hint="default" w:ascii="Times New Roman" w:hAnsi="Times New Roman" w:eastAsia="宋体" w:cs="Times New Roman"/>
                      <w:color w:val="auto"/>
                      <w:kern w:val="2"/>
                      <w:sz w:val="21"/>
                      <w:szCs w:val="21"/>
                      <w:highlight w:val="none"/>
                      <w:lang w:val="en-US" w:eastAsia="zh-CN" w:bidi="ar-SA"/>
                    </w:rPr>
                    <w:t>2F</w:t>
                  </w:r>
                  <w:r>
                    <w:rPr>
                      <w:rFonts w:hint="eastAsia" w:ascii="Times New Roman" w:hAnsi="Times New Roman" w:eastAsia="宋体" w:cs="Times New Roman"/>
                      <w:color w:val="auto"/>
                      <w:kern w:val="2"/>
                      <w:sz w:val="21"/>
                      <w:szCs w:val="21"/>
                      <w:highlight w:val="none"/>
                      <w:lang w:val="en-US" w:eastAsia="zh-CN" w:bidi="ar-SA"/>
                    </w:rPr>
                    <w:t>，建筑面积</w:t>
                  </w:r>
                  <w:r>
                    <w:rPr>
                      <w:rFonts w:hint="eastAsia" w:cs="Times New Roman"/>
                      <w:color w:val="auto"/>
                      <w:kern w:val="2"/>
                      <w:sz w:val="21"/>
                      <w:szCs w:val="21"/>
                      <w:highlight w:val="none"/>
                      <w:lang w:val="en-US" w:eastAsia="zh-CN" w:bidi="ar-SA"/>
                    </w:rPr>
                    <w:t>505.36</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。设置有公共卫生科、内科、外科、儿科、妇科、医学检验科、医学影像科、中医治疗等服务功能科、中医理疗科、肛肠门诊等科室，主要为看诊、治疗等服务功能</w:t>
                  </w:r>
                  <w:r>
                    <w:rPr>
                      <w:rFonts w:hint="eastAsia" w:cs="Times New Roman"/>
                      <w:color w:val="auto"/>
                      <w:kern w:val="2"/>
                      <w:sz w:val="21"/>
                      <w:szCs w:val="21"/>
                      <w:highlight w:val="none"/>
                      <w:lang w:val="en-US" w:eastAsia="zh-CN" w:bidi="ar-SA"/>
                    </w:rPr>
                    <w:t>。</w:t>
                  </w:r>
                </w:p>
              </w:tc>
              <w:tc>
                <w:tcPr>
                  <w:tcW w:w="770" w:type="dxa"/>
                  <w:tcBorders>
                    <w:tl2br w:val="nil"/>
                    <w:tr2bl w:val="nil"/>
                  </w:tcBorders>
                  <w:vAlign w:val="center"/>
                </w:tcPr>
                <w:p>
                  <w:pPr>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4" w:hRule="exact"/>
                <w:jc w:val="center"/>
              </w:trPr>
              <w:tc>
                <w:tcPr>
                  <w:tcW w:w="793" w:type="dxa"/>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rPr>
                  </w:pPr>
                </w:p>
              </w:tc>
              <w:tc>
                <w:tcPr>
                  <w:tcW w:w="832" w:type="dxa"/>
                  <w:gridSpan w:val="2"/>
                  <w:vMerge w:val="continue"/>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p>
              </w:tc>
              <w:tc>
                <w:tcPr>
                  <w:tcW w:w="1155" w:type="dxa"/>
                  <w:tcBorders>
                    <w:tl2br w:val="nil"/>
                    <w:tr2bl w:val="nil"/>
                  </w:tcBorders>
                  <w:vAlign w:val="center"/>
                </w:tcPr>
                <w:p>
                  <w:pPr>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病房区、医生办公室、护士站</w:t>
                  </w:r>
                </w:p>
              </w:tc>
              <w:tc>
                <w:tcPr>
                  <w:tcW w:w="4530" w:type="dxa"/>
                  <w:tcBorders>
                    <w:tl2br w:val="nil"/>
                    <w:tr2bl w:val="nil"/>
                  </w:tcBorders>
                  <w:vAlign w:val="center"/>
                </w:tcPr>
                <w:p>
                  <w:pPr>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设置在</w:t>
                  </w:r>
                  <w:r>
                    <w:rPr>
                      <w:rFonts w:hint="eastAsia" w:cs="Times New Roman"/>
                      <w:color w:val="auto"/>
                      <w:kern w:val="2"/>
                      <w:sz w:val="21"/>
                      <w:szCs w:val="21"/>
                      <w:highlight w:val="none"/>
                      <w:lang w:val="en-US" w:eastAsia="zh-CN" w:bidi="ar-SA"/>
                    </w:rPr>
                    <w:t>3F</w:t>
                  </w:r>
                  <w:r>
                    <w:rPr>
                      <w:rFonts w:hint="eastAsia" w:ascii="Times New Roman" w:hAnsi="Times New Roman" w:eastAsia="宋体" w:cs="Times New Roman"/>
                      <w:color w:val="auto"/>
                      <w:kern w:val="2"/>
                      <w:sz w:val="21"/>
                      <w:szCs w:val="21"/>
                      <w:highlight w:val="none"/>
                      <w:lang w:val="en-US" w:eastAsia="zh-CN" w:bidi="ar-SA"/>
                    </w:rPr>
                    <w:t>和</w:t>
                  </w:r>
                  <w:r>
                    <w:rPr>
                      <w:rFonts w:hint="eastAsia" w:cs="Times New Roman"/>
                      <w:color w:val="auto"/>
                      <w:kern w:val="2"/>
                      <w:sz w:val="21"/>
                      <w:szCs w:val="21"/>
                      <w:highlight w:val="none"/>
                      <w:lang w:val="en-US" w:eastAsia="zh-CN" w:bidi="ar-SA"/>
                    </w:rPr>
                    <w:t>4</w:t>
                  </w:r>
                  <w:r>
                    <w:rPr>
                      <w:rFonts w:hint="default" w:ascii="Times New Roman" w:hAnsi="Times New Roman" w:eastAsia="宋体" w:cs="Times New Roman"/>
                      <w:color w:val="auto"/>
                      <w:kern w:val="2"/>
                      <w:sz w:val="21"/>
                      <w:szCs w:val="21"/>
                      <w:highlight w:val="none"/>
                      <w:lang w:val="en-US" w:eastAsia="zh-CN" w:bidi="ar-SA"/>
                    </w:rPr>
                    <w:t>F</w:t>
                  </w:r>
                  <w:r>
                    <w:rPr>
                      <w:rFonts w:hint="eastAsia" w:ascii="Times New Roman" w:hAnsi="Times New Roman" w:eastAsia="宋体" w:cs="Times New Roman"/>
                      <w:color w:val="auto"/>
                      <w:kern w:val="2"/>
                      <w:sz w:val="21"/>
                      <w:szCs w:val="21"/>
                      <w:highlight w:val="none"/>
                      <w:lang w:val="en-US" w:eastAsia="zh-CN" w:bidi="ar-SA"/>
                    </w:rPr>
                    <w:t>东侧区域，</w:t>
                  </w:r>
                  <w:r>
                    <w:rPr>
                      <w:rFonts w:hint="eastAsia" w:cs="Times New Roman"/>
                      <w:color w:val="auto"/>
                      <w:kern w:val="2"/>
                      <w:sz w:val="21"/>
                      <w:szCs w:val="21"/>
                      <w:highlight w:val="none"/>
                      <w:lang w:val="en-US" w:eastAsia="zh-CN" w:bidi="ar-SA"/>
                    </w:rPr>
                    <w:t>3F</w:t>
                  </w:r>
                  <w:r>
                    <w:rPr>
                      <w:rFonts w:hint="eastAsia" w:ascii="Times New Roman" w:hAnsi="Times New Roman" w:eastAsia="宋体" w:cs="Times New Roman"/>
                      <w:color w:val="auto"/>
                      <w:kern w:val="2"/>
                      <w:sz w:val="21"/>
                      <w:szCs w:val="21"/>
                      <w:highlight w:val="none"/>
                      <w:lang w:val="en-US" w:eastAsia="zh-CN" w:bidi="ar-SA"/>
                    </w:rPr>
                    <w:t>建筑面积</w:t>
                  </w:r>
                  <w:r>
                    <w:rPr>
                      <w:rFonts w:hint="eastAsia" w:cs="Times New Roman"/>
                      <w:color w:val="auto"/>
                      <w:kern w:val="2"/>
                      <w:sz w:val="21"/>
                      <w:szCs w:val="21"/>
                      <w:highlight w:val="none"/>
                      <w:lang w:val="en-US" w:eastAsia="zh-CN" w:bidi="ar-SA"/>
                    </w:rPr>
                    <w:t>505.36</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eastAsia" w:cs="Times New Roman"/>
                      <w:color w:val="auto"/>
                      <w:kern w:val="2"/>
                      <w:sz w:val="21"/>
                      <w:szCs w:val="21"/>
                      <w:highlight w:val="none"/>
                      <w:vertAlign w:val="baseline"/>
                      <w:lang w:val="en-US" w:eastAsia="zh-CN" w:bidi="ar-SA"/>
                    </w:rPr>
                    <w:t>，</w:t>
                  </w:r>
                  <w:r>
                    <w:rPr>
                      <w:rFonts w:hint="eastAsia" w:cs="Times New Roman"/>
                      <w:color w:val="auto"/>
                      <w:kern w:val="2"/>
                      <w:sz w:val="21"/>
                      <w:szCs w:val="21"/>
                      <w:highlight w:val="none"/>
                      <w:lang w:val="en-US" w:eastAsia="zh-CN" w:bidi="ar-SA"/>
                    </w:rPr>
                    <w:t>4F</w:t>
                  </w:r>
                  <w:r>
                    <w:rPr>
                      <w:rFonts w:hint="eastAsia" w:ascii="Times New Roman" w:hAnsi="Times New Roman" w:eastAsia="宋体" w:cs="Times New Roman"/>
                      <w:color w:val="auto"/>
                      <w:kern w:val="2"/>
                      <w:sz w:val="21"/>
                      <w:szCs w:val="21"/>
                      <w:highlight w:val="none"/>
                      <w:lang w:val="en-US" w:eastAsia="zh-CN" w:bidi="ar-SA"/>
                    </w:rPr>
                    <w:t>建筑面积</w:t>
                  </w:r>
                  <w:r>
                    <w:rPr>
                      <w:rFonts w:hint="eastAsia" w:cs="Times New Roman"/>
                      <w:color w:val="auto"/>
                      <w:kern w:val="2"/>
                      <w:sz w:val="21"/>
                      <w:szCs w:val="21"/>
                      <w:highlight w:val="none"/>
                      <w:lang w:val="en-US" w:eastAsia="zh-CN" w:bidi="ar-SA"/>
                    </w:rPr>
                    <w:t>505.36</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。主要设置为住院病房</w:t>
                  </w:r>
                  <w:r>
                    <w:rPr>
                      <w:rFonts w:hint="eastAsia" w:cs="Times New Roman"/>
                      <w:color w:val="auto"/>
                      <w:kern w:val="2"/>
                      <w:sz w:val="21"/>
                      <w:szCs w:val="21"/>
                      <w:highlight w:val="none"/>
                      <w:lang w:val="en-US" w:eastAsia="zh-CN" w:bidi="ar-SA"/>
                    </w:rPr>
                    <w:t>、</w:t>
                  </w:r>
                  <w:r>
                    <w:rPr>
                      <w:rFonts w:hint="eastAsia"/>
                      <w:color w:val="auto"/>
                      <w:sz w:val="21"/>
                      <w:szCs w:val="21"/>
                      <w:highlight w:val="none"/>
                      <w:lang w:val="en-US" w:eastAsia="zh-CN"/>
                    </w:rPr>
                    <w:t>医生办公室、护士站</w:t>
                  </w:r>
                  <w:r>
                    <w:rPr>
                      <w:rFonts w:hint="eastAsia" w:ascii="Times New Roman" w:hAnsi="Times New Roman" w:eastAsia="宋体" w:cs="Times New Roman"/>
                      <w:color w:val="auto"/>
                      <w:kern w:val="2"/>
                      <w:sz w:val="21"/>
                      <w:szCs w:val="21"/>
                      <w:highlight w:val="none"/>
                      <w:lang w:val="en-US" w:eastAsia="zh-CN" w:bidi="ar-SA"/>
                    </w:rPr>
                    <w:t>，共设有65张医疗病床，用于病人住院治疗</w:t>
                  </w:r>
                  <w:r>
                    <w:rPr>
                      <w:rFonts w:hint="eastAsia" w:cs="Times New Roman"/>
                      <w:color w:val="auto"/>
                      <w:kern w:val="2"/>
                      <w:sz w:val="21"/>
                      <w:szCs w:val="21"/>
                      <w:highlight w:val="none"/>
                      <w:lang w:val="en-US" w:eastAsia="zh-CN" w:bidi="ar-SA"/>
                    </w:rPr>
                    <w:t>。</w:t>
                  </w:r>
                </w:p>
              </w:tc>
              <w:tc>
                <w:tcPr>
                  <w:tcW w:w="770" w:type="dxa"/>
                  <w:tcBorders>
                    <w:tl2br w:val="nil"/>
                    <w:tr2bl w:val="nil"/>
                  </w:tcBorders>
                  <w:vAlign w:val="center"/>
                </w:tcPr>
                <w:p>
                  <w:pPr>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6" w:hRule="exact"/>
                <w:jc w:val="center"/>
              </w:trPr>
              <w:tc>
                <w:tcPr>
                  <w:tcW w:w="793" w:type="dxa"/>
                  <w:vMerge w:val="restart"/>
                  <w:tcBorders>
                    <w:tl2br w:val="nil"/>
                    <w:tr2bl w:val="nil"/>
                  </w:tcBorders>
                  <w:vAlign w:val="center"/>
                </w:tcPr>
                <w:p>
                  <w:pPr>
                    <w:bidi w:val="0"/>
                    <w:spacing w:line="240" w:lineRule="auto"/>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辅助工程</w:t>
                  </w:r>
                </w:p>
              </w:tc>
              <w:tc>
                <w:tcPr>
                  <w:tcW w:w="832" w:type="dxa"/>
                  <w:gridSpan w:val="2"/>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1155" w:type="dxa"/>
                  <w:tcBorders>
                    <w:tl2br w:val="nil"/>
                    <w:tr2bl w:val="nil"/>
                  </w:tcBorders>
                  <w:vAlign w:val="center"/>
                </w:tcPr>
                <w:p>
                  <w:pPr>
                    <w:spacing w:line="240" w:lineRule="auto"/>
                    <w:ind w:left="0" w:leftChars="0" w:firstLine="0" w:firstLineChars="0"/>
                    <w:jc w:val="center"/>
                    <w:rPr>
                      <w:rFonts w:hint="default"/>
                      <w:color w:val="auto"/>
                      <w:spacing w:val="-11"/>
                      <w:sz w:val="21"/>
                      <w:highlight w:val="none"/>
                      <w:lang w:val="en-US" w:eastAsia="zh-CN"/>
                    </w:rPr>
                  </w:pPr>
                  <w:r>
                    <w:rPr>
                      <w:rFonts w:hint="eastAsia"/>
                      <w:color w:val="auto"/>
                      <w:spacing w:val="-11"/>
                      <w:sz w:val="21"/>
                      <w:highlight w:val="none"/>
                      <w:lang w:val="en-US" w:eastAsia="zh-CN"/>
                    </w:rPr>
                    <w:t>办公区</w:t>
                  </w:r>
                </w:p>
              </w:tc>
              <w:tc>
                <w:tcPr>
                  <w:tcW w:w="453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设置在</w:t>
                  </w:r>
                  <w:r>
                    <w:rPr>
                      <w:rFonts w:hint="eastAsia" w:cs="Times New Roman"/>
                      <w:color w:val="auto"/>
                      <w:kern w:val="2"/>
                      <w:sz w:val="21"/>
                      <w:szCs w:val="21"/>
                      <w:highlight w:val="none"/>
                      <w:lang w:val="en-US" w:eastAsia="zh-CN" w:bidi="ar-SA"/>
                    </w:rPr>
                    <w:t>5</w:t>
                  </w:r>
                  <w:r>
                    <w:rPr>
                      <w:rFonts w:hint="default" w:ascii="Times New Roman" w:hAnsi="Times New Roman" w:eastAsia="宋体" w:cs="Times New Roman"/>
                      <w:color w:val="auto"/>
                      <w:kern w:val="2"/>
                      <w:sz w:val="21"/>
                      <w:szCs w:val="21"/>
                      <w:highlight w:val="none"/>
                      <w:lang w:val="en-US" w:eastAsia="zh-CN" w:bidi="ar-SA"/>
                    </w:rPr>
                    <w:t>F</w:t>
                  </w:r>
                  <w:r>
                    <w:rPr>
                      <w:rFonts w:hint="eastAsia" w:ascii="Times New Roman" w:hAnsi="Times New Roman" w:eastAsia="宋体" w:cs="Times New Roman"/>
                      <w:color w:val="auto"/>
                      <w:kern w:val="2"/>
                      <w:sz w:val="21"/>
                      <w:szCs w:val="21"/>
                      <w:highlight w:val="none"/>
                      <w:lang w:val="en-US" w:eastAsia="zh-CN" w:bidi="ar-SA"/>
                    </w:rPr>
                    <w:t>，建筑面积约</w:t>
                  </w:r>
                  <w:r>
                    <w:rPr>
                      <w:rFonts w:hint="eastAsia" w:cs="Times New Roman"/>
                      <w:color w:val="auto"/>
                      <w:kern w:val="2"/>
                      <w:sz w:val="21"/>
                      <w:szCs w:val="21"/>
                      <w:highlight w:val="none"/>
                      <w:lang w:val="en-US" w:eastAsia="zh-CN" w:bidi="ar-SA"/>
                    </w:rPr>
                    <w:t>505.36</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，主要包括</w:t>
                  </w:r>
                  <w:r>
                    <w:rPr>
                      <w:rFonts w:hint="eastAsia" w:cs="Times New Roman"/>
                      <w:color w:val="auto"/>
                      <w:kern w:val="2"/>
                      <w:sz w:val="21"/>
                      <w:szCs w:val="21"/>
                      <w:highlight w:val="none"/>
                      <w:lang w:val="en-US" w:eastAsia="zh-CN" w:bidi="ar-SA"/>
                    </w:rPr>
                    <w:t>医保</w:t>
                  </w:r>
                  <w:r>
                    <w:rPr>
                      <w:rFonts w:hint="eastAsia" w:ascii="Times New Roman" w:hAnsi="Times New Roman" w:eastAsia="宋体" w:cs="Times New Roman"/>
                      <w:color w:val="auto"/>
                      <w:kern w:val="2"/>
                      <w:sz w:val="21"/>
                      <w:szCs w:val="21"/>
                      <w:highlight w:val="none"/>
                      <w:lang w:val="en-US" w:eastAsia="zh-CN" w:bidi="ar-SA"/>
                    </w:rPr>
                    <w:t>办、医生办、党建办、院长办、副院长办、财务室、档案室、会议室</w:t>
                  </w:r>
                  <w:r>
                    <w:rPr>
                      <w:rFonts w:hint="eastAsia" w:cs="Times New Roman"/>
                      <w:color w:val="auto"/>
                      <w:kern w:val="2"/>
                      <w:sz w:val="21"/>
                      <w:szCs w:val="21"/>
                      <w:highlight w:val="none"/>
                      <w:lang w:val="en-US" w:eastAsia="zh-CN" w:bidi="ar-SA"/>
                    </w:rPr>
                    <w:t>、卫生间</w:t>
                  </w:r>
                  <w:r>
                    <w:rPr>
                      <w:rFonts w:hint="eastAsia" w:ascii="Times New Roman" w:hAnsi="Times New Roman" w:eastAsia="宋体" w:cs="Times New Roman"/>
                      <w:color w:val="auto"/>
                      <w:kern w:val="2"/>
                      <w:sz w:val="21"/>
                      <w:szCs w:val="21"/>
                      <w:highlight w:val="none"/>
                      <w:lang w:val="en-US" w:eastAsia="zh-CN" w:bidi="ar-SA"/>
                    </w:rPr>
                    <w:t>等，主要为医护人员办公、病例存档使用、开会学习等</w:t>
                  </w:r>
                </w:p>
              </w:tc>
              <w:tc>
                <w:tcPr>
                  <w:tcW w:w="77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6" w:hRule="exact"/>
                <w:jc w:val="center"/>
              </w:trPr>
              <w:tc>
                <w:tcPr>
                  <w:tcW w:w="793" w:type="dxa"/>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rPr>
                  </w:pPr>
                </w:p>
              </w:tc>
              <w:tc>
                <w:tcPr>
                  <w:tcW w:w="832" w:type="dxa"/>
                  <w:gridSpan w:val="2"/>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1155" w:type="dxa"/>
                  <w:tcBorders>
                    <w:tl2br w:val="nil"/>
                    <w:tr2bl w:val="nil"/>
                  </w:tcBorders>
                  <w:vAlign w:val="center"/>
                </w:tcPr>
                <w:p>
                  <w:pPr>
                    <w:spacing w:line="240" w:lineRule="auto"/>
                    <w:ind w:left="0" w:leftChars="0" w:firstLine="0" w:firstLineChars="0"/>
                    <w:jc w:val="center"/>
                    <w:rPr>
                      <w:rFonts w:hint="default"/>
                      <w:color w:val="auto"/>
                      <w:spacing w:val="-11"/>
                      <w:sz w:val="21"/>
                      <w:highlight w:val="none"/>
                      <w:lang w:val="en-US" w:eastAsia="zh-CN"/>
                    </w:rPr>
                  </w:pPr>
                  <w:r>
                    <w:rPr>
                      <w:rFonts w:hint="eastAsia"/>
                      <w:color w:val="auto"/>
                      <w:spacing w:val="-11"/>
                      <w:sz w:val="21"/>
                      <w:highlight w:val="none"/>
                      <w:lang w:val="en-US" w:eastAsia="zh-CN"/>
                    </w:rPr>
                    <w:t>供氧系统</w:t>
                  </w:r>
                </w:p>
              </w:tc>
              <w:tc>
                <w:tcPr>
                  <w:tcW w:w="45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拟在1F</w:t>
                  </w:r>
                  <w:r>
                    <w:rPr>
                      <w:rFonts w:hint="eastAsia" w:cs="Times New Roman"/>
                      <w:color w:val="auto"/>
                      <w:kern w:val="2"/>
                      <w:sz w:val="21"/>
                      <w:szCs w:val="21"/>
                      <w:highlight w:val="none"/>
                      <w:lang w:val="en-US" w:eastAsia="zh-CN" w:bidi="ar-SA"/>
                    </w:rPr>
                    <w:t>设置中心供氧房，项目自备氧气。医用氧气系统由氧源部分、氧二级稳压箱、医用氧气管道及医用氧气终端几个部分组成。</w:t>
                  </w:r>
                </w:p>
              </w:tc>
              <w:tc>
                <w:tcPr>
                  <w:tcW w:w="77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6" w:hRule="exact"/>
                <w:jc w:val="center"/>
              </w:trPr>
              <w:tc>
                <w:tcPr>
                  <w:tcW w:w="793" w:type="dxa"/>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rPr>
                  </w:pPr>
                </w:p>
              </w:tc>
              <w:tc>
                <w:tcPr>
                  <w:tcW w:w="832" w:type="dxa"/>
                  <w:gridSpan w:val="2"/>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1155" w:type="dxa"/>
                  <w:tcBorders>
                    <w:tl2br w:val="nil"/>
                    <w:tr2bl w:val="nil"/>
                  </w:tcBorders>
                  <w:vAlign w:val="center"/>
                </w:tcPr>
                <w:p>
                  <w:pPr>
                    <w:spacing w:line="240" w:lineRule="auto"/>
                    <w:ind w:left="0" w:leftChars="0" w:firstLine="0" w:firstLineChars="0"/>
                    <w:jc w:val="center"/>
                    <w:rPr>
                      <w:rFonts w:hint="default"/>
                      <w:color w:val="auto"/>
                      <w:spacing w:val="-11"/>
                      <w:sz w:val="21"/>
                      <w:highlight w:val="none"/>
                      <w:lang w:val="en-US" w:eastAsia="zh-CN"/>
                    </w:rPr>
                  </w:pPr>
                  <w:r>
                    <w:rPr>
                      <w:rFonts w:hint="eastAsia"/>
                      <w:color w:val="auto"/>
                      <w:spacing w:val="-11"/>
                      <w:sz w:val="21"/>
                      <w:highlight w:val="none"/>
                      <w:lang w:val="en-US" w:eastAsia="zh-CN"/>
                    </w:rPr>
                    <w:t>纯水制备系统</w:t>
                  </w:r>
                </w:p>
              </w:tc>
              <w:tc>
                <w:tcPr>
                  <w:tcW w:w="4530" w:type="dxa"/>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项目设有一台软水制备机，用于检验室，设备处理能力为</w:t>
                  </w:r>
                  <w:r>
                    <w:rPr>
                      <w:rFonts w:hint="default"/>
                      <w:color w:val="auto"/>
                      <w:sz w:val="21"/>
                      <w:szCs w:val="21"/>
                      <w:highlight w:val="none"/>
                      <w:lang w:val="en-US" w:eastAsia="zh-CN"/>
                    </w:rPr>
                    <w:t>20L/h</w:t>
                  </w:r>
                  <w:r>
                    <w:rPr>
                      <w:rFonts w:hint="eastAsia"/>
                      <w:color w:val="auto"/>
                      <w:sz w:val="21"/>
                      <w:szCs w:val="21"/>
                      <w:highlight w:val="none"/>
                      <w:lang w:val="en-US" w:eastAsia="zh-CN"/>
                    </w:rPr>
                    <w:t>，设备软水制备效率为</w:t>
                  </w:r>
                  <w:r>
                    <w:rPr>
                      <w:rFonts w:hint="default"/>
                      <w:color w:val="auto"/>
                      <w:sz w:val="21"/>
                      <w:szCs w:val="21"/>
                      <w:highlight w:val="none"/>
                      <w:lang w:val="en-US" w:eastAsia="zh-CN"/>
                    </w:rPr>
                    <w:t>50%</w:t>
                  </w:r>
                  <w:r>
                    <w:rPr>
                      <w:rFonts w:hint="eastAsia"/>
                      <w:color w:val="auto"/>
                      <w:sz w:val="21"/>
                      <w:szCs w:val="21"/>
                      <w:highlight w:val="none"/>
                      <w:lang w:val="en-US" w:eastAsia="zh-CN"/>
                    </w:rPr>
                    <w:t xml:space="preserve">，制备时间为 </w:t>
                  </w:r>
                  <w:r>
                    <w:rPr>
                      <w:rFonts w:hint="default" w:ascii="Times New Roman" w:hAnsi="Times New Roman" w:eastAsia="宋体" w:cs="Times New Roman"/>
                      <w:color w:val="auto"/>
                      <w:kern w:val="0"/>
                      <w:sz w:val="20"/>
                      <w:szCs w:val="20"/>
                      <w:highlight w:val="none"/>
                      <w:lang w:val="en-US" w:eastAsia="zh-CN" w:bidi="ar"/>
                    </w:rPr>
                    <w:t>4h/d</w:t>
                  </w:r>
                  <w:r>
                    <w:rPr>
                      <w:rFonts w:hint="eastAsia" w:ascii="宋体" w:hAnsi="宋体" w:eastAsia="宋体" w:cs="宋体"/>
                      <w:color w:val="auto"/>
                      <w:kern w:val="0"/>
                      <w:sz w:val="20"/>
                      <w:szCs w:val="20"/>
                      <w:highlight w:val="none"/>
                      <w:lang w:val="en-US" w:eastAsia="zh-CN" w:bidi="ar"/>
                    </w:rPr>
                    <w:t>。</w:t>
                  </w:r>
                </w:p>
              </w:tc>
              <w:tc>
                <w:tcPr>
                  <w:tcW w:w="77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exact"/>
                <w:jc w:val="center"/>
              </w:trPr>
              <w:tc>
                <w:tcPr>
                  <w:tcW w:w="793" w:type="dxa"/>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rPr>
                  </w:pPr>
                </w:p>
              </w:tc>
              <w:tc>
                <w:tcPr>
                  <w:tcW w:w="832" w:type="dxa"/>
                  <w:gridSpan w:val="2"/>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1155" w:type="dxa"/>
                  <w:tcBorders>
                    <w:tl2br w:val="nil"/>
                    <w:tr2bl w:val="nil"/>
                  </w:tcBorders>
                  <w:vAlign w:val="center"/>
                </w:tcPr>
                <w:p>
                  <w:pPr>
                    <w:spacing w:line="240" w:lineRule="auto"/>
                    <w:ind w:left="0" w:leftChars="0" w:firstLine="0" w:firstLineChars="0"/>
                    <w:jc w:val="center"/>
                    <w:rPr>
                      <w:rFonts w:hint="default"/>
                      <w:color w:val="auto"/>
                      <w:spacing w:val="-11"/>
                      <w:sz w:val="21"/>
                      <w:highlight w:val="none"/>
                      <w:lang w:val="en-US" w:eastAsia="zh-CN"/>
                    </w:rPr>
                  </w:pPr>
                  <w:r>
                    <w:rPr>
                      <w:rFonts w:hint="eastAsia"/>
                      <w:color w:val="auto"/>
                      <w:spacing w:val="-11"/>
                      <w:sz w:val="21"/>
                      <w:highlight w:val="none"/>
                      <w:lang w:val="en-US" w:eastAsia="zh-CN"/>
                    </w:rPr>
                    <w:t>车库</w:t>
                  </w:r>
                </w:p>
              </w:tc>
              <w:tc>
                <w:tcPr>
                  <w:tcW w:w="4530" w:type="dxa"/>
                  <w:tcBorders>
                    <w:tl2br w:val="nil"/>
                    <w:tr2bl w:val="nil"/>
                  </w:tcBorders>
                  <w:vAlign w:val="center"/>
                </w:tcPr>
                <w:p>
                  <w:pPr>
                    <w:spacing w:line="240" w:lineRule="auto"/>
                    <w:ind w:left="0" w:leftChars="0" w:firstLine="0" w:firstLineChars="0"/>
                    <w:jc w:val="both"/>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位于1F，建筑面积667.1</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eastAsia" w:cs="Times New Roman"/>
                      <w:color w:val="auto"/>
                      <w:kern w:val="2"/>
                      <w:sz w:val="21"/>
                      <w:szCs w:val="21"/>
                      <w:highlight w:val="none"/>
                      <w:vertAlign w:val="baseline"/>
                      <w:lang w:val="en-US" w:eastAsia="zh-CN" w:bidi="ar-SA"/>
                    </w:rPr>
                    <w:t>，室内车位14个，室外车位6个（其中无障得车位1个）。</w:t>
                  </w:r>
                </w:p>
              </w:tc>
              <w:tc>
                <w:tcPr>
                  <w:tcW w:w="77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exact"/>
                <w:jc w:val="center"/>
              </w:trPr>
              <w:tc>
                <w:tcPr>
                  <w:tcW w:w="793" w:type="dxa"/>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rPr>
                  </w:pPr>
                </w:p>
              </w:tc>
              <w:tc>
                <w:tcPr>
                  <w:tcW w:w="832" w:type="dxa"/>
                  <w:gridSpan w:val="2"/>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1155" w:type="dxa"/>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煎药房</w:t>
                  </w:r>
                </w:p>
              </w:tc>
              <w:tc>
                <w:tcPr>
                  <w:tcW w:w="4530" w:type="dxa"/>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设置1间煎药房，位于2F中部，建筑面积6.5m</w:t>
                  </w:r>
                  <w:r>
                    <w:rPr>
                      <w:rFonts w:hint="eastAsia"/>
                      <w:color w:val="auto"/>
                      <w:sz w:val="21"/>
                      <w:szCs w:val="21"/>
                      <w:highlight w:val="none"/>
                      <w:vertAlign w:val="superscript"/>
                      <w:lang w:val="en-US" w:eastAsia="zh-CN"/>
                    </w:rPr>
                    <w:t>2</w:t>
                  </w:r>
                </w:p>
              </w:tc>
              <w:tc>
                <w:tcPr>
                  <w:tcW w:w="77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6" w:hRule="exact"/>
                <w:jc w:val="center"/>
              </w:trPr>
              <w:tc>
                <w:tcPr>
                  <w:tcW w:w="793" w:type="dxa"/>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rPr>
                  </w:pPr>
                </w:p>
              </w:tc>
              <w:tc>
                <w:tcPr>
                  <w:tcW w:w="832" w:type="dxa"/>
                  <w:gridSpan w:val="2"/>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1155" w:type="dxa"/>
                  <w:tcBorders>
                    <w:tl2br w:val="nil"/>
                    <w:tr2bl w:val="nil"/>
                  </w:tcBorders>
                  <w:vAlign w:val="center"/>
                </w:tcPr>
                <w:p>
                  <w:pPr>
                    <w:bidi w:val="0"/>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柴油发电机房</w:t>
                  </w:r>
                </w:p>
              </w:tc>
              <w:tc>
                <w:tcPr>
                  <w:tcW w:w="4530" w:type="dxa"/>
                  <w:tcBorders>
                    <w:tl2br w:val="nil"/>
                    <w:tr2bl w:val="nil"/>
                  </w:tcBorders>
                  <w:vAlign w:val="center"/>
                </w:tcPr>
                <w:p>
                  <w:pPr>
                    <w:bidi w:val="0"/>
                    <w:spacing w:line="240" w:lineRule="auto"/>
                    <w:ind w:left="0" w:leftChars="0" w:firstLine="0" w:firstLineChars="0"/>
                    <w:jc w:val="center"/>
                    <w:rPr>
                      <w:color w:val="auto"/>
                      <w:highlight w:val="none"/>
                    </w:rPr>
                  </w:pPr>
                  <w:r>
                    <w:rPr>
                      <w:rFonts w:hint="eastAsia"/>
                      <w:color w:val="auto"/>
                      <w:sz w:val="21"/>
                      <w:szCs w:val="21"/>
                      <w:highlight w:val="none"/>
                      <w:lang w:val="en-US" w:eastAsia="zh-CN"/>
                    </w:rPr>
                    <w:t>作为备用柴油发电机等设备用房，位于1F设备房，内置一台柴油发电机。内设一处</w:t>
                  </w:r>
                  <w:r>
                    <w:rPr>
                      <w:rFonts w:hint="default"/>
                      <w:color w:val="auto"/>
                      <w:sz w:val="21"/>
                      <w:szCs w:val="21"/>
                      <w:highlight w:val="none"/>
                      <w:lang w:val="en-US" w:eastAsia="zh-CN"/>
                    </w:rPr>
                    <w:t>1m</w:t>
                  </w:r>
                  <w:r>
                    <w:rPr>
                      <w:rFonts w:hint="default"/>
                      <w:color w:val="auto"/>
                      <w:sz w:val="21"/>
                      <w:szCs w:val="21"/>
                      <w:highlight w:val="none"/>
                      <w:vertAlign w:val="superscript"/>
                      <w:lang w:val="en-US" w:eastAsia="zh-CN"/>
                    </w:rPr>
                    <w:t>3</w:t>
                  </w:r>
                  <w:r>
                    <w:rPr>
                      <w:rFonts w:hint="eastAsia"/>
                      <w:color w:val="auto"/>
                      <w:sz w:val="21"/>
                      <w:szCs w:val="21"/>
                      <w:highlight w:val="none"/>
                      <w:lang w:val="en-US" w:eastAsia="zh-CN"/>
                    </w:rPr>
                    <w:t>的储油间，用于储存柴油。</w:t>
                  </w:r>
                </w:p>
                <w:p>
                  <w:pPr>
                    <w:bidi w:val="0"/>
                    <w:spacing w:line="240" w:lineRule="auto"/>
                    <w:ind w:left="0" w:leftChars="0" w:firstLine="0" w:firstLineChars="0"/>
                    <w:jc w:val="center"/>
                    <w:rPr>
                      <w:rFonts w:hint="eastAsia"/>
                      <w:color w:val="auto"/>
                      <w:sz w:val="21"/>
                      <w:szCs w:val="21"/>
                      <w:highlight w:val="none"/>
                      <w:lang w:val="en-US" w:eastAsia="zh-CN"/>
                    </w:rPr>
                  </w:pPr>
                </w:p>
              </w:tc>
              <w:tc>
                <w:tcPr>
                  <w:tcW w:w="77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exact"/>
                <w:jc w:val="center"/>
              </w:trPr>
              <w:tc>
                <w:tcPr>
                  <w:tcW w:w="1625" w:type="dxa"/>
                  <w:gridSpan w:val="3"/>
                  <w:vMerge w:val="restart"/>
                  <w:tcBorders>
                    <w:tl2br w:val="nil"/>
                    <w:tr2bl w:val="nil"/>
                  </w:tcBorders>
                  <w:vAlign w:val="center"/>
                </w:tcPr>
                <w:p>
                  <w:pPr>
                    <w:bidi w:val="0"/>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公用工程</w:t>
                  </w:r>
                </w:p>
              </w:tc>
              <w:tc>
                <w:tcPr>
                  <w:tcW w:w="1155"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给水</w:t>
                  </w:r>
                </w:p>
              </w:tc>
              <w:tc>
                <w:tcPr>
                  <w:tcW w:w="4530" w:type="dxa"/>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由市政供水管网供给，热水由电能热水器供应，医用纯水为检验室内纯水制备设备将水净化后供给</w:t>
                  </w:r>
                </w:p>
              </w:tc>
              <w:tc>
                <w:tcPr>
                  <w:tcW w:w="77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6" w:hRule="exact"/>
                <w:jc w:val="center"/>
              </w:trPr>
              <w:tc>
                <w:tcPr>
                  <w:tcW w:w="1625" w:type="dxa"/>
                  <w:gridSpan w:val="3"/>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1155" w:type="dxa"/>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排水</w:t>
                  </w:r>
                </w:p>
              </w:tc>
              <w:tc>
                <w:tcPr>
                  <w:tcW w:w="4530" w:type="dxa"/>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本工程实行雨污分流排水制，雨水单独收集接入市政雨水管网；污水分别单独收集后进入自建的污水处理站统一处理达标后通过市政污水管网进入羊市镇污水处理厂</w:t>
                  </w:r>
                </w:p>
              </w:tc>
              <w:tc>
                <w:tcPr>
                  <w:tcW w:w="77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6" w:hRule="exact"/>
                <w:jc w:val="center"/>
              </w:trPr>
              <w:tc>
                <w:tcPr>
                  <w:tcW w:w="1625" w:type="dxa"/>
                  <w:gridSpan w:val="3"/>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1155" w:type="dxa"/>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供电</w:t>
                  </w:r>
                </w:p>
              </w:tc>
              <w:tc>
                <w:tcPr>
                  <w:tcW w:w="4530" w:type="dxa"/>
                  <w:tcBorders>
                    <w:tl2br w:val="nil"/>
                    <w:tr2bl w:val="nil"/>
                  </w:tcBorders>
                  <w:vAlign w:val="center"/>
                </w:tcPr>
                <w:p>
                  <w:pPr>
                    <w:bidi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市政电网供电；设</w:t>
                  </w:r>
                  <w:r>
                    <w:rPr>
                      <w:rFonts w:hint="default"/>
                      <w:color w:val="auto"/>
                      <w:sz w:val="21"/>
                      <w:szCs w:val="21"/>
                      <w:highlight w:val="none"/>
                      <w:lang w:val="en-US" w:eastAsia="zh-CN"/>
                    </w:rPr>
                    <w:t>1</w:t>
                  </w:r>
                  <w:r>
                    <w:rPr>
                      <w:rFonts w:hint="eastAsia"/>
                      <w:color w:val="auto"/>
                      <w:sz w:val="21"/>
                      <w:szCs w:val="21"/>
                      <w:highlight w:val="none"/>
                      <w:lang w:val="en-US" w:eastAsia="zh-CN"/>
                    </w:rPr>
                    <w:t xml:space="preserve">台柴油发电机组作为备用电源。柴油发电机常载功率为 </w:t>
                  </w:r>
                  <w:r>
                    <w:rPr>
                      <w:rFonts w:hint="default"/>
                      <w:color w:val="auto"/>
                      <w:sz w:val="21"/>
                      <w:szCs w:val="21"/>
                      <w:highlight w:val="none"/>
                      <w:lang w:val="en-US" w:eastAsia="zh-CN"/>
                    </w:rPr>
                    <w:t>0.4kV/360kW</w:t>
                  </w:r>
                  <w:r>
                    <w:rPr>
                      <w:rFonts w:hint="eastAsia"/>
                      <w:color w:val="auto"/>
                      <w:sz w:val="21"/>
                      <w:szCs w:val="21"/>
                      <w:highlight w:val="none"/>
                      <w:lang w:val="en-US" w:eastAsia="zh-CN"/>
                    </w:rPr>
                    <w:t>风冷柴油发电机组，柴油发电机房位于1F设备用房内。</w:t>
                  </w:r>
                </w:p>
              </w:tc>
              <w:tc>
                <w:tcPr>
                  <w:tcW w:w="77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exact"/>
                <w:jc w:val="center"/>
              </w:trPr>
              <w:tc>
                <w:tcPr>
                  <w:tcW w:w="1625" w:type="dxa"/>
                  <w:gridSpan w:val="3"/>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1155" w:type="dxa"/>
                  <w:tcBorders>
                    <w:tl2br w:val="nil"/>
                    <w:tr2bl w:val="nil"/>
                  </w:tcBorders>
                  <w:vAlign w:val="center"/>
                </w:tcPr>
                <w:p>
                  <w:pPr>
                    <w:bidi w:val="0"/>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供气</w:t>
                  </w:r>
                </w:p>
              </w:tc>
              <w:tc>
                <w:tcPr>
                  <w:tcW w:w="4530" w:type="dxa"/>
                  <w:tcBorders>
                    <w:tl2br w:val="nil"/>
                    <w:tr2bl w:val="nil"/>
                  </w:tcBorders>
                  <w:vAlign w:val="center"/>
                </w:tcPr>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医用气体包括氧气，应用在所有病房、治疗室等，气为</w:t>
                  </w:r>
                  <w:r>
                    <w:rPr>
                      <w:rFonts w:hint="eastAsia"/>
                      <w:color w:val="auto"/>
                      <w:spacing w:val="-11"/>
                      <w:sz w:val="21"/>
                      <w:highlight w:val="none"/>
                      <w:lang w:val="en-US" w:eastAsia="zh-CN"/>
                    </w:rPr>
                    <w:t>供氧系统制备的</w:t>
                  </w:r>
                  <w:r>
                    <w:rPr>
                      <w:rFonts w:hint="eastAsia"/>
                      <w:color w:val="auto"/>
                      <w:sz w:val="21"/>
                      <w:szCs w:val="21"/>
                      <w:highlight w:val="none"/>
                      <w:lang w:val="en-US" w:eastAsia="zh-CN"/>
                    </w:rPr>
                    <w:t>氧气供氧</w:t>
                  </w:r>
                </w:p>
              </w:tc>
              <w:tc>
                <w:tcPr>
                  <w:tcW w:w="77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1" w:hRule="exact"/>
                <w:jc w:val="center"/>
              </w:trPr>
              <w:tc>
                <w:tcPr>
                  <w:tcW w:w="1625" w:type="dxa"/>
                  <w:gridSpan w:val="3"/>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1155" w:type="dxa"/>
                  <w:tcBorders>
                    <w:tl2br w:val="nil"/>
                    <w:tr2bl w:val="nil"/>
                  </w:tcBorders>
                  <w:vAlign w:val="center"/>
                </w:tcPr>
                <w:p>
                  <w:pPr>
                    <w:bidi w:val="0"/>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空调系统</w:t>
                  </w:r>
                </w:p>
              </w:tc>
              <w:tc>
                <w:tcPr>
                  <w:tcW w:w="4530" w:type="dxa"/>
                  <w:tcBorders>
                    <w:tl2br w:val="nil"/>
                    <w:tr2bl w:val="nil"/>
                  </w:tcBorders>
                  <w:vAlign w:val="center"/>
                </w:tcPr>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采用直流变频多联式中央空调系统，不设置冷却塔，空调主机位于楼顶层； </w:t>
                  </w:r>
                  <w:r>
                    <w:rPr>
                      <w:rFonts w:hint="eastAsia" w:cs="Times New Roman"/>
                      <w:color w:val="auto"/>
                      <w:kern w:val="2"/>
                      <w:sz w:val="21"/>
                      <w:szCs w:val="21"/>
                      <w:highlight w:val="none"/>
                      <w:lang w:val="en-US" w:eastAsia="zh-CN" w:bidi="ar-SA"/>
                    </w:rPr>
                    <w:t>末端采用风机盘管加新风系统，用于病房、办公室等区域换气，设于每层空调机房内。手术室设置单独的空调净化系统。</w:t>
                  </w:r>
                </w:p>
              </w:tc>
              <w:tc>
                <w:tcPr>
                  <w:tcW w:w="77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exact"/>
                <w:jc w:val="center"/>
              </w:trPr>
              <w:tc>
                <w:tcPr>
                  <w:tcW w:w="1625" w:type="dxa"/>
                  <w:gridSpan w:val="3"/>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1155" w:type="dxa"/>
                  <w:tcBorders>
                    <w:tl2br w:val="nil"/>
                    <w:tr2bl w:val="nil"/>
                  </w:tcBorders>
                  <w:vAlign w:val="center"/>
                </w:tcPr>
                <w:p>
                  <w:pPr>
                    <w:bidi w:val="0"/>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消毒系统</w:t>
                  </w:r>
                </w:p>
              </w:tc>
              <w:tc>
                <w:tcPr>
                  <w:tcW w:w="4530" w:type="dxa"/>
                  <w:tcBorders>
                    <w:tl2br w:val="nil"/>
                    <w:tr2bl w:val="nil"/>
                  </w:tcBorders>
                  <w:vAlign w:val="center"/>
                </w:tcPr>
                <w:p>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室内空气采用空气净化加紫外线灯管消毒，地面和墙面采用消毒液消毒；医院地面等采用消毒液消毒、手术室采用臭氧消毒。</w:t>
                  </w:r>
                </w:p>
              </w:tc>
              <w:tc>
                <w:tcPr>
                  <w:tcW w:w="77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3" w:hRule="exact"/>
                <w:jc w:val="center"/>
              </w:trPr>
              <w:tc>
                <w:tcPr>
                  <w:tcW w:w="812" w:type="dxa"/>
                  <w:gridSpan w:val="2"/>
                  <w:vMerge w:val="restart"/>
                  <w:tcBorders>
                    <w:tl2br w:val="nil"/>
                    <w:tr2bl w:val="nil"/>
                  </w:tcBorders>
                  <w:vAlign w:val="center"/>
                </w:tcPr>
                <w:p>
                  <w:pPr>
                    <w:bidi w:val="0"/>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环保工程</w:t>
                  </w:r>
                </w:p>
              </w:tc>
              <w:tc>
                <w:tcPr>
                  <w:tcW w:w="1968" w:type="dxa"/>
                  <w:gridSpan w:val="2"/>
                  <w:tcBorders>
                    <w:tl2br w:val="nil"/>
                    <w:tr2bl w:val="nil"/>
                  </w:tcBorders>
                  <w:vAlign w:val="center"/>
                </w:tcPr>
                <w:p>
                  <w:pPr>
                    <w:bidi w:val="0"/>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废水</w:t>
                  </w:r>
                </w:p>
              </w:tc>
              <w:tc>
                <w:tcPr>
                  <w:tcW w:w="4530" w:type="dxa"/>
                  <w:tcBorders>
                    <w:tl2br w:val="nil"/>
                    <w:tr2bl w:val="nil"/>
                  </w:tcBorders>
                  <w:vAlign w:val="center"/>
                </w:tcPr>
                <w:p>
                  <w:pPr>
                    <w:spacing w:line="240" w:lineRule="auto"/>
                    <w:ind w:left="0" w:leftChars="0" w:firstLine="0" w:firstLineChars="0"/>
                    <w:jc w:val="left"/>
                    <w:rPr>
                      <w:rFonts w:hint="eastAsia"/>
                      <w:color w:val="auto"/>
                      <w:sz w:val="21"/>
                      <w:szCs w:val="21"/>
                      <w:highlight w:val="none"/>
                      <w:lang w:val="en-US" w:eastAsia="zh-CN"/>
                    </w:rPr>
                  </w:pPr>
                  <w:r>
                    <w:rPr>
                      <w:rFonts w:hint="eastAsia"/>
                      <w:color w:val="auto"/>
                      <w:sz w:val="21"/>
                      <w:szCs w:val="21"/>
                      <w:highlight w:val="none"/>
                      <w:lang w:val="en-US" w:eastAsia="zh-CN"/>
                    </w:rPr>
                    <w:t>自建污水处理站，处理规模不小于36m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 xml:space="preserve"> /d，处理工艺为生化</w:t>
                  </w:r>
                  <w:r>
                    <w:rPr>
                      <w:rFonts w:hint="default"/>
                      <w:color w:val="auto"/>
                      <w:sz w:val="21"/>
                      <w:szCs w:val="21"/>
                      <w:highlight w:val="none"/>
                      <w:lang w:val="en-US" w:eastAsia="zh-CN"/>
                    </w:rPr>
                    <w:t>+</w:t>
                  </w:r>
                  <w:r>
                    <w:rPr>
                      <w:rFonts w:hint="eastAsia"/>
                      <w:color w:val="auto"/>
                      <w:sz w:val="21"/>
                      <w:szCs w:val="21"/>
                      <w:highlight w:val="none"/>
                      <w:lang w:val="en-US" w:eastAsia="zh-CN"/>
                    </w:rPr>
                    <w:t>消毒，全院医疗废水、生活污水处理达《医疗机构水污染物排放标准》（</w:t>
                  </w:r>
                  <w:r>
                    <w:rPr>
                      <w:rFonts w:hint="default"/>
                      <w:color w:val="auto"/>
                      <w:sz w:val="21"/>
                      <w:szCs w:val="21"/>
                      <w:highlight w:val="none"/>
                      <w:lang w:val="en-US" w:eastAsia="zh-CN"/>
                    </w:rPr>
                    <w:t>GB18466-2005</w:t>
                  </w:r>
                  <w:r>
                    <w:rPr>
                      <w:rFonts w:hint="eastAsia"/>
                      <w:color w:val="auto"/>
                      <w:sz w:val="21"/>
                      <w:szCs w:val="21"/>
                      <w:highlight w:val="none"/>
                      <w:lang w:val="en-US" w:eastAsia="zh-CN"/>
                    </w:rPr>
                    <w:t>）表</w:t>
                  </w:r>
                  <w:r>
                    <w:rPr>
                      <w:rFonts w:hint="default"/>
                      <w:color w:val="auto"/>
                      <w:sz w:val="21"/>
                      <w:szCs w:val="21"/>
                      <w:highlight w:val="none"/>
                      <w:lang w:val="en-US" w:eastAsia="zh-CN"/>
                    </w:rPr>
                    <w:t>2</w:t>
                  </w:r>
                  <w:r>
                    <w:rPr>
                      <w:rFonts w:hint="eastAsia"/>
                      <w:color w:val="auto"/>
                      <w:sz w:val="21"/>
                      <w:szCs w:val="21"/>
                      <w:highlight w:val="none"/>
                      <w:lang w:val="en-US" w:eastAsia="zh-CN"/>
                    </w:rPr>
                    <w:t>中的预处理标准后排入市政污水管网，最终进入羊市镇污水处理厂处理；其中发热门诊和肠道门诊废水单独收集，并经预消毒处理后再排入污水处理站处理。医院特殊废液单独收集交由有相应资质的单位收运、处置。</w:t>
                  </w:r>
                </w:p>
                <w:p>
                  <w:pPr>
                    <w:bidi w:val="0"/>
                    <w:spacing w:line="240" w:lineRule="auto"/>
                    <w:ind w:left="0" w:leftChars="0" w:firstLine="0" w:firstLineChars="0"/>
                    <w:jc w:val="center"/>
                    <w:rPr>
                      <w:rFonts w:hint="eastAsia"/>
                      <w:color w:val="auto"/>
                      <w:sz w:val="21"/>
                      <w:szCs w:val="21"/>
                      <w:highlight w:val="none"/>
                      <w:lang w:val="en-US" w:eastAsia="zh-CN"/>
                    </w:rPr>
                  </w:pPr>
                </w:p>
              </w:tc>
              <w:tc>
                <w:tcPr>
                  <w:tcW w:w="77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6" w:hRule="exact"/>
                <w:jc w:val="center"/>
              </w:trPr>
              <w:tc>
                <w:tcPr>
                  <w:tcW w:w="812" w:type="dxa"/>
                  <w:gridSpan w:val="2"/>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1968" w:type="dxa"/>
                  <w:gridSpan w:val="2"/>
                  <w:vMerge w:val="restart"/>
                  <w:tcBorders>
                    <w:tl2br w:val="nil"/>
                    <w:tr2bl w:val="nil"/>
                  </w:tcBorders>
                  <w:vAlign w:val="center"/>
                </w:tcPr>
                <w:p>
                  <w:pPr>
                    <w:bidi w:val="0"/>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废气</w:t>
                  </w:r>
                </w:p>
              </w:tc>
              <w:tc>
                <w:tcPr>
                  <w:tcW w:w="4530" w:type="dxa"/>
                  <w:tcBorders>
                    <w:tl2br w:val="nil"/>
                    <w:tr2bl w:val="nil"/>
                  </w:tcBorders>
                  <w:vAlign w:val="center"/>
                </w:tcPr>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污水处理站臭气：臭气管道收集后经活性炭吸附除臭除味处理，由</w:t>
                  </w:r>
                  <w:r>
                    <w:rPr>
                      <w:rFonts w:hint="default"/>
                      <w:color w:val="auto"/>
                      <w:sz w:val="21"/>
                      <w:szCs w:val="21"/>
                      <w:highlight w:val="none"/>
                      <w:lang w:val="en-US" w:eastAsia="zh-CN"/>
                    </w:rPr>
                    <w:t>2000m</w:t>
                  </w:r>
                  <w:r>
                    <w:rPr>
                      <w:rFonts w:hint="default"/>
                      <w:color w:val="auto"/>
                      <w:sz w:val="21"/>
                      <w:szCs w:val="21"/>
                      <w:highlight w:val="none"/>
                      <w:vertAlign w:val="superscript"/>
                      <w:lang w:val="en-US" w:eastAsia="zh-CN"/>
                    </w:rPr>
                    <w:t>3</w:t>
                  </w:r>
                  <w:r>
                    <w:rPr>
                      <w:rFonts w:hint="default"/>
                      <w:color w:val="auto"/>
                      <w:sz w:val="21"/>
                      <w:szCs w:val="21"/>
                      <w:highlight w:val="none"/>
                      <w:lang w:val="en-US" w:eastAsia="zh-CN"/>
                    </w:rPr>
                    <w:t xml:space="preserve"> /h </w:t>
                  </w:r>
                  <w:r>
                    <w:rPr>
                      <w:rFonts w:hint="eastAsia"/>
                      <w:color w:val="auto"/>
                      <w:sz w:val="21"/>
                      <w:szCs w:val="21"/>
                      <w:highlight w:val="none"/>
                      <w:lang w:val="en-US" w:eastAsia="zh-CN"/>
                    </w:rPr>
                    <w:t>风机引至医疗废水处理站污</w:t>
                  </w:r>
                  <w:r>
                    <w:rPr>
                      <w:rFonts w:hint="eastAsia" w:ascii="宋体" w:hAnsi="宋体" w:eastAsia="宋体" w:cs="宋体"/>
                      <w:color w:val="auto"/>
                      <w:kern w:val="0"/>
                      <w:sz w:val="21"/>
                      <w:szCs w:val="21"/>
                      <w:highlight w:val="none"/>
                      <w:lang w:val="en-US" w:eastAsia="zh-CN" w:bidi="ar"/>
                    </w:rPr>
                    <w:t>水处理站业务用房屋顶，</w:t>
                  </w:r>
                  <w:r>
                    <w:rPr>
                      <w:rFonts w:hint="default" w:ascii="Times New Roman" w:hAnsi="Times New Roman" w:eastAsia="宋体" w:cs="Times New Roman"/>
                      <w:color w:val="auto"/>
                      <w:kern w:val="0"/>
                      <w:sz w:val="21"/>
                      <w:szCs w:val="21"/>
                      <w:highlight w:val="none"/>
                      <w:lang w:val="en-US" w:eastAsia="zh-CN" w:bidi="ar"/>
                    </w:rPr>
                    <w:t>15</w:t>
                  </w:r>
                  <w:r>
                    <w:rPr>
                      <w:rFonts w:hint="eastAsia" w:ascii="宋体" w:hAnsi="宋体" w:eastAsia="宋体" w:cs="宋体"/>
                      <w:color w:val="auto"/>
                      <w:kern w:val="0"/>
                      <w:sz w:val="21"/>
                      <w:szCs w:val="21"/>
                      <w:highlight w:val="none"/>
                      <w:lang w:val="en-US" w:eastAsia="zh-CN" w:bidi="ar"/>
                    </w:rPr>
                    <w:t>米高排气筒有组织排放。</w:t>
                  </w:r>
                </w:p>
              </w:tc>
              <w:tc>
                <w:tcPr>
                  <w:tcW w:w="77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6" w:hRule="exact"/>
                <w:jc w:val="center"/>
              </w:trPr>
              <w:tc>
                <w:tcPr>
                  <w:tcW w:w="812" w:type="dxa"/>
                  <w:gridSpan w:val="2"/>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1968" w:type="dxa"/>
                  <w:gridSpan w:val="2"/>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4530" w:type="dxa"/>
                  <w:tcBorders>
                    <w:tl2br w:val="nil"/>
                    <w:tr2bl w:val="nil"/>
                  </w:tcBorders>
                  <w:vAlign w:val="center"/>
                </w:tcPr>
                <w:p>
                  <w:pPr>
                    <w:spacing w:line="240" w:lineRule="auto"/>
                    <w:ind w:left="0" w:leftChars="0" w:firstLine="0" w:firstLineChars="0"/>
                    <w:jc w:val="center"/>
                    <w:rPr>
                      <w:color w:val="auto"/>
                      <w:highlight w:val="none"/>
                    </w:rPr>
                  </w:pPr>
                  <w:r>
                    <w:rPr>
                      <w:rFonts w:hint="eastAsia"/>
                      <w:color w:val="auto"/>
                      <w:sz w:val="21"/>
                      <w:szCs w:val="21"/>
                      <w:highlight w:val="none"/>
                      <w:lang w:val="en-US" w:eastAsia="zh-CN"/>
                    </w:rPr>
                    <w:t>医疗废物暂存间臭气：臭气集中收集后经活性炭吸附除臭除味处理，引风机引至该医废暂存间屋顶排放。</w:t>
                  </w:r>
                </w:p>
                <w:p>
                  <w:pPr>
                    <w:bidi w:val="0"/>
                    <w:spacing w:line="240" w:lineRule="auto"/>
                    <w:ind w:left="0" w:leftChars="0" w:firstLine="0" w:firstLineChars="0"/>
                    <w:jc w:val="center"/>
                    <w:rPr>
                      <w:rFonts w:hint="eastAsia"/>
                      <w:color w:val="auto"/>
                      <w:sz w:val="21"/>
                      <w:szCs w:val="21"/>
                      <w:highlight w:val="none"/>
                      <w:lang w:val="en-US" w:eastAsia="zh-CN"/>
                    </w:rPr>
                  </w:pPr>
                </w:p>
              </w:tc>
              <w:tc>
                <w:tcPr>
                  <w:tcW w:w="77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exact"/>
                <w:jc w:val="center"/>
              </w:trPr>
              <w:tc>
                <w:tcPr>
                  <w:tcW w:w="812" w:type="dxa"/>
                  <w:gridSpan w:val="2"/>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1968" w:type="dxa"/>
                  <w:gridSpan w:val="2"/>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4530" w:type="dxa"/>
                  <w:tcBorders>
                    <w:tl2br w:val="nil"/>
                    <w:tr2bl w:val="nil"/>
                  </w:tcBorders>
                  <w:vAlign w:val="center"/>
                </w:tcPr>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备用发电机废气：由专用烟道综合楼屋顶排放。</w:t>
                  </w:r>
                </w:p>
              </w:tc>
              <w:tc>
                <w:tcPr>
                  <w:tcW w:w="77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exact"/>
                <w:jc w:val="center"/>
              </w:trPr>
              <w:tc>
                <w:tcPr>
                  <w:tcW w:w="812" w:type="dxa"/>
                  <w:gridSpan w:val="2"/>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1968" w:type="dxa"/>
                  <w:gridSpan w:val="2"/>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4530" w:type="dxa"/>
                  <w:tcBorders>
                    <w:tl2br w:val="nil"/>
                    <w:tr2bl w:val="nil"/>
                  </w:tcBorders>
                  <w:vAlign w:val="center"/>
                </w:tcPr>
                <w:p>
                  <w:pPr>
                    <w:keepNext w:val="0"/>
                    <w:keepLines w:val="0"/>
                    <w:widowControl/>
                    <w:suppressLineNumbers w:val="0"/>
                    <w:jc w:val="left"/>
                    <w:rPr>
                      <w:rFonts w:hint="eastAsia"/>
                      <w:color w:val="auto"/>
                      <w:sz w:val="21"/>
                      <w:szCs w:val="21"/>
                      <w:highlight w:val="none"/>
                      <w:lang w:val="en-US" w:eastAsia="zh-CN"/>
                    </w:rPr>
                  </w:pPr>
                  <w:r>
                    <w:rPr>
                      <w:rFonts w:hint="eastAsia"/>
                      <w:color w:val="auto"/>
                      <w:sz w:val="21"/>
                      <w:szCs w:val="21"/>
                      <w:highlight w:val="none"/>
                      <w:lang w:val="en-US" w:eastAsia="zh-CN"/>
                    </w:rPr>
                    <w:t>煎药废气：由专用烟道综合楼屋顶排放。</w:t>
                  </w:r>
                </w:p>
              </w:tc>
              <w:tc>
                <w:tcPr>
                  <w:tcW w:w="77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exact"/>
                <w:jc w:val="center"/>
              </w:trPr>
              <w:tc>
                <w:tcPr>
                  <w:tcW w:w="812" w:type="dxa"/>
                  <w:gridSpan w:val="2"/>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1968" w:type="dxa"/>
                  <w:gridSpan w:val="2"/>
                  <w:tcBorders>
                    <w:tl2br w:val="nil"/>
                    <w:tr2bl w:val="nil"/>
                  </w:tcBorders>
                  <w:vAlign w:val="center"/>
                </w:tcPr>
                <w:p>
                  <w:pPr>
                    <w:bidi w:val="0"/>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噪声</w:t>
                  </w:r>
                </w:p>
              </w:tc>
              <w:tc>
                <w:tcPr>
                  <w:tcW w:w="4530" w:type="dxa"/>
                  <w:tcBorders>
                    <w:tl2br w:val="nil"/>
                    <w:tr2bl w:val="nil"/>
                  </w:tcBorders>
                  <w:vAlign w:val="center"/>
                </w:tcPr>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基础减振、隔声、合理布局等。</w:t>
                  </w:r>
                </w:p>
              </w:tc>
              <w:tc>
                <w:tcPr>
                  <w:tcW w:w="77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6" w:hRule="exact"/>
                <w:jc w:val="center"/>
              </w:trPr>
              <w:tc>
                <w:tcPr>
                  <w:tcW w:w="812" w:type="dxa"/>
                  <w:gridSpan w:val="2"/>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813" w:type="dxa"/>
                  <w:vMerge w:val="restart"/>
                  <w:tcBorders>
                    <w:tl2br w:val="nil"/>
                    <w:tr2bl w:val="nil"/>
                  </w:tcBorders>
                  <w:vAlign w:val="center"/>
                </w:tcPr>
                <w:p>
                  <w:pPr>
                    <w:bidi w:val="0"/>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固废</w:t>
                  </w:r>
                </w:p>
              </w:tc>
              <w:tc>
                <w:tcPr>
                  <w:tcW w:w="1155" w:type="dxa"/>
                  <w:tcBorders>
                    <w:tl2br w:val="nil"/>
                    <w:tr2bl w:val="nil"/>
                  </w:tcBorders>
                  <w:vAlign w:val="center"/>
                </w:tcPr>
                <w:p>
                  <w:pPr>
                    <w:bidi w:val="0"/>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医疗废物</w:t>
                  </w:r>
                </w:p>
              </w:tc>
              <w:tc>
                <w:tcPr>
                  <w:tcW w:w="4530" w:type="dxa"/>
                  <w:tcBorders>
                    <w:tl2br w:val="nil"/>
                    <w:tr2bl w:val="nil"/>
                  </w:tcBorders>
                  <w:vAlign w:val="center"/>
                </w:tcPr>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每个诊室、病房设医疗废物收集桶，并采用黄色塑料袋盛装，暂存在医疗废物暂存间内，定期交于有资质的单位收运、处置；肠道门诊、发热门诊医疗废物先进行消毒灭菌处理后放置于医疗废物暂存间，统一交资质单位收运、处置。医疗废物暂存间设置在一层南侧，面积约20</w:t>
                  </w:r>
                  <w:r>
                    <w:rPr>
                      <w:rFonts w:hint="default"/>
                      <w:color w:val="auto"/>
                      <w:sz w:val="21"/>
                      <w:szCs w:val="21"/>
                      <w:highlight w:val="none"/>
                      <w:lang w:val="en-US" w:eastAsia="zh-CN"/>
                    </w:rPr>
                    <w:t>m</w:t>
                  </w:r>
                  <w:r>
                    <w:rPr>
                      <w:rFonts w:hint="default"/>
                      <w:color w:val="auto"/>
                      <w:sz w:val="21"/>
                      <w:szCs w:val="21"/>
                      <w:highlight w:val="none"/>
                      <w:vertAlign w:val="superscript"/>
                      <w:lang w:val="en-US" w:eastAsia="zh-CN"/>
                    </w:rPr>
                    <w:t>2</w:t>
                  </w:r>
                  <w:r>
                    <w:rPr>
                      <w:rFonts w:hint="eastAsia"/>
                      <w:color w:val="auto"/>
                      <w:sz w:val="21"/>
                      <w:szCs w:val="21"/>
                      <w:highlight w:val="none"/>
                      <w:lang w:val="en-US" w:eastAsia="zh-CN"/>
                    </w:rPr>
                    <w:t>，按相关规范要求进行设置，并定期消毒处理。</w:t>
                  </w:r>
                </w:p>
              </w:tc>
              <w:tc>
                <w:tcPr>
                  <w:tcW w:w="77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exact"/>
                <w:jc w:val="center"/>
              </w:trPr>
              <w:tc>
                <w:tcPr>
                  <w:tcW w:w="812" w:type="dxa"/>
                  <w:gridSpan w:val="2"/>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813" w:type="dxa"/>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1155" w:type="dxa"/>
                  <w:tcBorders>
                    <w:tl2br w:val="nil"/>
                    <w:tr2bl w:val="nil"/>
                  </w:tcBorders>
                  <w:vAlign w:val="center"/>
                </w:tcPr>
                <w:p>
                  <w:pPr>
                    <w:bidi w:val="0"/>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中药药渣</w:t>
                  </w:r>
                </w:p>
              </w:tc>
              <w:tc>
                <w:tcPr>
                  <w:tcW w:w="4530" w:type="dxa"/>
                  <w:tcBorders>
                    <w:tl2br w:val="nil"/>
                    <w:tr2bl w:val="nil"/>
                  </w:tcBorders>
                  <w:vAlign w:val="center"/>
                </w:tcPr>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单独密闭收集，与生活垃圾一并交环卫部门统一收运至城市垃圾填埋场处置</w:t>
                  </w:r>
                </w:p>
              </w:tc>
              <w:tc>
                <w:tcPr>
                  <w:tcW w:w="77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1" w:hRule="exact"/>
                <w:jc w:val="center"/>
              </w:trPr>
              <w:tc>
                <w:tcPr>
                  <w:tcW w:w="812" w:type="dxa"/>
                  <w:gridSpan w:val="2"/>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813" w:type="dxa"/>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1155" w:type="dxa"/>
                  <w:tcBorders>
                    <w:tl2br w:val="nil"/>
                    <w:tr2bl w:val="nil"/>
                  </w:tcBorders>
                  <w:vAlign w:val="center"/>
                </w:tcPr>
                <w:p>
                  <w:pPr>
                    <w:bidi w:val="0"/>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生活垃圾</w:t>
                  </w:r>
                </w:p>
              </w:tc>
              <w:tc>
                <w:tcPr>
                  <w:tcW w:w="4530" w:type="dxa"/>
                  <w:tcBorders>
                    <w:tl2br w:val="nil"/>
                    <w:tr2bl w:val="nil"/>
                  </w:tcBorders>
                  <w:vAlign w:val="center"/>
                </w:tcPr>
                <w:p>
                  <w:pPr>
                    <w:spacing w:line="240" w:lineRule="auto"/>
                    <w:ind w:left="0" w:leftChars="0" w:firstLine="0" w:firstLineChars="0"/>
                    <w:jc w:val="center"/>
                    <w:rPr>
                      <w:color w:val="auto"/>
                      <w:highlight w:val="none"/>
                    </w:rPr>
                  </w:pPr>
                  <w:r>
                    <w:rPr>
                      <w:rFonts w:hint="eastAsia"/>
                      <w:color w:val="auto"/>
                      <w:sz w:val="21"/>
                      <w:szCs w:val="21"/>
                      <w:highlight w:val="none"/>
                      <w:lang w:val="en-US" w:eastAsia="zh-CN"/>
                    </w:rPr>
                    <w:t>每个房间设垃圾桶，并采用黑色塑料袋盛装，经统一收集后定期由环卫部门收运、处置</w:t>
                  </w:r>
                </w:p>
                <w:p>
                  <w:pPr>
                    <w:bidi w:val="0"/>
                    <w:spacing w:line="240" w:lineRule="auto"/>
                    <w:ind w:left="0" w:leftChars="0" w:firstLine="0" w:firstLineChars="0"/>
                    <w:jc w:val="center"/>
                    <w:rPr>
                      <w:rFonts w:hint="eastAsia"/>
                      <w:color w:val="auto"/>
                      <w:sz w:val="21"/>
                      <w:szCs w:val="21"/>
                      <w:highlight w:val="none"/>
                      <w:lang w:val="en-US" w:eastAsia="zh-CN"/>
                    </w:rPr>
                  </w:pPr>
                </w:p>
              </w:tc>
              <w:tc>
                <w:tcPr>
                  <w:tcW w:w="77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exact"/>
                <w:jc w:val="center"/>
              </w:trPr>
              <w:tc>
                <w:tcPr>
                  <w:tcW w:w="812" w:type="dxa"/>
                  <w:gridSpan w:val="2"/>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813" w:type="dxa"/>
                  <w:vMerge w:val="continue"/>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1155" w:type="dxa"/>
                  <w:tcBorders>
                    <w:tl2br w:val="nil"/>
                    <w:tr2bl w:val="nil"/>
                  </w:tcBorders>
                  <w:vAlign w:val="center"/>
                </w:tcPr>
                <w:p>
                  <w:pPr>
                    <w:bidi w:val="0"/>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其他</w:t>
                  </w:r>
                </w:p>
              </w:tc>
              <w:tc>
                <w:tcPr>
                  <w:tcW w:w="4530" w:type="dxa"/>
                  <w:tcBorders>
                    <w:tl2br w:val="nil"/>
                    <w:tr2bl w:val="nil"/>
                  </w:tcBorders>
                  <w:vAlign w:val="center"/>
                </w:tcPr>
                <w:p>
                  <w:pPr>
                    <w:spacing w:line="240" w:lineRule="auto"/>
                    <w:ind w:left="0" w:leftChars="0" w:firstLine="0" w:firstLineChars="0"/>
                    <w:jc w:val="center"/>
                    <w:rPr>
                      <w:color w:val="auto"/>
                      <w:highlight w:val="none"/>
                    </w:rPr>
                  </w:pPr>
                  <w:r>
                    <w:rPr>
                      <w:rFonts w:hint="eastAsia"/>
                      <w:color w:val="auto"/>
                      <w:sz w:val="21"/>
                      <w:szCs w:val="21"/>
                      <w:highlight w:val="none"/>
                      <w:lang w:val="en-US" w:eastAsia="zh-CN"/>
                    </w:rPr>
                    <w:t>废水处理产生的格栅废渣和定期清掏的污泥，均先进行石灰消毒后可交市政环卫部门统一处置；废活性炭作危废交资质单位处</w:t>
                  </w:r>
                  <w:r>
                    <w:rPr>
                      <w:rFonts w:hint="eastAsia" w:ascii="宋体" w:hAnsi="宋体" w:eastAsia="宋体" w:cs="宋体"/>
                      <w:color w:val="auto"/>
                      <w:kern w:val="0"/>
                      <w:sz w:val="18"/>
                      <w:szCs w:val="18"/>
                      <w:highlight w:val="none"/>
                      <w:lang w:val="en-US" w:eastAsia="zh-CN" w:bidi="ar"/>
                    </w:rPr>
                    <w:t>置。</w:t>
                  </w:r>
                </w:p>
                <w:p>
                  <w:pPr>
                    <w:bidi w:val="0"/>
                    <w:spacing w:line="240" w:lineRule="auto"/>
                    <w:ind w:left="0" w:leftChars="0" w:firstLine="0" w:firstLineChars="0"/>
                    <w:jc w:val="center"/>
                    <w:rPr>
                      <w:rFonts w:hint="eastAsia"/>
                      <w:color w:val="auto"/>
                      <w:sz w:val="21"/>
                      <w:szCs w:val="21"/>
                      <w:highlight w:val="none"/>
                      <w:lang w:val="en-US" w:eastAsia="zh-CN"/>
                    </w:rPr>
                  </w:pPr>
                </w:p>
              </w:tc>
              <w:tc>
                <w:tcPr>
                  <w:tcW w:w="77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6" w:hRule="exact"/>
                <w:jc w:val="center"/>
              </w:trPr>
              <w:tc>
                <w:tcPr>
                  <w:tcW w:w="812" w:type="dxa"/>
                  <w:gridSpan w:val="2"/>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813" w:type="dxa"/>
                  <w:tcBorders>
                    <w:tl2br w:val="nil"/>
                    <w:tr2bl w:val="nil"/>
                  </w:tcBorders>
                  <w:vAlign w:val="center"/>
                </w:tcPr>
                <w:p>
                  <w:pPr>
                    <w:bidi w:val="0"/>
                    <w:spacing w:line="240" w:lineRule="auto"/>
                    <w:ind w:left="0" w:leftChars="0" w:firstLine="0" w:firstLineChars="0"/>
                    <w:jc w:val="center"/>
                    <w:rPr>
                      <w:rFonts w:hint="eastAsia"/>
                      <w:color w:val="auto"/>
                      <w:sz w:val="21"/>
                      <w:szCs w:val="21"/>
                      <w:highlight w:val="none"/>
                      <w:lang w:val="en-US" w:eastAsia="zh-CN"/>
                    </w:rPr>
                  </w:pPr>
                </w:p>
              </w:tc>
              <w:tc>
                <w:tcPr>
                  <w:tcW w:w="1155" w:type="dxa"/>
                  <w:tcBorders>
                    <w:tl2br w:val="nil"/>
                    <w:tr2bl w:val="nil"/>
                  </w:tcBorders>
                  <w:vAlign w:val="center"/>
                </w:tcPr>
                <w:p>
                  <w:pPr>
                    <w:bidi w:val="0"/>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危险废物</w:t>
                  </w:r>
                </w:p>
              </w:tc>
              <w:tc>
                <w:tcPr>
                  <w:tcW w:w="4530" w:type="dxa"/>
                  <w:tcBorders>
                    <w:tl2br w:val="nil"/>
                    <w:tr2bl w:val="nil"/>
                  </w:tcBorders>
                  <w:vAlign w:val="center"/>
                </w:tcPr>
                <w:p>
                  <w:pPr>
                    <w:bidi w:val="0"/>
                    <w:spacing w:line="240" w:lineRule="auto"/>
                    <w:ind w:left="0" w:lef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设置一个危险废物暂存区，位于医疗废物暂存区旁，建筑面积20</w:t>
                  </w:r>
                  <w:r>
                    <w:rPr>
                      <w:rFonts w:hint="default"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，应采取“六防”（防风、防晒、防雨、防漏、防渗、防腐）措施。</w:t>
                  </w:r>
                </w:p>
                <w:p>
                  <w:pPr>
                    <w:pStyle w:val="41"/>
                    <w:rPr>
                      <w:rFonts w:hint="eastAsia" w:ascii="Times New Roman" w:hAnsi="Times New Roman" w:eastAsia="宋体" w:cs="Times New Roman"/>
                      <w:color w:val="auto"/>
                      <w:sz w:val="21"/>
                      <w:szCs w:val="21"/>
                      <w:highlight w:val="none"/>
                      <w:lang w:val="en-US" w:eastAsia="zh-CN"/>
                    </w:rPr>
                  </w:pPr>
                </w:p>
                <w:p>
                  <w:pPr>
                    <w:pStyle w:val="41"/>
                    <w:rPr>
                      <w:rFonts w:hint="eastAsia" w:ascii="Times New Roman" w:hAnsi="Times New Roman" w:eastAsia="宋体" w:cs="Times New Roman"/>
                      <w:color w:val="auto"/>
                      <w:sz w:val="21"/>
                      <w:szCs w:val="21"/>
                      <w:highlight w:val="none"/>
                      <w:lang w:val="en-US" w:eastAsia="zh-CN"/>
                    </w:rPr>
                  </w:pPr>
                </w:p>
              </w:tc>
              <w:tc>
                <w:tcPr>
                  <w:tcW w:w="77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exact"/>
                <w:jc w:val="center"/>
              </w:trPr>
              <w:tc>
                <w:tcPr>
                  <w:tcW w:w="1625" w:type="dxa"/>
                  <w:gridSpan w:val="3"/>
                  <w:tcBorders>
                    <w:tl2br w:val="nil"/>
                    <w:tr2bl w:val="nil"/>
                  </w:tcBorders>
                  <w:vAlign w:val="center"/>
                </w:tcPr>
                <w:p>
                  <w:pPr>
                    <w:bidi w:val="0"/>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环境风险</w:t>
                  </w:r>
                </w:p>
              </w:tc>
              <w:tc>
                <w:tcPr>
                  <w:tcW w:w="1155" w:type="dxa"/>
                  <w:tcBorders>
                    <w:tl2br w:val="nil"/>
                    <w:tr2bl w:val="nil"/>
                  </w:tcBorders>
                  <w:vAlign w:val="center"/>
                </w:tcPr>
                <w:p>
                  <w:pPr>
                    <w:bidi w:val="0"/>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事故应急池</w:t>
                  </w:r>
                </w:p>
              </w:tc>
              <w:tc>
                <w:tcPr>
                  <w:tcW w:w="4530" w:type="dxa"/>
                  <w:tcBorders>
                    <w:tl2br w:val="nil"/>
                    <w:tr2bl w:val="nil"/>
                  </w:tcBorders>
                  <w:vAlign w:val="center"/>
                </w:tcPr>
                <w:p>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设置不小于7</w:t>
                  </w:r>
                  <w:r>
                    <w:rPr>
                      <w:rFonts w:hint="default"/>
                      <w:color w:val="auto"/>
                      <w:sz w:val="21"/>
                      <w:szCs w:val="21"/>
                      <w:highlight w:val="none"/>
                      <w:lang w:val="en-US" w:eastAsia="zh-CN"/>
                    </w:rPr>
                    <w:t>m</w:t>
                  </w:r>
                  <w:r>
                    <w:rPr>
                      <w:rFonts w:hint="default"/>
                      <w:color w:val="auto"/>
                      <w:sz w:val="21"/>
                      <w:szCs w:val="21"/>
                      <w:highlight w:val="none"/>
                      <w:vertAlign w:val="superscript"/>
                      <w:lang w:val="en-US" w:eastAsia="zh-CN"/>
                    </w:rPr>
                    <w:t>3</w:t>
                  </w:r>
                  <w:r>
                    <w:rPr>
                      <w:rFonts w:hint="eastAsia"/>
                      <w:color w:val="auto"/>
                      <w:sz w:val="21"/>
                      <w:szCs w:val="21"/>
                      <w:highlight w:val="none"/>
                      <w:lang w:val="en-US" w:eastAsia="zh-CN"/>
                    </w:rPr>
                    <w:t>的事故池，污水处理站、污水处理站加药间、</w:t>
                  </w:r>
                  <w:r>
                    <w:rPr>
                      <w:rFonts w:hint="eastAsia" w:ascii="宋体" w:hAnsi="宋体" w:eastAsia="宋体" w:cs="宋体"/>
                      <w:color w:val="auto"/>
                      <w:kern w:val="0"/>
                      <w:sz w:val="21"/>
                      <w:szCs w:val="21"/>
                      <w:highlight w:val="none"/>
                      <w:lang w:val="en-US" w:eastAsia="zh-CN" w:bidi="ar"/>
                    </w:rPr>
                    <w:t>医疗废物暂存间重点防渗。</w:t>
                  </w:r>
                  <w:r>
                    <w:rPr>
                      <w:rFonts w:hint="eastAsia" w:ascii="宋体" w:hAnsi="宋体" w:cs="宋体"/>
                      <w:color w:val="auto"/>
                      <w:kern w:val="0"/>
                      <w:sz w:val="21"/>
                      <w:szCs w:val="21"/>
                      <w:highlight w:val="none"/>
                      <w:lang w:val="en-US" w:eastAsia="zh-CN" w:bidi="ar"/>
                    </w:rPr>
                    <w:t>柴油发电机房设置围堰。</w:t>
                  </w:r>
                </w:p>
              </w:tc>
              <w:tc>
                <w:tcPr>
                  <w:tcW w:w="770" w:type="dxa"/>
                  <w:tcBorders>
                    <w:tl2br w:val="nil"/>
                    <w:tr2bl w:val="nil"/>
                  </w:tcBorders>
                  <w:vAlign w:val="center"/>
                </w:tcPr>
                <w:p>
                  <w:pPr>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bl>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拟建项目新建大楼各层主要功能分布情况见下表</w:t>
            </w:r>
            <w:r>
              <w:rPr>
                <w:rFonts w:hint="eastAsia" w:cs="Times New Roman"/>
                <w:color w:val="auto"/>
                <w:kern w:val="0"/>
                <w:sz w:val="24"/>
                <w:szCs w:val="24"/>
                <w:highlight w:val="none"/>
                <w:lang w:val="en-US" w:eastAsia="zh-CN" w:bidi="ar"/>
              </w:rPr>
              <w:t>2.2</w:t>
            </w:r>
            <w:r>
              <w:rPr>
                <w:rFonts w:hint="eastAsia" w:ascii="宋体" w:hAnsi="宋体" w:eastAsia="宋体" w:cs="宋体"/>
                <w:color w:val="auto"/>
                <w:kern w:val="0"/>
                <w:sz w:val="24"/>
                <w:szCs w:val="24"/>
                <w:highlight w:val="none"/>
                <w:lang w:val="en-US" w:eastAsia="zh-CN" w:bidi="ar"/>
              </w:rPr>
              <w:t>。</w:t>
            </w:r>
          </w:p>
          <w:p>
            <w:pPr>
              <w:adjustRightInd w:val="0"/>
              <w:snapToGrid w:val="0"/>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表2</w:t>
            </w:r>
            <w:r>
              <w:rPr>
                <w:rFonts w:hint="eastAsia" w:ascii="宋体" w:hAnsi="宋体" w:eastAsia="宋体" w:cs="宋体"/>
                <w:b/>
                <w:bCs/>
                <w:color w:val="auto"/>
                <w:highlight w:val="none"/>
                <w:lang w:val="en-US" w:eastAsia="zh-CN"/>
              </w:rPr>
              <w:t>.2</w:t>
            </w:r>
            <w:r>
              <w:rPr>
                <w:rFonts w:hint="eastAsia" w:ascii="宋体" w:hAnsi="宋体" w:eastAsia="宋体" w:cs="宋体"/>
                <w:b/>
                <w:bCs/>
                <w:color w:val="auto"/>
                <w:highlight w:val="none"/>
              </w:rPr>
              <w:t xml:space="preserve"> </w:t>
            </w:r>
            <w:r>
              <w:rPr>
                <w:rFonts w:hint="eastAsia" w:ascii="宋体" w:hAnsi="宋体" w:eastAsia="宋体" w:cs="宋体"/>
                <w:b/>
                <w:bCs/>
                <w:color w:val="auto"/>
                <w:highlight w:val="none"/>
                <w:lang w:val="en-US" w:eastAsia="zh-CN"/>
              </w:rPr>
              <w:t>新建大楼各层主要功能分布一览表</w:t>
            </w:r>
          </w:p>
          <w:tbl>
            <w:tblPr>
              <w:tblStyle w:val="30"/>
              <w:tblW w:w="80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5197"/>
              <w:gridCol w:w="1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2" w:type="dxa"/>
                </w:tcPr>
                <w:p>
                  <w:pPr>
                    <w:keepNext w:val="0"/>
                    <w:keepLines w:val="0"/>
                    <w:widowControl/>
                    <w:suppressLineNumbers w:val="0"/>
                    <w:ind w:left="0" w:leftChars="0" w:firstLine="210" w:firstLineChars="1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楼层</w:t>
                  </w:r>
                </w:p>
              </w:tc>
              <w:tc>
                <w:tcPr>
                  <w:tcW w:w="5197" w:type="dxa"/>
                </w:tcPr>
                <w:p>
                  <w:pPr>
                    <w:keepNext w:val="0"/>
                    <w:keepLines w:val="0"/>
                    <w:widowControl/>
                    <w:suppressLineNumbers w:val="0"/>
                    <w:jc w:val="center"/>
                    <w:rPr>
                      <w:rFonts w:hint="eastAsia" w:ascii="宋体" w:hAnsi="宋体" w:eastAsia="宋体" w:cs="宋体"/>
                      <w:b/>
                      <w:bCs/>
                      <w:color w:val="auto"/>
                      <w:sz w:val="21"/>
                      <w:szCs w:val="21"/>
                      <w:highlight w:val="none"/>
                      <w:vertAlign w:val="baseline"/>
                    </w:rPr>
                  </w:pPr>
                  <w:r>
                    <w:rPr>
                      <w:rFonts w:hint="eastAsia" w:ascii="宋体" w:hAnsi="宋体" w:eastAsia="宋体" w:cs="宋体"/>
                      <w:color w:val="auto"/>
                      <w:kern w:val="0"/>
                      <w:sz w:val="21"/>
                      <w:szCs w:val="21"/>
                      <w:highlight w:val="none"/>
                      <w:lang w:val="en-US" w:eastAsia="zh-CN" w:bidi="ar"/>
                    </w:rPr>
                    <w:t>建设内容及功能设置</w:t>
                  </w:r>
                </w:p>
              </w:tc>
              <w:tc>
                <w:tcPr>
                  <w:tcW w:w="1814" w:type="dxa"/>
                </w:tcPr>
                <w:p>
                  <w:pPr>
                    <w:keepNext w:val="0"/>
                    <w:keepLines w:val="0"/>
                    <w:widowControl/>
                    <w:suppressLineNumbers w:val="0"/>
                    <w:ind w:left="0" w:leftChars="0" w:firstLine="0" w:firstLineChars="0"/>
                    <w:jc w:val="center"/>
                    <w:rPr>
                      <w:rFonts w:hint="eastAsia" w:ascii="宋体" w:hAnsi="宋体" w:eastAsia="宋体" w:cs="宋体"/>
                      <w:b/>
                      <w:bCs/>
                      <w:color w:val="auto"/>
                      <w:sz w:val="21"/>
                      <w:szCs w:val="21"/>
                      <w:highlight w:val="none"/>
                      <w:vertAlign w:val="baseline"/>
                    </w:rPr>
                  </w:pPr>
                  <w:r>
                    <w:rPr>
                      <w:rFonts w:hint="eastAsia" w:ascii="宋体" w:hAnsi="宋体" w:eastAsia="宋体" w:cs="宋体"/>
                      <w:color w:val="auto"/>
                      <w:kern w:val="0"/>
                      <w:sz w:val="21"/>
                      <w:szCs w:val="21"/>
                      <w:highlight w:val="none"/>
                      <w:lang w:val="en-US" w:eastAsia="zh-CN" w:bidi="ar"/>
                    </w:rPr>
                    <w:t>建筑面积（</w:t>
                  </w:r>
                  <w:r>
                    <w:rPr>
                      <w:rFonts w:hint="default"/>
                      <w:color w:val="auto"/>
                      <w:sz w:val="21"/>
                      <w:szCs w:val="21"/>
                      <w:highlight w:val="none"/>
                      <w:lang w:val="en-US" w:eastAsia="zh-CN"/>
                    </w:rPr>
                    <w:t>m</w:t>
                  </w:r>
                  <w:r>
                    <w:rPr>
                      <w:rFonts w:hint="eastAsia"/>
                      <w:color w:val="auto"/>
                      <w:sz w:val="21"/>
                      <w:szCs w:val="21"/>
                      <w:highlight w:val="none"/>
                      <w:vertAlign w:val="superscript"/>
                      <w:lang w:val="en-US" w:eastAsia="zh-CN"/>
                    </w:rPr>
                    <w:t>2</w:t>
                  </w:r>
                  <w:r>
                    <w:rPr>
                      <w:rFonts w:hint="eastAsia" w:ascii="宋体" w:hAnsi="宋体" w:eastAsia="宋体" w:cs="宋体"/>
                      <w:color w:val="auto"/>
                      <w:kern w:val="0"/>
                      <w:sz w:val="21"/>
                      <w:szCs w:val="21"/>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2" w:type="dxa"/>
                </w:tcPr>
                <w:p>
                  <w:pPr>
                    <w:keepNext w:val="0"/>
                    <w:keepLines w:val="0"/>
                    <w:widowControl/>
                    <w:suppressLineNumbers w:val="0"/>
                    <w:ind w:left="0" w:leftChars="0" w:firstLine="210" w:firstLineChars="100"/>
                    <w:jc w:val="left"/>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1F</w:t>
                  </w:r>
                </w:p>
              </w:tc>
              <w:tc>
                <w:tcPr>
                  <w:tcW w:w="5197" w:type="dxa"/>
                </w:tcPr>
                <w:p>
                  <w:pPr>
                    <w:spacing w:line="240" w:lineRule="auto"/>
                    <w:ind w:left="0" w:leftChars="0" w:firstLine="0" w:firstLineChars="0"/>
                    <w:jc w:val="center"/>
                    <w:rPr>
                      <w:rFonts w:hint="eastAsia" w:ascii="宋体" w:hAnsi="宋体" w:eastAsia="宋体" w:cs="宋体"/>
                      <w:b/>
                      <w:bCs/>
                      <w:color w:val="auto"/>
                      <w:sz w:val="21"/>
                      <w:szCs w:val="21"/>
                      <w:highlight w:val="none"/>
                      <w:vertAlign w:val="baseline"/>
                    </w:rPr>
                  </w:pPr>
                  <w:r>
                    <w:rPr>
                      <w:rFonts w:hint="eastAsia"/>
                      <w:color w:val="auto"/>
                      <w:sz w:val="21"/>
                      <w:szCs w:val="21"/>
                      <w:highlight w:val="none"/>
                      <w:lang w:val="en-US" w:eastAsia="zh-CN"/>
                    </w:rPr>
                    <w:t>布设停车位、消防水泵房、弱电机房、消防水池、医疗废物暂存室等</w:t>
                  </w:r>
                </w:p>
              </w:tc>
              <w:tc>
                <w:tcPr>
                  <w:tcW w:w="1814" w:type="dxa"/>
                </w:tcPr>
                <w:p>
                  <w:pPr>
                    <w:adjustRightInd w:val="0"/>
                    <w:snapToGrid w:val="0"/>
                    <w:jc w:val="both"/>
                    <w:rPr>
                      <w:rFonts w:hint="default" w:ascii="宋体" w:hAnsi="宋体" w:eastAsia="宋体" w:cs="宋体"/>
                      <w:b/>
                      <w:bCs/>
                      <w:color w:val="auto"/>
                      <w:sz w:val="21"/>
                      <w:szCs w:val="21"/>
                      <w:highlight w:val="none"/>
                      <w:vertAlign w:val="baseline"/>
                      <w:lang w:val="en-US" w:eastAsia="zh-CN"/>
                    </w:rPr>
                  </w:pPr>
                  <w:r>
                    <w:rPr>
                      <w:rFonts w:hint="eastAsia"/>
                      <w:color w:val="auto"/>
                      <w:sz w:val="21"/>
                      <w:szCs w:val="21"/>
                      <w:highlight w:val="none"/>
                      <w:lang w:val="en-US" w:eastAsia="zh-CN"/>
                    </w:rPr>
                    <w:t>675.42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2" w:type="dxa"/>
                </w:tcPr>
                <w:p>
                  <w:pPr>
                    <w:keepNext w:val="0"/>
                    <w:keepLines w:val="0"/>
                    <w:widowControl/>
                    <w:suppressLineNumbers w:val="0"/>
                    <w:ind w:left="0" w:leftChars="0" w:firstLine="210" w:firstLineChars="1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2F</w:t>
                  </w:r>
                </w:p>
              </w:tc>
              <w:tc>
                <w:tcPr>
                  <w:tcW w:w="5197" w:type="dxa"/>
                </w:tcPr>
                <w:p>
                  <w:pPr>
                    <w:spacing w:line="240" w:lineRule="auto"/>
                    <w:ind w:left="0" w:leftChars="0" w:firstLine="0" w:firstLineChars="0"/>
                    <w:jc w:val="center"/>
                    <w:rPr>
                      <w:rFonts w:hint="eastAsia" w:ascii="宋体" w:hAnsi="宋体" w:eastAsia="宋体" w:cs="宋体"/>
                      <w:b/>
                      <w:bCs/>
                      <w:color w:val="auto"/>
                      <w:sz w:val="21"/>
                      <w:szCs w:val="21"/>
                      <w:highlight w:val="none"/>
                      <w:vertAlign w:val="baseline"/>
                    </w:rPr>
                  </w:pPr>
                  <w:r>
                    <w:rPr>
                      <w:rFonts w:hint="eastAsia"/>
                      <w:color w:val="auto"/>
                      <w:sz w:val="21"/>
                      <w:szCs w:val="21"/>
                      <w:highlight w:val="none"/>
                      <w:lang w:val="en-US" w:eastAsia="zh-CN"/>
                    </w:rPr>
                    <w:t>布置发热门诊室、治疗室、留观室、淋浴间、梳洗室、更衣室、中医理疗室、中医诊室、妇科诊室、药房、值班室、 药品管理室、接待大厅、导诊台、候诊区、挂号收费、肛肠门诊室、值班监控室、开水间、洗胃室、换药室、预防保健室、儿保室、办公室、数字化接种室、</w:t>
                  </w:r>
                  <w:r>
                    <w:rPr>
                      <w:rFonts w:hint="default"/>
                      <w:color w:val="auto"/>
                      <w:sz w:val="21"/>
                      <w:szCs w:val="21"/>
                      <w:highlight w:val="none"/>
                      <w:lang w:val="en-US" w:eastAsia="zh-CN"/>
                    </w:rPr>
                    <w:t xml:space="preserve">CT </w:t>
                  </w:r>
                  <w:r>
                    <w:rPr>
                      <w:rFonts w:hint="eastAsia"/>
                      <w:color w:val="auto"/>
                      <w:sz w:val="21"/>
                      <w:szCs w:val="21"/>
                      <w:highlight w:val="none"/>
                      <w:lang w:val="en-US" w:eastAsia="zh-CN"/>
                    </w:rPr>
                    <w:t>室、</w:t>
                  </w:r>
                  <w:r>
                    <w:rPr>
                      <w:rFonts w:hint="default"/>
                      <w:color w:val="auto"/>
                      <w:sz w:val="21"/>
                      <w:szCs w:val="21"/>
                      <w:highlight w:val="none"/>
                      <w:lang w:val="en-US" w:eastAsia="zh-CN"/>
                    </w:rPr>
                    <w:t>DR</w:t>
                  </w:r>
                  <w:r>
                    <w:rPr>
                      <w:rFonts w:hint="eastAsia"/>
                      <w:color w:val="auto"/>
                      <w:sz w:val="21"/>
                      <w:szCs w:val="21"/>
                      <w:highlight w:val="none"/>
                      <w:lang w:val="en-US" w:eastAsia="zh-CN"/>
                    </w:rPr>
                    <w:t>室、储藏间、卫生间等</w:t>
                  </w:r>
                </w:p>
              </w:tc>
              <w:tc>
                <w:tcPr>
                  <w:tcW w:w="1814" w:type="dxa"/>
                </w:tcPr>
                <w:p>
                  <w:pPr>
                    <w:adjustRightInd w:val="0"/>
                    <w:snapToGrid w:val="0"/>
                    <w:jc w:val="both"/>
                    <w:rPr>
                      <w:rFonts w:hint="default" w:ascii="宋体" w:hAnsi="宋体" w:eastAsia="宋体" w:cs="宋体"/>
                      <w:b/>
                      <w:bCs/>
                      <w:color w:val="auto"/>
                      <w:sz w:val="21"/>
                      <w:szCs w:val="21"/>
                      <w:highlight w:val="none"/>
                      <w:vertAlign w:val="baseline"/>
                      <w:lang w:val="en-US"/>
                    </w:rPr>
                  </w:pPr>
                  <w:r>
                    <w:rPr>
                      <w:rFonts w:hint="eastAsia"/>
                      <w:color w:val="auto"/>
                      <w:sz w:val="21"/>
                      <w:szCs w:val="21"/>
                      <w:highlight w:val="none"/>
                      <w:lang w:val="en-US" w:eastAsia="zh-CN"/>
                    </w:rPr>
                    <w:t>505.36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2" w:type="dxa"/>
                </w:tcPr>
                <w:p>
                  <w:pPr>
                    <w:keepNext w:val="0"/>
                    <w:keepLines w:val="0"/>
                    <w:widowControl/>
                    <w:suppressLineNumbers w:val="0"/>
                    <w:ind w:left="0" w:leftChars="0" w:firstLine="210" w:firstLineChars="1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3F</w:t>
                  </w:r>
                </w:p>
              </w:tc>
              <w:tc>
                <w:tcPr>
                  <w:tcW w:w="5197" w:type="dxa"/>
                </w:tcPr>
                <w:p>
                  <w:pPr>
                    <w:spacing w:line="240" w:lineRule="auto"/>
                    <w:ind w:left="0" w:leftChars="0" w:firstLine="0" w:firstLineChars="0"/>
                    <w:jc w:val="center"/>
                    <w:rPr>
                      <w:rFonts w:hint="eastAsia" w:ascii="宋体" w:hAnsi="宋体" w:eastAsia="宋体" w:cs="宋体"/>
                      <w:b/>
                      <w:bCs/>
                      <w:color w:val="auto"/>
                      <w:sz w:val="21"/>
                      <w:szCs w:val="21"/>
                      <w:highlight w:val="none"/>
                      <w:vertAlign w:val="baseline"/>
                    </w:rPr>
                  </w:pPr>
                  <w:r>
                    <w:rPr>
                      <w:rFonts w:hint="eastAsia"/>
                      <w:color w:val="auto"/>
                      <w:sz w:val="21"/>
                      <w:szCs w:val="21"/>
                      <w:highlight w:val="none"/>
                      <w:lang w:val="en-US" w:eastAsia="zh-CN"/>
                    </w:rPr>
                    <w:t>布置医生办公室、护士休息室、两人病房、三人病房、输液大厅、卫生间、开水间等</w:t>
                  </w:r>
                </w:p>
              </w:tc>
              <w:tc>
                <w:tcPr>
                  <w:tcW w:w="1814" w:type="dxa"/>
                </w:tcPr>
                <w:p>
                  <w:pPr>
                    <w:adjustRightInd w:val="0"/>
                    <w:snapToGrid w:val="0"/>
                    <w:jc w:val="both"/>
                    <w:rPr>
                      <w:rFonts w:hint="eastAsia"/>
                      <w:color w:val="auto"/>
                      <w:sz w:val="21"/>
                      <w:szCs w:val="21"/>
                      <w:highlight w:val="none"/>
                      <w:lang w:val="en-US" w:eastAsia="zh-CN"/>
                    </w:rPr>
                  </w:pPr>
                  <w:r>
                    <w:rPr>
                      <w:rFonts w:hint="eastAsia"/>
                      <w:color w:val="auto"/>
                      <w:sz w:val="21"/>
                      <w:szCs w:val="21"/>
                      <w:highlight w:val="none"/>
                      <w:lang w:val="en-US" w:eastAsia="zh-CN"/>
                    </w:rPr>
                    <w:t>505.36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2" w:type="dxa"/>
                </w:tcPr>
                <w:p>
                  <w:pPr>
                    <w:keepNext w:val="0"/>
                    <w:keepLines w:val="0"/>
                    <w:widowControl/>
                    <w:suppressLineNumbers w:val="0"/>
                    <w:ind w:left="0" w:leftChars="0" w:firstLine="210" w:firstLineChars="1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4F</w:t>
                  </w:r>
                </w:p>
              </w:tc>
              <w:tc>
                <w:tcPr>
                  <w:tcW w:w="5197" w:type="dxa"/>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bCs/>
                      <w:color w:val="auto"/>
                      <w:sz w:val="21"/>
                      <w:szCs w:val="21"/>
                      <w:highlight w:val="none"/>
                      <w:vertAlign w:val="baseline"/>
                    </w:rPr>
                  </w:pPr>
                  <w:r>
                    <w:rPr>
                      <w:rFonts w:hint="eastAsia"/>
                      <w:color w:val="auto"/>
                      <w:sz w:val="21"/>
                      <w:szCs w:val="21"/>
                      <w:highlight w:val="none"/>
                      <w:lang w:val="en-US" w:eastAsia="zh-CN"/>
                    </w:rPr>
                    <w:t>布置处置室、护士休息室、两人病房、三人病房、卫生间等</w:t>
                  </w:r>
                </w:p>
              </w:tc>
              <w:tc>
                <w:tcPr>
                  <w:tcW w:w="1814" w:type="dxa"/>
                </w:tcPr>
                <w:p>
                  <w:pPr>
                    <w:adjustRightInd w:val="0"/>
                    <w:snapToGrid w:val="0"/>
                    <w:jc w:val="both"/>
                    <w:rPr>
                      <w:rFonts w:hint="eastAsia"/>
                      <w:color w:val="auto"/>
                      <w:sz w:val="21"/>
                      <w:szCs w:val="21"/>
                      <w:highlight w:val="none"/>
                      <w:lang w:val="en-US" w:eastAsia="zh-CN"/>
                    </w:rPr>
                  </w:pPr>
                  <w:r>
                    <w:rPr>
                      <w:rFonts w:hint="eastAsia"/>
                      <w:color w:val="auto"/>
                      <w:sz w:val="21"/>
                      <w:szCs w:val="21"/>
                      <w:highlight w:val="none"/>
                      <w:lang w:val="en-US" w:eastAsia="zh-CN"/>
                    </w:rPr>
                    <w:t>505.36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2" w:type="dxa"/>
                </w:tcPr>
                <w:p>
                  <w:pPr>
                    <w:keepNext w:val="0"/>
                    <w:keepLines w:val="0"/>
                    <w:widowControl/>
                    <w:suppressLineNumbers w:val="0"/>
                    <w:ind w:left="0" w:leftChars="0" w:firstLine="210" w:firstLineChars="1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5F</w:t>
                  </w:r>
                </w:p>
              </w:tc>
              <w:tc>
                <w:tcPr>
                  <w:tcW w:w="5197" w:type="dxa"/>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宋体"/>
                      <w:b/>
                      <w:bCs/>
                      <w:color w:val="auto"/>
                      <w:sz w:val="21"/>
                      <w:szCs w:val="21"/>
                      <w:highlight w:val="none"/>
                      <w:vertAlign w:val="baseline"/>
                      <w:lang w:val="en-US"/>
                    </w:rPr>
                  </w:pPr>
                  <w:r>
                    <w:rPr>
                      <w:rFonts w:hint="eastAsia"/>
                      <w:color w:val="auto"/>
                      <w:sz w:val="21"/>
                      <w:szCs w:val="21"/>
                      <w:highlight w:val="none"/>
                      <w:lang w:val="en-US" w:eastAsia="zh-CN"/>
                    </w:rPr>
                    <w:t>布置医保办、医生办、党建办、院长办、副院长办、财务室、档案室、会议室、卫生间等</w:t>
                  </w:r>
                </w:p>
              </w:tc>
              <w:tc>
                <w:tcPr>
                  <w:tcW w:w="1814" w:type="dxa"/>
                </w:tcPr>
                <w:p>
                  <w:pPr>
                    <w:adjustRightInd w:val="0"/>
                    <w:snapToGrid w:val="0"/>
                    <w:jc w:val="both"/>
                    <w:rPr>
                      <w:rFonts w:hint="eastAsia"/>
                      <w:color w:val="auto"/>
                      <w:sz w:val="21"/>
                      <w:szCs w:val="21"/>
                      <w:highlight w:val="none"/>
                      <w:lang w:val="en-US" w:eastAsia="zh-CN"/>
                    </w:rPr>
                  </w:pPr>
                  <w:r>
                    <w:rPr>
                      <w:rFonts w:hint="eastAsia"/>
                      <w:color w:val="auto"/>
                      <w:sz w:val="21"/>
                      <w:szCs w:val="21"/>
                      <w:highlight w:val="none"/>
                      <w:lang w:val="en-US" w:eastAsia="zh-CN"/>
                    </w:rPr>
                    <w:t>505.36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2" w:type="dxa"/>
                </w:tcPr>
                <w:p>
                  <w:pPr>
                    <w:keepNext w:val="0"/>
                    <w:keepLines w:val="0"/>
                    <w:widowControl/>
                    <w:suppressLineNumbers w:val="0"/>
                    <w:ind w:left="0" w:leftChars="0" w:firstLine="200" w:firstLineChars="100"/>
                    <w:jc w:val="left"/>
                    <w:rPr>
                      <w:rFonts w:hint="default" w:ascii="宋体" w:hAnsi="宋体" w:eastAsia="宋体" w:cs="宋体"/>
                      <w:color w:val="auto"/>
                      <w:kern w:val="0"/>
                      <w:sz w:val="20"/>
                      <w:szCs w:val="20"/>
                      <w:highlight w:val="none"/>
                      <w:lang w:val="en-US" w:eastAsia="zh-CN" w:bidi="ar"/>
                    </w:rPr>
                  </w:pPr>
                  <w:r>
                    <w:rPr>
                      <w:rFonts w:hint="eastAsia" w:ascii="宋体" w:hAnsi="宋体" w:cs="宋体"/>
                      <w:color w:val="auto"/>
                      <w:kern w:val="0"/>
                      <w:sz w:val="20"/>
                      <w:szCs w:val="20"/>
                      <w:highlight w:val="none"/>
                      <w:lang w:val="en-US" w:eastAsia="zh-CN" w:bidi="ar"/>
                    </w:rPr>
                    <w:t>屋面</w:t>
                  </w:r>
                </w:p>
              </w:tc>
              <w:tc>
                <w:tcPr>
                  <w:tcW w:w="5197" w:type="dxa"/>
                </w:tcPr>
                <w:p>
                  <w:pPr>
                    <w:adjustRightInd w:val="0"/>
                    <w:snapToGrid w:val="0"/>
                    <w:jc w:val="center"/>
                    <w:rPr>
                      <w:rFonts w:hint="default" w:ascii="宋体" w:hAnsi="宋体" w:eastAsia="宋体" w:cs="宋体"/>
                      <w:b/>
                      <w:bCs/>
                      <w:color w:val="auto"/>
                      <w:highlight w:val="none"/>
                      <w:vertAlign w:val="baseline"/>
                      <w:lang w:val="en-US" w:eastAsia="zh-CN"/>
                    </w:rPr>
                  </w:pPr>
                  <w:r>
                    <w:rPr>
                      <w:rFonts w:hint="eastAsia"/>
                      <w:color w:val="auto"/>
                      <w:sz w:val="21"/>
                      <w:szCs w:val="21"/>
                      <w:highlight w:val="none"/>
                      <w:lang w:val="en-US" w:eastAsia="zh-CN"/>
                    </w:rPr>
                    <w:t>楼梯间</w:t>
                  </w:r>
                </w:p>
              </w:tc>
              <w:tc>
                <w:tcPr>
                  <w:tcW w:w="1814" w:type="dxa"/>
                </w:tcPr>
                <w:p>
                  <w:pPr>
                    <w:adjustRightInd w:val="0"/>
                    <w:snapToGrid w:val="0"/>
                    <w:jc w:val="both"/>
                    <w:rPr>
                      <w:rFonts w:hint="default"/>
                      <w:color w:val="auto"/>
                      <w:sz w:val="21"/>
                      <w:szCs w:val="21"/>
                      <w:highlight w:val="none"/>
                      <w:lang w:val="en-US" w:eastAsia="zh-CN"/>
                    </w:rPr>
                  </w:pPr>
                  <w:r>
                    <w:rPr>
                      <w:rFonts w:hint="eastAsia"/>
                      <w:color w:val="auto"/>
                      <w:sz w:val="21"/>
                      <w:szCs w:val="21"/>
                      <w:highlight w:val="none"/>
                      <w:lang w:val="en-US" w:eastAsia="zh-CN"/>
                    </w:rPr>
                    <w:t>28.88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79" w:type="dxa"/>
                  <w:gridSpan w:val="2"/>
                </w:tcPr>
                <w:p>
                  <w:pPr>
                    <w:adjustRightInd w:val="0"/>
                    <w:snapToGrid w:val="0"/>
                    <w:jc w:val="center"/>
                    <w:rPr>
                      <w:rFonts w:hint="eastAsia" w:ascii="宋体" w:hAnsi="宋体" w:eastAsia="宋体" w:cs="宋体"/>
                      <w:b/>
                      <w:bCs/>
                      <w:color w:val="auto"/>
                      <w:highlight w:val="none"/>
                      <w:vertAlign w:val="baseline"/>
                      <w:lang w:val="en-US" w:eastAsia="zh-CN"/>
                    </w:rPr>
                  </w:pPr>
                  <w:r>
                    <w:rPr>
                      <w:rFonts w:hint="eastAsia"/>
                      <w:color w:val="auto"/>
                      <w:sz w:val="21"/>
                      <w:szCs w:val="21"/>
                      <w:highlight w:val="none"/>
                      <w:lang w:val="en-US" w:eastAsia="zh-CN"/>
                    </w:rPr>
                    <w:t>合计</w:t>
                  </w:r>
                </w:p>
              </w:tc>
              <w:tc>
                <w:tcPr>
                  <w:tcW w:w="1814" w:type="dxa"/>
                </w:tcPr>
                <w:p>
                  <w:pPr>
                    <w:adjustRightInd w:val="0"/>
                    <w:snapToGrid w:val="0"/>
                    <w:jc w:val="both"/>
                    <w:rPr>
                      <w:rFonts w:hint="default"/>
                      <w:color w:val="auto"/>
                      <w:sz w:val="21"/>
                      <w:szCs w:val="21"/>
                      <w:highlight w:val="none"/>
                      <w:lang w:val="en-US" w:eastAsia="zh-CN"/>
                    </w:rPr>
                  </w:pPr>
                  <w:r>
                    <w:rPr>
                      <w:rFonts w:hint="eastAsia"/>
                      <w:color w:val="auto"/>
                      <w:sz w:val="21"/>
                      <w:szCs w:val="21"/>
                      <w:highlight w:val="none"/>
                      <w:lang w:val="en-US" w:eastAsia="zh-CN"/>
                    </w:rPr>
                    <w:t>2725.74</w:t>
                  </w:r>
                </w:p>
              </w:tc>
            </w:tr>
          </w:tbl>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拟建项目新建大楼科室设置情况见下表 </w:t>
            </w:r>
            <w:r>
              <w:rPr>
                <w:rFonts w:hint="default" w:ascii="宋体" w:hAnsi="宋体" w:eastAsia="宋体" w:cs="宋体"/>
                <w:color w:val="auto"/>
                <w:kern w:val="0"/>
                <w:sz w:val="24"/>
                <w:szCs w:val="24"/>
                <w:highlight w:val="none"/>
                <w:lang w:val="en-US" w:eastAsia="zh-CN" w:bidi="ar"/>
              </w:rPr>
              <w:t>2</w:t>
            </w:r>
            <w:r>
              <w:rPr>
                <w:rFonts w:hint="eastAsia" w:ascii="宋体" w:hAnsi="宋体" w:cs="宋体"/>
                <w:color w:val="auto"/>
                <w:kern w:val="0"/>
                <w:sz w:val="24"/>
                <w:szCs w:val="24"/>
                <w:highlight w:val="none"/>
                <w:lang w:val="en-US" w:eastAsia="zh-CN" w:bidi="ar"/>
              </w:rPr>
              <w:t>.</w:t>
            </w:r>
            <w:r>
              <w:rPr>
                <w:rFonts w:hint="default" w:ascii="宋体" w:hAnsi="宋体" w:eastAsia="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w:t>
            </w:r>
          </w:p>
          <w:p>
            <w:pPr>
              <w:adjustRightInd w:val="0"/>
              <w:snapToGrid w:val="0"/>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 xml:space="preserve">表 </w:t>
            </w:r>
            <w:r>
              <w:rPr>
                <w:rFonts w:hint="default"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w:t>
            </w:r>
            <w:r>
              <w:rPr>
                <w:rFonts w:hint="default" w:ascii="宋体" w:hAnsi="宋体" w:eastAsia="宋体" w:cs="宋体"/>
                <w:b/>
                <w:bCs/>
                <w:color w:val="auto"/>
                <w:highlight w:val="none"/>
                <w:lang w:val="en-US" w:eastAsia="zh-CN"/>
              </w:rPr>
              <w:t xml:space="preserve">3 </w:t>
            </w:r>
            <w:r>
              <w:rPr>
                <w:rFonts w:hint="eastAsia" w:ascii="宋体" w:hAnsi="宋体" w:eastAsia="宋体" w:cs="宋体"/>
                <w:b/>
                <w:bCs/>
                <w:color w:val="auto"/>
                <w:highlight w:val="none"/>
                <w:lang w:val="en-US" w:eastAsia="zh-CN"/>
              </w:rPr>
              <w:t>拟建项目科室设置情况表</w:t>
            </w:r>
          </w:p>
          <w:tbl>
            <w:tblPr>
              <w:tblStyle w:val="30"/>
              <w:tblW w:w="8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6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4" w:type="dxa"/>
                </w:tcPr>
                <w:p>
                  <w:pPr>
                    <w:keepNext w:val="0"/>
                    <w:keepLines w:val="0"/>
                    <w:widowControl/>
                    <w:suppressLineNumbers w:val="0"/>
                    <w:ind w:left="0" w:leftChars="0" w:firstLine="210" w:firstLineChars="100"/>
                    <w:jc w:val="center"/>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项目设置科室</w:t>
                  </w:r>
                </w:p>
              </w:tc>
              <w:tc>
                <w:tcPr>
                  <w:tcW w:w="6023" w:type="dxa"/>
                </w:tcPr>
                <w:p>
                  <w:pPr>
                    <w:keepNext w:val="0"/>
                    <w:keepLines w:val="0"/>
                    <w:widowControl/>
                    <w:suppressLineNumbers w:val="0"/>
                    <w:ind w:left="0" w:leftChars="0" w:firstLine="210" w:firstLineChars="100"/>
                    <w:jc w:val="center"/>
                    <w:rPr>
                      <w:rFonts w:hint="eastAsia" w:ascii="宋体" w:hAnsi="宋体" w:eastAsia="宋体" w:cs="宋体"/>
                      <w:b/>
                      <w:bCs/>
                      <w:color w:val="auto"/>
                      <w:sz w:val="21"/>
                      <w:szCs w:val="21"/>
                      <w:highlight w:val="none"/>
                      <w:vertAlign w:val="baseline"/>
                    </w:rPr>
                  </w:pPr>
                  <w:r>
                    <w:rPr>
                      <w:rFonts w:hint="eastAsia" w:ascii="宋体" w:hAnsi="宋体" w:cs="宋体"/>
                      <w:color w:val="auto"/>
                      <w:kern w:val="0"/>
                      <w:sz w:val="21"/>
                      <w:szCs w:val="21"/>
                      <w:highlight w:val="none"/>
                      <w:lang w:val="en-US" w:eastAsia="zh-CN" w:bidi="ar"/>
                    </w:rPr>
                    <w:t>项目各个科室功能及特点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4" w:type="dxa"/>
                </w:tcPr>
                <w:p>
                  <w:pPr>
                    <w:keepNext w:val="0"/>
                    <w:keepLines w:val="0"/>
                    <w:widowControl/>
                    <w:suppressLineNumbers w:val="0"/>
                    <w:ind w:left="0" w:leftChars="0" w:firstLine="210" w:firstLineChars="100"/>
                    <w:jc w:val="center"/>
                    <w:rPr>
                      <w:rFonts w:hint="default" w:ascii="宋体" w:hAnsi="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公共卫生科</w:t>
                  </w:r>
                </w:p>
              </w:tc>
              <w:tc>
                <w:tcPr>
                  <w:tcW w:w="6023" w:type="dxa"/>
                </w:tcPr>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设置相应卫生服务办公室、档案室、宣教室、接种门诊等，并 </w:t>
                  </w:r>
                </w:p>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配备相应的医护人员，服务院内患者所有病例资料管理、健康 </w:t>
                  </w:r>
                </w:p>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信息管理服务等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4" w:type="dxa"/>
                </w:tcPr>
                <w:p>
                  <w:pPr>
                    <w:keepNext w:val="0"/>
                    <w:keepLines w:val="0"/>
                    <w:widowControl/>
                    <w:suppressLineNumbers w:val="0"/>
                    <w:ind w:left="0" w:leftChars="0" w:firstLine="210" w:firstLineChars="100"/>
                    <w:jc w:val="center"/>
                    <w:rPr>
                      <w:rFonts w:hint="default" w:ascii="宋体" w:hAnsi="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内科</w:t>
                  </w:r>
                </w:p>
              </w:tc>
              <w:tc>
                <w:tcPr>
                  <w:tcW w:w="6023" w:type="dxa"/>
                </w:tcPr>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所有内科疾病的门诊，主要通过询问病史、患者自述症状等面 </w:t>
                  </w:r>
                </w:p>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谈沟通后，医生通过初查和设备辅助检查等，结合病史和检查 </w:t>
                  </w:r>
                </w:p>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结果作出诊断，并开具治疗处方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4" w:type="dxa"/>
                </w:tcPr>
                <w:p>
                  <w:pPr>
                    <w:keepNext w:val="0"/>
                    <w:keepLines w:val="0"/>
                    <w:widowControl/>
                    <w:suppressLineNumbers w:val="0"/>
                    <w:ind w:left="0" w:leftChars="0" w:firstLine="210" w:firstLineChars="100"/>
                    <w:jc w:val="center"/>
                    <w:rPr>
                      <w:rFonts w:hint="eastAsia" w:ascii="宋体" w:hAnsi="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外科</w:t>
                  </w:r>
                </w:p>
              </w:tc>
              <w:tc>
                <w:tcPr>
                  <w:tcW w:w="6023" w:type="dxa"/>
                </w:tcPr>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主要包括小针刀、手术室及换药室等，进行伤口处理和换药以 </w:t>
                  </w:r>
                </w:p>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及外科手术，手术主要包括下腹部、四肢缝合手术、一般清创 </w:t>
                  </w:r>
                </w:p>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4" w:type="dxa"/>
                </w:tcPr>
                <w:p>
                  <w:pPr>
                    <w:keepNext w:val="0"/>
                    <w:keepLines w:val="0"/>
                    <w:widowControl/>
                    <w:suppressLineNumbers w:val="0"/>
                    <w:ind w:left="0" w:leftChars="0" w:firstLine="210" w:firstLineChars="100"/>
                    <w:jc w:val="center"/>
                    <w:rPr>
                      <w:rFonts w:hint="eastAsia" w:ascii="宋体" w:hAnsi="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儿科</w:t>
                  </w:r>
                </w:p>
              </w:tc>
              <w:tc>
                <w:tcPr>
                  <w:tcW w:w="6023" w:type="dxa"/>
                </w:tcPr>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主要为儿科门诊，主要通过询问病史、患者自述症状等面谈沟 </w:t>
                  </w:r>
                </w:p>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通后，医生通过初查和设备辅助检查等，结合病史和检查结果 </w:t>
                  </w:r>
                </w:p>
                <w:p>
                  <w:pPr>
                    <w:spacing w:line="240" w:lineRule="auto"/>
                    <w:ind w:left="0" w:leftChars="0" w:firstLine="0" w:firstLineChars="0"/>
                    <w:jc w:val="center"/>
                    <w:rPr>
                      <w:rFonts w:hint="eastAsia" w:ascii="宋体" w:hAnsi="宋体" w:eastAsia="宋体" w:cs="宋体"/>
                      <w:b/>
                      <w:bCs/>
                      <w:color w:val="auto"/>
                      <w:highlight w:val="none"/>
                      <w:vertAlign w:val="baseline"/>
                    </w:rPr>
                  </w:pPr>
                  <w:r>
                    <w:rPr>
                      <w:rFonts w:hint="eastAsia"/>
                      <w:color w:val="auto"/>
                      <w:sz w:val="21"/>
                      <w:szCs w:val="21"/>
                      <w:highlight w:val="none"/>
                      <w:lang w:val="en-US" w:eastAsia="zh-CN"/>
                    </w:rPr>
                    <w:t>作出诊断，并开具治疗处方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4" w:type="dxa"/>
                </w:tcPr>
                <w:p>
                  <w:pPr>
                    <w:keepNext w:val="0"/>
                    <w:keepLines w:val="0"/>
                    <w:widowControl/>
                    <w:suppressLineNumbers w:val="0"/>
                    <w:ind w:left="0" w:leftChars="0" w:firstLine="210" w:firstLineChars="100"/>
                    <w:jc w:val="center"/>
                    <w:rPr>
                      <w:rFonts w:hint="eastAsia" w:ascii="宋体" w:hAnsi="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妇产科</w:t>
                  </w:r>
                </w:p>
              </w:tc>
              <w:tc>
                <w:tcPr>
                  <w:tcW w:w="6023" w:type="dxa"/>
                </w:tcPr>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设置妇科门诊及治疗室、催产室，主要为妇科疾病的看诊和检 </w:t>
                  </w:r>
                </w:p>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查，以及接生新生儿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4" w:type="dxa"/>
                </w:tcPr>
                <w:p>
                  <w:pPr>
                    <w:keepNext w:val="0"/>
                    <w:keepLines w:val="0"/>
                    <w:widowControl/>
                    <w:suppressLineNumbers w:val="0"/>
                    <w:ind w:left="0" w:leftChars="0" w:firstLine="210" w:firstLineChars="100"/>
                    <w:jc w:val="center"/>
                    <w:rPr>
                      <w:rFonts w:hint="eastAsia" w:ascii="宋体" w:hAnsi="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医学检验科</w:t>
                  </w:r>
                </w:p>
              </w:tc>
              <w:tc>
                <w:tcPr>
                  <w:tcW w:w="6023" w:type="dxa"/>
                </w:tcPr>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对病人进行血液、体液、排泄物的采集，并采用标准试剂对采 </w:t>
                  </w:r>
                </w:p>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集的样本进行血常规、体液、排泄物等常规项目检验分析，不 </w:t>
                  </w:r>
                </w:p>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涉及检验试剂配制和检验设备清洗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4" w:type="dxa"/>
                </w:tcPr>
                <w:p>
                  <w:pPr>
                    <w:keepNext w:val="0"/>
                    <w:keepLines w:val="0"/>
                    <w:widowControl/>
                    <w:suppressLineNumbers w:val="0"/>
                    <w:ind w:left="0" w:leftChars="0" w:firstLine="210" w:firstLineChars="100"/>
                    <w:jc w:val="center"/>
                    <w:rPr>
                      <w:rFonts w:hint="eastAsia" w:ascii="宋体" w:hAnsi="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医学影像科</w:t>
                  </w:r>
                </w:p>
              </w:tc>
              <w:tc>
                <w:tcPr>
                  <w:tcW w:w="6023" w:type="dxa"/>
                </w:tcPr>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设置有</w:t>
                  </w:r>
                  <w:r>
                    <w:rPr>
                      <w:rFonts w:hint="default"/>
                      <w:color w:val="auto"/>
                      <w:sz w:val="21"/>
                      <w:szCs w:val="21"/>
                      <w:highlight w:val="none"/>
                      <w:lang w:val="en-US" w:eastAsia="zh-CN"/>
                    </w:rPr>
                    <w:t>DR</w:t>
                  </w:r>
                  <w:r>
                    <w:rPr>
                      <w:rFonts w:hint="eastAsia"/>
                      <w:color w:val="auto"/>
                      <w:sz w:val="21"/>
                      <w:szCs w:val="21"/>
                      <w:highlight w:val="none"/>
                      <w:lang w:val="en-US" w:eastAsia="zh-CN"/>
                    </w:rPr>
                    <w:t>室、</w:t>
                  </w:r>
                  <w:r>
                    <w:rPr>
                      <w:rFonts w:hint="default"/>
                      <w:color w:val="auto"/>
                      <w:sz w:val="21"/>
                      <w:szCs w:val="21"/>
                      <w:highlight w:val="none"/>
                      <w:lang w:val="en-US" w:eastAsia="zh-CN"/>
                    </w:rPr>
                    <w:t xml:space="preserve">CT </w:t>
                  </w:r>
                  <w:r>
                    <w:rPr>
                      <w:rFonts w:hint="eastAsia"/>
                      <w:color w:val="auto"/>
                      <w:sz w:val="21"/>
                      <w:szCs w:val="21"/>
                      <w:highlight w:val="none"/>
                      <w:lang w:val="en-US" w:eastAsia="zh-CN"/>
                    </w:rPr>
                    <w:t xml:space="preserve">室和彩超室，根据门诊科室医生开具的诊 </w:t>
                  </w:r>
                </w:p>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疗单对患者进行检查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4" w:type="dxa"/>
                </w:tcPr>
                <w:p>
                  <w:pPr>
                    <w:keepNext w:val="0"/>
                    <w:keepLines w:val="0"/>
                    <w:widowControl/>
                    <w:suppressLineNumbers w:val="0"/>
                    <w:ind w:left="0" w:leftChars="0" w:firstLine="210" w:firstLineChars="100"/>
                    <w:jc w:val="center"/>
                    <w:rPr>
                      <w:rFonts w:hint="eastAsia" w:ascii="宋体" w:hAnsi="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中医科</w:t>
                  </w:r>
                </w:p>
              </w:tc>
              <w:tc>
                <w:tcPr>
                  <w:tcW w:w="6023" w:type="dxa"/>
                </w:tcPr>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设置门诊，主要通过询问病史、患者自述症状等面谈沟通后， </w:t>
                  </w:r>
                </w:p>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医生通过初查，结合病史和检查结果作出诊断，并开具治疗处 </w:t>
                  </w:r>
                </w:p>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4" w:type="dxa"/>
                </w:tcPr>
                <w:p>
                  <w:pPr>
                    <w:keepNext w:val="0"/>
                    <w:keepLines w:val="0"/>
                    <w:widowControl/>
                    <w:suppressLineNumbers w:val="0"/>
                    <w:ind w:left="0" w:leftChars="0" w:firstLine="210" w:firstLineChars="100"/>
                    <w:jc w:val="center"/>
                    <w:rPr>
                      <w:rFonts w:hint="default" w:ascii="宋体" w:hAnsi="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中医针灸理疗科</w:t>
                  </w:r>
                </w:p>
              </w:tc>
              <w:tc>
                <w:tcPr>
                  <w:tcW w:w="6023" w:type="dxa"/>
                </w:tcPr>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设置门诊、理疗室，主要通过询问病史、患者自述症状等面谈 </w:t>
                  </w:r>
                </w:p>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沟通后，医生通过初查，结合病史和检查结果作出诊断，并开 </w:t>
                  </w:r>
                </w:p>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具针灸治疗方案</w:t>
                  </w:r>
                </w:p>
              </w:tc>
            </w:tr>
          </w:tbl>
          <w:p>
            <w:pPr>
              <w:pStyle w:val="3"/>
              <w:bidi w:val="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4</w:t>
            </w:r>
            <w:r>
              <w:rPr>
                <w:rFonts w:hint="eastAsia" w:ascii="宋体" w:hAnsi="宋体" w:eastAsia="宋体" w:cs="宋体"/>
                <w:color w:val="auto"/>
                <w:highlight w:val="none"/>
                <w:lang w:val="en-US" w:eastAsia="zh-CN"/>
              </w:rPr>
              <w:t xml:space="preserve"> </w:t>
            </w:r>
            <w:r>
              <w:rPr>
                <w:rFonts w:hint="eastAsia" w:ascii="宋体" w:hAnsi="宋体" w:cs="宋体"/>
                <w:color w:val="auto"/>
                <w:highlight w:val="none"/>
                <w:lang w:val="en-US" w:eastAsia="zh-CN"/>
              </w:rPr>
              <w:t>主要医疗设备</w:t>
            </w:r>
          </w:p>
          <w:p>
            <w:pPr>
              <w:keepNext w:val="0"/>
              <w:keepLines w:val="0"/>
              <w:widowControl/>
              <w:suppressLineNumbers w:val="0"/>
              <w:jc w:val="left"/>
              <w:rPr>
                <w:rFonts w:hint="default" w:eastAsia="宋体"/>
                <w:b/>
                <w:bCs/>
                <w:color w:val="auto"/>
                <w:highlight w:val="none"/>
                <w:lang w:val="en-US" w:eastAsia="zh-CN"/>
              </w:rPr>
            </w:pPr>
            <w:r>
              <w:rPr>
                <w:rFonts w:hint="eastAsia" w:ascii="宋体" w:hAnsi="宋体" w:eastAsia="宋体" w:cs="宋体"/>
                <w:color w:val="auto"/>
                <w:kern w:val="0"/>
                <w:sz w:val="24"/>
                <w:szCs w:val="24"/>
                <w:highlight w:val="none"/>
                <w:lang w:val="en-US" w:eastAsia="zh-CN" w:bidi="ar"/>
              </w:rPr>
              <w:t xml:space="preserve">项目主要医疗设备和辅助设施见表 </w:t>
            </w:r>
            <w:r>
              <w:rPr>
                <w:rFonts w:hint="default" w:ascii="Times New Roman" w:hAnsi="Times New Roman" w:eastAsia="宋体" w:cs="Times New Roman"/>
                <w:color w:val="auto"/>
                <w:kern w:val="0"/>
                <w:sz w:val="24"/>
                <w:szCs w:val="24"/>
                <w:highlight w:val="none"/>
                <w:lang w:val="en-US" w:eastAsia="zh-CN" w:bidi="ar"/>
              </w:rPr>
              <w:t>2</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4</w:t>
            </w:r>
            <w:r>
              <w:rPr>
                <w:rFonts w:hint="eastAsia" w:ascii="Times New Roman" w:hAnsi="Times New Roman" w:eastAsia="宋体" w:cs="Times New Roman"/>
                <w:color w:val="auto"/>
                <w:kern w:val="0"/>
                <w:sz w:val="24"/>
                <w:szCs w:val="24"/>
                <w:highlight w:val="none"/>
                <w:lang w:val="en-US" w:eastAsia="zh-CN" w:bidi="ar"/>
              </w:rPr>
              <w:t>、表2.5。</w:t>
            </w:r>
          </w:p>
          <w:p>
            <w:pPr>
              <w:adjustRightInd w:val="0"/>
              <w:snapToGrid w:val="0"/>
              <w:ind w:firstLine="482" w:firstLineChars="200"/>
              <w:jc w:val="center"/>
              <w:rPr>
                <w:rFonts w:hint="eastAsia"/>
                <w:b/>
                <w:bCs/>
                <w:color w:val="auto"/>
                <w:highlight w:val="none"/>
                <w:lang w:val="en-US" w:eastAsia="zh-CN"/>
              </w:rPr>
            </w:pPr>
            <w:r>
              <w:rPr>
                <w:rFonts w:hint="eastAsia"/>
                <w:b/>
                <w:bCs/>
                <w:color w:val="auto"/>
                <w:highlight w:val="none"/>
                <w:lang w:val="en-US" w:eastAsia="zh-CN"/>
              </w:rPr>
              <w:t>表2.4 项目主要医疗设备和辅助设施一览表（利旧）</w:t>
            </w:r>
          </w:p>
          <w:tbl>
            <w:tblPr>
              <w:tblStyle w:val="30"/>
              <w:tblW w:w="80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2736"/>
              <w:gridCol w:w="1517"/>
              <w:gridCol w:w="2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adjustRightInd w:val="0"/>
                    <w:snapToGrid w:val="0"/>
                    <w:ind w:left="0" w:leftChars="0" w:firstLine="0" w:firstLineChars="0"/>
                    <w:jc w:val="center"/>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序号</w:t>
                  </w:r>
                </w:p>
              </w:tc>
              <w:tc>
                <w:tcPr>
                  <w:tcW w:w="2736" w:type="dxa"/>
                  <w:vAlign w:val="center"/>
                </w:tcPr>
                <w:p>
                  <w:pPr>
                    <w:adjustRightInd w:val="0"/>
                    <w:snapToGrid w:val="0"/>
                    <w:ind w:left="0" w:leftChars="0" w:firstLine="0" w:firstLineChars="0"/>
                    <w:jc w:val="center"/>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名称</w:t>
                  </w:r>
                </w:p>
              </w:tc>
              <w:tc>
                <w:tcPr>
                  <w:tcW w:w="1517" w:type="dxa"/>
                  <w:vAlign w:val="center"/>
                </w:tcPr>
                <w:p>
                  <w:pPr>
                    <w:adjustRightInd w:val="0"/>
                    <w:snapToGrid w:val="0"/>
                    <w:ind w:left="0" w:leftChars="0" w:firstLine="0" w:firstLineChars="0"/>
                    <w:jc w:val="center"/>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数量（台）</w:t>
                  </w:r>
                </w:p>
              </w:tc>
              <w:tc>
                <w:tcPr>
                  <w:tcW w:w="2530" w:type="dxa"/>
                  <w:vAlign w:val="center"/>
                </w:tcPr>
                <w:p>
                  <w:pPr>
                    <w:adjustRightInd w:val="0"/>
                    <w:snapToGrid w:val="0"/>
                    <w:ind w:left="0" w:leftChars="0" w:firstLine="0" w:firstLineChars="0"/>
                    <w:jc w:val="center"/>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exact"/>
                <w:tblHeader/>
              </w:trPr>
              <w:tc>
                <w:tcPr>
                  <w:tcW w:w="1299" w:type="dxa"/>
                  <w:vAlign w:val="center"/>
                </w:tcPr>
                <w:p>
                  <w:pPr>
                    <w:pStyle w:val="20"/>
                    <w:numPr>
                      <w:ilvl w:val="0"/>
                      <w:numId w:val="0"/>
                    </w:numPr>
                    <w:ind w:left="425" w:leftChars="0" w:hanging="425" w:firstLineChars="0"/>
                    <w:jc w:val="center"/>
                    <w:rPr>
                      <w:rFonts w:hint="eastAsia" w:ascii="宋体" w:hAnsi="宋体" w:eastAsia="宋体" w:cs="宋体"/>
                      <w:color w:val="auto"/>
                      <w:kern w:val="0"/>
                      <w:sz w:val="21"/>
                      <w:szCs w:val="21"/>
                      <w:highlight w:val="none"/>
                      <w:vertAlign w:val="baseline"/>
                      <w:lang w:val="en-US" w:eastAsia="zh-CN" w:bidi="ar-SA"/>
                    </w:rPr>
                  </w:pPr>
                  <w:r>
                    <w:rPr>
                      <w:rFonts w:hint="default" w:ascii="宋体" w:hAnsi="宋体" w:eastAsia="宋体" w:cs="宋体"/>
                      <w:color w:val="auto"/>
                      <w:kern w:val="0"/>
                      <w:sz w:val="21"/>
                      <w:szCs w:val="21"/>
                      <w:highlight w:val="none"/>
                      <w:vertAlign w:val="baseline"/>
                      <w:lang w:val="en-US" w:eastAsia="zh-CN" w:bidi="ar-SA"/>
                    </w:rPr>
                    <w:t>1</w:t>
                  </w:r>
                </w:p>
              </w:tc>
              <w:tc>
                <w:tcPr>
                  <w:tcW w:w="2736"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心电图机</w:t>
                  </w:r>
                </w:p>
              </w:tc>
              <w:tc>
                <w:tcPr>
                  <w:tcW w:w="1517" w:type="dxa"/>
                  <w:vAlign w:val="center"/>
                </w:tcPr>
                <w:p>
                  <w:pPr>
                    <w:numPr>
                      <w:ilvl w:val="0"/>
                      <w:numId w:val="0"/>
                    </w:numPr>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2</w:t>
                  </w:r>
                </w:p>
              </w:tc>
              <w:tc>
                <w:tcPr>
                  <w:tcW w:w="2530" w:type="dxa"/>
                  <w:vAlign w:val="center"/>
                </w:tcPr>
                <w:p>
                  <w:pPr>
                    <w:keepNext w:val="0"/>
                    <w:keepLines w:val="0"/>
                    <w:widowControl/>
                    <w:suppressLineNumbers w:val="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
                    </w:rPr>
                    <w:t>医疗诊断，心电图室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eastAsia" w:ascii="宋体" w:hAnsi="宋体" w:eastAsia="宋体" w:cs="宋体"/>
                      <w:color w:val="auto"/>
                      <w:kern w:val="0"/>
                      <w:sz w:val="21"/>
                      <w:szCs w:val="21"/>
                      <w:highlight w:val="none"/>
                      <w:vertAlign w:val="baseline"/>
                      <w:lang w:val="en-US" w:eastAsia="zh-CN" w:bidi="ar-SA"/>
                    </w:rPr>
                  </w:pPr>
                  <w:r>
                    <w:rPr>
                      <w:rFonts w:hint="default" w:ascii="宋体" w:hAnsi="宋体" w:eastAsia="宋体" w:cs="宋体"/>
                      <w:color w:val="auto"/>
                      <w:kern w:val="0"/>
                      <w:sz w:val="21"/>
                      <w:szCs w:val="21"/>
                      <w:highlight w:val="none"/>
                      <w:vertAlign w:val="baseline"/>
                      <w:lang w:val="en-US" w:eastAsia="zh-CN" w:bidi="ar-SA"/>
                    </w:rPr>
                    <w:t>2</w:t>
                  </w:r>
                </w:p>
              </w:tc>
              <w:tc>
                <w:tcPr>
                  <w:tcW w:w="2736"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全自动五分类血球分析仪</w:t>
                  </w:r>
                </w:p>
              </w:tc>
              <w:tc>
                <w:tcPr>
                  <w:tcW w:w="1517"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2</w:t>
                  </w:r>
                </w:p>
              </w:tc>
              <w:tc>
                <w:tcPr>
                  <w:tcW w:w="2530"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
                    </w:rPr>
                    <w:t>医疗诊断，位于2F化验室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eastAsia" w:ascii="宋体" w:hAnsi="宋体" w:eastAsia="宋体" w:cs="宋体"/>
                      <w:color w:val="auto"/>
                      <w:kern w:val="0"/>
                      <w:sz w:val="21"/>
                      <w:szCs w:val="21"/>
                      <w:highlight w:val="none"/>
                      <w:vertAlign w:val="baseline"/>
                      <w:lang w:val="en-US" w:eastAsia="zh-CN" w:bidi="ar-SA"/>
                    </w:rPr>
                  </w:pPr>
                  <w:r>
                    <w:rPr>
                      <w:rFonts w:hint="default" w:ascii="宋体" w:hAnsi="宋体" w:eastAsia="宋体" w:cs="宋体"/>
                      <w:color w:val="auto"/>
                      <w:kern w:val="0"/>
                      <w:sz w:val="21"/>
                      <w:szCs w:val="21"/>
                      <w:highlight w:val="none"/>
                      <w:vertAlign w:val="baseline"/>
                      <w:lang w:val="en-US" w:eastAsia="zh-CN" w:bidi="ar-SA"/>
                    </w:rPr>
                    <w:t>3</w:t>
                  </w:r>
                </w:p>
              </w:tc>
              <w:tc>
                <w:tcPr>
                  <w:tcW w:w="2736"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彩色超声波诊断仪机</w:t>
                  </w:r>
                </w:p>
              </w:tc>
              <w:tc>
                <w:tcPr>
                  <w:tcW w:w="1517"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1</w:t>
                  </w:r>
                </w:p>
              </w:tc>
              <w:tc>
                <w:tcPr>
                  <w:tcW w:w="2530"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
                    </w:rPr>
                    <w:t>医疗诊断，位于2F彩超室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eastAsia" w:ascii="宋体" w:hAnsi="宋体" w:eastAsia="宋体" w:cs="宋体"/>
                      <w:color w:val="auto"/>
                      <w:kern w:val="0"/>
                      <w:sz w:val="21"/>
                      <w:szCs w:val="21"/>
                      <w:highlight w:val="none"/>
                      <w:vertAlign w:val="baseline"/>
                      <w:lang w:val="en-US" w:eastAsia="zh-CN" w:bidi="ar-SA"/>
                    </w:rPr>
                  </w:pPr>
                  <w:r>
                    <w:rPr>
                      <w:rFonts w:hint="default" w:ascii="宋体" w:hAnsi="宋体" w:eastAsia="宋体" w:cs="宋体"/>
                      <w:color w:val="auto"/>
                      <w:kern w:val="0"/>
                      <w:sz w:val="21"/>
                      <w:szCs w:val="21"/>
                      <w:highlight w:val="none"/>
                      <w:vertAlign w:val="baseline"/>
                      <w:lang w:val="en-US" w:eastAsia="zh-CN" w:bidi="ar-SA"/>
                    </w:rPr>
                    <w:t>4</w:t>
                  </w:r>
                </w:p>
              </w:tc>
              <w:tc>
                <w:tcPr>
                  <w:tcW w:w="2736"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尿标本分析仪器</w:t>
                  </w:r>
                </w:p>
              </w:tc>
              <w:tc>
                <w:tcPr>
                  <w:tcW w:w="1517"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2</w:t>
                  </w:r>
                </w:p>
              </w:tc>
              <w:tc>
                <w:tcPr>
                  <w:tcW w:w="2530"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
                    </w:rPr>
                    <w:t>医疗诊断，位于2F化验室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eastAsia" w:ascii="宋体" w:hAnsi="宋体" w:eastAsia="宋体" w:cs="宋体"/>
                      <w:color w:val="auto"/>
                      <w:kern w:val="0"/>
                      <w:sz w:val="21"/>
                      <w:szCs w:val="21"/>
                      <w:highlight w:val="none"/>
                      <w:vertAlign w:val="baseline"/>
                      <w:lang w:val="en-US" w:eastAsia="zh-CN" w:bidi="ar-SA"/>
                    </w:rPr>
                  </w:pPr>
                  <w:r>
                    <w:rPr>
                      <w:rFonts w:hint="default" w:ascii="宋体" w:hAnsi="宋体" w:eastAsia="宋体" w:cs="宋体"/>
                      <w:color w:val="auto"/>
                      <w:kern w:val="0"/>
                      <w:sz w:val="21"/>
                      <w:szCs w:val="21"/>
                      <w:highlight w:val="none"/>
                      <w:vertAlign w:val="baseline"/>
                      <w:lang w:val="en-US" w:eastAsia="zh-CN" w:bidi="ar-SA"/>
                    </w:rPr>
                    <w:t>5</w:t>
                  </w:r>
                </w:p>
              </w:tc>
              <w:tc>
                <w:tcPr>
                  <w:tcW w:w="2736"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电解质分析仪器</w:t>
                  </w:r>
                </w:p>
              </w:tc>
              <w:tc>
                <w:tcPr>
                  <w:tcW w:w="1517"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1</w:t>
                  </w:r>
                </w:p>
              </w:tc>
              <w:tc>
                <w:tcPr>
                  <w:tcW w:w="2530"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
                    </w:rPr>
                    <w:t>医疗诊断，位于2F化验室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eastAsia" w:ascii="宋体" w:hAnsi="宋体" w:eastAsia="宋体" w:cs="宋体"/>
                      <w:color w:val="auto"/>
                      <w:kern w:val="0"/>
                      <w:sz w:val="21"/>
                      <w:szCs w:val="21"/>
                      <w:highlight w:val="none"/>
                      <w:vertAlign w:val="baseline"/>
                      <w:lang w:val="en-US" w:eastAsia="zh-CN" w:bidi="ar-SA"/>
                    </w:rPr>
                  </w:pPr>
                  <w:r>
                    <w:rPr>
                      <w:rFonts w:hint="default" w:ascii="宋体" w:hAnsi="宋体" w:eastAsia="宋体" w:cs="宋体"/>
                      <w:color w:val="auto"/>
                      <w:kern w:val="0"/>
                      <w:sz w:val="21"/>
                      <w:szCs w:val="21"/>
                      <w:highlight w:val="none"/>
                      <w:vertAlign w:val="baseline"/>
                      <w:lang w:val="en-US" w:eastAsia="zh-CN" w:bidi="ar-SA"/>
                    </w:rPr>
                    <w:t>6</w:t>
                  </w:r>
                </w:p>
              </w:tc>
              <w:tc>
                <w:tcPr>
                  <w:tcW w:w="2736"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500MA照光机</w:t>
                  </w:r>
                </w:p>
              </w:tc>
              <w:tc>
                <w:tcPr>
                  <w:tcW w:w="1517"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1</w:t>
                  </w:r>
                </w:p>
              </w:tc>
              <w:tc>
                <w:tcPr>
                  <w:tcW w:w="2530" w:type="dxa"/>
                  <w:vAlign w:val="center"/>
                </w:tcPr>
                <w:p>
                  <w:pPr>
                    <w:keepNext w:val="0"/>
                    <w:keepLines w:val="0"/>
                    <w:widowControl/>
                    <w:suppressLineNumbers w:val="0"/>
                    <w:ind w:left="0" w:leftChars="0" w:firstLine="0" w:firstLineChars="0"/>
                    <w:jc w:val="left"/>
                    <w:rPr>
                      <w:rFonts w:hint="default"/>
                      <w:color w:val="auto"/>
                      <w:sz w:val="21"/>
                      <w:szCs w:val="21"/>
                      <w:highlight w:val="none"/>
                      <w:lang w:val="en-US"/>
                    </w:rPr>
                  </w:pPr>
                  <w:r>
                    <w:rPr>
                      <w:rFonts w:hint="eastAsia" w:ascii="宋体" w:hAnsi="宋体" w:eastAsia="宋体" w:cs="宋体"/>
                      <w:color w:val="auto"/>
                      <w:kern w:val="0"/>
                      <w:sz w:val="21"/>
                      <w:szCs w:val="21"/>
                      <w:highlight w:val="none"/>
                      <w:lang w:val="en-US" w:eastAsia="zh-CN" w:bidi="ar"/>
                    </w:rPr>
                    <w:t>医疗诊断，位于2F</w:t>
                  </w:r>
                  <w:r>
                    <w:rPr>
                      <w:rFonts w:hint="eastAsia" w:ascii="宋体" w:hAnsi="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DR室</w:t>
                  </w:r>
                </w:p>
                <w:p>
                  <w:pPr>
                    <w:keepNext w:val="0"/>
                    <w:keepLines w:val="0"/>
                    <w:widowControl/>
                    <w:suppressLineNumbers w:val="0"/>
                    <w:jc w:val="left"/>
                    <w:rPr>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1F </w:t>
                  </w:r>
                  <w:r>
                    <w:rPr>
                      <w:rFonts w:hint="eastAsia" w:ascii="宋体" w:hAnsi="宋体" w:eastAsia="宋体" w:cs="宋体"/>
                      <w:color w:val="auto"/>
                      <w:kern w:val="0"/>
                      <w:sz w:val="21"/>
                      <w:szCs w:val="21"/>
                      <w:highlight w:val="none"/>
                      <w:lang w:val="en-US" w:eastAsia="zh-CN" w:bidi="ar"/>
                    </w:rPr>
                    <w:t xml:space="preserve">的 </w:t>
                  </w:r>
                  <w:r>
                    <w:rPr>
                      <w:rFonts w:hint="default" w:ascii="Times New Roman" w:hAnsi="Times New Roman" w:eastAsia="宋体" w:cs="Times New Roman"/>
                      <w:color w:val="auto"/>
                      <w:kern w:val="0"/>
                      <w:sz w:val="21"/>
                      <w:szCs w:val="21"/>
                      <w:highlight w:val="none"/>
                      <w:lang w:val="en-US" w:eastAsia="zh-CN" w:bidi="ar"/>
                    </w:rPr>
                    <w:t xml:space="preserve">DR </w:t>
                  </w:r>
                  <w:r>
                    <w:rPr>
                      <w:rFonts w:hint="eastAsia" w:ascii="宋体" w:hAnsi="宋体" w:eastAsia="宋体" w:cs="宋体"/>
                      <w:color w:val="auto"/>
                      <w:kern w:val="0"/>
                      <w:sz w:val="21"/>
                      <w:szCs w:val="21"/>
                      <w:highlight w:val="none"/>
                      <w:lang w:val="en-US" w:eastAsia="zh-CN" w:bidi="ar"/>
                    </w:rPr>
                    <w:t>室</w:t>
                  </w:r>
                </w:p>
                <w:p>
                  <w:pPr>
                    <w:pStyle w:val="20"/>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eastAsia" w:ascii="宋体" w:hAnsi="宋体" w:eastAsia="宋体" w:cs="宋体"/>
                      <w:color w:val="auto"/>
                      <w:kern w:val="0"/>
                      <w:sz w:val="21"/>
                      <w:szCs w:val="21"/>
                      <w:highlight w:val="none"/>
                      <w:vertAlign w:val="baseline"/>
                      <w:lang w:val="en-US" w:eastAsia="zh-CN" w:bidi="ar-SA"/>
                    </w:rPr>
                  </w:pPr>
                  <w:r>
                    <w:rPr>
                      <w:rFonts w:hint="default" w:ascii="宋体" w:hAnsi="宋体" w:eastAsia="宋体" w:cs="宋体"/>
                      <w:color w:val="auto"/>
                      <w:kern w:val="0"/>
                      <w:sz w:val="21"/>
                      <w:szCs w:val="21"/>
                      <w:highlight w:val="none"/>
                      <w:vertAlign w:val="baseline"/>
                      <w:lang w:val="en-US" w:eastAsia="zh-CN" w:bidi="ar-SA"/>
                    </w:rPr>
                    <w:t>7</w:t>
                  </w:r>
                </w:p>
              </w:tc>
              <w:tc>
                <w:tcPr>
                  <w:tcW w:w="2736"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全自动生化分析仪</w:t>
                  </w:r>
                </w:p>
              </w:tc>
              <w:tc>
                <w:tcPr>
                  <w:tcW w:w="1517"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1</w:t>
                  </w:r>
                </w:p>
              </w:tc>
              <w:tc>
                <w:tcPr>
                  <w:tcW w:w="2530" w:type="dxa"/>
                  <w:vAlign w:val="center"/>
                </w:tcPr>
                <w:p>
                  <w:pPr>
                    <w:pStyle w:val="20"/>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
                    </w:rPr>
                    <w:t>医疗诊断，位于2F化验室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eastAsia" w:ascii="宋体" w:hAnsi="宋体" w:eastAsia="宋体" w:cs="宋体"/>
                      <w:color w:val="auto"/>
                      <w:kern w:val="0"/>
                      <w:sz w:val="21"/>
                      <w:szCs w:val="21"/>
                      <w:highlight w:val="none"/>
                      <w:vertAlign w:val="baseline"/>
                      <w:lang w:val="en-US" w:eastAsia="zh-CN" w:bidi="ar-SA"/>
                    </w:rPr>
                  </w:pPr>
                  <w:r>
                    <w:rPr>
                      <w:rFonts w:hint="default" w:ascii="宋体" w:hAnsi="宋体" w:eastAsia="宋体" w:cs="宋体"/>
                      <w:color w:val="auto"/>
                      <w:kern w:val="0"/>
                      <w:sz w:val="21"/>
                      <w:szCs w:val="21"/>
                      <w:highlight w:val="none"/>
                      <w:vertAlign w:val="baseline"/>
                      <w:lang w:val="en-US" w:eastAsia="zh-CN" w:bidi="ar-SA"/>
                    </w:rPr>
                    <w:t>8</w:t>
                  </w:r>
                </w:p>
              </w:tc>
              <w:tc>
                <w:tcPr>
                  <w:tcW w:w="2736"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心电监护仪</w:t>
                  </w:r>
                </w:p>
              </w:tc>
              <w:tc>
                <w:tcPr>
                  <w:tcW w:w="1517"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4</w:t>
                  </w:r>
                </w:p>
              </w:tc>
              <w:tc>
                <w:tcPr>
                  <w:tcW w:w="2530" w:type="dxa"/>
                  <w:vAlign w:val="center"/>
                </w:tcPr>
                <w:p>
                  <w:pPr>
                    <w:pStyle w:val="20"/>
                    <w:ind w:left="0" w:leftChars="0" w:firstLine="0" w:firstLineChars="0"/>
                    <w:jc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位于3F、4F病房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eastAsia" w:ascii="宋体" w:hAnsi="宋体" w:eastAsia="宋体" w:cs="宋体"/>
                      <w:color w:val="auto"/>
                      <w:kern w:val="0"/>
                      <w:sz w:val="21"/>
                      <w:szCs w:val="21"/>
                      <w:highlight w:val="none"/>
                      <w:vertAlign w:val="baseline"/>
                      <w:lang w:val="en-US" w:eastAsia="zh-CN" w:bidi="ar-SA"/>
                    </w:rPr>
                  </w:pPr>
                  <w:r>
                    <w:rPr>
                      <w:rFonts w:hint="default" w:ascii="宋体" w:hAnsi="宋体" w:eastAsia="宋体" w:cs="宋体"/>
                      <w:color w:val="auto"/>
                      <w:kern w:val="0"/>
                      <w:sz w:val="21"/>
                      <w:szCs w:val="21"/>
                      <w:highlight w:val="none"/>
                      <w:vertAlign w:val="baseline"/>
                      <w:lang w:val="en-US" w:eastAsia="zh-CN" w:bidi="ar-SA"/>
                    </w:rPr>
                    <w:t>9</w:t>
                  </w:r>
                </w:p>
              </w:tc>
              <w:tc>
                <w:tcPr>
                  <w:tcW w:w="2736"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多功能治疗仪</w:t>
                  </w:r>
                </w:p>
              </w:tc>
              <w:tc>
                <w:tcPr>
                  <w:tcW w:w="1517"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5</w:t>
                  </w:r>
                </w:p>
              </w:tc>
              <w:tc>
                <w:tcPr>
                  <w:tcW w:w="2530" w:type="dxa"/>
                  <w:vAlign w:val="center"/>
                </w:tcPr>
                <w:p>
                  <w:pPr>
                    <w:pStyle w:val="20"/>
                    <w:ind w:left="0" w:leftChars="0" w:firstLine="0" w:firstLineChars="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医疗诊断，位于2F理疗室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eastAsia" w:ascii="宋体" w:hAnsi="宋体" w:eastAsia="宋体" w:cs="宋体"/>
                      <w:color w:val="auto"/>
                      <w:kern w:val="0"/>
                      <w:sz w:val="21"/>
                      <w:szCs w:val="21"/>
                      <w:highlight w:val="none"/>
                      <w:vertAlign w:val="baseline"/>
                      <w:lang w:val="en-US" w:eastAsia="zh-CN" w:bidi="ar-SA"/>
                    </w:rPr>
                  </w:pPr>
                  <w:r>
                    <w:rPr>
                      <w:rFonts w:hint="default" w:ascii="宋体" w:hAnsi="宋体" w:eastAsia="宋体" w:cs="宋体"/>
                      <w:color w:val="auto"/>
                      <w:kern w:val="0"/>
                      <w:sz w:val="21"/>
                      <w:szCs w:val="21"/>
                      <w:highlight w:val="none"/>
                      <w:vertAlign w:val="baseline"/>
                      <w:lang w:val="en-US" w:eastAsia="zh-CN" w:bidi="ar-SA"/>
                    </w:rPr>
                    <w:t>10</w:t>
                  </w:r>
                </w:p>
              </w:tc>
              <w:tc>
                <w:tcPr>
                  <w:tcW w:w="2736"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中频治疗仪</w:t>
                  </w:r>
                </w:p>
              </w:tc>
              <w:tc>
                <w:tcPr>
                  <w:tcW w:w="1517"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7</w:t>
                  </w:r>
                </w:p>
              </w:tc>
              <w:tc>
                <w:tcPr>
                  <w:tcW w:w="2530" w:type="dxa"/>
                  <w:vAlign w:val="center"/>
                </w:tcPr>
                <w:p>
                  <w:pPr>
                    <w:pStyle w:val="20"/>
                    <w:ind w:left="0" w:leftChars="0" w:firstLine="0" w:firstLineChars="0"/>
                    <w:jc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医疗诊断，位于2F理疗室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eastAsia" w:ascii="宋体" w:hAnsi="宋体" w:eastAsia="宋体" w:cs="宋体"/>
                      <w:color w:val="auto"/>
                      <w:kern w:val="0"/>
                      <w:sz w:val="21"/>
                      <w:szCs w:val="21"/>
                      <w:highlight w:val="none"/>
                      <w:vertAlign w:val="baseline"/>
                      <w:lang w:val="en-US" w:eastAsia="zh-CN" w:bidi="ar-SA"/>
                    </w:rPr>
                  </w:pPr>
                  <w:r>
                    <w:rPr>
                      <w:rFonts w:hint="default" w:ascii="宋体" w:hAnsi="宋体" w:eastAsia="宋体" w:cs="宋体"/>
                      <w:color w:val="auto"/>
                      <w:kern w:val="0"/>
                      <w:sz w:val="21"/>
                      <w:szCs w:val="21"/>
                      <w:highlight w:val="none"/>
                      <w:vertAlign w:val="baseline"/>
                      <w:lang w:val="en-US" w:eastAsia="zh-CN" w:bidi="ar-SA"/>
                    </w:rPr>
                    <w:t>11</w:t>
                  </w:r>
                </w:p>
              </w:tc>
              <w:tc>
                <w:tcPr>
                  <w:tcW w:w="2736"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高流量湿化氧疗系统</w:t>
                  </w:r>
                </w:p>
              </w:tc>
              <w:tc>
                <w:tcPr>
                  <w:tcW w:w="1517"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p>
              </w:tc>
              <w:tc>
                <w:tcPr>
                  <w:tcW w:w="2530" w:type="dxa"/>
                  <w:vMerge w:val="restart"/>
                  <w:vAlign w:val="center"/>
                </w:tcPr>
                <w:p>
                  <w:pPr>
                    <w:pStyle w:val="20"/>
                    <w:ind w:left="0" w:leftChars="0" w:firstLine="0" w:firstLineChars="0"/>
                    <w:jc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位于3F、4F病房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eastAsia" w:ascii="宋体" w:hAnsi="宋体" w:eastAsia="宋体" w:cs="宋体"/>
                      <w:color w:val="auto"/>
                      <w:kern w:val="0"/>
                      <w:sz w:val="21"/>
                      <w:szCs w:val="21"/>
                      <w:highlight w:val="none"/>
                      <w:vertAlign w:val="baseline"/>
                      <w:lang w:val="en-US" w:eastAsia="zh-CN" w:bidi="ar-SA"/>
                    </w:rPr>
                  </w:pPr>
                  <w:r>
                    <w:rPr>
                      <w:rFonts w:hint="default" w:ascii="宋体" w:hAnsi="宋体" w:eastAsia="宋体" w:cs="宋体"/>
                      <w:color w:val="auto"/>
                      <w:kern w:val="0"/>
                      <w:sz w:val="21"/>
                      <w:szCs w:val="21"/>
                      <w:highlight w:val="none"/>
                      <w:vertAlign w:val="baseline"/>
                      <w:lang w:val="en-US" w:eastAsia="zh-CN" w:bidi="ar-SA"/>
                    </w:rPr>
                    <w:t>12</w:t>
                  </w:r>
                </w:p>
              </w:tc>
              <w:tc>
                <w:tcPr>
                  <w:tcW w:w="2736"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呼吸机</w:t>
                  </w:r>
                </w:p>
              </w:tc>
              <w:tc>
                <w:tcPr>
                  <w:tcW w:w="1517"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p>
              </w:tc>
              <w:tc>
                <w:tcPr>
                  <w:tcW w:w="2530" w:type="dxa"/>
                  <w:vMerge w:val="continue"/>
                  <w:vAlign w:val="center"/>
                </w:tcPr>
                <w:p>
                  <w:pPr>
                    <w:pStyle w:val="20"/>
                    <w:ind w:left="0" w:leftChars="0" w:firstLine="0" w:firstLineChars="0"/>
                    <w:jc w:val="center"/>
                    <w:rPr>
                      <w:rFonts w:hint="eastAsia" w:ascii="宋体" w:hAnsi="宋体" w:eastAsia="宋体" w:cs="宋体"/>
                      <w:color w:val="auto"/>
                      <w:kern w:val="0"/>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eastAsia" w:ascii="宋体" w:hAnsi="宋体" w:eastAsia="宋体" w:cs="宋体"/>
                      <w:color w:val="auto"/>
                      <w:kern w:val="0"/>
                      <w:sz w:val="21"/>
                      <w:szCs w:val="21"/>
                      <w:highlight w:val="none"/>
                      <w:vertAlign w:val="baseline"/>
                      <w:lang w:val="en-US" w:eastAsia="zh-CN" w:bidi="ar-SA"/>
                    </w:rPr>
                  </w:pPr>
                  <w:r>
                    <w:rPr>
                      <w:rFonts w:hint="default" w:ascii="宋体" w:hAnsi="宋体" w:eastAsia="宋体" w:cs="宋体"/>
                      <w:color w:val="auto"/>
                      <w:kern w:val="0"/>
                      <w:sz w:val="21"/>
                      <w:szCs w:val="21"/>
                      <w:highlight w:val="none"/>
                      <w:vertAlign w:val="baseline"/>
                      <w:lang w:val="en-US" w:eastAsia="zh-CN" w:bidi="ar-SA"/>
                    </w:rPr>
                    <w:t>13</w:t>
                  </w:r>
                </w:p>
              </w:tc>
              <w:tc>
                <w:tcPr>
                  <w:tcW w:w="2736"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除颤仪</w:t>
                  </w:r>
                </w:p>
              </w:tc>
              <w:tc>
                <w:tcPr>
                  <w:tcW w:w="1517"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1</w:t>
                  </w:r>
                </w:p>
              </w:tc>
              <w:tc>
                <w:tcPr>
                  <w:tcW w:w="2530" w:type="dxa"/>
                  <w:vMerge w:val="continue"/>
                  <w:vAlign w:val="center"/>
                </w:tcPr>
                <w:p>
                  <w:pPr>
                    <w:pStyle w:val="20"/>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eastAsia" w:ascii="宋体" w:hAnsi="宋体" w:eastAsia="宋体" w:cs="宋体"/>
                      <w:color w:val="auto"/>
                      <w:kern w:val="0"/>
                      <w:sz w:val="21"/>
                      <w:szCs w:val="21"/>
                      <w:highlight w:val="none"/>
                      <w:vertAlign w:val="baseline"/>
                      <w:lang w:val="en-US" w:eastAsia="zh-CN" w:bidi="ar-SA"/>
                    </w:rPr>
                  </w:pPr>
                  <w:r>
                    <w:rPr>
                      <w:rFonts w:hint="default" w:ascii="宋体" w:hAnsi="宋体" w:eastAsia="宋体" w:cs="宋体"/>
                      <w:color w:val="auto"/>
                      <w:kern w:val="0"/>
                      <w:sz w:val="21"/>
                      <w:szCs w:val="21"/>
                      <w:highlight w:val="none"/>
                      <w:vertAlign w:val="baseline"/>
                      <w:lang w:val="en-US" w:eastAsia="zh-CN" w:bidi="ar-SA"/>
                    </w:rPr>
                    <w:t>14</w:t>
                  </w:r>
                </w:p>
              </w:tc>
              <w:tc>
                <w:tcPr>
                  <w:tcW w:w="2736"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床旁监护仪</w:t>
                  </w:r>
                </w:p>
              </w:tc>
              <w:tc>
                <w:tcPr>
                  <w:tcW w:w="1517"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4</w:t>
                  </w:r>
                </w:p>
              </w:tc>
              <w:tc>
                <w:tcPr>
                  <w:tcW w:w="2530" w:type="dxa"/>
                  <w:vMerge w:val="continue"/>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eastAsia" w:ascii="宋体" w:hAnsi="宋体" w:eastAsia="宋体" w:cs="宋体"/>
                      <w:color w:val="auto"/>
                      <w:kern w:val="0"/>
                      <w:sz w:val="21"/>
                      <w:szCs w:val="21"/>
                      <w:highlight w:val="none"/>
                      <w:vertAlign w:val="baseline"/>
                      <w:lang w:val="en-US" w:eastAsia="zh-CN" w:bidi="ar-SA"/>
                    </w:rPr>
                  </w:pPr>
                  <w:r>
                    <w:rPr>
                      <w:rFonts w:hint="default" w:ascii="宋体" w:hAnsi="宋体" w:eastAsia="宋体" w:cs="宋体"/>
                      <w:color w:val="auto"/>
                      <w:kern w:val="0"/>
                      <w:sz w:val="21"/>
                      <w:szCs w:val="21"/>
                      <w:highlight w:val="none"/>
                      <w:vertAlign w:val="baseline"/>
                      <w:lang w:val="en-US" w:eastAsia="zh-CN" w:bidi="ar-SA"/>
                    </w:rPr>
                    <w:t>15</w:t>
                  </w:r>
                </w:p>
              </w:tc>
              <w:tc>
                <w:tcPr>
                  <w:tcW w:w="2736"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压缩式雾化吸入器</w:t>
                  </w:r>
                </w:p>
              </w:tc>
              <w:tc>
                <w:tcPr>
                  <w:tcW w:w="1517" w:type="dxa"/>
                  <w:vAlign w:val="center"/>
                </w:tcPr>
                <w:p>
                  <w:pPr>
                    <w:numPr>
                      <w:ilvl w:val="0"/>
                      <w:numId w:val="0"/>
                    </w:numPr>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7</w:t>
                  </w:r>
                </w:p>
              </w:tc>
              <w:tc>
                <w:tcPr>
                  <w:tcW w:w="2530" w:type="dxa"/>
                  <w:vMerge w:val="continue"/>
                  <w:vAlign w:val="center"/>
                </w:tcPr>
                <w:p>
                  <w:pPr>
                    <w:pStyle w:val="20"/>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exact"/>
                <w:tblHeader/>
              </w:trPr>
              <w:tc>
                <w:tcPr>
                  <w:tcW w:w="1299" w:type="dxa"/>
                  <w:vAlign w:val="center"/>
                </w:tcPr>
                <w:p>
                  <w:pPr>
                    <w:pStyle w:val="20"/>
                    <w:numPr>
                      <w:ilvl w:val="0"/>
                      <w:numId w:val="0"/>
                    </w:numPr>
                    <w:ind w:left="425" w:leftChars="0" w:hanging="425"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16</w:t>
                  </w:r>
                </w:p>
              </w:tc>
              <w:tc>
                <w:tcPr>
                  <w:tcW w:w="2736"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蒸汽式高压灭菌锅</w:t>
                  </w:r>
                </w:p>
              </w:tc>
              <w:tc>
                <w:tcPr>
                  <w:tcW w:w="1517"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1</w:t>
                  </w:r>
                </w:p>
              </w:tc>
              <w:tc>
                <w:tcPr>
                  <w:tcW w:w="2530" w:type="dxa"/>
                  <w:vAlign w:val="center"/>
                </w:tcPr>
                <w:p>
                  <w:pPr>
                    <w:keepNext w:val="0"/>
                    <w:keepLines w:val="0"/>
                    <w:widowControl/>
                    <w:suppressLineNumbers w:val="0"/>
                    <w:ind w:left="0" w:leftChars="0" w:firstLine="0" w:firstLineChars="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全院手术用具及设备</w:t>
                  </w:r>
                </w:p>
                <w:p>
                  <w:pPr>
                    <w:pStyle w:val="20"/>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p>
              </w:tc>
            </w:tr>
          </w:tbl>
          <w:p>
            <w:pPr>
              <w:pStyle w:val="3"/>
              <w:bidi w:val="0"/>
              <w:jc w:val="center"/>
              <w:rPr>
                <w:rFonts w:hint="eastAsia" w:ascii="宋体" w:hAnsi="宋体" w:eastAsia="宋体" w:cs="宋体"/>
                <w:color w:val="auto"/>
                <w:highlight w:val="none"/>
                <w:lang w:val="en-US" w:eastAsia="zh-CN"/>
              </w:rPr>
            </w:pPr>
            <w:r>
              <w:rPr>
                <w:rFonts w:hint="eastAsia"/>
                <w:b/>
                <w:bCs/>
                <w:color w:val="auto"/>
                <w:highlight w:val="none"/>
                <w:lang w:val="en-US" w:eastAsia="zh-CN"/>
              </w:rPr>
              <w:t>表</w:t>
            </w:r>
            <w:r>
              <w:rPr>
                <w:rFonts w:hint="eastAsia" w:ascii="Times New Roman" w:hAnsi="Times New Roman" w:eastAsia="宋体" w:cs="Times New Roman"/>
                <w:b/>
                <w:bCs/>
                <w:color w:val="auto"/>
                <w:kern w:val="2"/>
                <w:sz w:val="24"/>
                <w:szCs w:val="24"/>
                <w:highlight w:val="none"/>
                <w:lang w:val="en-US" w:eastAsia="zh-CN" w:bidi="ar-SA"/>
              </w:rPr>
              <w:t>2.</w:t>
            </w:r>
            <w:r>
              <w:rPr>
                <w:rFonts w:hint="eastAsia" w:ascii="Times New Roman" w:hAnsi="Times New Roman" w:cs="Times New Roman"/>
                <w:b/>
                <w:bCs/>
                <w:color w:val="auto"/>
                <w:kern w:val="2"/>
                <w:sz w:val="24"/>
                <w:szCs w:val="24"/>
                <w:highlight w:val="none"/>
                <w:lang w:val="en-US" w:eastAsia="zh-CN" w:bidi="ar-SA"/>
              </w:rPr>
              <w:t>5</w:t>
            </w:r>
            <w:r>
              <w:rPr>
                <w:rFonts w:hint="eastAsia"/>
                <w:b/>
                <w:bCs/>
                <w:color w:val="auto"/>
                <w:highlight w:val="none"/>
                <w:lang w:val="en-US" w:eastAsia="zh-CN"/>
              </w:rPr>
              <w:t xml:space="preserve"> 项目主要医疗设备和辅助设施一览表（新增）</w:t>
            </w:r>
          </w:p>
          <w:tbl>
            <w:tblPr>
              <w:tblStyle w:val="30"/>
              <w:tblW w:w="80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2736"/>
              <w:gridCol w:w="1397"/>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adjustRightInd w:val="0"/>
                    <w:snapToGrid w:val="0"/>
                    <w:ind w:left="0" w:leftChars="0" w:firstLine="0" w:firstLineChars="0"/>
                    <w:jc w:val="center"/>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序号</w:t>
                  </w:r>
                </w:p>
              </w:tc>
              <w:tc>
                <w:tcPr>
                  <w:tcW w:w="2736" w:type="dxa"/>
                  <w:vAlign w:val="center"/>
                </w:tcPr>
                <w:p>
                  <w:pPr>
                    <w:adjustRightInd w:val="0"/>
                    <w:snapToGrid w:val="0"/>
                    <w:ind w:left="0" w:leftChars="0" w:firstLine="0" w:firstLineChars="0"/>
                    <w:jc w:val="center"/>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名称</w:t>
                  </w:r>
                </w:p>
              </w:tc>
              <w:tc>
                <w:tcPr>
                  <w:tcW w:w="1397" w:type="dxa"/>
                  <w:vAlign w:val="center"/>
                </w:tcPr>
                <w:p>
                  <w:pPr>
                    <w:adjustRightInd w:val="0"/>
                    <w:snapToGrid w:val="0"/>
                    <w:ind w:left="0" w:leftChars="0" w:firstLine="0" w:firstLineChars="0"/>
                    <w:jc w:val="center"/>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数量（台）</w:t>
                  </w:r>
                </w:p>
              </w:tc>
              <w:tc>
                <w:tcPr>
                  <w:tcW w:w="2650" w:type="dxa"/>
                  <w:vAlign w:val="center"/>
                </w:tcPr>
                <w:p>
                  <w:pPr>
                    <w:adjustRightInd w:val="0"/>
                    <w:snapToGrid w:val="0"/>
                    <w:ind w:left="0" w:leftChars="0" w:firstLine="0" w:firstLineChars="0"/>
                    <w:jc w:val="center"/>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tabs>
                      <w:tab w:val="center" w:pos="601"/>
                      <w:tab w:val="left" w:pos="831"/>
                    </w:tabs>
                    <w:ind w:left="425" w:leftChars="0" w:hanging="425"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1</w:t>
                  </w:r>
                </w:p>
              </w:tc>
              <w:tc>
                <w:tcPr>
                  <w:tcW w:w="2736"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DR工作站</w:t>
                  </w:r>
                </w:p>
              </w:tc>
              <w:tc>
                <w:tcPr>
                  <w:tcW w:w="1397" w:type="dxa"/>
                  <w:vAlign w:val="center"/>
                </w:tcPr>
                <w:p>
                  <w:pPr>
                    <w:numPr>
                      <w:ilvl w:val="0"/>
                      <w:numId w:val="0"/>
                    </w:numPr>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1</w:t>
                  </w:r>
                </w:p>
              </w:tc>
              <w:tc>
                <w:tcPr>
                  <w:tcW w:w="2650"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DR室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4" w:hRule="exact"/>
                <w:tblHeader/>
              </w:trPr>
              <w:tc>
                <w:tcPr>
                  <w:tcW w:w="1299" w:type="dxa"/>
                  <w:vAlign w:val="center"/>
                </w:tcPr>
                <w:p>
                  <w:pPr>
                    <w:pStyle w:val="20"/>
                    <w:numPr>
                      <w:ilvl w:val="0"/>
                      <w:numId w:val="0"/>
                    </w:numPr>
                    <w:ind w:left="425" w:leftChars="0" w:hanging="425"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2</w:t>
                  </w:r>
                </w:p>
              </w:tc>
              <w:tc>
                <w:tcPr>
                  <w:tcW w:w="2736"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vertAlign w:val="baseline"/>
                      <w:lang w:val="en-US" w:eastAsia="zh-CN" w:bidi="ar-SA"/>
                    </w:rPr>
                    <w:t>医疗废水一体化处理设备</w:t>
                  </w:r>
                </w:p>
              </w:tc>
              <w:tc>
                <w:tcPr>
                  <w:tcW w:w="1397"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1</w:t>
                  </w:r>
                </w:p>
              </w:tc>
              <w:tc>
                <w:tcPr>
                  <w:tcW w:w="2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设计处理规模36m</w:t>
                  </w:r>
                  <w:r>
                    <w:rPr>
                      <w:rFonts w:hint="eastAsia" w:ascii="宋体" w:hAnsi="宋体" w:cs="宋体"/>
                      <w:color w:val="auto"/>
                      <w:kern w:val="0"/>
                      <w:sz w:val="21"/>
                      <w:szCs w:val="21"/>
                      <w:highlight w:val="none"/>
                      <w:vertAlign w:val="superscript"/>
                      <w:lang w:val="en-US" w:eastAsia="zh-CN" w:bidi="ar-SA"/>
                    </w:rPr>
                    <w:t>3</w:t>
                  </w:r>
                  <w:r>
                    <w:rPr>
                      <w:rFonts w:hint="eastAsia" w:ascii="宋体" w:hAnsi="宋体" w:cs="宋体"/>
                      <w:color w:val="auto"/>
                      <w:kern w:val="0"/>
                      <w:sz w:val="21"/>
                      <w:szCs w:val="21"/>
                      <w:highlight w:val="none"/>
                      <w:vertAlign w:val="baseline"/>
                      <w:lang w:val="en-US" w:eastAsia="zh-CN" w:bidi="ar-SA"/>
                    </w:rPr>
                    <w:t>/d，采用地埋式结构，用于处理医院废水及生活污水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3</w:t>
                  </w:r>
                </w:p>
              </w:tc>
              <w:tc>
                <w:tcPr>
                  <w:tcW w:w="2736" w:type="dxa"/>
                  <w:vAlign w:val="center"/>
                </w:tcPr>
                <w:p>
                  <w:pPr>
                    <w:numPr>
                      <w:ilvl w:val="0"/>
                      <w:numId w:val="0"/>
                    </w:numPr>
                    <w:ind w:left="0" w:leftChars="0"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显微镜</w:t>
                  </w:r>
                </w:p>
              </w:tc>
              <w:tc>
                <w:tcPr>
                  <w:tcW w:w="1397"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1</w:t>
                  </w:r>
                </w:p>
              </w:tc>
              <w:tc>
                <w:tcPr>
                  <w:tcW w:w="2650" w:type="dxa"/>
                  <w:vMerge w:val="restart"/>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
                    </w:rPr>
                    <w:t>医疗诊断，位于2F化验室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4</w:t>
                  </w:r>
                </w:p>
              </w:tc>
              <w:tc>
                <w:tcPr>
                  <w:tcW w:w="2736" w:type="dxa"/>
                  <w:vAlign w:val="center"/>
                </w:tcPr>
                <w:p>
                  <w:pPr>
                    <w:pStyle w:val="20"/>
                    <w:ind w:left="0" w:leftChars="0"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离心机</w:t>
                  </w:r>
                </w:p>
              </w:tc>
              <w:tc>
                <w:tcPr>
                  <w:tcW w:w="1397"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1</w:t>
                  </w:r>
                </w:p>
              </w:tc>
              <w:tc>
                <w:tcPr>
                  <w:tcW w:w="2650" w:type="dxa"/>
                  <w:vMerge w:val="continue"/>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5</w:t>
                  </w:r>
                </w:p>
              </w:tc>
              <w:tc>
                <w:tcPr>
                  <w:tcW w:w="2736" w:type="dxa"/>
                  <w:vAlign w:val="center"/>
                </w:tcPr>
                <w:p>
                  <w:pPr>
                    <w:pStyle w:val="20"/>
                    <w:ind w:left="0" w:leftChars="0"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振荡器</w:t>
                  </w:r>
                </w:p>
              </w:tc>
              <w:tc>
                <w:tcPr>
                  <w:tcW w:w="1397"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1</w:t>
                  </w:r>
                </w:p>
              </w:tc>
              <w:tc>
                <w:tcPr>
                  <w:tcW w:w="2650" w:type="dxa"/>
                  <w:vMerge w:val="continue"/>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6</w:t>
                  </w:r>
                </w:p>
              </w:tc>
              <w:tc>
                <w:tcPr>
                  <w:tcW w:w="2736" w:type="dxa"/>
                  <w:vAlign w:val="center"/>
                </w:tcPr>
                <w:p>
                  <w:pPr>
                    <w:pStyle w:val="20"/>
                    <w:ind w:left="0" w:leftChars="0"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中药橱</w:t>
                  </w:r>
                </w:p>
              </w:tc>
              <w:tc>
                <w:tcPr>
                  <w:tcW w:w="1397"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1</w:t>
                  </w:r>
                </w:p>
              </w:tc>
              <w:tc>
                <w:tcPr>
                  <w:tcW w:w="2650" w:type="dxa"/>
                  <w:vMerge w:val="restart"/>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药品储存、药房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7</w:t>
                  </w:r>
                </w:p>
              </w:tc>
              <w:tc>
                <w:tcPr>
                  <w:tcW w:w="2736" w:type="dxa"/>
                  <w:vAlign w:val="center"/>
                </w:tcPr>
                <w:p>
                  <w:pPr>
                    <w:pStyle w:val="20"/>
                    <w:ind w:left="0" w:leftChars="0"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西药橱</w:t>
                  </w:r>
                </w:p>
              </w:tc>
              <w:tc>
                <w:tcPr>
                  <w:tcW w:w="1397"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1</w:t>
                  </w:r>
                </w:p>
              </w:tc>
              <w:tc>
                <w:tcPr>
                  <w:tcW w:w="2650" w:type="dxa"/>
                  <w:vMerge w:val="continue"/>
                  <w:vAlign w:val="center"/>
                </w:tcPr>
                <w:p>
                  <w:pPr>
                    <w:pStyle w:val="20"/>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8</w:t>
                  </w:r>
                </w:p>
              </w:tc>
              <w:tc>
                <w:tcPr>
                  <w:tcW w:w="2736" w:type="dxa"/>
                  <w:vAlign w:val="center"/>
                </w:tcPr>
                <w:p>
                  <w:pPr>
                    <w:pStyle w:val="20"/>
                    <w:ind w:left="0" w:leftChars="0"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中心供氧、呼叫系统</w:t>
                  </w:r>
                </w:p>
              </w:tc>
              <w:tc>
                <w:tcPr>
                  <w:tcW w:w="1397"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1</w:t>
                  </w:r>
                </w:p>
              </w:tc>
              <w:tc>
                <w:tcPr>
                  <w:tcW w:w="2650"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全院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9</w:t>
                  </w:r>
                </w:p>
              </w:tc>
              <w:tc>
                <w:tcPr>
                  <w:tcW w:w="2736" w:type="dxa"/>
                  <w:vAlign w:val="center"/>
                </w:tcPr>
                <w:p>
                  <w:pPr>
                    <w:pStyle w:val="20"/>
                    <w:ind w:left="0" w:leftChars="0"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纯水机</w:t>
                  </w:r>
                </w:p>
              </w:tc>
              <w:tc>
                <w:tcPr>
                  <w:tcW w:w="1397"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1</w:t>
                  </w:r>
                </w:p>
              </w:tc>
              <w:tc>
                <w:tcPr>
                  <w:tcW w:w="2650"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2F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10</w:t>
                  </w:r>
                </w:p>
              </w:tc>
              <w:tc>
                <w:tcPr>
                  <w:tcW w:w="2736" w:type="dxa"/>
                  <w:vAlign w:val="center"/>
                </w:tcPr>
                <w:p>
                  <w:pPr>
                    <w:pStyle w:val="20"/>
                    <w:ind w:left="0" w:leftChars="0"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电能热水器</w:t>
                  </w:r>
                </w:p>
              </w:tc>
              <w:tc>
                <w:tcPr>
                  <w:tcW w:w="1397"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25</w:t>
                  </w:r>
                </w:p>
              </w:tc>
              <w:tc>
                <w:tcPr>
                  <w:tcW w:w="2650"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用于全院热水供应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11</w:t>
                  </w:r>
                </w:p>
              </w:tc>
              <w:tc>
                <w:tcPr>
                  <w:tcW w:w="2736" w:type="dxa"/>
                  <w:vAlign w:val="center"/>
                </w:tcPr>
                <w:p>
                  <w:pPr>
                    <w:keepNext w:val="0"/>
                    <w:keepLines w:val="0"/>
                    <w:widowControl/>
                    <w:suppressLineNumbers w:val="0"/>
                    <w:jc w:val="left"/>
                    <w:rPr>
                      <w:color w:val="auto"/>
                      <w:highlight w:val="none"/>
                    </w:rPr>
                  </w:pPr>
                  <w:r>
                    <w:rPr>
                      <w:rFonts w:hint="eastAsia" w:ascii="宋体" w:hAnsi="宋体" w:eastAsia="宋体" w:cs="宋体"/>
                      <w:color w:val="auto"/>
                      <w:kern w:val="0"/>
                      <w:sz w:val="20"/>
                      <w:szCs w:val="20"/>
                      <w:highlight w:val="none"/>
                      <w:lang w:val="en-US" w:eastAsia="zh-CN" w:bidi="ar"/>
                    </w:rPr>
                    <w:t>挂式及立式分体式空调机</w:t>
                  </w:r>
                </w:p>
                <w:p>
                  <w:pPr>
                    <w:pStyle w:val="20"/>
                    <w:ind w:left="0" w:leftChars="0" w:firstLine="0" w:firstLineChars="0"/>
                    <w:jc w:val="center"/>
                    <w:rPr>
                      <w:rFonts w:hint="eastAsia" w:ascii="宋体" w:hAnsi="宋体" w:eastAsia="宋体" w:cs="宋体"/>
                      <w:color w:val="auto"/>
                      <w:kern w:val="0"/>
                      <w:sz w:val="21"/>
                      <w:szCs w:val="21"/>
                      <w:highlight w:val="none"/>
                      <w:lang w:val="en-US" w:eastAsia="zh-CN" w:bidi="ar-SA"/>
                    </w:rPr>
                  </w:pPr>
                </w:p>
              </w:tc>
              <w:tc>
                <w:tcPr>
                  <w:tcW w:w="1397"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若干</w:t>
                  </w:r>
                </w:p>
              </w:tc>
              <w:tc>
                <w:tcPr>
                  <w:tcW w:w="2650" w:type="dxa"/>
                  <w:vAlign w:val="center"/>
                </w:tcPr>
                <w:p>
                  <w:pPr>
                    <w:keepNext w:val="0"/>
                    <w:keepLines w:val="0"/>
                    <w:widowControl/>
                    <w:suppressLineNumbers w:val="0"/>
                    <w:jc w:val="left"/>
                    <w:rPr>
                      <w:color w:val="auto"/>
                      <w:highlight w:val="none"/>
                    </w:rPr>
                  </w:pPr>
                  <w:r>
                    <w:rPr>
                      <w:rFonts w:hint="eastAsia" w:ascii="宋体" w:hAnsi="宋体" w:eastAsia="宋体" w:cs="宋体"/>
                      <w:color w:val="auto"/>
                      <w:kern w:val="0"/>
                      <w:sz w:val="20"/>
                      <w:szCs w:val="20"/>
                      <w:highlight w:val="none"/>
                      <w:lang w:val="en-US" w:eastAsia="zh-CN" w:bidi="ar"/>
                    </w:rPr>
                    <w:t>院内制冷制热</w:t>
                  </w:r>
                </w:p>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12</w:t>
                  </w:r>
                </w:p>
              </w:tc>
              <w:tc>
                <w:tcPr>
                  <w:tcW w:w="2736" w:type="dxa"/>
                  <w:vAlign w:val="center"/>
                </w:tcPr>
                <w:p>
                  <w:pPr>
                    <w:pStyle w:val="20"/>
                    <w:ind w:left="0" w:leftChars="0"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体外排痰仪</w:t>
                  </w:r>
                </w:p>
              </w:tc>
              <w:tc>
                <w:tcPr>
                  <w:tcW w:w="1397"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1个</w:t>
                  </w:r>
                </w:p>
              </w:tc>
              <w:tc>
                <w:tcPr>
                  <w:tcW w:w="2650"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
                    </w:rPr>
                    <w:t>医疗诊断，护士站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Align w:val="center"/>
                </w:tcPr>
                <w:p>
                  <w:pPr>
                    <w:pStyle w:val="20"/>
                    <w:numPr>
                      <w:ilvl w:val="0"/>
                      <w:numId w:val="0"/>
                    </w:numPr>
                    <w:ind w:left="425" w:leftChars="0" w:hanging="425"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13</w:t>
                  </w:r>
                </w:p>
              </w:tc>
              <w:tc>
                <w:tcPr>
                  <w:tcW w:w="2736" w:type="dxa"/>
                  <w:vAlign w:val="center"/>
                </w:tcPr>
                <w:p>
                  <w:pPr>
                    <w:pStyle w:val="20"/>
                    <w:ind w:left="0" w:leftChars="0"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手术床</w:t>
                  </w:r>
                </w:p>
              </w:tc>
              <w:tc>
                <w:tcPr>
                  <w:tcW w:w="1397"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1个</w:t>
                  </w:r>
                </w:p>
              </w:tc>
              <w:tc>
                <w:tcPr>
                  <w:tcW w:w="2650" w:type="dxa"/>
                  <w:vAlign w:val="center"/>
                </w:tcPr>
                <w:p>
                  <w:pPr>
                    <w:pStyle w:val="20"/>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
                    </w:rPr>
                    <w:t>医疗治疗，手术室</w:t>
                  </w:r>
                </w:p>
              </w:tc>
            </w:tr>
          </w:tbl>
          <w:p>
            <w:pPr>
              <w:spacing w:line="44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项目拟购</w:t>
            </w:r>
            <w:r>
              <w:rPr>
                <w:rFonts w:hint="eastAsia" w:ascii="Times New Roman" w:hAnsi="Times New Roman"/>
                <w:color w:val="auto"/>
                <w:sz w:val="24"/>
                <w:highlight w:val="none"/>
              </w:rPr>
              <w:t>数字化X光机</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DR工作站</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暂不确定具体型号，</w:t>
            </w:r>
            <w:r>
              <w:rPr>
                <w:rFonts w:ascii="Times New Roman" w:hAnsi="Times New Roman"/>
                <w:color w:val="auto"/>
                <w:sz w:val="24"/>
                <w:highlight w:val="none"/>
              </w:rPr>
              <w:t>根据《关于发布射线装置分类办法的公告（国家环境保护总局公告2006年第26号）》中《射线装置分类办法》的规定，放射诊断用普通X射线机属于Ⅲ类射线装置，结合《建设项目环境影响评价分类管理名录》，“销售、使用Ⅳ类、Ⅴ类放射源的；生产、销售、使用Ⅲ类射线装置的”属于填报登记表范畴。</w:t>
            </w:r>
          </w:p>
          <w:p>
            <w:pPr>
              <w:spacing w:line="44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此次评价不对</w:t>
            </w:r>
            <w:r>
              <w:rPr>
                <w:rFonts w:hint="eastAsia" w:ascii="Times New Roman" w:hAnsi="Times New Roman"/>
                <w:color w:val="auto"/>
                <w:sz w:val="24"/>
                <w:highlight w:val="none"/>
              </w:rPr>
              <w:t>数字化X光机</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DR工作站</w:t>
            </w:r>
            <w:r>
              <w:rPr>
                <w:rFonts w:hint="eastAsia" w:ascii="Times New Roman" w:hAnsi="Times New Roman"/>
                <w:color w:val="auto"/>
                <w:sz w:val="24"/>
                <w:highlight w:val="none"/>
                <w:lang w:eastAsia="zh-CN"/>
              </w:rPr>
              <w:t>）</w:t>
            </w:r>
            <w:r>
              <w:rPr>
                <w:rFonts w:ascii="Times New Roman" w:hAnsi="Times New Roman"/>
                <w:color w:val="auto"/>
                <w:sz w:val="24"/>
                <w:highlight w:val="none"/>
              </w:rPr>
              <w:t>电离辐射影响进行分析，仅提出建设标准要求，待项目</w:t>
            </w:r>
            <w:r>
              <w:rPr>
                <w:rFonts w:hint="eastAsia" w:ascii="Times New Roman" w:hAnsi="Times New Roman"/>
                <w:color w:val="auto"/>
                <w:sz w:val="24"/>
                <w:highlight w:val="none"/>
              </w:rPr>
              <w:t>数字化X光机</w:t>
            </w:r>
            <w:r>
              <w:rPr>
                <w:rFonts w:ascii="Times New Roman" w:hAnsi="Times New Roman"/>
                <w:color w:val="auto"/>
                <w:sz w:val="24"/>
                <w:highlight w:val="none"/>
              </w:rPr>
              <w:t>型号确定后，由建设单位另行完善相关环保手续</w:t>
            </w:r>
            <w:r>
              <w:rPr>
                <w:rFonts w:hint="eastAsia" w:ascii="Times New Roman" w:hAnsi="Times New Roman"/>
                <w:color w:val="auto"/>
                <w:sz w:val="24"/>
                <w:highlight w:val="none"/>
              </w:rPr>
              <w:t>，本次评价内容不包含数字化X光机</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DR工作站</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w:t>
            </w:r>
          </w:p>
          <w:p>
            <w:pPr>
              <w:pStyle w:val="3"/>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2.5 主要原辅材料</w:t>
            </w:r>
          </w:p>
          <w:p>
            <w:pPr>
              <w:adjustRightInd w:val="0"/>
              <w:snapToGrid w:val="0"/>
              <w:spacing w:line="360" w:lineRule="auto"/>
              <w:ind w:firstLine="480" w:firstLineChars="200"/>
              <w:rPr>
                <w:rFonts w:hint="default"/>
                <w:color w:val="auto"/>
                <w:sz w:val="24"/>
                <w:szCs w:val="24"/>
                <w:highlight w:val="none"/>
                <w:lang w:val="en-US" w:eastAsia="zh-CN"/>
              </w:rPr>
            </w:pPr>
            <w:r>
              <w:rPr>
                <w:rFonts w:hint="eastAsia"/>
                <w:color w:val="auto"/>
                <w:sz w:val="24"/>
                <w:szCs w:val="24"/>
                <w:highlight w:val="none"/>
                <w:lang w:val="en-US" w:eastAsia="zh-CN"/>
              </w:rPr>
              <w:t>拟建项目主要医用试剂及其用量见下表2.6.</w:t>
            </w:r>
          </w:p>
          <w:p>
            <w:pPr>
              <w:pStyle w:val="3"/>
              <w:bidi w:val="0"/>
              <w:jc w:val="center"/>
              <w:rPr>
                <w:rFonts w:hint="eastAsia" w:eastAsia="宋体" w:cs="Times New Roman"/>
                <w:b/>
                <w:bCs/>
                <w:color w:val="auto"/>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 xml:space="preserve">表2.6  </w:t>
            </w:r>
            <w:r>
              <w:rPr>
                <w:rFonts w:hint="eastAsia" w:eastAsia="宋体" w:cs="Times New Roman"/>
                <w:b/>
                <w:bCs/>
                <w:color w:val="auto"/>
                <w:highlight w:val="none"/>
                <w:lang w:val="en-US" w:eastAsia="zh-CN"/>
              </w:rPr>
              <w:t xml:space="preserve"> 项目原辅材料一览表</w:t>
            </w:r>
          </w:p>
          <w:tbl>
            <w:tblPr>
              <w:tblStyle w:val="30"/>
              <w:tblW w:w="82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614"/>
              <w:gridCol w:w="1483"/>
              <w:gridCol w:w="1128"/>
              <w:gridCol w:w="628"/>
              <w:gridCol w:w="1266"/>
              <w:gridCol w:w="1265"/>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序号</w:t>
                  </w:r>
                </w:p>
              </w:tc>
              <w:tc>
                <w:tcPr>
                  <w:tcW w:w="6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类别</w:t>
                  </w: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名称</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单位</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年消耗量</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储存量</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储存位置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61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医疗药品</w:t>
                  </w: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75%酒精消毒液</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500ml/瓶</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瓶</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67</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碘皮肤消毒液</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60ml/支</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支</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42</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罗红霉素片</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0.15g*6s</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2634</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康复新液</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100ml</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甁</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1563</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氯霉素滴眼液</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8ml：20mg</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甁</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682</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61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医疗药品</w:t>
                  </w: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马来酸氯苯那敏注射液</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1ml：10mg*10支</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甁</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563</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注射用阿魏酸钠</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0.1g</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支</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3562</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391</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甘露醇注射液</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250ml：50g</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甁</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1563</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47</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消旋山莨菪碱片</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10mg*100s</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2536</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914</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精蛋白锌重组赖脯胰岛素混合注射液</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3ml：300单位</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支</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碳酸钙D3片</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30s</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566</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19</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地氯雷他定片</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1支/支</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356</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硫酸镁注射液</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100片/瓶</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支</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452</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马来酸氯苯那敏片</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20mg*45片</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4552</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1289</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硝苯地平缓释片（II)</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15g*10袋</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3568</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1763</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荆防颗粒</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30片/瓶</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28</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盐酸地芬尼多片</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1支/支</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w:t>
                  </w:r>
                </w:p>
              </w:tc>
              <w:tc>
                <w:tcPr>
                  <w:tcW w:w="61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医疗器械</w:t>
                  </w: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一次性使用无菌注射器</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5ml带针</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包</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465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耗材库房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19</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一次性输液器</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7号</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包</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752</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耗材库房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一次性使用注射器(20ml)</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20ml/支</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包</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763</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耗材库房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21</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一次性使用溶药注射器带针（30ml）</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30ml/支</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支</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741</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耗材库房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22</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无菌针灸针</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支</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156</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耗材库房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w:t>
                  </w:r>
                </w:p>
              </w:tc>
              <w:tc>
                <w:tcPr>
                  <w:tcW w:w="61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医疗器械</w:t>
                  </w: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无菌敷贴</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1张</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3468</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500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耗材库房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留置针</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1个</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752</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耗材库房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25</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纱布绷带</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342</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耗材库房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26</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石膏绷带（粘胶型）</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150*4600</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53</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耗材库房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27</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血细胞 分析用稀释液</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9*15</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263</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耗材库房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28</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儿童血压计</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1个</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耗材库房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29</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尿试纸条</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1支</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支</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625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耗材库房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导尿包</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1套</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耗材库房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31</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口罩</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1个</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15000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2000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耗材库房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32</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护目镜</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1副</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副</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56</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耗材库房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33</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一次性压舌板</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150*18mm</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片</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452</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耗材库房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34</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薄膜手套</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1包</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包</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560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耗材库房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氧气雾化面罩（儿童）</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1个</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389</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耗材库房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36</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弹性绷带</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包</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包</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263</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50</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耗材库房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37</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一次性使用全麻包</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1个</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耗材库房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38</w:t>
                  </w:r>
                </w:p>
              </w:tc>
              <w:tc>
                <w:tcPr>
                  <w:tcW w:w="61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检测试剂</w:t>
                  </w: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高密度脂蛋白胆固醇测定试剂盒（直接法-选择抑制法）</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39</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尿素测定试剂盒（脲酶连续监测法）</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40</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直接胆红素测定试剂盒</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41</w:t>
                  </w:r>
                </w:p>
              </w:tc>
              <w:tc>
                <w:tcPr>
                  <w:tcW w:w="61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检测试剂</w:t>
                  </w: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肌酸激酶测定试剂盒（磷酸肌酸底物法）</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42</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α-羟丁酸脱氢酶测定试剂盒（α-酮丁酸底物法）</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43</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乙肝五项HBV检测卡（胶体金法）</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44</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血细胞 分析用稀释液</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45</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抗链球菌溶血素O测定试剂盒</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46</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总胆汁酸测定试剂盒（酶循环法）</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47</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肌酸激酶同工酶MB测定试剂盒（免疫抑制法）盒</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48</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梅毒螺旋抗体测定试剂盒</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49</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低密度脂蛋白固醇测定试剂盒(直接法）</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50</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高密度脂蛋白胆固醇测定试剂盒（直接法-选择抑制法）</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51</w:t>
                  </w:r>
                </w:p>
              </w:tc>
              <w:tc>
                <w:tcPr>
                  <w:tcW w:w="61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检测试剂</w:t>
                  </w: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尿素测定试剂盒（脲酶连续监测法）</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52</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乳酸脱氢酶测定试剂盒（乳酸底物法）</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53</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天门冬氨酸氨基转移酶测定试剂盒（天门冬氨酸底物法）</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54</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胆固醇测定试剂盒（酯酶-过氧化物法）</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55</w:t>
                  </w:r>
                </w:p>
              </w:tc>
              <w:tc>
                <w:tcPr>
                  <w:tcW w:w="6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丙氨酸氨基转移酶测定试剂盒（丙氨酸底物法）</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56</w:t>
                  </w:r>
                </w:p>
              </w:tc>
              <w:tc>
                <w:tcPr>
                  <w:tcW w:w="6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中药药材</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w:t>
                  </w: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吨</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0.5</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药品库房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57</w:t>
                  </w:r>
                </w:p>
              </w:tc>
              <w:tc>
                <w:tcPr>
                  <w:tcW w:w="6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水</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m</w:t>
                  </w:r>
                  <w:r>
                    <w:rPr>
                      <w:rFonts w:hint="eastAsia" w:ascii="宋体" w:hAnsi="宋体" w:cs="宋体"/>
                      <w:i w:val="0"/>
                      <w:iCs w:val="0"/>
                      <w:color w:val="auto"/>
                      <w:kern w:val="0"/>
                      <w:sz w:val="21"/>
                      <w:szCs w:val="21"/>
                      <w:highlight w:val="none"/>
                      <w:u w:val="none"/>
                      <w:vertAlign w:val="superscript"/>
                      <w:lang w:val="en-US" w:eastAsia="zh-CN" w:bidi="ar"/>
                    </w:rPr>
                    <w:t>3</w:t>
                  </w:r>
                  <w:r>
                    <w:rPr>
                      <w:rFonts w:hint="eastAsia" w:ascii="宋体" w:hAnsi="宋体" w:cs="宋体"/>
                      <w:i w:val="0"/>
                      <w:iCs w:val="0"/>
                      <w:color w:val="auto"/>
                      <w:kern w:val="0"/>
                      <w:sz w:val="21"/>
                      <w:szCs w:val="21"/>
                      <w:highlight w:val="none"/>
                      <w:u w:val="none"/>
                      <w:lang w:val="en-US" w:eastAsia="zh-CN" w:bidi="ar"/>
                    </w:rPr>
                    <w:t>/a</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8475.</w:t>
                  </w:r>
                  <w:r>
                    <w:rPr>
                      <w:rFonts w:hint="eastAsia" w:ascii="宋体" w:hAnsi="宋体" w:cs="宋体"/>
                      <w:i w:val="0"/>
                      <w:iCs w:val="0"/>
                      <w:color w:val="auto"/>
                      <w:kern w:val="0"/>
                      <w:sz w:val="21"/>
                      <w:szCs w:val="21"/>
                      <w:highlight w:val="none"/>
                      <w:u w:val="none"/>
                      <w:lang w:val="en-US" w:eastAsia="zh-CN" w:bidi="ar"/>
                    </w:rPr>
                    <w:t>37</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57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58</w:t>
                  </w:r>
                </w:p>
              </w:tc>
              <w:tc>
                <w:tcPr>
                  <w:tcW w:w="6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电</w:t>
                  </w:r>
                </w:p>
              </w:tc>
              <w:tc>
                <w:tcPr>
                  <w:tcW w:w="1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万度/a</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28</w:t>
                  </w: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26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cs="宋体"/>
                      <w:i w:val="0"/>
                      <w:iCs w:val="0"/>
                      <w:color w:val="auto"/>
                      <w:kern w:val="0"/>
                      <w:sz w:val="21"/>
                      <w:szCs w:val="21"/>
                      <w:highlight w:val="none"/>
                      <w:u w:val="none"/>
                      <w:lang w:val="en-US" w:eastAsia="zh-CN" w:bidi="ar"/>
                    </w:rPr>
                  </w:pPr>
                </w:p>
              </w:tc>
            </w:tr>
          </w:tbl>
          <w:p>
            <w:pPr>
              <w:pStyle w:val="3"/>
              <w:bidi w:val="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2.6 水平衡分析</w:t>
            </w:r>
          </w:p>
          <w:p>
            <w:pPr>
              <w:pStyle w:val="4"/>
              <w:bidi w:val="0"/>
              <w:rPr>
                <w:rFonts w:hint="default"/>
                <w:color w:val="auto"/>
                <w:highlight w:val="none"/>
                <w:lang w:val="en-US" w:eastAsia="zh-CN"/>
              </w:rPr>
            </w:pPr>
            <w:r>
              <w:rPr>
                <w:rFonts w:hint="eastAsia"/>
                <w:color w:val="auto"/>
                <w:highlight w:val="none"/>
                <w:lang w:val="en-US" w:eastAsia="zh-CN"/>
              </w:rPr>
              <w:t>2.6.1 给水</w:t>
            </w:r>
          </w:p>
          <w:p>
            <w:pPr>
              <w:adjustRightInd w:val="0"/>
              <w:snapToGrid w:val="0"/>
              <w:spacing w:line="360" w:lineRule="auto"/>
              <w:ind w:firstLine="480" w:firstLineChars="200"/>
              <w:jc w:val="both"/>
              <w:rPr>
                <w:rFonts w:hint="eastAsia" w:eastAsia="宋体"/>
                <w:color w:val="auto"/>
                <w:sz w:val="24"/>
                <w:szCs w:val="24"/>
                <w:highlight w:val="none"/>
                <w:lang w:val="en-US" w:eastAsia="zh-CN"/>
              </w:rPr>
            </w:pPr>
            <w:r>
              <w:rPr>
                <w:rFonts w:hint="eastAsia"/>
                <w:color w:val="auto"/>
                <w:sz w:val="24"/>
                <w:szCs w:val="24"/>
                <w:highlight w:val="none"/>
              </w:rPr>
              <w:t>医院主要废水为医疗用水、生活用水、地面清洗用水、消毒液配比用水、设备清洗用水及软水制备软水、煎药用水等</w:t>
            </w:r>
            <w:r>
              <w:rPr>
                <w:rFonts w:hint="eastAsia"/>
                <w:color w:val="auto"/>
                <w:sz w:val="24"/>
                <w:szCs w:val="24"/>
                <w:highlight w:val="none"/>
                <w:lang w:eastAsia="zh-CN"/>
              </w:rPr>
              <w:t>。</w:t>
            </w:r>
          </w:p>
          <w:p>
            <w:pPr>
              <w:adjustRightInd w:val="0"/>
              <w:snapToGrid w:val="0"/>
              <w:spacing w:line="360" w:lineRule="auto"/>
              <w:ind w:firstLine="480" w:firstLineChars="200"/>
              <w:jc w:val="both"/>
              <w:rPr>
                <w:rFonts w:hint="eastAsia"/>
                <w:color w:val="auto"/>
                <w:sz w:val="24"/>
                <w:szCs w:val="24"/>
                <w:highlight w:val="none"/>
              </w:rPr>
            </w:pPr>
            <w:r>
              <w:rPr>
                <w:rFonts w:hint="eastAsia"/>
                <w:color w:val="auto"/>
                <w:sz w:val="24"/>
                <w:szCs w:val="24"/>
                <w:highlight w:val="none"/>
                <w:lang w:val="en-US" w:eastAsia="zh-CN"/>
              </w:rPr>
              <w:t>（1）医疗用水</w:t>
            </w:r>
          </w:p>
          <w:p>
            <w:pPr>
              <w:adjustRightInd w:val="0"/>
              <w:snapToGrid w:val="0"/>
              <w:spacing w:line="360" w:lineRule="auto"/>
              <w:ind w:firstLine="480" w:firstLineChars="200"/>
              <w:jc w:val="both"/>
              <w:rPr>
                <w:rFonts w:hint="eastAsia"/>
                <w:color w:val="auto"/>
                <w:sz w:val="24"/>
                <w:szCs w:val="24"/>
                <w:highlight w:val="none"/>
              </w:rPr>
            </w:pPr>
            <w:r>
              <w:rPr>
                <w:rFonts w:hint="eastAsia"/>
                <w:color w:val="auto"/>
                <w:sz w:val="24"/>
                <w:szCs w:val="24"/>
                <w:highlight w:val="none"/>
                <w:lang w:val="en-US" w:eastAsia="zh-CN"/>
              </w:rPr>
              <w:t>本项目设置病床65张，门诊80人/天。病床用水定额参考《医院污水处理工程技术规范》（HJ2029-2013）、《建筑给排水设计规范》（GB50015-2019）并结合本乡镇卫生院大部分病房未涉及单独卫生间且根据项目实际情况，综合考虑项目综合水量考虑确定，住院部：250L/床•d，门诊：15L/人•d。污水的排放量按照给水总量的90%计。</w:t>
            </w:r>
          </w:p>
          <w:p>
            <w:pPr>
              <w:adjustRightInd w:val="0"/>
              <w:snapToGrid w:val="0"/>
              <w:spacing w:line="360" w:lineRule="auto"/>
              <w:ind w:firstLine="480" w:firstLineChars="200"/>
              <w:jc w:val="both"/>
              <w:rPr>
                <w:rFonts w:hint="eastAsia"/>
                <w:color w:val="auto"/>
                <w:sz w:val="24"/>
                <w:szCs w:val="24"/>
                <w:highlight w:val="none"/>
              </w:rPr>
            </w:pPr>
            <w:r>
              <w:rPr>
                <w:rFonts w:hint="eastAsia"/>
                <w:color w:val="auto"/>
                <w:sz w:val="24"/>
                <w:szCs w:val="24"/>
                <w:highlight w:val="none"/>
                <w:lang w:val="en-US" w:eastAsia="zh-CN"/>
              </w:rPr>
              <w:t>（2）生活用水</w:t>
            </w:r>
          </w:p>
          <w:p>
            <w:pPr>
              <w:adjustRightInd w:val="0"/>
              <w:snapToGrid w:val="0"/>
              <w:spacing w:line="360" w:lineRule="auto"/>
              <w:ind w:firstLine="480" w:firstLineChars="200"/>
              <w:jc w:val="both"/>
              <w:rPr>
                <w:rFonts w:hint="eastAsia"/>
                <w:color w:val="auto"/>
                <w:sz w:val="24"/>
                <w:szCs w:val="24"/>
                <w:highlight w:val="none"/>
              </w:rPr>
            </w:pPr>
            <w:r>
              <w:rPr>
                <w:rFonts w:hint="eastAsia"/>
                <w:color w:val="auto"/>
                <w:sz w:val="24"/>
                <w:szCs w:val="24"/>
                <w:highlight w:val="none"/>
                <w:lang w:val="en-US" w:eastAsia="zh-CN"/>
              </w:rPr>
              <w:t>生活污水来自医务人员（住院部：10人，门诊部：15人）、行政人员（4人）办公废水，根据《建筑给排水设计规范》（GB50015-2019）用水定额，医护人员（住院部）：250L/人•d，医护人员（门诊部）：100L/人•d；行政办公人员：50L/人•d。污水的排放量按照给水总量的90%计。</w:t>
            </w:r>
          </w:p>
          <w:p>
            <w:pPr>
              <w:adjustRightInd w:val="0"/>
              <w:snapToGrid w:val="0"/>
              <w:spacing w:line="360" w:lineRule="auto"/>
              <w:ind w:firstLine="480" w:firstLineChars="200"/>
              <w:jc w:val="both"/>
              <w:rPr>
                <w:rFonts w:hint="eastAsia"/>
                <w:color w:val="auto"/>
                <w:sz w:val="24"/>
                <w:szCs w:val="24"/>
                <w:highlight w:val="none"/>
              </w:rPr>
            </w:pPr>
            <w:r>
              <w:rPr>
                <w:rFonts w:hint="eastAsia"/>
                <w:color w:val="auto"/>
                <w:sz w:val="24"/>
                <w:szCs w:val="24"/>
                <w:highlight w:val="none"/>
                <w:lang w:val="en-US" w:eastAsia="zh-CN"/>
              </w:rPr>
              <w:t>（3）地面清洁用水</w:t>
            </w:r>
          </w:p>
          <w:p>
            <w:pPr>
              <w:adjustRightInd w:val="0"/>
              <w:snapToGrid w:val="0"/>
              <w:spacing w:line="360" w:lineRule="auto"/>
              <w:ind w:firstLine="480" w:firstLineChars="200"/>
              <w:jc w:val="both"/>
              <w:rPr>
                <w:rFonts w:hint="eastAsia"/>
                <w:color w:val="auto"/>
                <w:sz w:val="24"/>
                <w:szCs w:val="24"/>
                <w:highlight w:val="none"/>
              </w:rPr>
            </w:pPr>
            <w:r>
              <w:rPr>
                <w:rFonts w:hint="eastAsia"/>
                <w:color w:val="auto"/>
                <w:sz w:val="24"/>
                <w:szCs w:val="24"/>
                <w:highlight w:val="none"/>
                <w:lang w:val="en-US" w:eastAsia="zh-CN"/>
              </w:rPr>
              <w:t>本项目每天需对医院地面进行清洁处理以保证良好的治疗环境，需进行地面清洁的面积约为2000m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，按照0.5L/m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•d计。污水的排放量按照给水总量的90%计。污水的排放量按照给水总量的90%计。</w:t>
            </w:r>
          </w:p>
          <w:p>
            <w:pPr>
              <w:adjustRightInd w:val="0"/>
              <w:snapToGrid w:val="0"/>
              <w:spacing w:line="360" w:lineRule="auto"/>
              <w:ind w:firstLine="480" w:firstLineChars="200"/>
              <w:jc w:val="both"/>
              <w:rPr>
                <w:rFonts w:hint="eastAsia"/>
                <w:color w:val="auto"/>
                <w:sz w:val="24"/>
                <w:szCs w:val="24"/>
                <w:highlight w:val="none"/>
              </w:rPr>
            </w:pPr>
            <w:r>
              <w:rPr>
                <w:rFonts w:hint="eastAsia"/>
                <w:color w:val="auto"/>
                <w:sz w:val="24"/>
                <w:szCs w:val="24"/>
                <w:highlight w:val="none"/>
                <w:lang w:val="en-US" w:eastAsia="zh-CN"/>
              </w:rPr>
              <w:t>（4）设备清洗用水</w:t>
            </w:r>
          </w:p>
          <w:p>
            <w:pPr>
              <w:adjustRightInd w:val="0"/>
              <w:snapToGrid w:val="0"/>
              <w:spacing w:line="360" w:lineRule="auto"/>
              <w:ind w:firstLine="480" w:firstLineChars="200"/>
              <w:jc w:val="both"/>
              <w:rPr>
                <w:rFonts w:hint="eastAsia"/>
                <w:color w:val="auto"/>
                <w:sz w:val="24"/>
                <w:szCs w:val="24"/>
                <w:highlight w:val="none"/>
              </w:rPr>
            </w:pPr>
            <w:r>
              <w:rPr>
                <w:rFonts w:hint="eastAsia"/>
                <w:color w:val="auto"/>
                <w:sz w:val="24"/>
                <w:szCs w:val="24"/>
                <w:highlight w:val="none"/>
                <w:lang w:val="en-US" w:eastAsia="zh-CN"/>
              </w:rPr>
              <w:t>项目运营过程中有中药代煎服务，需要定期对设备进行清洗，根据业主工艺设计资料与同类医院经验，按照150L/d计，每年工作约100d，排水量按用水量的90%计算。</w:t>
            </w:r>
          </w:p>
          <w:p>
            <w:pPr>
              <w:adjustRightInd w:val="0"/>
              <w:snapToGrid w:val="0"/>
              <w:spacing w:line="360" w:lineRule="auto"/>
              <w:ind w:firstLine="480" w:firstLineChars="200"/>
              <w:jc w:val="both"/>
              <w:rPr>
                <w:rFonts w:hint="eastAsia"/>
                <w:color w:val="auto"/>
                <w:sz w:val="24"/>
                <w:szCs w:val="24"/>
                <w:highlight w:val="none"/>
              </w:rPr>
            </w:pPr>
            <w:r>
              <w:rPr>
                <w:rFonts w:hint="eastAsia"/>
                <w:color w:val="auto"/>
                <w:sz w:val="24"/>
                <w:szCs w:val="24"/>
                <w:highlight w:val="none"/>
                <w:lang w:val="en-US" w:eastAsia="zh-CN"/>
              </w:rPr>
              <w:t>（5）软水制备用水</w:t>
            </w:r>
          </w:p>
          <w:p>
            <w:pPr>
              <w:adjustRightInd w:val="0"/>
              <w:snapToGrid w:val="0"/>
              <w:spacing w:line="360" w:lineRule="auto"/>
              <w:ind w:firstLine="480" w:firstLineChars="200"/>
              <w:jc w:val="both"/>
              <w:rPr>
                <w:rFonts w:hint="eastAsia"/>
                <w:color w:val="auto"/>
                <w:sz w:val="24"/>
                <w:szCs w:val="24"/>
                <w:highlight w:val="none"/>
              </w:rPr>
            </w:pPr>
            <w:r>
              <w:rPr>
                <w:rFonts w:hint="eastAsia"/>
                <w:color w:val="auto"/>
                <w:sz w:val="24"/>
                <w:szCs w:val="24"/>
                <w:highlight w:val="none"/>
                <w:lang w:val="en-US" w:eastAsia="zh-CN"/>
              </w:rPr>
              <w:t>项目设有一台软水制备系统，其处理能力为20L/h，每天工作4h，其制备率为50%，则生产过程中需要的新鲜用水量为0.08m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/d（29.2m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/a），浓水排放量为0.04m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/d（14.6m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 xml:space="preserve">/a）。 </w:t>
            </w:r>
          </w:p>
          <w:p>
            <w:pPr>
              <w:pStyle w:val="2"/>
              <w:keepLines w:val="0"/>
              <w:pageBreakBefore w:val="0"/>
              <w:widowControl w:val="0"/>
              <w:kinsoku/>
              <w:wordWrap/>
              <w:topLinePunct w:val="0"/>
              <w:autoSpaceDE/>
              <w:autoSpaceDN/>
              <w:bidi w:val="0"/>
              <w:snapToGrid w:val="0"/>
              <w:spacing w:before="0" w:after="0" w:line="460" w:lineRule="exact"/>
              <w:ind w:left="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eastAsia="宋体" w:cs="Times New Roman"/>
                <w:b w:val="0"/>
                <w:bCs w:val="0"/>
                <w:color w:val="auto"/>
                <w:kern w:val="2"/>
                <w:sz w:val="24"/>
                <w:szCs w:val="24"/>
                <w:highlight w:val="none"/>
                <w:lang w:val="en-US" w:eastAsia="zh-CN" w:bidi="ar-SA"/>
              </w:rPr>
              <w:t>6</w:t>
            </w:r>
            <w:r>
              <w:rPr>
                <w:rFonts w:hint="default" w:ascii="Times New Roman" w:hAnsi="Times New Roman" w:eastAsia="宋体" w:cs="Times New Roman"/>
                <w:b w:val="0"/>
                <w:bCs w:val="0"/>
                <w:color w:val="auto"/>
                <w:kern w:val="2"/>
                <w:sz w:val="24"/>
                <w:szCs w:val="24"/>
                <w:highlight w:val="none"/>
                <w:lang w:val="en-US" w:eastAsia="zh-CN" w:bidi="ar-SA"/>
              </w:rPr>
              <w:t>）泡腾含氯消毒片配比用水</w:t>
            </w:r>
          </w:p>
          <w:p>
            <w:pPr>
              <w:pStyle w:val="2"/>
              <w:keepLines w:val="0"/>
              <w:pageBreakBefore w:val="0"/>
              <w:widowControl w:val="0"/>
              <w:kinsoku/>
              <w:wordWrap/>
              <w:topLinePunct w:val="0"/>
              <w:autoSpaceDE/>
              <w:autoSpaceDN/>
              <w:bidi w:val="0"/>
              <w:snapToGrid w:val="0"/>
              <w:spacing w:before="0" w:after="0" w:line="460" w:lineRule="exact"/>
              <w:ind w:left="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项目运营过程中需要</w:t>
            </w:r>
            <w:r>
              <w:rPr>
                <w:rFonts w:hint="eastAsia" w:eastAsia="宋体" w:cs="Times New Roman"/>
                <w:b w:val="0"/>
                <w:bCs w:val="0"/>
                <w:color w:val="auto"/>
                <w:kern w:val="2"/>
                <w:sz w:val="24"/>
                <w:szCs w:val="24"/>
                <w:highlight w:val="none"/>
                <w:lang w:val="en-US" w:eastAsia="zh-CN" w:bidi="ar-SA"/>
              </w:rPr>
              <w:t>对医疗设备</w:t>
            </w:r>
            <w:r>
              <w:rPr>
                <w:rFonts w:hint="default" w:ascii="Times New Roman" w:hAnsi="Times New Roman" w:eastAsia="宋体" w:cs="Times New Roman"/>
                <w:b w:val="0"/>
                <w:bCs w:val="0"/>
                <w:color w:val="auto"/>
                <w:kern w:val="2"/>
                <w:sz w:val="24"/>
                <w:szCs w:val="24"/>
                <w:highlight w:val="none"/>
                <w:lang w:val="en-US" w:eastAsia="zh-CN" w:bidi="ar-SA"/>
              </w:rPr>
              <w:t>进行</w:t>
            </w:r>
            <w:r>
              <w:rPr>
                <w:rFonts w:hint="eastAsia" w:eastAsia="宋体" w:cs="Times New Roman"/>
                <w:b w:val="0"/>
                <w:bCs w:val="0"/>
                <w:color w:val="auto"/>
                <w:kern w:val="2"/>
                <w:sz w:val="24"/>
                <w:szCs w:val="24"/>
                <w:highlight w:val="none"/>
                <w:lang w:val="en-US" w:eastAsia="zh-CN" w:bidi="ar-SA"/>
              </w:rPr>
              <w:t>定期</w:t>
            </w:r>
            <w:r>
              <w:rPr>
                <w:rFonts w:hint="default" w:ascii="Times New Roman" w:hAnsi="Times New Roman" w:eastAsia="宋体" w:cs="Times New Roman"/>
                <w:b w:val="0"/>
                <w:bCs w:val="0"/>
                <w:color w:val="auto"/>
                <w:kern w:val="2"/>
                <w:sz w:val="24"/>
                <w:szCs w:val="24"/>
                <w:highlight w:val="none"/>
                <w:lang w:val="en-US" w:eastAsia="zh-CN" w:bidi="ar-SA"/>
              </w:rPr>
              <w:t>消毒，根据业主提供资料，泡腾含氯消毒片：水=1片：1L，则用水量为15.4m</w:t>
            </w:r>
            <w:r>
              <w:rPr>
                <w:rFonts w:hint="default" w:ascii="Times New Roman" w:hAnsi="Times New Roman" w:eastAsia="宋体" w:cs="Times New Roman"/>
                <w:b w:val="0"/>
                <w:bCs w:val="0"/>
                <w:color w:val="auto"/>
                <w:kern w:val="2"/>
                <w:sz w:val="24"/>
                <w:szCs w:val="24"/>
                <w:highlight w:val="none"/>
                <w:vertAlign w:val="superscript"/>
                <w:lang w:val="en-US" w:eastAsia="zh-CN" w:bidi="ar-SA"/>
              </w:rPr>
              <w:t>3</w:t>
            </w:r>
            <w:r>
              <w:rPr>
                <w:rFonts w:hint="default" w:ascii="Times New Roman" w:hAnsi="Times New Roman" w:eastAsia="宋体" w:cs="Times New Roman"/>
                <w:b w:val="0"/>
                <w:bCs w:val="0"/>
                <w:color w:val="auto"/>
                <w:kern w:val="2"/>
                <w:sz w:val="24"/>
                <w:szCs w:val="24"/>
                <w:highlight w:val="none"/>
                <w:lang w:val="en-US" w:eastAsia="zh-CN" w:bidi="ar-SA"/>
              </w:rPr>
              <w:t>/a，消毒水直接在喷洒或擦拭过程中消耗，不外排。</w:t>
            </w:r>
          </w:p>
          <w:p>
            <w:pPr>
              <w:pStyle w:val="2"/>
              <w:keepLines w:val="0"/>
              <w:pageBreakBefore w:val="0"/>
              <w:widowControl w:val="0"/>
              <w:kinsoku/>
              <w:wordWrap/>
              <w:topLinePunct w:val="0"/>
              <w:autoSpaceDE/>
              <w:autoSpaceDN/>
              <w:bidi w:val="0"/>
              <w:snapToGrid w:val="0"/>
              <w:spacing w:before="0" w:after="0" w:line="460" w:lineRule="exact"/>
              <w:ind w:left="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eastAsia="宋体" w:cs="Times New Roman"/>
                <w:b w:val="0"/>
                <w:bCs w:val="0"/>
                <w:color w:val="auto"/>
                <w:kern w:val="2"/>
                <w:sz w:val="24"/>
                <w:szCs w:val="24"/>
                <w:highlight w:val="none"/>
                <w:lang w:val="en-US" w:eastAsia="zh-CN" w:bidi="ar-SA"/>
              </w:rPr>
              <w:t>7</w:t>
            </w:r>
            <w:r>
              <w:rPr>
                <w:rFonts w:hint="default" w:ascii="Times New Roman" w:hAnsi="Times New Roman" w:eastAsia="宋体" w:cs="Times New Roman"/>
                <w:b w:val="0"/>
                <w:bCs w:val="0"/>
                <w:color w:val="auto"/>
                <w:kern w:val="2"/>
                <w:sz w:val="24"/>
                <w:szCs w:val="24"/>
                <w:highlight w:val="none"/>
                <w:lang w:val="en-US" w:eastAsia="zh-CN" w:bidi="ar-SA"/>
              </w:rPr>
              <w:t xml:space="preserve">）煎药用水 </w:t>
            </w:r>
          </w:p>
          <w:p>
            <w:pPr>
              <w:pStyle w:val="2"/>
              <w:keepLines w:val="0"/>
              <w:pageBreakBefore w:val="0"/>
              <w:widowControl w:val="0"/>
              <w:kinsoku/>
              <w:wordWrap/>
              <w:topLinePunct w:val="0"/>
              <w:autoSpaceDE/>
              <w:autoSpaceDN/>
              <w:bidi w:val="0"/>
              <w:snapToGrid w:val="0"/>
              <w:spacing w:before="0" w:after="0" w:line="460" w:lineRule="exact"/>
              <w:ind w:left="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项目运营过程中有中药代煎服务，根据业主工艺设计资料与同类医院经验，代煎药量为1t/a，每1g中药加入10ml水。煎药用水全部进入使用环节，不</w:t>
            </w:r>
            <w:r>
              <w:rPr>
                <w:rFonts w:hint="eastAsia" w:eastAsia="宋体" w:cs="Times New Roman"/>
                <w:b w:val="0"/>
                <w:bCs w:val="0"/>
                <w:color w:val="auto"/>
                <w:kern w:val="2"/>
                <w:sz w:val="24"/>
                <w:szCs w:val="24"/>
                <w:highlight w:val="none"/>
                <w:lang w:val="en-US" w:eastAsia="zh-CN" w:bidi="ar-SA"/>
              </w:rPr>
              <w:t>外排</w:t>
            </w:r>
            <w:r>
              <w:rPr>
                <w:rFonts w:hint="default" w:ascii="Times New Roman" w:hAnsi="Times New Roman" w:eastAsia="宋体" w:cs="Times New Roman"/>
                <w:b w:val="0"/>
                <w:bCs w:val="0"/>
                <w:color w:val="auto"/>
                <w:kern w:val="2"/>
                <w:sz w:val="24"/>
                <w:szCs w:val="24"/>
                <w:highlight w:val="none"/>
                <w:lang w:val="en-US" w:eastAsia="zh-CN" w:bidi="ar-SA"/>
              </w:rPr>
              <w:t>。</w:t>
            </w:r>
          </w:p>
          <w:p>
            <w:pPr>
              <w:pStyle w:val="2"/>
              <w:keepLines w:val="0"/>
              <w:pageBreakBefore w:val="0"/>
              <w:widowControl w:val="0"/>
              <w:kinsoku/>
              <w:wordWrap/>
              <w:topLinePunct w:val="0"/>
              <w:autoSpaceDE/>
              <w:autoSpaceDN/>
              <w:bidi w:val="0"/>
              <w:snapToGrid w:val="0"/>
              <w:spacing w:before="0" w:after="0" w:line="460" w:lineRule="exact"/>
              <w:ind w:left="0"/>
              <w:textAlignment w:val="auto"/>
              <w:rPr>
                <w:rFonts w:hint="default"/>
                <w:color w:val="auto"/>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bidi="ar-SA"/>
              </w:rPr>
              <w:t>项目用水标准及用水量见表 2.</w:t>
            </w:r>
            <w:r>
              <w:rPr>
                <w:rFonts w:hint="eastAsia" w:eastAsia="宋体" w:cs="Times New Roman"/>
                <w:b w:val="0"/>
                <w:bCs w:val="0"/>
                <w:color w:val="auto"/>
                <w:kern w:val="2"/>
                <w:sz w:val="24"/>
                <w:szCs w:val="24"/>
                <w:highlight w:val="none"/>
                <w:lang w:val="en-US" w:eastAsia="zh-CN" w:bidi="ar-SA"/>
              </w:rPr>
              <w:t>7</w:t>
            </w:r>
            <w:r>
              <w:rPr>
                <w:rFonts w:hint="eastAsia" w:ascii="Times New Roman" w:hAnsi="Times New Roman" w:eastAsia="宋体" w:cs="Times New Roman"/>
                <w:b w:val="0"/>
                <w:bCs w:val="0"/>
                <w:color w:val="auto"/>
                <w:kern w:val="2"/>
                <w:sz w:val="24"/>
                <w:szCs w:val="24"/>
                <w:highlight w:val="none"/>
                <w:lang w:val="en-US" w:eastAsia="zh-CN" w:bidi="ar-SA"/>
              </w:rPr>
              <w:t>。项目水平衡图见图 2.</w:t>
            </w:r>
            <w:r>
              <w:rPr>
                <w:rFonts w:hint="eastAsia" w:eastAsia="宋体" w:cs="Times New Roman"/>
                <w:b w:val="0"/>
                <w:bCs w:val="0"/>
                <w:color w:val="auto"/>
                <w:kern w:val="2"/>
                <w:sz w:val="24"/>
                <w:szCs w:val="24"/>
                <w:highlight w:val="none"/>
                <w:lang w:val="en-US" w:eastAsia="zh-CN" w:bidi="ar-SA"/>
              </w:rPr>
              <w:t>1</w:t>
            </w:r>
            <w:r>
              <w:rPr>
                <w:rFonts w:hint="eastAsia" w:ascii="Times New Roman" w:hAnsi="Times New Roman" w:eastAsia="宋体" w:cs="Times New Roman"/>
                <w:b w:val="0"/>
                <w:bCs w:val="0"/>
                <w:color w:val="auto"/>
                <w:kern w:val="2"/>
                <w:sz w:val="24"/>
                <w:szCs w:val="24"/>
                <w:highlight w:val="none"/>
                <w:lang w:val="en-US" w:eastAsia="zh-CN" w:bidi="ar-SA"/>
              </w:rPr>
              <w:t>。</w:t>
            </w:r>
          </w:p>
          <w:p>
            <w:pPr>
              <w:adjustRightInd w:val="0"/>
              <w:snapToGrid w:val="0"/>
              <w:spacing w:line="240" w:lineRule="auto"/>
              <w:ind w:left="0" w:leftChars="0" w:firstLine="0" w:firstLineChars="0"/>
              <w:jc w:val="center"/>
              <w:rPr>
                <w:b/>
                <w:bCs/>
                <w:color w:val="auto"/>
                <w:sz w:val="24"/>
                <w:highlight w:val="none"/>
              </w:rPr>
            </w:pPr>
            <w:r>
              <w:rPr>
                <w:rFonts w:hint="eastAsia"/>
                <w:b/>
                <w:bCs/>
                <w:color w:val="auto"/>
                <w:sz w:val="24"/>
                <w:szCs w:val="24"/>
                <w:highlight w:val="none"/>
                <w:lang w:val="en-US" w:eastAsia="zh-CN"/>
              </w:rPr>
              <w:t>表2.7  项目</w:t>
            </w:r>
            <w:r>
              <w:rPr>
                <w:rFonts w:hAnsi="宋体"/>
                <w:b/>
                <w:bCs/>
                <w:color w:val="auto"/>
                <w:sz w:val="24"/>
                <w:highlight w:val="none"/>
              </w:rPr>
              <w:t>用水量估算表</w:t>
            </w:r>
          </w:p>
          <w:tbl>
            <w:tblPr>
              <w:tblStyle w:val="29"/>
              <w:tblW w:w="8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978"/>
              <w:gridCol w:w="1103"/>
              <w:gridCol w:w="1474"/>
              <w:gridCol w:w="1072"/>
              <w:gridCol w:w="1072"/>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306" w:type="dxa"/>
                  <w:noWrap w:val="0"/>
                  <w:vAlign w:val="center"/>
                </w:tcPr>
                <w:p>
                  <w:pPr>
                    <w:spacing w:line="240" w:lineRule="exact"/>
                    <w:ind w:left="0" w:leftChars="0" w:firstLine="0" w:firstLineChars="0"/>
                    <w:jc w:val="center"/>
                    <w:rPr>
                      <w:color w:val="auto"/>
                      <w:sz w:val="21"/>
                      <w:szCs w:val="21"/>
                      <w:highlight w:val="none"/>
                    </w:rPr>
                  </w:pPr>
                  <w:r>
                    <w:rPr>
                      <w:rFonts w:hAnsi="宋体"/>
                      <w:color w:val="auto"/>
                      <w:sz w:val="21"/>
                      <w:szCs w:val="21"/>
                      <w:highlight w:val="none"/>
                    </w:rPr>
                    <w:t>用水项目</w:t>
                  </w:r>
                </w:p>
              </w:tc>
              <w:tc>
                <w:tcPr>
                  <w:tcW w:w="978" w:type="dxa"/>
                  <w:noWrap w:val="0"/>
                  <w:vAlign w:val="center"/>
                </w:tcPr>
                <w:p>
                  <w:pPr>
                    <w:spacing w:line="240" w:lineRule="exact"/>
                    <w:ind w:left="0" w:leftChars="0" w:firstLine="0" w:firstLineChars="0"/>
                    <w:jc w:val="center"/>
                    <w:rPr>
                      <w:color w:val="auto"/>
                      <w:sz w:val="21"/>
                      <w:szCs w:val="21"/>
                      <w:highlight w:val="none"/>
                    </w:rPr>
                  </w:pPr>
                  <w:r>
                    <w:rPr>
                      <w:rFonts w:hAnsi="宋体"/>
                      <w:color w:val="auto"/>
                      <w:sz w:val="21"/>
                      <w:szCs w:val="21"/>
                      <w:highlight w:val="none"/>
                    </w:rPr>
                    <w:t>规模</w:t>
                  </w:r>
                </w:p>
              </w:tc>
              <w:tc>
                <w:tcPr>
                  <w:tcW w:w="1103" w:type="dxa"/>
                  <w:noWrap w:val="0"/>
                  <w:vAlign w:val="center"/>
                </w:tcPr>
                <w:p>
                  <w:pPr>
                    <w:spacing w:line="240" w:lineRule="exact"/>
                    <w:ind w:left="0" w:leftChars="0" w:firstLine="0" w:firstLineChars="0"/>
                    <w:jc w:val="center"/>
                    <w:rPr>
                      <w:color w:val="auto"/>
                      <w:sz w:val="21"/>
                      <w:szCs w:val="21"/>
                      <w:highlight w:val="none"/>
                    </w:rPr>
                  </w:pPr>
                  <w:r>
                    <w:rPr>
                      <w:rFonts w:hAnsi="宋体"/>
                      <w:color w:val="auto"/>
                      <w:sz w:val="21"/>
                      <w:szCs w:val="21"/>
                      <w:highlight w:val="none"/>
                    </w:rPr>
                    <w:t>用水标准</w:t>
                  </w:r>
                </w:p>
              </w:tc>
              <w:tc>
                <w:tcPr>
                  <w:tcW w:w="1474" w:type="dxa"/>
                  <w:noWrap w:val="0"/>
                  <w:vAlign w:val="center"/>
                </w:tcPr>
                <w:p>
                  <w:pPr>
                    <w:autoSpaceDE w:val="0"/>
                    <w:spacing w:line="260" w:lineRule="exact"/>
                    <w:ind w:left="0" w:leftChars="0" w:firstLine="0" w:firstLineChars="0"/>
                    <w:jc w:val="center"/>
                    <w:rPr>
                      <w:color w:val="auto"/>
                      <w:sz w:val="21"/>
                      <w:szCs w:val="21"/>
                      <w:highlight w:val="none"/>
                    </w:rPr>
                  </w:pPr>
                  <w:r>
                    <w:rPr>
                      <w:rFonts w:hAnsi="宋体"/>
                      <w:color w:val="auto"/>
                      <w:sz w:val="21"/>
                      <w:szCs w:val="21"/>
                      <w:highlight w:val="none"/>
                    </w:rPr>
                    <w:t>最大日用水量（</w:t>
                  </w:r>
                  <w:r>
                    <w:rPr>
                      <w:color w:val="auto"/>
                      <w:sz w:val="21"/>
                      <w:szCs w:val="21"/>
                      <w:highlight w:val="none"/>
                    </w:rPr>
                    <w:t>m</w:t>
                  </w:r>
                  <w:r>
                    <w:rPr>
                      <w:color w:val="auto"/>
                      <w:sz w:val="21"/>
                      <w:szCs w:val="21"/>
                      <w:highlight w:val="none"/>
                      <w:vertAlign w:val="superscript"/>
                    </w:rPr>
                    <w:t>3</w:t>
                  </w:r>
                  <w:r>
                    <w:rPr>
                      <w:color w:val="auto"/>
                      <w:sz w:val="21"/>
                      <w:szCs w:val="21"/>
                      <w:highlight w:val="none"/>
                    </w:rPr>
                    <w:t>/d</w:t>
                  </w:r>
                  <w:r>
                    <w:rPr>
                      <w:rFonts w:hAnsi="宋体"/>
                      <w:color w:val="auto"/>
                      <w:sz w:val="21"/>
                      <w:szCs w:val="21"/>
                      <w:highlight w:val="none"/>
                    </w:rPr>
                    <w:t>）</w:t>
                  </w:r>
                </w:p>
              </w:tc>
              <w:tc>
                <w:tcPr>
                  <w:tcW w:w="1072" w:type="dxa"/>
                  <w:noWrap w:val="0"/>
                  <w:vAlign w:val="center"/>
                </w:tcPr>
                <w:p>
                  <w:pPr>
                    <w:spacing w:line="260" w:lineRule="exact"/>
                    <w:ind w:left="0" w:leftChars="0" w:firstLine="0" w:firstLineChars="0"/>
                    <w:jc w:val="center"/>
                    <w:rPr>
                      <w:color w:val="auto"/>
                      <w:sz w:val="21"/>
                      <w:szCs w:val="21"/>
                      <w:highlight w:val="none"/>
                    </w:rPr>
                  </w:pPr>
                  <w:r>
                    <w:rPr>
                      <w:rFonts w:hAnsi="宋体"/>
                      <w:color w:val="auto"/>
                      <w:sz w:val="21"/>
                      <w:szCs w:val="21"/>
                      <w:highlight w:val="none"/>
                    </w:rPr>
                    <w:t>年用水量</w:t>
                  </w:r>
                  <w:r>
                    <w:rPr>
                      <w:color w:val="auto"/>
                      <w:sz w:val="21"/>
                      <w:szCs w:val="21"/>
                      <w:highlight w:val="none"/>
                    </w:rPr>
                    <w:t>(m</w:t>
                  </w:r>
                  <w:r>
                    <w:rPr>
                      <w:color w:val="auto"/>
                      <w:sz w:val="21"/>
                      <w:szCs w:val="21"/>
                      <w:highlight w:val="none"/>
                      <w:vertAlign w:val="superscript"/>
                    </w:rPr>
                    <w:t>3</w:t>
                  </w:r>
                  <w:r>
                    <w:rPr>
                      <w:color w:val="auto"/>
                      <w:sz w:val="21"/>
                      <w:szCs w:val="21"/>
                      <w:highlight w:val="none"/>
                    </w:rPr>
                    <w:t>/a)</w:t>
                  </w:r>
                </w:p>
              </w:tc>
              <w:tc>
                <w:tcPr>
                  <w:tcW w:w="1072" w:type="dxa"/>
                  <w:noWrap w:val="0"/>
                  <w:vAlign w:val="center"/>
                </w:tcPr>
                <w:p>
                  <w:pPr>
                    <w:spacing w:line="260" w:lineRule="exact"/>
                    <w:ind w:left="0" w:leftChars="0" w:firstLine="0" w:firstLineChars="0"/>
                    <w:jc w:val="center"/>
                    <w:rPr>
                      <w:rFonts w:hAnsi="宋体"/>
                      <w:color w:val="auto"/>
                      <w:sz w:val="21"/>
                      <w:szCs w:val="21"/>
                      <w:highlight w:val="none"/>
                    </w:rPr>
                  </w:pPr>
                  <w:r>
                    <w:rPr>
                      <w:rFonts w:hint="eastAsia"/>
                      <w:color w:val="auto"/>
                      <w:sz w:val="21"/>
                      <w:szCs w:val="21"/>
                      <w:highlight w:val="none"/>
                      <w:lang w:val="en-US" w:eastAsia="zh-CN"/>
                    </w:rPr>
                    <w:t>日平均排水量（m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/d）</w:t>
                  </w:r>
                </w:p>
              </w:tc>
              <w:tc>
                <w:tcPr>
                  <w:tcW w:w="1073" w:type="dxa"/>
                  <w:noWrap w:val="0"/>
                  <w:vAlign w:val="center"/>
                </w:tcPr>
                <w:p>
                  <w:pPr>
                    <w:spacing w:line="260" w:lineRule="exact"/>
                    <w:ind w:left="0" w:leftChars="0" w:firstLine="0" w:firstLineChars="0"/>
                    <w:jc w:val="center"/>
                    <w:rPr>
                      <w:rFonts w:hAnsi="宋体"/>
                      <w:color w:val="auto"/>
                      <w:sz w:val="21"/>
                      <w:szCs w:val="21"/>
                      <w:highlight w:val="none"/>
                    </w:rPr>
                  </w:pPr>
                  <w:r>
                    <w:rPr>
                      <w:rFonts w:hint="eastAsia" w:hAnsi="宋体"/>
                      <w:color w:val="auto"/>
                      <w:sz w:val="21"/>
                      <w:szCs w:val="21"/>
                      <w:highlight w:val="none"/>
                    </w:rPr>
                    <w:t>年排水量（m</w:t>
                  </w:r>
                  <w:r>
                    <w:rPr>
                      <w:rFonts w:hint="eastAsia" w:hAnsi="宋体"/>
                      <w:color w:val="auto"/>
                      <w:sz w:val="21"/>
                      <w:szCs w:val="21"/>
                      <w:highlight w:val="none"/>
                      <w:vertAlign w:val="superscript"/>
                    </w:rPr>
                    <w:t>3</w:t>
                  </w:r>
                  <w:r>
                    <w:rPr>
                      <w:rFonts w:hint="eastAsia" w:hAnsi="宋体"/>
                      <w:color w:val="auto"/>
                      <w:sz w:val="21"/>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1306" w:type="dxa"/>
                  <w:noWrap w:val="0"/>
                  <w:vAlign w:val="center"/>
                </w:tcPr>
                <w:p>
                  <w:pPr>
                    <w:spacing w:line="240" w:lineRule="exact"/>
                    <w:ind w:left="0" w:leftChars="0" w:firstLine="0" w:firstLineChars="0"/>
                    <w:jc w:val="center"/>
                    <w:rPr>
                      <w:color w:val="auto"/>
                      <w:sz w:val="21"/>
                      <w:szCs w:val="21"/>
                      <w:highlight w:val="none"/>
                    </w:rPr>
                  </w:pPr>
                  <w:r>
                    <w:rPr>
                      <w:rFonts w:hint="eastAsia" w:hAnsi="宋体"/>
                      <w:color w:val="auto"/>
                      <w:sz w:val="21"/>
                      <w:szCs w:val="21"/>
                      <w:highlight w:val="none"/>
                      <w:lang w:val="en-US" w:eastAsia="zh-CN"/>
                    </w:rPr>
                    <w:t>门诊</w:t>
                  </w:r>
                </w:p>
              </w:tc>
              <w:tc>
                <w:tcPr>
                  <w:tcW w:w="978" w:type="dxa"/>
                  <w:noWrap w:val="0"/>
                  <w:vAlign w:val="center"/>
                </w:tcPr>
                <w:p>
                  <w:pPr>
                    <w:spacing w:line="240" w:lineRule="exact"/>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80人/d</w:t>
                  </w:r>
                </w:p>
              </w:tc>
              <w:tc>
                <w:tcPr>
                  <w:tcW w:w="1103" w:type="dxa"/>
                  <w:noWrap w:val="0"/>
                  <w:vAlign w:val="center"/>
                </w:tcPr>
                <w:p>
                  <w:pPr>
                    <w:spacing w:line="240" w:lineRule="exact"/>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r>
                    <w:rPr>
                      <w:color w:val="auto"/>
                      <w:sz w:val="21"/>
                      <w:szCs w:val="21"/>
                      <w:highlight w:val="none"/>
                    </w:rPr>
                    <w:t>L/</w:t>
                  </w:r>
                  <w:r>
                    <w:rPr>
                      <w:rFonts w:hint="eastAsia"/>
                      <w:color w:val="auto"/>
                      <w:sz w:val="21"/>
                      <w:szCs w:val="21"/>
                      <w:highlight w:val="none"/>
                      <w:lang w:val="en-US" w:eastAsia="zh-CN"/>
                    </w:rPr>
                    <w:t>人·次</w:t>
                  </w:r>
                </w:p>
              </w:tc>
              <w:tc>
                <w:tcPr>
                  <w:tcW w:w="1474" w:type="dxa"/>
                  <w:noWrap w:val="0"/>
                  <w:vAlign w:val="center"/>
                </w:tcPr>
                <w:p>
                  <w:pPr>
                    <w:spacing w:line="240" w:lineRule="exact"/>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w:t>
                  </w:r>
                </w:p>
              </w:tc>
              <w:tc>
                <w:tcPr>
                  <w:tcW w:w="1072" w:type="dxa"/>
                  <w:noWrap w:val="0"/>
                  <w:vAlign w:val="center"/>
                </w:tcPr>
                <w:p>
                  <w:pPr>
                    <w:spacing w:line="240" w:lineRule="exact"/>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438</w:t>
                  </w:r>
                </w:p>
              </w:tc>
              <w:tc>
                <w:tcPr>
                  <w:tcW w:w="1072"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1.08</w:t>
                  </w:r>
                </w:p>
              </w:tc>
              <w:tc>
                <w:tcPr>
                  <w:tcW w:w="1073"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394.2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1306" w:type="dxa"/>
                  <w:noWrap w:val="0"/>
                  <w:vAlign w:val="center"/>
                </w:tcPr>
                <w:p>
                  <w:pPr>
                    <w:spacing w:line="240" w:lineRule="exact"/>
                    <w:ind w:left="0" w:leftChars="0" w:firstLine="0" w:firstLineChars="0"/>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病床</w:t>
                  </w:r>
                </w:p>
              </w:tc>
              <w:tc>
                <w:tcPr>
                  <w:tcW w:w="978" w:type="dxa"/>
                  <w:noWrap w:val="0"/>
                  <w:vAlign w:val="center"/>
                </w:tcPr>
                <w:p>
                  <w:pPr>
                    <w:spacing w:line="240" w:lineRule="exact"/>
                    <w:ind w:left="0" w:leftChars="0" w:firstLine="0" w:firstLineChars="0"/>
                    <w:jc w:val="center"/>
                    <w:rPr>
                      <w:rFonts w:hint="eastAsia" w:hAnsi="宋体" w:eastAsia="宋体"/>
                      <w:color w:val="auto"/>
                      <w:sz w:val="21"/>
                      <w:szCs w:val="21"/>
                      <w:highlight w:val="none"/>
                      <w:lang w:val="en-US" w:eastAsia="zh-CN"/>
                    </w:rPr>
                  </w:pPr>
                  <w:r>
                    <w:rPr>
                      <w:rFonts w:hint="eastAsia" w:hAnsi="宋体"/>
                      <w:color w:val="auto"/>
                      <w:sz w:val="21"/>
                      <w:szCs w:val="21"/>
                      <w:highlight w:val="none"/>
                      <w:lang w:val="en-US" w:eastAsia="zh-CN"/>
                    </w:rPr>
                    <w:t>65张</w:t>
                  </w:r>
                </w:p>
              </w:tc>
              <w:tc>
                <w:tcPr>
                  <w:tcW w:w="1103" w:type="dxa"/>
                  <w:noWrap w:val="0"/>
                  <w:vAlign w:val="center"/>
                </w:tcPr>
                <w:p>
                  <w:pPr>
                    <w:spacing w:line="240" w:lineRule="exact"/>
                    <w:ind w:left="0" w:leftChars="0" w:firstLine="0" w:firstLineChars="0"/>
                    <w:jc w:val="center"/>
                    <w:rPr>
                      <w:rFonts w:hint="default"/>
                      <w:color w:val="auto"/>
                      <w:sz w:val="21"/>
                      <w:szCs w:val="21"/>
                      <w:highlight w:val="none"/>
                      <w:lang w:val="en-US"/>
                    </w:rPr>
                  </w:pPr>
                  <w:r>
                    <w:rPr>
                      <w:rFonts w:hint="eastAsia"/>
                      <w:color w:val="auto"/>
                      <w:sz w:val="21"/>
                      <w:szCs w:val="21"/>
                      <w:highlight w:val="none"/>
                      <w:lang w:val="en-US" w:eastAsia="zh-CN"/>
                    </w:rPr>
                    <w:t>250L/床·d</w:t>
                  </w:r>
                </w:p>
              </w:tc>
              <w:tc>
                <w:tcPr>
                  <w:tcW w:w="1474" w:type="dxa"/>
                  <w:noWrap w:val="0"/>
                  <w:vAlign w:val="center"/>
                </w:tcPr>
                <w:p>
                  <w:pPr>
                    <w:spacing w:line="240" w:lineRule="exact"/>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16.25</w:t>
                  </w:r>
                </w:p>
              </w:tc>
              <w:tc>
                <w:tcPr>
                  <w:tcW w:w="1072" w:type="dxa"/>
                  <w:noWrap w:val="0"/>
                  <w:vAlign w:val="center"/>
                </w:tcPr>
                <w:p>
                  <w:pPr>
                    <w:spacing w:line="240" w:lineRule="exact"/>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5931.25</w:t>
                  </w:r>
                </w:p>
              </w:tc>
              <w:tc>
                <w:tcPr>
                  <w:tcW w:w="1072"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14.625</w:t>
                  </w:r>
                </w:p>
              </w:tc>
              <w:tc>
                <w:tcPr>
                  <w:tcW w:w="1073"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5388.125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68" w:hRule="atLeast"/>
              </w:trPr>
              <w:tc>
                <w:tcPr>
                  <w:tcW w:w="1306" w:type="dxa"/>
                  <w:noWrap w:val="0"/>
                  <w:vAlign w:val="center"/>
                </w:tcPr>
                <w:p>
                  <w:pPr>
                    <w:spacing w:line="240" w:lineRule="exact"/>
                    <w:ind w:left="0" w:leftChars="0" w:firstLine="0" w:firstLineChars="0"/>
                    <w:jc w:val="center"/>
                    <w:rPr>
                      <w:rFonts w:hint="default" w:hAnsi="宋体"/>
                      <w:color w:val="auto"/>
                      <w:sz w:val="21"/>
                      <w:szCs w:val="21"/>
                      <w:highlight w:val="none"/>
                      <w:lang w:val="en-US" w:eastAsia="zh-CN"/>
                    </w:rPr>
                  </w:pPr>
                  <w:r>
                    <w:rPr>
                      <w:rFonts w:hint="eastAsia" w:hAnsi="宋体"/>
                      <w:color w:val="auto"/>
                      <w:sz w:val="21"/>
                      <w:szCs w:val="21"/>
                      <w:highlight w:val="none"/>
                      <w:lang w:val="en-US" w:eastAsia="zh-CN"/>
                    </w:rPr>
                    <w:t>医护人员（住院部）</w:t>
                  </w:r>
                </w:p>
              </w:tc>
              <w:tc>
                <w:tcPr>
                  <w:tcW w:w="978"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10人</w:t>
                  </w:r>
                </w:p>
              </w:tc>
              <w:tc>
                <w:tcPr>
                  <w:tcW w:w="1103" w:type="dxa"/>
                  <w:noWrap w:val="0"/>
                  <w:vAlign w:val="center"/>
                </w:tcPr>
                <w:p>
                  <w:pPr>
                    <w:spacing w:line="240" w:lineRule="exact"/>
                    <w:ind w:left="0" w:leftChars="0" w:firstLine="0" w:firstLineChars="0"/>
                    <w:jc w:val="center"/>
                    <w:rPr>
                      <w:rFonts w:hint="eastAsia"/>
                      <w:color w:val="auto"/>
                      <w:sz w:val="21"/>
                      <w:szCs w:val="21"/>
                      <w:highlight w:val="none"/>
                      <w:lang w:val="en-US" w:eastAsia="zh-CN"/>
                    </w:rPr>
                  </w:pPr>
                  <w:r>
                    <w:rPr>
                      <w:rFonts w:hint="eastAsia" w:hAnsi="宋体"/>
                      <w:color w:val="auto"/>
                      <w:sz w:val="21"/>
                      <w:szCs w:val="21"/>
                      <w:highlight w:val="none"/>
                      <w:lang w:val="en-US" w:eastAsia="zh-CN"/>
                    </w:rPr>
                    <w:t>250L/人</w:t>
                  </w:r>
                  <w:r>
                    <w:rPr>
                      <w:rFonts w:hint="eastAsia"/>
                      <w:color w:val="auto"/>
                      <w:sz w:val="21"/>
                      <w:szCs w:val="21"/>
                      <w:highlight w:val="none"/>
                      <w:lang w:val="en-US" w:eastAsia="zh-CN"/>
                    </w:rPr>
                    <w:t>·</w:t>
                  </w:r>
                  <w:r>
                    <w:rPr>
                      <w:rFonts w:hint="eastAsia" w:hAnsi="宋体"/>
                      <w:color w:val="auto"/>
                      <w:sz w:val="21"/>
                      <w:szCs w:val="21"/>
                      <w:highlight w:val="none"/>
                      <w:lang w:val="en-US" w:eastAsia="zh-CN"/>
                    </w:rPr>
                    <w:t>d</w:t>
                  </w:r>
                </w:p>
              </w:tc>
              <w:tc>
                <w:tcPr>
                  <w:tcW w:w="1474"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2.5</w:t>
                  </w:r>
                </w:p>
              </w:tc>
              <w:tc>
                <w:tcPr>
                  <w:tcW w:w="1072"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912.5</w:t>
                  </w:r>
                </w:p>
              </w:tc>
              <w:tc>
                <w:tcPr>
                  <w:tcW w:w="1072"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2.25</w:t>
                  </w:r>
                </w:p>
              </w:tc>
              <w:tc>
                <w:tcPr>
                  <w:tcW w:w="1073"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821.25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68" w:hRule="atLeast"/>
              </w:trPr>
              <w:tc>
                <w:tcPr>
                  <w:tcW w:w="1306" w:type="dxa"/>
                  <w:noWrap w:val="0"/>
                  <w:vAlign w:val="center"/>
                </w:tcPr>
                <w:p>
                  <w:pPr>
                    <w:spacing w:line="240" w:lineRule="exact"/>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医护人员（门诊部）</w:t>
                  </w:r>
                </w:p>
              </w:tc>
              <w:tc>
                <w:tcPr>
                  <w:tcW w:w="978" w:type="dxa"/>
                  <w:noWrap w:val="0"/>
                  <w:vAlign w:val="center"/>
                </w:tcPr>
                <w:p>
                  <w:pPr>
                    <w:spacing w:line="240" w:lineRule="exact"/>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15人</w:t>
                  </w:r>
                </w:p>
              </w:tc>
              <w:tc>
                <w:tcPr>
                  <w:tcW w:w="1103" w:type="dxa"/>
                  <w:noWrap w:val="0"/>
                  <w:vAlign w:val="center"/>
                </w:tcPr>
                <w:p>
                  <w:pPr>
                    <w:spacing w:line="240" w:lineRule="exact"/>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100L/人·d</w:t>
                  </w:r>
                </w:p>
              </w:tc>
              <w:tc>
                <w:tcPr>
                  <w:tcW w:w="1474" w:type="dxa"/>
                  <w:noWrap w:val="0"/>
                  <w:vAlign w:val="center"/>
                </w:tcPr>
                <w:p>
                  <w:pPr>
                    <w:spacing w:line="240" w:lineRule="exact"/>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1072" w:type="dxa"/>
                  <w:noWrap w:val="0"/>
                  <w:vAlign w:val="center"/>
                </w:tcPr>
                <w:p>
                  <w:pPr>
                    <w:spacing w:line="240" w:lineRule="exact"/>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547.5</w:t>
                  </w:r>
                </w:p>
              </w:tc>
              <w:tc>
                <w:tcPr>
                  <w:tcW w:w="1072"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1.35</w:t>
                  </w:r>
                </w:p>
              </w:tc>
              <w:tc>
                <w:tcPr>
                  <w:tcW w:w="1073"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492.75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68" w:hRule="atLeast"/>
              </w:trPr>
              <w:tc>
                <w:tcPr>
                  <w:tcW w:w="1306" w:type="dxa"/>
                  <w:noWrap w:val="0"/>
                  <w:vAlign w:val="center"/>
                </w:tcPr>
                <w:p>
                  <w:pPr>
                    <w:spacing w:line="240" w:lineRule="exact"/>
                    <w:ind w:left="0" w:leftChars="0" w:firstLine="0" w:firstLineChars="0"/>
                    <w:jc w:val="center"/>
                    <w:rPr>
                      <w:rFonts w:hint="default" w:hAnsi="宋体"/>
                      <w:color w:val="auto"/>
                      <w:sz w:val="21"/>
                      <w:szCs w:val="21"/>
                      <w:highlight w:val="none"/>
                      <w:lang w:val="en-US" w:eastAsia="zh-CN"/>
                    </w:rPr>
                  </w:pPr>
                  <w:r>
                    <w:rPr>
                      <w:rFonts w:hint="eastAsia" w:hAnsi="宋体"/>
                      <w:color w:val="auto"/>
                      <w:sz w:val="21"/>
                      <w:szCs w:val="21"/>
                      <w:highlight w:val="none"/>
                      <w:lang w:val="en-US" w:eastAsia="zh-CN"/>
                    </w:rPr>
                    <w:t>行政管理人员</w:t>
                  </w:r>
                </w:p>
              </w:tc>
              <w:tc>
                <w:tcPr>
                  <w:tcW w:w="978"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4人</w:t>
                  </w:r>
                </w:p>
              </w:tc>
              <w:tc>
                <w:tcPr>
                  <w:tcW w:w="1103" w:type="dxa"/>
                  <w:noWrap w:val="0"/>
                  <w:vAlign w:val="center"/>
                </w:tcPr>
                <w:p>
                  <w:pPr>
                    <w:spacing w:line="240" w:lineRule="exact"/>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50L/人·d</w:t>
                  </w:r>
                </w:p>
              </w:tc>
              <w:tc>
                <w:tcPr>
                  <w:tcW w:w="1474"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0.2</w:t>
                  </w:r>
                </w:p>
              </w:tc>
              <w:tc>
                <w:tcPr>
                  <w:tcW w:w="1072"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73</w:t>
                  </w:r>
                </w:p>
              </w:tc>
              <w:tc>
                <w:tcPr>
                  <w:tcW w:w="1072"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0.18</w:t>
                  </w:r>
                </w:p>
              </w:tc>
              <w:tc>
                <w:tcPr>
                  <w:tcW w:w="1073"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68" w:hRule="atLeast"/>
              </w:trPr>
              <w:tc>
                <w:tcPr>
                  <w:tcW w:w="1306" w:type="dxa"/>
                  <w:noWrap w:val="0"/>
                  <w:vAlign w:val="center"/>
                </w:tcPr>
                <w:p>
                  <w:pPr>
                    <w:spacing w:line="240" w:lineRule="exact"/>
                    <w:ind w:left="0" w:leftChars="0" w:firstLine="0" w:firstLineChars="0"/>
                    <w:jc w:val="center"/>
                    <w:rPr>
                      <w:rFonts w:hint="default" w:hAnsi="宋体"/>
                      <w:color w:val="auto"/>
                      <w:sz w:val="21"/>
                      <w:szCs w:val="21"/>
                      <w:highlight w:val="none"/>
                      <w:lang w:val="en-US" w:eastAsia="zh-CN"/>
                    </w:rPr>
                  </w:pPr>
                  <w:r>
                    <w:rPr>
                      <w:rFonts w:hint="eastAsia" w:hAnsi="宋体"/>
                      <w:color w:val="auto"/>
                      <w:sz w:val="21"/>
                      <w:szCs w:val="21"/>
                      <w:highlight w:val="none"/>
                      <w:lang w:val="en-US" w:eastAsia="zh-CN"/>
                    </w:rPr>
                    <w:t>地面清洁用水</w:t>
                  </w:r>
                </w:p>
              </w:tc>
              <w:tc>
                <w:tcPr>
                  <w:tcW w:w="978"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2000m</w:t>
                  </w:r>
                  <w:r>
                    <w:rPr>
                      <w:rFonts w:hint="eastAsia"/>
                      <w:color w:val="auto"/>
                      <w:sz w:val="21"/>
                      <w:szCs w:val="21"/>
                      <w:highlight w:val="none"/>
                      <w:vertAlign w:val="superscript"/>
                      <w:lang w:val="en-US" w:eastAsia="zh-CN"/>
                    </w:rPr>
                    <w:t>2</w:t>
                  </w:r>
                </w:p>
              </w:tc>
              <w:tc>
                <w:tcPr>
                  <w:tcW w:w="1103" w:type="dxa"/>
                  <w:noWrap w:val="0"/>
                  <w:vAlign w:val="center"/>
                </w:tcPr>
                <w:p>
                  <w:pPr>
                    <w:spacing w:line="240" w:lineRule="exact"/>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0.5</w:t>
                  </w:r>
                  <w:r>
                    <w:rPr>
                      <w:color w:val="auto"/>
                      <w:sz w:val="21"/>
                      <w:szCs w:val="21"/>
                      <w:highlight w:val="none"/>
                    </w:rPr>
                    <w:t>L/</w:t>
                  </w:r>
                  <w:r>
                    <w:rPr>
                      <w:rFonts w:hint="eastAsia"/>
                      <w:color w:val="auto"/>
                      <w:sz w:val="21"/>
                      <w:szCs w:val="21"/>
                      <w:highlight w:val="none"/>
                    </w:rPr>
                    <w:t>m</w:t>
                  </w:r>
                  <w:r>
                    <w:rPr>
                      <w:rFonts w:hint="eastAsia"/>
                      <w:color w:val="auto"/>
                      <w:sz w:val="21"/>
                      <w:szCs w:val="21"/>
                      <w:highlight w:val="none"/>
                      <w:vertAlign w:val="superscript"/>
                    </w:rPr>
                    <w:t>2</w:t>
                  </w:r>
                  <w:r>
                    <w:rPr>
                      <w:rFonts w:hint="eastAsia"/>
                      <w:color w:val="auto"/>
                      <w:sz w:val="21"/>
                      <w:szCs w:val="21"/>
                      <w:highlight w:val="none"/>
                      <w:lang w:val="en-US" w:eastAsia="zh-CN"/>
                    </w:rPr>
                    <w:t>·d</w:t>
                  </w:r>
                </w:p>
              </w:tc>
              <w:tc>
                <w:tcPr>
                  <w:tcW w:w="1474"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1072"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365</w:t>
                  </w:r>
                </w:p>
              </w:tc>
              <w:tc>
                <w:tcPr>
                  <w:tcW w:w="1072"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0.9</w:t>
                  </w:r>
                </w:p>
              </w:tc>
              <w:tc>
                <w:tcPr>
                  <w:tcW w:w="1073"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328.5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68" w:hRule="atLeast"/>
              </w:trPr>
              <w:tc>
                <w:tcPr>
                  <w:tcW w:w="1306" w:type="dxa"/>
                  <w:noWrap w:val="0"/>
                  <w:vAlign w:val="center"/>
                </w:tcPr>
                <w:p>
                  <w:pPr>
                    <w:spacing w:line="240" w:lineRule="exact"/>
                    <w:ind w:left="0" w:leftChars="0" w:firstLine="0" w:firstLineChars="0"/>
                    <w:jc w:val="center"/>
                    <w:rPr>
                      <w:rFonts w:hint="default" w:hAnsi="宋体"/>
                      <w:color w:val="auto"/>
                      <w:sz w:val="21"/>
                      <w:szCs w:val="21"/>
                      <w:highlight w:val="none"/>
                      <w:lang w:val="en-US" w:eastAsia="zh-CN"/>
                    </w:rPr>
                  </w:pPr>
                  <w:r>
                    <w:rPr>
                      <w:rFonts w:hint="eastAsia" w:hAnsi="宋体"/>
                      <w:color w:val="auto"/>
                      <w:sz w:val="21"/>
                      <w:szCs w:val="21"/>
                      <w:highlight w:val="none"/>
                      <w:lang w:val="en-US" w:eastAsia="zh-CN"/>
                    </w:rPr>
                    <w:t>设备清洗用水</w:t>
                  </w:r>
                </w:p>
              </w:tc>
              <w:tc>
                <w:tcPr>
                  <w:tcW w:w="978" w:type="dxa"/>
                  <w:noWrap w:val="0"/>
                  <w:vAlign w:val="center"/>
                </w:tcPr>
                <w:p>
                  <w:pPr>
                    <w:spacing w:line="240" w:lineRule="exact"/>
                    <w:ind w:left="0" w:leftChars="0" w:firstLine="0" w:firstLineChars="0"/>
                    <w:jc w:val="center"/>
                    <w:rPr>
                      <w:rFonts w:hint="default"/>
                      <w:color w:val="auto"/>
                      <w:sz w:val="21"/>
                      <w:szCs w:val="21"/>
                      <w:highlight w:val="none"/>
                      <w:vertAlign w:val="superscript"/>
                      <w:lang w:val="en-US" w:eastAsia="zh-CN"/>
                    </w:rPr>
                  </w:pPr>
                  <w:r>
                    <w:rPr>
                      <w:rFonts w:hint="eastAsia"/>
                      <w:color w:val="auto"/>
                      <w:sz w:val="21"/>
                      <w:szCs w:val="21"/>
                      <w:highlight w:val="none"/>
                      <w:lang w:val="en-US" w:eastAsia="zh-CN"/>
                    </w:rPr>
                    <w:t>100d</w:t>
                  </w:r>
                </w:p>
              </w:tc>
              <w:tc>
                <w:tcPr>
                  <w:tcW w:w="1103" w:type="dxa"/>
                  <w:noWrap w:val="0"/>
                  <w:vAlign w:val="center"/>
                </w:tcPr>
                <w:p>
                  <w:pPr>
                    <w:spacing w:line="240" w:lineRule="exact"/>
                    <w:ind w:left="0" w:leftChars="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150</w:t>
                  </w:r>
                  <w:r>
                    <w:rPr>
                      <w:rFonts w:hint="eastAsia"/>
                      <w:color w:val="auto"/>
                      <w:sz w:val="21"/>
                      <w:szCs w:val="21"/>
                      <w:highlight w:val="none"/>
                    </w:rPr>
                    <w:t>L/</w:t>
                  </w:r>
                  <w:r>
                    <w:rPr>
                      <w:rFonts w:hint="eastAsia"/>
                      <w:color w:val="auto"/>
                      <w:sz w:val="21"/>
                      <w:szCs w:val="21"/>
                      <w:highlight w:val="none"/>
                      <w:lang w:val="en-US" w:eastAsia="zh-CN"/>
                    </w:rPr>
                    <w:t>d</w:t>
                  </w:r>
                </w:p>
              </w:tc>
              <w:tc>
                <w:tcPr>
                  <w:tcW w:w="1474"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0.041</w:t>
                  </w:r>
                </w:p>
              </w:tc>
              <w:tc>
                <w:tcPr>
                  <w:tcW w:w="1072" w:type="dxa"/>
                  <w:noWrap w:val="0"/>
                  <w:vAlign w:val="center"/>
                </w:tcPr>
                <w:p>
                  <w:pPr>
                    <w:spacing w:line="240" w:lineRule="exact"/>
                    <w:ind w:left="0" w:leftChars="0"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1072" w:type="dxa"/>
                  <w:noWrap w:val="0"/>
                  <w:vAlign w:val="center"/>
                </w:tcPr>
                <w:p>
                  <w:pPr>
                    <w:spacing w:line="240" w:lineRule="exact"/>
                    <w:ind w:left="0" w:leftChars="0"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0.037</w:t>
                  </w:r>
                </w:p>
              </w:tc>
              <w:tc>
                <w:tcPr>
                  <w:tcW w:w="1073" w:type="dxa"/>
                  <w:noWrap w:val="0"/>
                  <w:vAlign w:val="center"/>
                </w:tcPr>
                <w:p>
                  <w:pPr>
                    <w:spacing w:line="240" w:lineRule="exact"/>
                    <w:ind w:left="0" w:leftChars="0"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68" w:hRule="atLeast"/>
              </w:trPr>
              <w:tc>
                <w:tcPr>
                  <w:tcW w:w="1306" w:type="dxa"/>
                  <w:noWrap w:val="0"/>
                  <w:vAlign w:val="center"/>
                </w:tcPr>
                <w:p>
                  <w:pPr>
                    <w:spacing w:line="240" w:lineRule="exact"/>
                    <w:ind w:left="0" w:leftChars="0" w:firstLine="0" w:firstLineChars="0"/>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软水制备用水</w:t>
                  </w:r>
                </w:p>
              </w:tc>
              <w:tc>
                <w:tcPr>
                  <w:tcW w:w="978" w:type="dxa"/>
                  <w:noWrap w:val="0"/>
                  <w:vAlign w:val="center"/>
                </w:tcPr>
                <w:p>
                  <w:pPr>
                    <w:spacing w:line="240" w:lineRule="exact"/>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制备效率50%，4h/d</w:t>
                  </w:r>
                </w:p>
              </w:tc>
              <w:tc>
                <w:tcPr>
                  <w:tcW w:w="1103" w:type="dxa"/>
                  <w:noWrap w:val="0"/>
                  <w:vAlign w:val="center"/>
                </w:tcPr>
                <w:p>
                  <w:pPr>
                    <w:spacing w:line="240" w:lineRule="exact"/>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20L/h</w:t>
                  </w:r>
                </w:p>
              </w:tc>
              <w:tc>
                <w:tcPr>
                  <w:tcW w:w="1474"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0.08</w:t>
                  </w:r>
                </w:p>
              </w:tc>
              <w:tc>
                <w:tcPr>
                  <w:tcW w:w="1072" w:type="dxa"/>
                  <w:noWrap w:val="0"/>
                  <w:vAlign w:val="center"/>
                </w:tcPr>
                <w:p>
                  <w:pPr>
                    <w:spacing w:line="240" w:lineRule="exact"/>
                    <w:ind w:left="0" w:leftChars="0"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29.12</w:t>
                  </w:r>
                </w:p>
              </w:tc>
              <w:tc>
                <w:tcPr>
                  <w:tcW w:w="1072" w:type="dxa"/>
                  <w:noWrap w:val="0"/>
                  <w:vAlign w:val="center"/>
                </w:tcPr>
                <w:p>
                  <w:pPr>
                    <w:spacing w:line="240" w:lineRule="exact"/>
                    <w:ind w:left="0" w:leftChars="0"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0.04</w:t>
                  </w:r>
                </w:p>
              </w:tc>
              <w:tc>
                <w:tcPr>
                  <w:tcW w:w="1073" w:type="dxa"/>
                  <w:noWrap w:val="0"/>
                  <w:vAlign w:val="center"/>
                </w:tcPr>
                <w:p>
                  <w:pPr>
                    <w:spacing w:line="240" w:lineRule="exact"/>
                    <w:ind w:left="0" w:leftChars="0"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68" w:hRule="atLeast"/>
              </w:trPr>
              <w:tc>
                <w:tcPr>
                  <w:tcW w:w="1306" w:type="dxa"/>
                  <w:noWrap w:val="0"/>
                  <w:vAlign w:val="center"/>
                </w:tcPr>
                <w:p>
                  <w:pPr>
                    <w:spacing w:line="240" w:lineRule="exact"/>
                    <w:ind w:left="0" w:leftChars="0" w:firstLine="0" w:firstLineChars="0"/>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泡腾片用水</w:t>
                  </w:r>
                </w:p>
              </w:tc>
              <w:tc>
                <w:tcPr>
                  <w:tcW w:w="978"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15400片</w:t>
                  </w:r>
                </w:p>
              </w:tc>
              <w:tc>
                <w:tcPr>
                  <w:tcW w:w="1103" w:type="dxa"/>
                  <w:noWrap w:val="0"/>
                  <w:vAlign w:val="center"/>
                </w:tcPr>
                <w:p>
                  <w:pPr>
                    <w:spacing w:line="240" w:lineRule="exact"/>
                    <w:ind w:left="0" w:leftChars="0" w:firstLine="0" w:firstLineChars="0"/>
                    <w:jc w:val="center"/>
                    <w:rPr>
                      <w:rFonts w:hint="eastAsia"/>
                      <w:color w:val="auto"/>
                      <w:sz w:val="21"/>
                      <w:szCs w:val="21"/>
                      <w:highlight w:val="none"/>
                    </w:rPr>
                  </w:pPr>
                  <w:r>
                    <w:rPr>
                      <w:rFonts w:hint="eastAsia"/>
                      <w:color w:val="auto"/>
                      <w:sz w:val="21"/>
                      <w:szCs w:val="21"/>
                      <w:highlight w:val="none"/>
                    </w:rPr>
                    <w:t>泡腾片：水=1 片：1L</w:t>
                  </w:r>
                </w:p>
              </w:tc>
              <w:tc>
                <w:tcPr>
                  <w:tcW w:w="1474"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0.042</w:t>
                  </w:r>
                </w:p>
              </w:tc>
              <w:tc>
                <w:tcPr>
                  <w:tcW w:w="1072" w:type="dxa"/>
                  <w:noWrap w:val="0"/>
                  <w:vAlign w:val="center"/>
                </w:tcPr>
                <w:p>
                  <w:pPr>
                    <w:spacing w:line="240" w:lineRule="exact"/>
                    <w:ind w:left="0" w:leftChars="0"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154</w:t>
                  </w:r>
                </w:p>
              </w:tc>
              <w:tc>
                <w:tcPr>
                  <w:tcW w:w="1072" w:type="dxa"/>
                  <w:noWrap w:val="0"/>
                  <w:vAlign w:val="center"/>
                </w:tcPr>
                <w:p>
                  <w:pPr>
                    <w:spacing w:line="240" w:lineRule="exact"/>
                    <w:ind w:left="0" w:leftChars="0"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073" w:type="dxa"/>
                  <w:noWrap w:val="0"/>
                  <w:vAlign w:val="center"/>
                </w:tcPr>
                <w:p>
                  <w:pPr>
                    <w:spacing w:line="240" w:lineRule="exact"/>
                    <w:ind w:left="0" w:leftChars="0"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68" w:hRule="atLeast"/>
              </w:trPr>
              <w:tc>
                <w:tcPr>
                  <w:tcW w:w="1306" w:type="dxa"/>
                  <w:noWrap w:val="0"/>
                  <w:vAlign w:val="center"/>
                </w:tcPr>
                <w:p>
                  <w:pPr>
                    <w:spacing w:line="240" w:lineRule="exact"/>
                    <w:ind w:left="0" w:leftChars="0" w:firstLine="0" w:firstLineChars="0"/>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煎药用水</w:t>
                  </w:r>
                </w:p>
              </w:tc>
              <w:tc>
                <w:tcPr>
                  <w:tcW w:w="978"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1t</w:t>
                  </w:r>
                </w:p>
              </w:tc>
              <w:tc>
                <w:tcPr>
                  <w:tcW w:w="1103" w:type="dxa"/>
                  <w:noWrap w:val="0"/>
                  <w:vAlign w:val="center"/>
                </w:tcPr>
                <w:p>
                  <w:pPr>
                    <w:spacing w:line="240" w:lineRule="exact"/>
                    <w:ind w:left="0" w:leftChars="0" w:firstLine="0" w:firstLineChars="0"/>
                    <w:jc w:val="center"/>
                    <w:rPr>
                      <w:rFonts w:hint="eastAsia"/>
                      <w:color w:val="auto"/>
                      <w:sz w:val="21"/>
                      <w:szCs w:val="21"/>
                      <w:highlight w:val="none"/>
                    </w:rPr>
                  </w:pPr>
                  <w:r>
                    <w:rPr>
                      <w:rFonts w:hint="eastAsia"/>
                      <w:color w:val="auto"/>
                      <w:sz w:val="21"/>
                      <w:szCs w:val="21"/>
                      <w:highlight w:val="none"/>
                    </w:rPr>
                    <w:t>中药：水=1：10</w:t>
                  </w:r>
                </w:p>
              </w:tc>
              <w:tc>
                <w:tcPr>
                  <w:tcW w:w="1474"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0.027</w:t>
                  </w:r>
                </w:p>
              </w:tc>
              <w:tc>
                <w:tcPr>
                  <w:tcW w:w="1072" w:type="dxa"/>
                  <w:noWrap w:val="0"/>
                  <w:vAlign w:val="center"/>
                </w:tcPr>
                <w:p>
                  <w:pPr>
                    <w:spacing w:line="240" w:lineRule="exact"/>
                    <w:ind w:left="0" w:leftChars="0"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1072" w:type="dxa"/>
                  <w:noWrap w:val="0"/>
                  <w:vAlign w:val="center"/>
                </w:tcPr>
                <w:p>
                  <w:pPr>
                    <w:spacing w:line="240" w:lineRule="exact"/>
                    <w:ind w:left="0" w:leftChars="0"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073" w:type="dxa"/>
                  <w:noWrap w:val="0"/>
                  <w:vAlign w:val="center"/>
                </w:tcPr>
                <w:p>
                  <w:pPr>
                    <w:spacing w:line="240" w:lineRule="exact"/>
                    <w:ind w:left="0" w:leftChars="0"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68" w:hRule="atLeast"/>
              </w:trPr>
              <w:tc>
                <w:tcPr>
                  <w:tcW w:w="3387" w:type="dxa"/>
                  <w:gridSpan w:val="3"/>
                  <w:noWrap w:val="0"/>
                  <w:vAlign w:val="center"/>
                </w:tcPr>
                <w:p>
                  <w:pPr>
                    <w:spacing w:line="240" w:lineRule="exact"/>
                    <w:ind w:left="0" w:leftChars="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合计</w:t>
                  </w:r>
                </w:p>
              </w:tc>
              <w:tc>
                <w:tcPr>
                  <w:tcW w:w="1474" w:type="dxa"/>
                  <w:noWrap w:val="0"/>
                  <w:vAlign w:val="center"/>
                </w:tcPr>
                <w:p>
                  <w:pPr>
                    <w:spacing w:line="240" w:lineRule="exact"/>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22.84</w:t>
                  </w:r>
                </w:p>
              </w:tc>
              <w:tc>
                <w:tcPr>
                  <w:tcW w:w="1072" w:type="dxa"/>
                  <w:noWrap w:val="0"/>
                  <w:vAlign w:val="center"/>
                </w:tcPr>
                <w:p>
                  <w:pPr>
                    <w:spacing w:line="240" w:lineRule="exact"/>
                    <w:ind w:left="0" w:leftChars="0"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8475.37</w:t>
                  </w:r>
                </w:p>
              </w:tc>
              <w:tc>
                <w:tcPr>
                  <w:tcW w:w="1072" w:type="dxa"/>
                  <w:noWrap w:val="0"/>
                  <w:vAlign w:val="center"/>
                </w:tcPr>
                <w:p>
                  <w:pPr>
                    <w:spacing w:line="240" w:lineRule="exact"/>
                    <w:ind w:left="0" w:leftChars="0"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20.462</w:t>
                  </w:r>
                </w:p>
              </w:tc>
              <w:tc>
                <w:tcPr>
                  <w:tcW w:w="1073" w:type="dxa"/>
                  <w:noWrap w:val="0"/>
                  <w:vAlign w:val="center"/>
                </w:tcPr>
                <w:p>
                  <w:pPr>
                    <w:spacing w:line="240" w:lineRule="exact"/>
                    <w:ind w:left="0" w:leftChars="0"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7518.625</w:t>
                  </w:r>
                </w:p>
              </w:tc>
            </w:tr>
          </w:tbl>
          <w:p>
            <w:pPr>
              <w:pStyle w:val="4"/>
              <w:bidi w:val="0"/>
              <w:rPr>
                <w:rFonts w:hint="default"/>
                <w:color w:val="auto"/>
                <w:highlight w:val="none"/>
                <w:lang w:val="en-US" w:eastAsia="zh-CN"/>
              </w:rPr>
            </w:pPr>
            <w:r>
              <w:rPr>
                <w:rFonts w:hint="eastAsia"/>
                <w:color w:val="auto"/>
                <w:highlight w:val="none"/>
                <w:lang w:val="en-US" w:eastAsia="zh-CN"/>
              </w:rPr>
              <w:t>2.6.2 排水</w:t>
            </w:r>
          </w:p>
          <w:p>
            <w:pPr>
              <w:adjustRightInd w:val="0"/>
              <w:snapToGrid w:val="0"/>
              <w:spacing w:line="360" w:lineRule="auto"/>
              <w:ind w:firstLine="480" w:firstLineChars="200"/>
              <w:jc w:val="both"/>
              <w:rPr>
                <w:rFonts w:hint="eastAsia"/>
                <w:color w:val="auto"/>
                <w:sz w:val="24"/>
                <w:szCs w:val="24"/>
                <w:highlight w:val="none"/>
                <w:lang w:val="en-US" w:eastAsia="zh-CN"/>
              </w:rPr>
            </w:pPr>
            <w:r>
              <w:rPr>
                <w:rFonts w:hint="eastAsia"/>
                <w:color w:val="auto"/>
                <w:sz w:val="24"/>
                <w:szCs w:val="24"/>
                <w:highlight w:val="none"/>
                <w:lang w:val="en-US" w:eastAsia="zh-CN"/>
              </w:rPr>
              <w:t>项目生活污水、医疗废水经新建废水处理设备处理后，</w:t>
            </w:r>
            <w:r>
              <w:rPr>
                <w:rFonts w:hint="eastAsia"/>
                <w:color w:val="auto"/>
                <w:sz w:val="24"/>
                <w:highlight w:val="none"/>
              </w:rPr>
              <w:t>达</w:t>
            </w:r>
            <w:r>
              <w:rPr>
                <w:rFonts w:hint="eastAsia"/>
                <w:color w:val="auto"/>
                <w:sz w:val="24"/>
                <w:highlight w:val="none"/>
                <w:lang w:eastAsia="zh-CN"/>
              </w:rPr>
              <w:t>《医疗机构水污染物排放标准》（GB18466-2005）表2预处理标准</w:t>
            </w:r>
            <w:r>
              <w:rPr>
                <w:rFonts w:hint="eastAsia"/>
                <w:color w:val="auto"/>
                <w:sz w:val="24"/>
                <w:highlight w:val="none"/>
              </w:rPr>
              <w:t>（其中氨氮执行《污水排入城镇下水道水质标准》(GB/T 31962-2015)）排入市政污水</w:t>
            </w:r>
            <w:r>
              <w:rPr>
                <w:rFonts w:hint="eastAsia"/>
                <w:color w:val="auto"/>
                <w:sz w:val="24"/>
                <w:highlight w:val="none"/>
                <w:lang w:val="en-US" w:eastAsia="zh-CN"/>
              </w:rPr>
              <w:t>管网后</w:t>
            </w:r>
            <w:r>
              <w:rPr>
                <w:rFonts w:hint="eastAsia"/>
                <w:color w:val="auto"/>
                <w:sz w:val="24"/>
                <w:highlight w:val="none"/>
              </w:rPr>
              <w:t>，进入</w:t>
            </w:r>
            <w:r>
              <w:rPr>
                <w:rFonts w:hint="eastAsia"/>
                <w:color w:val="auto"/>
                <w:sz w:val="24"/>
                <w:highlight w:val="none"/>
                <w:lang w:eastAsia="zh-CN"/>
              </w:rPr>
              <w:t>羊市镇</w:t>
            </w:r>
            <w:r>
              <w:rPr>
                <w:rFonts w:hint="eastAsia"/>
                <w:color w:val="auto"/>
                <w:sz w:val="24"/>
                <w:highlight w:val="none"/>
              </w:rPr>
              <w:t>污水处理厂处理达《城镇污水处理厂污染物排放标准》（GB18918-2002）一级A标准后排入</w:t>
            </w:r>
            <w:r>
              <w:rPr>
                <w:rFonts w:hint="eastAsia"/>
                <w:color w:val="auto"/>
                <w:sz w:val="24"/>
                <w:highlight w:val="none"/>
                <w:lang w:eastAsia="zh-CN"/>
              </w:rPr>
              <w:t>长滩河</w:t>
            </w:r>
            <w:r>
              <w:rPr>
                <w:rFonts w:hint="eastAsia"/>
                <w:color w:val="auto"/>
                <w:sz w:val="24"/>
                <w:szCs w:val="24"/>
                <w:highlight w:val="none"/>
                <w:lang w:val="en-US" w:eastAsia="zh-CN"/>
              </w:rPr>
              <w:t>。</w:t>
            </w:r>
          </w:p>
          <w:p>
            <w:pPr>
              <w:adjustRightInd w:val="0"/>
              <w:snapToGrid w:val="0"/>
              <w:spacing w:line="360" w:lineRule="auto"/>
              <w:ind w:firstLine="480" w:firstLineChars="200"/>
              <w:jc w:val="both"/>
              <w:rPr>
                <w:rFonts w:hint="eastAsia"/>
                <w:color w:val="auto"/>
                <w:sz w:val="24"/>
                <w:szCs w:val="24"/>
                <w:highlight w:val="none"/>
                <w:lang w:val="en-US" w:eastAsia="zh-CN"/>
              </w:rPr>
            </w:pPr>
            <w:r>
              <w:rPr>
                <w:rFonts w:hint="eastAsia"/>
                <w:color w:val="auto"/>
                <w:sz w:val="24"/>
                <w:szCs w:val="24"/>
                <w:highlight w:val="none"/>
                <w:lang w:val="en-US" w:eastAsia="zh-CN"/>
              </w:rPr>
              <w:t>项目水平衡图见图2.1：</w:t>
            </w:r>
          </w:p>
          <w:p>
            <w:pPr>
              <w:keepNext w:val="0"/>
              <w:keepLines w:val="0"/>
              <w:widowControl/>
              <w:suppressLineNumbers w:val="0"/>
              <w:jc w:val="left"/>
              <w:rPr>
                <w:color w:val="auto"/>
                <w:sz w:val="24"/>
                <w:highlight w:val="none"/>
              </w:rPr>
            </w:pPr>
          </w:p>
          <w:p>
            <w:pPr>
              <w:ind w:left="0" w:leftChars="0" w:firstLine="0" w:firstLineChars="0"/>
              <w:rPr>
                <w:color w:val="auto"/>
                <w:sz w:val="24"/>
                <w:highlight w:val="none"/>
              </w:rPr>
            </w:pPr>
          </w:p>
          <w:p>
            <w:pPr>
              <w:ind w:left="0" w:leftChars="0" w:firstLine="0" w:firstLineChars="0"/>
              <w:rPr>
                <w:color w:val="auto"/>
                <w:sz w:val="24"/>
                <w:highlight w:val="none"/>
              </w:rPr>
            </w:pPr>
          </w:p>
          <w:p>
            <w:pPr>
              <w:ind w:left="0" w:leftChars="0" w:firstLine="0" w:firstLineChars="0"/>
              <w:rPr>
                <w:color w:val="auto"/>
                <w:sz w:val="24"/>
                <w:highlight w:val="none"/>
              </w:rPr>
            </w:pPr>
          </w:p>
          <w:p>
            <w:pPr>
              <w:ind w:left="0" w:leftChars="0" w:firstLine="0" w:firstLineChars="0"/>
              <w:rPr>
                <w:color w:val="auto"/>
                <w:sz w:val="24"/>
                <w:highlight w:val="none"/>
              </w:rPr>
            </w:pPr>
          </w:p>
          <w:p>
            <w:pPr>
              <w:ind w:left="0" w:leftChars="0" w:firstLine="0" w:firstLineChars="0"/>
              <w:rPr>
                <w:color w:val="auto"/>
                <w:sz w:val="24"/>
                <w:highlight w:val="none"/>
              </w:rPr>
            </w:pPr>
          </w:p>
          <w:p>
            <w:pPr>
              <w:ind w:left="0" w:leftChars="0" w:firstLine="0" w:firstLineChars="0"/>
              <w:rPr>
                <w:color w:val="auto"/>
                <w:sz w:val="24"/>
                <w:highlight w:val="none"/>
              </w:rPr>
            </w:pPr>
          </w:p>
          <w:p>
            <w:pPr>
              <w:ind w:left="0" w:leftChars="0" w:firstLine="0" w:firstLineChars="0"/>
              <w:rPr>
                <w:color w:val="auto"/>
                <w:sz w:val="24"/>
                <w:highlight w:val="none"/>
              </w:rPr>
            </w:pPr>
          </w:p>
          <w:p>
            <w:pPr>
              <w:ind w:left="0" w:leftChars="0" w:firstLine="0" w:firstLineChars="0"/>
              <w:rPr>
                <w:color w:val="auto"/>
                <w:sz w:val="24"/>
                <w:highlight w:val="none"/>
              </w:rPr>
            </w:pPr>
          </w:p>
          <w:p>
            <w:pPr>
              <w:ind w:left="0" w:leftChars="0" w:firstLine="0" w:firstLineChars="0"/>
              <w:rPr>
                <w:color w:val="auto"/>
                <w:sz w:val="24"/>
                <w:highlight w:val="none"/>
              </w:rPr>
            </w:pPr>
          </w:p>
          <w:p>
            <w:pPr>
              <w:ind w:left="0" w:leftChars="0" w:firstLine="0" w:firstLineChars="0"/>
              <w:rPr>
                <w:color w:val="auto"/>
                <w:sz w:val="24"/>
                <w:highlight w:val="none"/>
              </w:rPr>
            </w:pPr>
          </w:p>
          <w:p>
            <w:pPr>
              <w:ind w:left="0" w:leftChars="0" w:firstLine="0" w:firstLineChars="0"/>
              <w:rPr>
                <w:color w:val="auto"/>
                <w:sz w:val="24"/>
                <w:highlight w:val="none"/>
              </w:rPr>
            </w:pPr>
          </w:p>
          <w:p>
            <w:pPr>
              <w:ind w:left="0" w:leftChars="0" w:firstLine="0" w:firstLineChars="0"/>
              <w:rPr>
                <w:color w:val="auto"/>
                <w:sz w:val="24"/>
                <w:highlight w:val="none"/>
              </w:rPr>
            </w:pPr>
          </w:p>
          <w:p>
            <w:pPr>
              <w:ind w:left="0" w:leftChars="0" w:firstLine="0" w:firstLineChars="0"/>
              <w:rPr>
                <w:color w:val="auto"/>
                <w:sz w:val="24"/>
                <w:highlight w:val="none"/>
              </w:rPr>
            </w:pPr>
          </w:p>
          <w:p>
            <w:pPr>
              <w:ind w:left="0" w:leftChars="0" w:firstLine="0" w:firstLineChars="0"/>
              <w:rPr>
                <w:color w:val="auto"/>
                <w:sz w:val="24"/>
                <w:highlight w:val="none"/>
              </w:rPr>
            </w:pPr>
            <w:r>
              <w:rPr>
                <w:rFonts w:ascii="宋体" w:hAnsi="宋体" w:eastAsia="宋体" w:cs="宋体"/>
                <w:color w:val="auto"/>
                <w:kern w:val="0"/>
                <w:sz w:val="24"/>
                <w:szCs w:val="24"/>
                <w:highlight w:val="none"/>
                <w:lang w:val="en-US" w:eastAsia="zh-CN" w:bidi="ar"/>
              </w:rPr>
              <w:drawing>
                <wp:anchor distT="0" distB="0" distL="114300" distR="114300" simplePos="0" relativeHeight="251662336" behindDoc="0" locked="0" layoutInCell="1" allowOverlap="1">
                  <wp:simplePos x="0" y="0"/>
                  <wp:positionH relativeFrom="column">
                    <wp:posOffset>403860</wp:posOffset>
                  </wp:positionH>
                  <wp:positionV relativeFrom="paragraph">
                    <wp:posOffset>61595</wp:posOffset>
                  </wp:positionV>
                  <wp:extent cx="4112260" cy="3824605"/>
                  <wp:effectExtent l="0" t="0" r="2540" b="4445"/>
                  <wp:wrapNone/>
                  <wp:docPr id="64"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5" descr="IMG_256"/>
                          <pic:cNvPicPr>
                            <a:picLocks noChangeAspect="1"/>
                          </pic:cNvPicPr>
                        </pic:nvPicPr>
                        <pic:blipFill>
                          <a:blip r:embed="rId12"/>
                          <a:stretch>
                            <a:fillRect/>
                          </a:stretch>
                        </pic:blipFill>
                        <pic:spPr>
                          <a:xfrm>
                            <a:off x="0" y="0"/>
                            <a:ext cx="4112260" cy="3824605"/>
                          </a:xfrm>
                          <a:prstGeom prst="rect">
                            <a:avLst/>
                          </a:prstGeom>
                          <a:noFill/>
                          <a:ln w="9525">
                            <a:noFill/>
                          </a:ln>
                        </pic:spPr>
                      </pic:pic>
                    </a:graphicData>
                  </a:graphic>
                </wp:anchor>
              </w:drawing>
            </w:r>
          </w:p>
          <w:p>
            <w:pPr>
              <w:pStyle w:val="41"/>
              <w:rPr>
                <w:color w:val="auto"/>
                <w:sz w:val="24"/>
                <w:highlight w:val="none"/>
              </w:rPr>
            </w:pPr>
          </w:p>
          <w:p>
            <w:pPr>
              <w:pStyle w:val="41"/>
              <w:rPr>
                <w:color w:val="auto"/>
                <w:sz w:val="24"/>
                <w:highlight w:val="none"/>
              </w:rPr>
            </w:pPr>
          </w:p>
          <w:p>
            <w:pPr>
              <w:pStyle w:val="41"/>
              <w:rPr>
                <w:color w:val="auto"/>
                <w:sz w:val="24"/>
                <w:highlight w:val="none"/>
              </w:rPr>
            </w:pPr>
          </w:p>
          <w:p>
            <w:pPr>
              <w:pStyle w:val="41"/>
              <w:rPr>
                <w:color w:val="auto"/>
                <w:sz w:val="24"/>
                <w:highlight w:val="none"/>
              </w:rPr>
            </w:pPr>
          </w:p>
          <w:p>
            <w:pPr>
              <w:pStyle w:val="41"/>
              <w:rPr>
                <w:color w:val="auto"/>
                <w:sz w:val="24"/>
                <w:highlight w:val="none"/>
              </w:rPr>
            </w:pPr>
          </w:p>
          <w:p>
            <w:pPr>
              <w:pStyle w:val="41"/>
              <w:rPr>
                <w:color w:val="auto"/>
                <w:sz w:val="24"/>
                <w:highlight w:val="none"/>
              </w:rPr>
            </w:pPr>
          </w:p>
          <w:p>
            <w:pPr>
              <w:pStyle w:val="41"/>
              <w:rPr>
                <w:color w:val="auto"/>
                <w:sz w:val="24"/>
                <w:highlight w:val="none"/>
              </w:rPr>
            </w:pPr>
          </w:p>
          <w:p>
            <w:pPr>
              <w:pStyle w:val="41"/>
              <w:rPr>
                <w:color w:val="auto"/>
                <w:sz w:val="24"/>
                <w:highlight w:val="none"/>
              </w:rPr>
            </w:pPr>
          </w:p>
          <w:p>
            <w:pPr>
              <w:pStyle w:val="41"/>
              <w:rPr>
                <w:color w:val="auto"/>
                <w:sz w:val="24"/>
                <w:highlight w:val="none"/>
              </w:rPr>
            </w:pPr>
          </w:p>
          <w:p>
            <w:pPr>
              <w:pStyle w:val="41"/>
              <w:rPr>
                <w:color w:val="auto"/>
                <w:sz w:val="24"/>
                <w:highlight w:val="none"/>
              </w:rPr>
            </w:pPr>
          </w:p>
          <w:p>
            <w:pPr>
              <w:pStyle w:val="41"/>
              <w:rPr>
                <w:color w:val="auto"/>
                <w:sz w:val="24"/>
                <w:highlight w:val="none"/>
              </w:rPr>
            </w:pPr>
          </w:p>
          <w:p>
            <w:pPr>
              <w:pStyle w:val="41"/>
              <w:rPr>
                <w:color w:val="auto"/>
                <w:sz w:val="24"/>
                <w:highlight w:val="none"/>
              </w:rPr>
            </w:pPr>
          </w:p>
          <w:p>
            <w:pPr>
              <w:ind w:left="0" w:leftChars="0" w:firstLine="0" w:firstLineChars="0"/>
              <w:rPr>
                <w:color w:val="auto"/>
                <w:sz w:val="24"/>
                <w:highlight w:val="none"/>
              </w:rPr>
            </w:pPr>
          </w:p>
          <w:p>
            <w:pPr>
              <w:spacing w:line="0" w:lineRule="atLeast"/>
              <w:ind w:left="0" w:leftChars="0" w:firstLine="0" w:firstLineChars="0"/>
              <w:jc w:val="center"/>
              <w:rPr>
                <w:rFonts w:hint="eastAsia"/>
                <w:b/>
                <w:bCs/>
                <w:color w:val="auto"/>
                <w:szCs w:val="21"/>
                <w:highlight w:val="none"/>
              </w:rPr>
            </w:pPr>
          </w:p>
          <w:p>
            <w:pPr>
              <w:spacing w:line="0" w:lineRule="atLeast"/>
              <w:ind w:left="0" w:leftChars="0" w:firstLine="0" w:firstLineChars="0"/>
              <w:jc w:val="center"/>
              <w:rPr>
                <w:rFonts w:hint="eastAsia"/>
                <w:b/>
                <w:bCs/>
                <w:color w:val="auto"/>
                <w:szCs w:val="21"/>
                <w:highlight w:val="none"/>
              </w:rPr>
            </w:pPr>
          </w:p>
          <w:p>
            <w:pPr>
              <w:spacing w:line="0" w:lineRule="atLeast"/>
              <w:ind w:left="0" w:leftChars="0" w:firstLine="0" w:firstLineChars="0"/>
              <w:jc w:val="center"/>
              <w:rPr>
                <w:b/>
                <w:bCs/>
                <w:color w:val="auto"/>
                <w:szCs w:val="21"/>
                <w:highlight w:val="none"/>
              </w:rPr>
            </w:pPr>
            <w:r>
              <w:rPr>
                <w:rFonts w:hint="eastAsia"/>
                <w:b/>
                <w:bCs/>
                <w:color w:val="auto"/>
                <w:szCs w:val="21"/>
                <w:highlight w:val="none"/>
              </w:rPr>
              <w:t>图</w:t>
            </w:r>
            <w:r>
              <w:rPr>
                <w:b/>
                <w:bCs/>
                <w:color w:val="auto"/>
                <w:szCs w:val="21"/>
                <w:highlight w:val="none"/>
              </w:rPr>
              <w:t>2</w:t>
            </w:r>
            <w:r>
              <w:rPr>
                <w:rFonts w:hint="eastAsia"/>
                <w:b/>
                <w:bCs/>
                <w:color w:val="auto"/>
                <w:szCs w:val="21"/>
                <w:highlight w:val="none"/>
                <w:lang w:val="en-US" w:eastAsia="zh-CN"/>
              </w:rPr>
              <w:t>.</w:t>
            </w:r>
            <w:r>
              <w:rPr>
                <w:b/>
                <w:bCs/>
                <w:color w:val="auto"/>
                <w:szCs w:val="21"/>
                <w:highlight w:val="none"/>
              </w:rPr>
              <w:t>1</w:t>
            </w:r>
            <w:r>
              <w:rPr>
                <w:rFonts w:hint="eastAsia"/>
                <w:b/>
                <w:bCs/>
                <w:color w:val="auto"/>
                <w:szCs w:val="21"/>
                <w:highlight w:val="none"/>
              </w:rPr>
              <w:t xml:space="preserve">水平衡图 </w:t>
            </w:r>
            <w:r>
              <w:rPr>
                <w:b/>
                <w:bCs/>
                <w:color w:val="auto"/>
                <w:szCs w:val="21"/>
                <w:highlight w:val="none"/>
              </w:rPr>
              <w:t xml:space="preserve">  </w:t>
            </w:r>
            <w:r>
              <w:rPr>
                <w:rFonts w:hint="eastAsia"/>
                <w:b/>
                <w:bCs/>
                <w:color w:val="auto"/>
                <w:szCs w:val="21"/>
                <w:highlight w:val="none"/>
              </w:rPr>
              <w:t>单位：m</w:t>
            </w:r>
            <w:r>
              <w:rPr>
                <w:b/>
                <w:bCs/>
                <w:color w:val="auto"/>
                <w:szCs w:val="21"/>
                <w:highlight w:val="none"/>
                <w:vertAlign w:val="superscript"/>
              </w:rPr>
              <w:t>3</w:t>
            </w:r>
            <w:r>
              <w:rPr>
                <w:b/>
                <w:bCs/>
                <w:color w:val="auto"/>
                <w:szCs w:val="21"/>
                <w:highlight w:val="none"/>
              </w:rPr>
              <w:t>/d</w:t>
            </w:r>
          </w:p>
          <w:p>
            <w:pPr>
              <w:pStyle w:val="4"/>
              <w:bidi w:val="0"/>
              <w:rPr>
                <w:rFonts w:hint="default"/>
                <w:color w:val="auto"/>
                <w:highlight w:val="none"/>
                <w:lang w:val="en-US" w:eastAsia="zh-CN"/>
              </w:rPr>
            </w:pPr>
            <w:r>
              <w:rPr>
                <w:rFonts w:hint="eastAsia"/>
                <w:color w:val="auto"/>
                <w:highlight w:val="none"/>
                <w:lang w:val="en-US" w:eastAsia="zh-CN"/>
              </w:rPr>
              <w:t>2.7 平面布置合理性分析</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1</w:t>
            </w:r>
            <w:r>
              <w:rPr>
                <w:rFonts w:hint="eastAsia" w:ascii="宋体" w:hAnsi="宋体" w:eastAsia="宋体" w:cs="宋体"/>
                <w:b/>
                <w:bCs/>
                <w:color w:val="auto"/>
                <w:kern w:val="0"/>
                <w:sz w:val="24"/>
                <w:szCs w:val="24"/>
                <w:highlight w:val="none"/>
                <w:lang w:val="en-US" w:eastAsia="zh-CN" w:bidi="ar"/>
              </w:rPr>
              <w:t>）平面图布置合理性分析</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拟建项目位于奉节县羊市镇渔灯社区15社，新建一栋住院大楼，地上</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F</w:t>
            </w:r>
            <w:r>
              <w:rPr>
                <w:rFonts w:hint="eastAsia" w:ascii="宋体" w:hAnsi="宋体" w:eastAsia="宋体" w:cs="宋体"/>
                <w:color w:val="auto"/>
                <w:kern w:val="0"/>
                <w:sz w:val="24"/>
                <w:szCs w:val="24"/>
                <w:highlight w:val="none"/>
                <w:lang w:val="en-US" w:eastAsia="zh-CN" w:bidi="ar"/>
              </w:rPr>
              <w:t xml:space="preserve">、总建筑面积 </w:t>
            </w:r>
            <w:r>
              <w:rPr>
                <w:rFonts w:hint="eastAsia" w:cs="Times New Roman"/>
                <w:color w:val="auto"/>
                <w:kern w:val="0"/>
                <w:sz w:val="24"/>
                <w:szCs w:val="24"/>
                <w:highlight w:val="none"/>
                <w:lang w:val="en-US" w:eastAsia="zh-CN" w:bidi="ar"/>
              </w:rPr>
              <w:t>2725.74</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。地上</w:t>
            </w:r>
            <w:r>
              <w:rPr>
                <w:rFonts w:hint="eastAsia"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F~</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 xml:space="preserve">F </w:t>
            </w:r>
            <w:r>
              <w:rPr>
                <w:rFonts w:hint="eastAsia" w:ascii="宋体" w:hAnsi="宋体" w:eastAsia="宋体" w:cs="宋体"/>
                <w:color w:val="auto"/>
                <w:kern w:val="0"/>
                <w:sz w:val="24"/>
                <w:szCs w:val="24"/>
                <w:highlight w:val="none"/>
                <w:lang w:val="en-US" w:eastAsia="zh-CN" w:bidi="ar"/>
              </w:rPr>
              <w:t>为诊疗区、病房住院区和办公区，地</w:t>
            </w:r>
            <w:r>
              <w:rPr>
                <w:rFonts w:hint="eastAsia" w:ascii="宋体" w:hAnsi="宋体" w:cs="宋体"/>
                <w:color w:val="auto"/>
                <w:kern w:val="0"/>
                <w:sz w:val="24"/>
                <w:szCs w:val="24"/>
                <w:highlight w:val="none"/>
                <w:lang w:val="en-US" w:eastAsia="zh-CN" w:bidi="ar"/>
              </w:rPr>
              <w:t>上</w:t>
            </w:r>
            <w:r>
              <w:rPr>
                <w:rFonts w:hint="default" w:ascii="Times New Roman" w:hAnsi="Times New Roman" w:eastAsia="宋体" w:cs="Times New Roman"/>
                <w:color w:val="auto"/>
                <w:kern w:val="0"/>
                <w:sz w:val="24"/>
                <w:szCs w:val="24"/>
                <w:highlight w:val="none"/>
                <w:lang w:val="en-US" w:eastAsia="zh-CN" w:bidi="ar"/>
              </w:rPr>
              <w:t>1F</w:t>
            </w:r>
            <w:r>
              <w:rPr>
                <w:rFonts w:hint="eastAsia" w:ascii="宋体" w:hAnsi="宋体" w:eastAsia="宋体" w:cs="宋体"/>
                <w:color w:val="auto"/>
                <w:kern w:val="0"/>
                <w:sz w:val="24"/>
                <w:szCs w:val="24"/>
                <w:highlight w:val="none"/>
                <w:lang w:val="en-US" w:eastAsia="zh-CN" w:bidi="ar"/>
              </w:rPr>
              <w:t>为设备用房，院内出入口在大楼北侧设置了</w:t>
            </w:r>
            <w:r>
              <w:rPr>
                <w:rFonts w:hint="eastAsia" w:ascii="宋体" w:hAnsi="宋体"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个，在大楼内部设有</w:t>
            </w: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部电梯，一部客梯，一部</w:t>
            </w:r>
            <w:r>
              <w:rPr>
                <w:rFonts w:hint="eastAsia" w:ascii="宋体" w:hAnsi="宋体" w:cs="宋体"/>
                <w:color w:val="auto"/>
                <w:kern w:val="0"/>
                <w:sz w:val="24"/>
                <w:szCs w:val="24"/>
                <w:highlight w:val="none"/>
                <w:lang w:val="en-US" w:eastAsia="zh-CN" w:bidi="ar"/>
              </w:rPr>
              <w:t>货</w:t>
            </w:r>
            <w:r>
              <w:rPr>
                <w:rFonts w:hint="eastAsia" w:ascii="宋体" w:hAnsi="宋体" w:eastAsia="宋体" w:cs="宋体"/>
                <w:color w:val="auto"/>
                <w:kern w:val="0"/>
                <w:sz w:val="24"/>
                <w:szCs w:val="24"/>
                <w:highlight w:val="none"/>
                <w:lang w:val="en-US" w:eastAsia="zh-CN" w:bidi="ar"/>
              </w:rPr>
              <w:t>梯。拟建项目总平图见</w:t>
            </w:r>
            <w:r>
              <w:rPr>
                <w:rFonts w:hint="eastAsia" w:ascii="宋体" w:hAnsi="宋体" w:cs="宋体"/>
                <w:color w:val="auto"/>
                <w:kern w:val="0"/>
                <w:sz w:val="24"/>
                <w:szCs w:val="24"/>
                <w:highlight w:val="none"/>
                <w:lang w:val="en-US" w:eastAsia="zh-CN" w:bidi="ar"/>
              </w:rPr>
              <w:t>附图</w:t>
            </w:r>
            <w:r>
              <w:rPr>
                <w:rFonts w:hint="default" w:ascii="宋体" w:hAnsi="宋体" w:cs="宋体"/>
                <w:color w:val="auto"/>
                <w:kern w:val="0"/>
                <w:sz w:val="24"/>
                <w:szCs w:val="24"/>
                <w:highlight w:val="none"/>
                <w:lang w:val="en-US" w:eastAsia="zh-CN" w:bidi="ar"/>
              </w:rPr>
              <w:t>2</w:t>
            </w:r>
            <w:r>
              <w:rPr>
                <w:rFonts w:hint="eastAsia" w:ascii="宋体" w:hAnsi="宋体" w:cs="宋体"/>
                <w:color w:val="auto"/>
                <w:kern w:val="0"/>
                <w:sz w:val="24"/>
                <w:szCs w:val="24"/>
                <w:highlight w:val="none"/>
                <w:lang w:val="en-US" w:eastAsia="zh-CN" w:bidi="ar"/>
              </w:rPr>
              <w:t>。功能分区如下：</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一层：架空层，设置停车位14个。</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二层：设置中药房、理疗室、彩超室、诊疗室、胃镜室、手术室、卫生间、储存室等功能用房。</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三层：设置2人病房5间、3人病房3间、处置室、医生办公室、护士休息室、卫生间、储存室等功能用房。</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四层：设置2人病房7间、3人病房4间、处置室、护士休息室、卫生间、储存室等功能用房。</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五层：设置办公室、大、小会议室、档案室、医保办、卫生间等功能用房。</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拟建项目新建大楼各层平面布置图见附图 </w:t>
            </w: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2</w:t>
            </w:r>
            <w:r>
              <w:rPr>
                <w:rFonts w:hint="eastAsia" w:ascii="宋体" w:hAnsi="宋体" w:eastAsia="宋体" w:cs="宋体"/>
                <w:b/>
                <w:bCs/>
                <w:color w:val="auto"/>
                <w:kern w:val="0"/>
                <w:sz w:val="24"/>
                <w:szCs w:val="24"/>
                <w:highlight w:val="none"/>
                <w:lang w:val="en-US" w:eastAsia="zh-CN" w:bidi="ar"/>
              </w:rPr>
              <w:t>）洁污分流和医患分流情况</w:t>
            </w:r>
          </w:p>
          <w:p>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拟建项目临近</w:t>
            </w:r>
            <w:r>
              <w:rPr>
                <w:rFonts w:hint="eastAsia" w:cs="Times New Roman"/>
                <w:color w:val="auto"/>
                <w:kern w:val="0"/>
                <w:sz w:val="24"/>
                <w:szCs w:val="24"/>
                <w:highlight w:val="none"/>
                <w:lang w:val="en-US" w:eastAsia="zh-CN" w:bidi="ar"/>
              </w:rPr>
              <w:t>渔灯社区</w:t>
            </w:r>
            <w:r>
              <w:rPr>
                <w:rFonts w:hint="eastAsia" w:ascii="Times New Roman" w:hAnsi="Times New Roman" w:eastAsia="宋体" w:cs="Times New Roman"/>
                <w:color w:val="auto"/>
                <w:kern w:val="0"/>
                <w:sz w:val="24"/>
                <w:szCs w:val="24"/>
                <w:highlight w:val="none"/>
                <w:lang w:val="en-US" w:eastAsia="zh-CN" w:bidi="ar"/>
              </w:rPr>
              <w:t>，大楼北侧出入口外设置</w:t>
            </w:r>
            <w:r>
              <w:rPr>
                <w:rFonts w:hint="eastAsia" w:cs="Times New Roman"/>
                <w:color w:val="auto"/>
                <w:kern w:val="0"/>
                <w:sz w:val="24"/>
                <w:szCs w:val="24"/>
                <w:highlight w:val="none"/>
                <w:lang w:val="en-US" w:eastAsia="zh-CN" w:bidi="ar"/>
              </w:rPr>
              <w:t>6</w:t>
            </w:r>
            <w:r>
              <w:rPr>
                <w:rFonts w:hint="eastAsia" w:ascii="Times New Roman" w:hAnsi="Times New Roman" w:eastAsia="宋体" w:cs="Times New Roman"/>
                <w:color w:val="auto"/>
                <w:kern w:val="0"/>
                <w:sz w:val="24"/>
                <w:szCs w:val="24"/>
                <w:highlight w:val="none"/>
                <w:lang w:val="en-US" w:eastAsia="zh-CN" w:bidi="ar"/>
              </w:rPr>
              <w:t xml:space="preserve">个停车位。 </w:t>
            </w:r>
          </w:p>
          <w:p>
            <w:pPr>
              <w:keepNext w:val="0"/>
              <w:keepLines w:val="0"/>
              <w:widowControl/>
              <w:suppressLineNumbers w:val="0"/>
              <w:jc w:val="left"/>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拟建项目医疗废物暂存间设在新建大楼</w:t>
            </w:r>
            <w:r>
              <w:rPr>
                <w:rFonts w:hint="default" w:ascii="Times New Roman" w:hAnsi="Times New Roman" w:eastAsia="宋体" w:cs="Times New Roman"/>
                <w:color w:val="auto"/>
                <w:kern w:val="0"/>
                <w:sz w:val="24"/>
                <w:szCs w:val="24"/>
                <w:highlight w:val="none"/>
                <w:lang w:val="en-US" w:eastAsia="zh-CN" w:bidi="ar"/>
              </w:rPr>
              <w:t>1F</w:t>
            </w:r>
            <w:r>
              <w:rPr>
                <w:rFonts w:hint="eastAsia" w:ascii="Times New Roman" w:hAnsi="Times New Roman" w:eastAsia="宋体" w:cs="Times New Roman"/>
                <w:color w:val="auto"/>
                <w:kern w:val="0"/>
                <w:sz w:val="24"/>
                <w:szCs w:val="24"/>
                <w:highlight w:val="none"/>
                <w:lang w:val="en-US" w:eastAsia="zh-CN" w:bidi="ar"/>
              </w:rPr>
              <w:t>内，占地面积约</w:t>
            </w:r>
            <w:r>
              <w:rPr>
                <w:rFonts w:hint="default" w:ascii="Times New Roman" w:hAnsi="Times New Roman" w:eastAsia="宋体" w:cs="Times New Roman"/>
                <w:color w:val="auto"/>
                <w:kern w:val="0"/>
                <w:sz w:val="24"/>
                <w:szCs w:val="24"/>
                <w:highlight w:val="none"/>
                <w:lang w:val="en-US" w:eastAsia="zh-CN" w:bidi="ar"/>
              </w:rPr>
              <w:t>2</w:t>
            </w:r>
            <w:r>
              <w:rPr>
                <w:rFonts w:hint="eastAsia" w:cs="Times New Roman"/>
                <w:color w:val="auto"/>
                <w:kern w:val="0"/>
                <w:sz w:val="24"/>
                <w:szCs w:val="24"/>
                <w:highlight w:val="none"/>
                <w:lang w:val="en-US" w:eastAsia="zh-CN" w:bidi="ar"/>
              </w:rPr>
              <w:t>0</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eastAsia" w:ascii="Times New Roman" w:hAnsi="Times New Roman" w:eastAsia="宋体" w:cs="Times New Roman"/>
                <w:color w:val="auto"/>
                <w:kern w:val="0"/>
                <w:sz w:val="24"/>
                <w:szCs w:val="24"/>
                <w:highlight w:val="none"/>
                <w:lang w:val="en-US" w:eastAsia="zh-CN" w:bidi="ar"/>
              </w:rPr>
              <w:t>，医疗废物、特殊废液、废活性炭和废紫外灯管等危险废物分类独立包装后暂存于医疗废物储存间，由</w:t>
            </w:r>
            <w:r>
              <w:rPr>
                <w:rFonts w:hint="default" w:ascii="Times New Roman" w:hAnsi="Times New Roman" w:eastAsia="宋体" w:cs="Times New Roman"/>
                <w:color w:val="auto"/>
                <w:kern w:val="0"/>
                <w:sz w:val="24"/>
                <w:szCs w:val="24"/>
                <w:highlight w:val="none"/>
                <w:lang w:val="en-US" w:eastAsia="zh-CN" w:bidi="ar"/>
              </w:rPr>
              <w:t>1F</w:t>
            </w:r>
            <w:r>
              <w:rPr>
                <w:rFonts w:hint="eastAsia" w:ascii="Times New Roman" w:hAnsi="Times New Roman" w:eastAsia="宋体" w:cs="Times New Roman"/>
                <w:color w:val="auto"/>
                <w:kern w:val="0"/>
                <w:sz w:val="24"/>
                <w:szCs w:val="24"/>
                <w:highlight w:val="none"/>
                <w:lang w:val="en-US" w:eastAsia="zh-CN" w:bidi="ar"/>
              </w:rPr>
              <w:t>北侧出入口运出，卫生院内人流通道位于地块南侧和东侧，故不与院内人员通道产生交叉，便于医疗废物转运。项目主要噪声源水泵均设置于</w:t>
            </w:r>
            <w:r>
              <w:rPr>
                <w:rFonts w:hint="default" w:ascii="Times New Roman" w:hAnsi="Times New Roman" w:eastAsia="宋体" w:cs="Times New Roman"/>
                <w:color w:val="auto"/>
                <w:kern w:val="0"/>
                <w:sz w:val="24"/>
                <w:szCs w:val="24"/>
                <w:highlight w:val="none"/>
                <w:lang w:val="en-US" w:eastAsia="zh-CN" w:bidi="ar"/>
              </w:rPr>
              <w:t>1F</w:t>
            </w:r>
            <w:r>
              <w:rPr>
                <w:rFonts w:hint="eastAsia" w:ascii="Times New Roman" w:hAnsi="Times New Roman" w:eastAsia="宋体" w:cs="Times New Roman"/>
                <w:color w:val="auto"/>
                <w:kern w:val="0"/>
                <w:sz w:val="24"/>
                <w:szCs w:val="24"/>
                <w:highlight w:val="none"/>
                <w:lang w:val="en-US" w:eastAsia="zh-CN" w:bidi="ar"/>
              </w:rPr>
              <w:t xml:space="preserve">专用设备用房内，采取基础减振措施，且病房位于 </w:t>
            </w:r>
            <w:r>
              <w:rPr>
                <w:rFonts w:hint="eastAsia"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F~</w:t>
            </w:r>
            <w:r>
              <w:rPr>
                <w:rFonts w:hint="eastAsia"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F</w:t>
            </w:r>
            <w:r>
              <w:rPr>
                <w:rFonts w:hint="eastAsia" w:ascii="Times New Roman" w:hAnsi="Times New Roman" w:eastAsia="宋体" w:cs="Times New Roman"/>
                <w:color w:val="auto"/>
                <w:kern w:val="0"/>
                <w:sz w:val="24"/>
                <w:szCs w:val="24"/>
                <w:highlight w:val="none"/>
                <w:lang w:val="en-US" w:eastAsia="zh-CN" w:bidi="ar"/>
              </w:rPr>
              <w:t>，噪声及其振动对病房的影响较小。污水处理站设在项目新建大楼</w:t>
            </w:r>
            <w:r>
              <w:rPr>
                <w:rFonts w:hint="eastAsia" w:cs="Times New Roman"/>
                <w:color w:val="auto"/>
                <w:kern w:val="0"/>
                <w:sz w:val="24"/>
                <w:szCs w:val="24"/>
                <w:highlight w:val="none"/>
                <w:lang w:val="en-US" w:eastAsia="zh-CN" w:bidi="ar"/>
              </w:rPr>
              <w:t>南</w:t>
            </w:r>
            <w:r>
              <w:rPr>
                <w:rFonts w:hint="eastAsia" w:ascii="Times New Roman" w:hAnsi="Times New Roman" w:eastAsia="宋体" w:cs="Times New Roman"/>
                <w:color w:val="auto"/>
                <w:kern w:val="0"/>
                <w:sz w:val="24"/>
                <w:szCs w:val="24"/>
                <w:highlight w:val="none"/>
                <w:lang w:val="en-US" w:eastAsia="zh-CN" w:bidi="ar"/>
              </w:rPr>
              <w:t>侧，采用地埋式结构，根据设计项目</w:t>
            </w:r>
            <w:r>
              <w:rPr>
                <w:rFonts w:hint="eastAsia" w:cs="Times New Roman"/>
                <w:color w:val="auto"/>
                <w:kern w:val="0"/>
                <w:sz w:val="24"/>
                <w:szCs w:val="24"/>
                <w:highlight w:val="none"/>
                <w:lang w:val="en-US" w:eastAsia="zh-CN" w:bidi="ar"/>
              </w:rPr>
              <w:t>场界</w:t>
            </w:r>
            <w:r>
              <w:rPr>
                <w:rFonts w:hint="eastAsia" w:ascii="Times New Roman" w:hAnsi="Times New Roman" w:eastAsia="宋体" w:cs="Times New Roman"/>
                <w:color w:val="auto"/>
                <w:kern w:val="0"/>
                <w:sz w:val="24"/>
                <w:szCs w:val="24"/>
                <w:highlight w:val="none"/>
                <w:lang w:val="en-US" w:eastAsia="zh-CN" w:bidi="ar"/>
              </w:rPr>
              <w:t>内自建排水管网均可通过自流的方式接入周边北侧已建市政污水管网，项目内不设废水动力提升设施，污水处理站产生的臭气</w:t>
            </w:r>
            <w:r>
              <w:rPr>
                <w:rFonts w:hint="eastAsia"/>
                <w:color w:val="auto"/>
                <w:sz w:val="21"/>
                <w:szCs w:val="21"/>
                <w:highlight w:val="none"/>
                <w:lang w:val="en-US" w:eastAsia="zh-CN"/>
              </w:rPr>
              <w:t>，</w:t>
            </w:r>
            <w:r>
              <w:rPr>
                <w:rFonts w:hint="eastAsia" w:ascii="宋体" w:hAnsi="宋体" w:eastAsia="宋体" w:cs="宋体"/>
                <w:color w:val="auto"/>
                <w:kern w:val="0"/>
                <w:sz w:val="24"/>
                <w:szCs w:val="24"/>
                <w:highlight w:val="none"/>
                <w:lang w:val="en-US" w:eastAsia="zh-CN" w:bidi="ar"/>
              </w:rPr>
              <w:t>收集并采用活性炭吸附处理，</w:t>
            </w:r>
            <w:r>
              <w:rPr>
                <w:rFonts w:hint="eastAsia"/>
                <w:color w:val="auto"/>
                <w:sz w:val="24"/>
                <w:szCs w:val="24"/>
                <w:highlight w:val="none"/>
                <w:lang w:val="en-US" w:eastAsia="zh-CN"/>
              </w:rPr>
              <w:t>由</w:t>
            </w:r>
            <w:r>
              <w:rPr>
                <w:rFonts w:hint="default"/>
                <w:color w:val="auto"/>
                <w:sz w:val="24"/>
                <w:szCs w:val="24"/>
                <w:highlight w:val="none"/>
                <w:lang w:val="en-US" w:eastAsia="zh-CN"/>
              </w:rPr>
              <w:t>2000m</w:t>
            </w:r>
            <w:r>
              <w:rPr>
                <w:rFonts w:hint="default"/>
                <w:color w:val="auto"/>
                <w:sz w:val="24"/>
                <w:szCs w:val="24"/>
                <w:highlight w:val="none"/>
                <w:vertAlign w:val="superscript"/>
                <w:lang w:val="en-US" w:eastAsia="zh-CN"/>
              </w:rPr>
              <w:t>3</w:t>
            </w:r>
            <w:r>
              <w:rPr>
                <w:rFonts w:hint="default"/>
                <w:color w:val="auto"/>
                <w:sz w:val="24"/>
                <w:szCs w:val="24"/>
                <w:highlight w:val="none"/>
                <w:lang w:val="en-US" w:eastAsia="zh-CN"/>
              </w:rPr>
              <w:t xml:space="preserve"> /h</w:t>
            </w:r>
            <w:r>
              <w:rPr>
                <w:rFonts w:hint="eastAsia"/>
                <w:color w:val="auto"/>
                <w:sz w:val="24"/>
                <w:szCs w:val="24"/>
                <w:highlight w:val="none"/>
                <w:lang w:val="en-US" w:eastAsia="zh-CN"/>
              </w:rPr>
              <w:t>风机引至医疗废水处理站污</w:t>
            </w:r>
            <w:r>
              <w:rPr>
                <w:rFonts w:hint="eastAsia" w:ascii="宋体" w:hAnsi="宋体" w:eastAsia="宋体" w:cs="宋体"/>
                <w:color w:val="auto"/>
                <w:kern w:val="0"/>
                <w:sz w:val="24"/>
                <w:szCs w:val="24"/>
                <w:highlight w:val="none"/>
                <w:lang w:val="en-US" w:eastAsia="zh-CN" w:bidi="ar"/>
              </w:rPr>
              <w:t>水处理站业务用房屋顶，</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米高排气筒有组织排放</w:t>
            </w:r>
            <w:r>
              <w:rPr>
                <w:rFonts w:hint="eastAsia" w:ascii="Times New Roman" w:hAnsi="Times New Roman" w:eastAsia="宋体" w:cs="Times New Roman"/>
                <w:color w:val="auto"/>
                <w:kern w:val="0"/>
                <w:sz w:val="24"/>
                <w:szCs w:val="24"/>
                <w:highlight w:val="none"/>
                <w:lang w:val="en-US" w:eastAsia="zh-CN" w:bidi="ar"/>
              </w:rPr>
              <w:t>，排放口远离西南侧住宅，对周边大气环境影响较小。因此，评价认为项目总平面布置比较合理。</w:t>
            </w:r>
          </w:p>
          <w:p>
            <w:pPr>
              <w:keepNext w:val="0"/>
              <w:keepLines w:val="0"/>
              <w:widowControl/>
              <w:numPr>
                <w:ilvl w:val="0"/>
                <w:numId w:val="2"/>
              </w:numPr>
              <w:suppressLineNumbers w:val="0"/>
              <w:jc w:val="left"/>
              <w:rPr>
                <w:rFonts w:hint="eastAsia"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辐射装置</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拟建项目配置的</w:t>
            </w:r>
            <w:r>
              <w:rPr>
                <w:rFonts w:hint="eastAsia"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台DR工作站，为</w:t>
            </w:r>
            <w:r>
              <w:rPr>
                <w:rFonts w:hint="default" w:ascii="Times New Roman" w:hAnsi="Times New Roman" w:eastAsia="宋体" w:cs="Times New Roman"/>
                <w:color w:val="auto"/>
                <w:kern w:val="0"/>
                <w:sz w:val="24"/>
                <w:szCs w:val="24"/>
                <w:highlight w:val="none"/>
                <w:lang w:val="en-US" w:eastAsia="zh-CN" w:bidi="ar"/>
              </w:rPr>
              <w:t>Ⅲ</w:t>
            </w:r>
            <w:r>
              <w:rPr>
                <w:rFonts w:hint="eastAsia" w:ascii="宋体" w:hAnsi="宋体" w:eastAsia="宋体" w:cs="宋体"/>
                <w:color w:val="auto"/>
                <w:kern w:val="0"/>
                <w:sz w:val="24"/>
                <w:szCs w:val="24"/>
                <w:highlight w:val="none"/>
                <w:lang w:val="en-US" w:eastAsia="zh-CN" w:bidi="ar"/>
              </w:rPr>
              <w:t>类</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射线装置，有独立的机房和控制室，机房面积足够，能够满足设备运行需要；机房设置有防护铅门，便于工作人员和病员的出入；机房设置有观察窗（铅玻璃），便于放射工作人员随时观察设备和病人状态，有利于射线防护与人员安全。</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w:t>
            </w:r>
            <w:r>
              <w:rPr>
                <w:rFonts w:hint="eastAsia" w:cs="Times New Roman"/>
                <w:b/>
                <w:bCs/>
                <w:color w:val="auto"/>
                <w:kern w:val="0"/>
                <w:sz w:val="24"/>
                <w:szCs w:val="24"/>
                <w:highlight w:val="none"/>
                <w:lang w:val="en-US" w:eastAsia="zh-CN" w:bidi="ar"/>
              </w:rPr>
              <w:t>4</w:t>
            </w:r>
            <w:r>
              <w:rPr>
                <w:rFonts w:hint="eastAsia" w:ascii="宋体" w:hAnsi="宋体" w:eastAsia="宋体" w:cs="宋体"/>
                <w:b/>
                <w:bCs/>
                <w:color w:val="auto"/>
                <w:kern w:val="0"/>
                <w:sz w:val="24"/>
                <w:szCs w:val="24"/>
                <w:highlight w:val="none"/>
                <w:lang w:val="en-US" w:eastAsia="zh-CN" w:bidi="ar"/>
              </w:rPr>
              <w:t>）环保设施布局合理性分析</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① 污水处理站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根据项目设计要求，污水处理设施必须满足《建筑给水排水设计标准》 </w:t>
            </w:r>
          </w:p>
          <w:p>
            <w:pPr>
              <w:keepNext w:val="0"/>
              <w:keepLines w:val="0"/>
              <w:widowControl/>
              <w:suppressLineNumbers w:val="0"/>
              <w:ind w:left="0" w:leftChars="0" w:firstLine="0" w:firstLineChars="0"/>
              <w:jc w:val="left"/>
              <w:rPr>
                <w:color w:val="auto"/>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GB50015-2019</w:t>
            </w:r>
            <w:r>
              <w:rPr>
                <w:rFonts w:hint="eastAsia" w:ascii="宋体" w:hAnsi="宋体" w:eastAsia="宋体" w:cs="宋体"/>
                <w:color w:val="auto"/>
                <w:kern w:val="0"/>
                <w:sz w:val="24"/>
                <w:szCs w:val="24"/>
                <w:highlight w:val="none"/>
                <w:lang w:val="en-US" w:eastAsia="zh-CN" w:bidi="ar"/>
              </w:rPr>
              <w:t xml:space="preserve">）中相关要求，污水处理设施各个处理单元池体外壁距建筑物 </w:t>
            </w:r>
          </w:p>
          <w:p>
            <w:pPr>
              <w:keepNext w:val="0"/>
              <w:keepLines w:val="0"/>
              <w:widowControl/>
              <w:suppressLineNumbers w:val="0"/>
              <w:ind w:left="0" w:leftChars="0" w:firstLine="0" w:firstLineChars="0"/>
              <w:jc w:val="left"/>
              <w:rPr>
                <w:color w:val="auto"/>
                <w:highlight w:val="none"/>
              </w:rPr>
            </w:pPr>
            <w:r>
              <w:rPr>
                <w:rFonts w:hint="eastAsia" w:ascii="宋体" w:hAnsi="宋体" w:eastAsia="宋体" w:cs="宋体"/>
                <w:color w:val="auto"/>
                <w:kern w:val="0"/>
                <w:sz w:val="24"/>
                <w:szCs w:val="24"/>
                <w:highlight w:val="none"/>
                <w:lang w:val="en-US" w:eastAsia="zh-CN" w:bidi="ar"/>
              </w:rPr>
              <w:t>外墙不宜小于</w:t>
            </w:r>
            <w:r>
              <w:rPr>
                <w:rFonts w:hint="default" w:ascii="Times New Roman" w:hAnsi="Times New Roman" w:eastAsia="宋体" w:cs="Times New Roman"/>
                <w:color w:val="auto"/>
                <w:kern w:val="0"/>
                <w:sz w:val="24"/>
                <w:szCs w:val="24"/>
                <w:highlight w:val="none"/>
                <w:lang w:val="en-US" w:eastAsia="zh-CN" w:bidi="ar"/>
              </w:rPr>
              <w:t>5m</w:t>
            </w:r>
            <w:r>
              <w:rPr>
                <w:rFonts w:hint="eastAsia" w:ascii="宋体" w:hAnsi="宋体" w:eastAsia="宋体" w:cs="宋体"/>
                <w:color w:val="auto"/>
                <w:kern w:val="0"/>
                <w:sz w:val="24"/>
                <w:szCs w:val="24"/>
                <w:highlight w:val="none"/>
                <w:lang w:val="en-US" w:eastAsia="zh-CN" w:bidi="ar"/>
              </w:rPr>
              <w:t>，并不得影响建筑物基础。因此，拟建项目自建污水处理站位于项目大楼外南侧，采用地埋式结构，上部设置盖板密封，收集处理院内大楼产生的所有污废水，设计处理规模</w:t>
            </w:r>
            <w:r>
              <w:rPr>
                <w:rFonts w:hint="eastAsia" w:ascii="Times New Roman" w:hAnsi="Times New Roman" w:eastAsia="宋体" w:cs="Times New Roman"/>
                <w:color w:val="auto"/>
                <w:kern w:val="0"/>
                <w:sz w:val="24"/>
                <w:szCs w:val="24"/>
                <w:highlight w:val="none"/>
                <w:lang w:val="en-US" w:eastAsia="zh-CN" w:bidi="ar"/>
              </w:rPr>
              <w:t>36</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15"/>
                <w:szCs w:val="15"/>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val="en-US" w:eastAsia="zh-CN" w:bidi="ar"/>
              </w:rPr>
              <w:t xml:space="preserve">。污水处理站采用地埋式结构，地势较低，收集服务范围内楼层标高均位于污水处理站之上，废水均能靠重力流入污水处理站。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根据《医院污水处理工程技术规范》（</w:t>
            </w:r>
            <w:r>
              <w:rPr>
                <w:rFonts w:hint="default" w:ascii="Times New Roman" w:hAnsi="Times New Roman" w:eastAsia="宋体" w:cs="Times New Roman"/>
                <w:color w:val="auto"/>
                <w:kern w:val="0"/>
                <w:sz w:val="24"/>
                <w:szCs w:val="24"/>
                <w:highlight w:val="none"/>
                <w:lang w:val="en-US" w:eastAsia="zh-CN" w:bidi="ar"/>
              </w:rPr>
              <w:t>HJ2029-2013</w:t>
            </w:r>
            <w:r>
              <w:rPr>
                <w:rFonts w:hint="eastAsia" w:ascii="宋体" w:hAnsi="宋体" w:eastAsia="宋体" w:cs="宋体"/>
                <w:color w:val="auto"/>
                <w:kern w:val="0"/>
                <w:sz w:val="24"/>
                <w:szCs w:val="24"/>
                <w:highlight w:val="none"/>
                <w:lang w:val="en-US" w:eastAsia="zh-CN" w:bidi="ar"/>
              </w:rPr>
              <w:t>）规定：“医院污水处理设施应与病房、居民区等建筑物之间应设置绿化防护带或隔离带”。拟建项目污水处理站采用地埋式结构，高程低于医院</w:t>
            </w:r>
            <w:r>
              <w:rPr>
                <w:rFonts w:hint="default" w:ascii="Times New Roman" w:hAnsi="Times New Roman" w:eastAsia="宋体" w:cs="Times New Roman"/>
                <w:color w:val="auto"/>
                <w:kern w:val="0"/>
                <w:sz w:val="24"/>
                <w:szCs w:val="24"/>
                <w:highlight w:val="none"/>
                <w:lang w:val="en-US" w:eastAsia="zh-CN" w:bidi="ar"/>
              </w:rPr>
              <w:t>1F~</w:t>
            </w:r>
            <w:r>
              <w:rPr>
                <w:rFonts w:hint="eastAsia" w:ascii="Times New Roman" w:hAnsi="Times New Roman" w:eastAsia="宋体"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F</w:t>
            </w:r>
            <w:r>
              <w:rPr>
                <w:rFonts w:hint="eastAsia" w:ascii="宋体" w:hAnsi="宋体" w:eastAsia="宋体" w:cs="宋体"/>
                <w:color w:val="auto"/>
                <w:kern w:val="0"/>
                <w:sz w:val="24"/>
                <w:szCs w:val="24"/>
                <w:highlight w:val="none"/>
                <w:lang w:val="en-US" w:eastAsia="zh-CN" w:bidi="ar"/>
              </w:rPr>
              <w:t>，废水采用重力流入的方式，建议项目在污水处理站</w:t>
            </w:r>
            <w:r>
              <w:rPr>
                <w:rFonts w:hint="eastAsia" w:ascii="宋体" w:hAnsi="宋体" w:cs="宋体"/>
                <w:color w:val="auto"/>
                <w:kern w:val="0"/>
                <w:sz w:val="24"/>
                <w:szCs w:val="24"/>
                <w:highlight w:val="none"/>
                <w:lang w:val="en-US" w:eastAsia="zh-CN" w:bidi="ar"/>
              </w:rPr>
              <w:t>西</w:t>
            </w:r>
            <w:r>
              <w:rPr>
                <w:rFonts w:hint="eastAsia" w:ascii="宋体" w:hAnsi="宋体" w:eastAsia="宋体" w:cs="宋体"/>
                <w:color w:val="auto"/>
                <w:kern w:val="0"/>
                <w:sz w:val="24"/>
                <w:szCs w:val="24"/>
                <w:highlight w:val="none"/>
                <w:lang w:val="en-US" w:eastAsia="zh-CN" w:bidi="ar"/>
              </w:rPr>
              <w:t>北侧种植绿化带，西侧护坡已种植绿植，满足《医院污水处理工程技术规范》（</w:t>
            </w:r>
            <w:r>
              <w:rPr>
                <w:rFonts w:hint="default" w:ascii="Times New Roman" w:hAnsi="Times New Roman" w:eastAsia="宋体" w:cs="Times New Roman"/>
                <w:color w:val="auto"/>
                <w:kern w:val="0"/>
                <w:sz w:val="24"/>
                <w:szCs w:val="24"/>
                <w:highlight w:val="none"/>
                <w:lang w:val="en-US" w:eastAsia="zh-CN" w:bidi="ar"/>
              </w:rPr>
              <w:t>HJ2029-2013</w:t>
            </w:r>
            <w:r>
              <w:rPr>
                <w:rFonts w:hint="eastAsia" w:ascii="宋体" w:hAnsi="宋体" w:eastAsia="宋体" w:cs="宋体"/>
                <w:color w:val="auto"/>
                <w:kern w:val="0"/>
                <w:sz w:val="24"/>
                <w:szCs w:val="24"/>
                <w:highlight w:val="none"/>
                <w:lang w:val="en-US" w:eastAsia="zh-CN" w:bidi="ar"/>
              </w:rPr>
              <w:t xml:space="preserve">）的要求。因此，项目污水处理站布置位置较合理。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综上，拟建项目污废水收集处理达标后排放，污水处理站布设合理。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② 废气收集处理系统 </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拟建项目服务期排放的废气主要包括污水处理站臭气和医疗废物暂存间废气等。对废水处理池加盖，产生的臭气进行收集并采用活性炭吸附处理，由</w:t>
            </w:r>
            <w:r>
              <w:rPr>
                <w:rFonts w:hint="default" w:ascii="宋体" w:hAnsi="宋体" w:eastAsia="宋体" w:cs="宋体"/>
                <w:color w:val="auto"/>
                <w:kern w:val="0"/>
                <w:sz w:val="24"/>
                <w:szCs w:val="24"/>
                <w:highlight w:val="none"/>
                <w:lang w:val="en-US" w:eastAsia="zh-CN" w:bidi="ar"/>
              </w:rPr>
              <w:t>2000m</w:t>
            </w:r>
            <w:r>
              <w:rPr>
                <w:rFonts w:hint="default" w:ascii="宋体" w:hAnsi="宋体" w:eastAsia="宋体" w:cs="宋体"/>
                <w:color w:val="auto"/>
                <w:kern w:val="0"/>
                <w:sz w:val="24"/>
                <w:szCs w:val="24"/>
                <w:highlight w:val="none"/>
                <w:vertAlign w:val="superscript"/>
                <w:lang w:val="en-US" w:eastAsia="zh-CN" w:bidi="ar"/>
              </w:rPr>
              <w:t>3</w:t>
            </w:r>
            <w:r>
              <w:rPr>
                <w:rFonts w:hint="default" w:ascii="宋体" w:hAnsi="宋体" w:eastAsia="宋体" w:cs="宋体"/>
                <w:color w:val="auto"/>
                <w:kern w:val="0"/>
                <w:sz w:val="24"/>
                <w:szCs w:val="24"/>
                <w:highlight w:val="none"/>
                <w:lang w:val="en-US" w:eastAsia="zh-CN" w:bidi="ar"/>
              </w:rPr>
              <w:t>/h</w:t>
            </w:r>
            <w:r>
              <w:rPr>
                <w:rFonts w:hint="eastAsia" w:ascii="宋体" w:hAnsi="宋体" w:eastAsia="宋体" w:cs="宋体"/>
                <w:color w:val="auto"/>
                <w:kern w:val="0"/>
                <w:sz w:val="24"/>
                <w:szCs w:val="24"/>
                <w:highlight w:val="none"/>
                <w:lang w:val="en-US" w:eastAsia="zh-CN" w:bidi="ar"/>
              </w:rPr>
              <w:t>风机引至医疗废水处理站污水处理站业务用房屋顶，</w:t>
            </w:r>
            <w:r>
              <w:rPr>
                <w:rFonts w:hint="eastAsia" w:ascii="宋体" w:hAnsi="宋体" w:cs="宋体"/>
                <w:color w:val="auto"/>
                <w:kern w:val="0"/>
                <w:sz w:val="24"/>
                <w:szCs w:val="24"/>
                <w:highlight w:val="none"/>
                <w:lang w:val="en-US" w:eastAsia="zh-CN" w:bidi="ar"/>
              </w:rPr>
              <w:t>由</w:t>
            </w:r>
            <w:r>
              <w:rPr>
                <w:rFonts w:hint="default" w:ascii="宋体" w:hAnsi="宋体" w:eastAsia="宋体" w:cs="宋体"/>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米高排气筒有组织排放，医疗废物暂存间废气采用经活性炭吸附除臭除味处理，引风机引至该</w:t>
            </w:r>
            <w:r>
              <w:rPr>
                <w:rFonts w:hint="eastAsia" w:ascii="宋体" w:hAnsi="宋体" w:cs="宋体"/>
                <w:color w:val="auto"/>
                <w:kern w:val="0"/>
                <w:sz w:val="24"/>
                <w:szCs w:val="24"/>
                <w:highlight w:val="none"/>
                <w:lang w:val="en-US" w:eastAsia="zh-CN" w:bidi="ar"/>
              </w:rPr>
              <w:t>医</w:t>
            </w:r>
            <w:r>
              <w:rPr>
                <w:rFonts w:hint="eastAsia" w:ascii="宋体" w:hAnsi="宋体" w:eastAsia="宋体" w:cs="宋体"/>
                <w:color w:val="auto"/>
                <w:kern w:val="0"/>
                <w:sz w:val="24"/>
                <w:szCs w:val="24"/>
                <w:highlight w:val="none"/>
                <w:lang w:val="en-US" w:eastAsia="zh-CN" w:bidi="ar"/>
              </w:rPr>
              <w:t>废暂存间屋顶排放，且排放口朝向西北侧绿化带，对</w:t>
            </w:r>
            <w:r>
              <w:rPr>
                <w:rFonts w:hint="eastAsia" w:ascii="宋体" w:hAnsi="宋体" w:cs="宋体"/>
                <w:color w:val="auto"/>
                <w:kern w:val="0"/>
                <w:sz w:val="24"/>
                <w:szCs w:val="24"/>
                <w:highlight w:val="none"/>
                <w:lang w:val="en-US" w:eastAsia="zh-CN" w:bidi="ar"/>
              </w:rPr>
              <w:t>西侧、西南侧居民</w:t>
            </w:r>
            <w:r>
              <w:rPr>
                <w:rFonts w:hint="eastAsia" w:ascii="宋体" w:hAnsi="宋体" w:eastAsia="宋体" w:cs="宋体"/>
                <w:color w:val="auto"/>
                <w:kern w:val="0"/>
                <w:sz w:val="24"/>
                <w:szCs w:val="24"/>
                <w:highlight w:val="none"/>
                <w:lang w:val="en-US" w:eastAsia="zh-CN" w:bidi="ar"/>
              </w:rPr>
              <w:t xml:space="preserve">的影响较小。综上，拟建项目废气排放口布局合理。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③ 噪声设备布局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排风机、消防水泵等分别布置在大楼</w:t>
            </w:r>
            <w:r>
              <w:rPr>
                <w:rFonts w:hint="default" w:ascii="Times New Roman" w:hAnsi="Times New Roman" w:eastAsia="宋体" w:cs="Times New Roman"/>
                <w:color w:val="auto"/>
                <w:kern w:val="0"/>
                <w:sz w:val="24"/>
                <w:szCs w:val="24"/>
                <w:highlight w:val="none"/>
                <w:lang w:val="en-US" w:eastAsia="zh-CN" w:bidi="ar"/>
              </w:rPr>
              <w:t>1F</w:t>
            </w:r>
            <w:r>
              <w:rPr>
                <w:rFonts w:hint="eastAsia" w:ascii="宋体" w:hAnsi="宋体" w:eastAsia="宋体" w:cs="宋体"/>
                <w:color w:val="auto"/>
                <w:kern w:val="0"/>
                <w:sz w:val="24"/>
                <w:szCs w:val="24"/>
                <w:highlight w:val="none"/>
                <w:lang w:val="en-US" w:eastAsia="zh-CN" w:bidi="ar"/>
              </w:rPr>
              <w:t xml:space="preserve">内单独的设备间内，建筑隔声及基础减震，污水处理站采用地埋式结构。经预测，采取措施后对周围环境敏感点影响较小，不会产生扰民现象，噪声设备布置合理。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④ 医疗废物暂存间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医疗废物经分类收集后按相关规定暂存于医疗废物暂存间。暂存间构筑物建设按《医疗废物集中处置技术规范（试行）》（环发〔</w:t>
            </w:r>
            <w:r>
              <w:rPr>
                <w:rFonts w:hint="default" w:ascii="Times New Roman" w:hAnsi="Times New Roman" w:eastAsia="宋体" w:cs="Times New Roman"/>
                <w:color w:val="auto"/>
                <w:kern w:val="0"/>
                <w:sz w:val="24"/>
                <w:szCs w:val="24"/>
                <w:highlight w:val="none"/>
                <w:lang w:val="en-US" w:eastAsia="zh-CN" w:bidi="ar"/>
              </w:rPr>
              <w:t>2003</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206</w:t>
            </w:r>
            <w:r>
              <w:rPr>
                <w:rFonts w:hint="eastAsia" w:ascii="宋体" w:hAnsi="宋体" w:eastAsia="宋体" w:cs="宋体"/>
                <w:color w:val="auto"/>
                <w:kern w:val="0"/>
                <w:sz w:val="24"/>
                <w:szCs w:val="24"/>
                <w:highlight w:val="none"/>
                <w:lang w:val="en-US" w:eastAsia="zh-CN" w:bidi="ar"/>
              </w:rPr>
              <w:t>号）和《危险废物贮存污染物控制标准》（</w:t>
            </w:r>
            <w:r>
              <w:rPr>
                <w:rFonts w:hint="default" w:ascii="Times New Roman" w:hAnsi="Times New Roman" w:eastAsia="宋体" w:cs="Times New Roman"/>
                <w:color w:val="auto"/>
                <w:kern w:val="0"/>
                <w:sz w:val="24"/>
                <w:szCs w:val="24"/>
                <w:highlight w:val="none"/>
                <w:lang w:val="en-US" w:eastAsia="zh-CN" w:bidi="ar"/>
              </w:rPr>
              <w:t>GB18597-2023</w:t>
            </w:r>
            <w:r>
              <w:rPr>
                <w:rFonts w:hint="eastAsia" w:ascii="宋体" w:hAnsi="宋体" w:eastAsia="宋体" w:cs="宋体"/>
                <w:color w:val="auto"/>
                <w:kern w:val="0"/>
                <w:sz w:val="24"/>
                <w:szCs w:val="24"/>
                <w:highlight w:val="none"/>
                <w:lang w:val="en-US" w:eastAsia="zh-CN" w:bidi="ar"/>
              </w:rPr>
              <w:t>）的要求建设。其设置位置和规模符合《医疗废物管理条例》（中华人民共和国国务院令第</w:t>
            </w:r>
            <w:r>
              <w:rPr>
                <w:rFonts w:hint="default" w:ascii="Times New Roman" w:hAnsi="Times New Roman" w:eastAsia="宋体" w:cs="Times New Roman"/>
                <w:color w:val="auto"/>
                <w:kern w:val="0"/>
                <w:sz w:val="24"/>
                <w:szCs w:val="24"/>
                <w:highlight w:val="none"/>
                <w:lang w:val="en-US" w:eastAsia="zh-CN" w:bidi="ar"/>
              </w:rPr>
              <w:t>380</w:t>
            </w:r>
            <w:r>
              <w:rPr>
                <w:rFonts w:hint="eastAsia" w:ascii="宋体" w:hAnsi="宋体" w:eastAsia="宋体" w:cs="宋体"/>
                <w:color w:val="auto"/>
                <w:kern w:val="0"/>
                <w:sz w:val="24"/>
                <w:szCs w:val="24"/>
                <w:highlight w:val="none"/>
                <w:lang w:val="en-US" w:eastAsia="zh-CN" w:bidi="ar"/>
              </w:rPr>
              <w:t xml:space="preserve">号）中关于医疗废物的收集、运送、贮存的相关要求。因此，本评价认为医疗废物暂存间的设计规模及布局合理。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综上所述，拟建项目布局体现了“以人为本，诚信创新，优质高效，一切为了群众健康”的办院宗旨。从环境保护的角度分析，卫生院内部用房安排合理，各功能分区合理，洁污、医患等路线清楚，避免了交叉感染，能够保证诊疗区、住院病房区等处的环境安静，因此，评价认为项目整体的平面布局是合理的。</w:t>
            </w:r>
          </w:p>
          <w:p>
            <w:pPr>
              <w:pStyle w:val="4"/>
              <w:bidi w:val="0"/>
              <w:rPr>
                <w:rFonts w:hint="default"/>
                <w:color w:val="auto"/>
                <w:highlight w:val="none"/>
                <w:lang w:val="en-US" w:eastAsia="zh-CN"/>
              </w:rPr>
            </w:pPr>
            <w:r>
              <w:rPr>
                <w:rFonts w:hint="eastAsia"/>
                <w:color w:val="auto"/>
                <w:highlight w:val="none"/>
                <w:lang w:val="en-US" w:eastAsia="zh-CN"/>
              </w:rPr>
              <w:t>2.8 主要经济技术指标</w:t>
            </w:r>
          </w:p>
          <w:p>
            <w:pPr>
              <w:keepNext w:val="0"/>
              <w:keepLines w:val="0"/>
              <w:widowControl/>
              <w:suppressLineNumbers w:val="0"/>
              <w:jc w:val="left"/>
              <w:rPr>
                <w:rFonts w:hint="default"/>
                <w:color w:val="auto"/>
                <w:highlight w:val="none"/>
                <w:lang w:val="en-US"/>
              </w:rPr>
            </w:pPr>
            <w:r>
              <w:rPr>
                <w:rFonts w:hint="eastAsia" w:ascii="宋体" w:hAnsi="宋体" w:eastAsia="宋体" w:cs="宋体"/>
                <w:color w:val="auto"/>
                <w:kern w:val="0"/>
                <w:sz w:val="24"/>
                <w:szCs w:val="24"/>
                <w:highlight w:val="none"/>
                <w:lang w:val="en-US" w:eastAsia="zh-CN" w:bidi="ar"/>
              </w:rPr>
              <w:t xml:space="preserve">拟建项目主要经济技术指标见下表 </w:t>
            </w:r>
            <w:r>
              <w:rPr>
                <w:rFonts w:hint="default" w:ascii="Times New Roman" w:hAnsi="Times New Roman" w:eastAsia="宋体" w:cs="Times New Roman"/>
                <w:color w:val="auto"/>
                <w:kern w:val="0"/>
                <w:sz w:val="24"/>
                <w:szCs w:val="24"/>
                <w:highlight w:val="none"/>
                <w:lang w:val="en-US" w:eastAsia="zh-CN" w:bidi="ar"/>
              </w:rPr>
              <w:t>2</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8</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 xml:space="preserve"> </w:t>
            </w:r>
          </w:p>
          <w:p>
            <w:pPr>
              <w:adjustRightInd w:val="0"/>
              <w:snapToGrid w:val="0"/>
              <w:spacing w:line="240" w:lineRule="auto"/>
              <w:ind w:left="0" w:leftChars="0" w:firstLine="0" w:firstLineChars="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表2.8  主要经济技术指标</w:t>
            </w:r>
          </w:p>
          <w:tbl>
            <w:tblPr>
              <w:tblStyle w:val="30"/>
              <w:tblW w:w="80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538"/>
              <w:gridCol w:w="2003"/>
              <w:gridCol w:w="3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2837" w:type="dxa"/>
                  <w:gridSpan w:val="2"/>
                  <w:vAlign w:val="center"/>
                </w:tcPr>
                <w:p>
                  <w:pPr>
                    <w:adjustRightInd w:val="0"/>
                    <w:snapToGrid w:val="0"/>
                    <w:ind w:left="0" w:leftChars="0" w:firstLine="0" w:firstLineChars="0"/>
                    <w:jc w:val="center"/>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项目</w:t>
                  </w:r>
                </w:p>
              </w:tc>
              <w:tc>
                <w:tcPr>
                  <w:tcW w:w="2003" w:type="dxa"/>
                  <w:vAlign w:val="center"/>
                </w:tcPr>
                <w:p>
                  <w:pPr>
                    <w:adjustRightInd w:val="0"/>
                    <w:snapToGrid w:val="0"/>
                    <w:ind w:left="0" w:leftChars="0" w:firstLine="0" w:firstLineChars="0"/>
                    <w:jc w:val="center"/>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单位</w:t>
                  </w:r>
                </w:p>
              </w:tc>
              <w:tc>
                <w:tcPr>
                  <w:tcW w:w="3242" w:type="dxa"/>
                  <w:vAlign w:val="center"/>
                </w:tcPr>
                <w:p>
                  <w:pPr>
                    <w:adjustRightInd w:val="0"/>
                    <w:snapToGrid w:val="0"/>
                    <w:ind w:left="0" w:leftChars="0" w:firstLine="0" w:firstLineChars="0"/>
                    <w:jc w:val="center"/>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2837" w:type="dxa"/>
                  <w:gridSpan w:val="2"/>
                  <w:vAlign w:val="center"/>
                </w:tcPr>
                <w:p>
                  <w:pPr>
                    <w:numPr>
                      <w:ilvl w:val="0"/>
                      <w:numId w:val="0"/>
                    </w:numPr>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建设用地面积</w:t>
                  </w:r>
                </w:p>
              </w:tc>
              <w:tc>
                <w:tcPr>
                  <w:tcW w:w="2003" w:type="dxa"/>
                  <w:vAlign w:val="center"/>
                </w:tcPr>
                <w:p>
                  <w:pPr>
                    <w:numPr>
                      <w:ilvl w:val="0"/>
                      <w:numId w:val="0"/>
                    </w:numPr>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m</w:t>
                  </w:r>
                  <w:r>
                    <w:rPr>
                      <w:rFonts w:hint="eastAsia" w:ascii="宋体" w:hAnsi="宋体" w:cs="宋体"/>
                      <w:color w:val="auto"/>
                      <w:kern w:val="0"/>
                      <w:sz w:val="21"/>
                      <w:szCs w:val="21"/>
                      <w:highlight w:val="none"/>
                      <w:vertAlign w:val="superscript"/>
                      <w:lang w:val="en-US" w:eastAsia="zh-CN" w:bidi="ar-SA"/>
                    </w:rPr>
                    <w:t>2</w:t>
                  </w:r>
                </w:p>
              </w:tc>
              <w:tc>
                <w:tcPr>
                  <w:tcW w:w="3242"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exact"/>
                <w:tblHeader/>
              </w:trPr>
              <w:tc>
                <w:tcPr>
                  <w:tcW w:w="2837" w:type="dxa"/>
                  <w:gridSpan w:val="2"/>
                  <w:vAlign w:val="center"/>
                </w:tcPr>
                <w:p>
                  <w:pPr>
                    <w:numPr>
                      <w:ilvl w:val="0"/>
                      <w:numId w:val="0"/>
                    </w:numPr>
                    <w:ind w:left="0" w:leftChars="0"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总建筑面积</w:t>
                  </w:r>
                </w:p>
              </w:tc>
              <w:tc>
                <w:tcPr>
                  <w:tcW w:w="2003" w:type="dxa"/>
                  <w:vAlign w:val="center"/>
                </w:tcPr>
                <w:p>
                  <w:pPr>
                    <w:numPr>
                      <w:ilvl w:val="0"/>
                      <w:numId w:val="0"/>
                    </w:numPr>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m</w:t>
                  </w:r>
                  <w:r>
                    <w:rPr>
                      <w:rFonts w:hint="eastAsia" w:ascii="宋体" w:hAnsi="宋体" w:cs="宋体"/>
                      <w:color w:val="auto"/>
                      <w:kern w:val="0"/>
                      <w:sz w:val="21"/>
                      <w:szCs w:val="21"/>
                      <w:highlight w:val="none"/>
                      <w:vertAlign w:val="superscript"/>
                      <w:lang w:val="en-US" w:eastAsia="zh-CN" w:bidi="ar-SA"/>
                    </w:rPr>
                    <w:t>2</w:t>
                  </w:r>
                </w:p>
              </w:tc>
              <w:tc>
                <w:tcPr>
                  <w:tcW w:w="32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2725.74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exact"/>
                <w:tblHeader/>
              </w:trPr>
              <w:tc>
                <w:tcPr>
                  <w:tcW w:w="2837" w:type="dxa"/>
                  <w:gridSpan w:val="2"/>
                  <w:vAlign w:val="center"/>
                </w:tcPr>
                <w:p>
                  <w:pPr>
                    <w:numPr>
                      <w:ilvl w:val="0"/>
                      <w:numId w:val="0"/>
                    </w:numPr>
                    <w:ind w:left="0" w:leftChars="0"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绿地率</w:t>
                  </w:r>
                </w:p>
              </w:tc>
              <w:tc>
                <w:tcPr>
                  <w:tcW w:w="2003" w:type="dxa"/>
                  <w:vAlign w:val="center"/>
                </w:tcPr>
                <w:p>
                  <w:pPr>
                    <w:numPr>
                      <w:ilvl w:val="0"/>
                      <w:numId w:val="0"/>
                    </w:numPr>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w:t>
                  </w:r>
                </w:p>
              </w:tc>
              <w:tc>
                <w:tcPr>
                  <w:tcW w:w="3242"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2837" w:type="dxa"/>
                  <w:gridSpan w:val="2"/>
                  <w:vAlign w:val="center"/>
                </w:tcPr>
                <w:p>
                  <w:pPr>
                    <w:pStyle w:val="20"/>
                    <w:ind w:left="0" w:leftChars="0"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全院日最大门诊量</w:t>
                  </w:r>
                </w:p>
              </w:tc>
              <w:tc>
                <w:tcPr>
                  <w:tcW w:w="2003" w:type="dxa"/>
                  <w:vAlign w:val="center"/>
                </w:tcPr>
                <w:p>
                  <w:pPr>
                    <w:numPr>
                      <w:ilvl w:val="0"/>
                      <w:numId w:val="0"/>
                    </w:numPr>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人次/d</w:t>
                  </w:r>
                </w:p>
              </w:tc>
              <w:tc>
                <w:tcPr>
                  <w:tcW w:w="3242"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2837" w:type="dxa"/>
                  <w:gridSpan w:val="2"/>
                  <w:vAlign w:val="center"/>
                </w:tcPr>
                <w:p>
                  <w:pPr>
                    <w:pStyle w:val="20"/>
                    <w:ind w:left="0" w:leftChars="0"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病房床位数量</w:t>
                  </w:r>
                </w:p>
              </w:tc>
              <w:tc>
                <w:tcPr>
                  <w:tcW w:w="2003" w:type="dxa"/>
                  <w:vAlign w:val="center"/>
                </w:tcPr>
                <w:p>
                  <w:pPr>
                    <w:numPr>
                      <w:ilvl w:val="0"/>
                      <w:numId w:val="0"/>
                    </w:numPr>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床</w:t>
                  </w:r>
                </w:p>
              </w:tc>
              <w:tc>
                <w:tcPr>
                  <w:tcW w:w="3242"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2837" w:type="dxa"/>
                  <w:gridSpan w:val="2"/>
                  <w:vAlign w:val="center"/>
                </w:tcPr>
                <w:p>
                  <w:pPr>
                    <w:pStyle w:val="20"/>
                    <w:ind w:left="0" w:leftChars="0"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职工人数</w:t>
                  </w:r>
                </w:p>
              </w:tc>
              <w:tc>
                <w:tcPr>
                  <w:tcW w:w="2003"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人</w:t>
                  </w:r>
                </w:p>
              </w:tc>
              <w:tc>
                <w:tcPr>
                  <w:tcW w:w="3242"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Merge w:val="restart"/>
                  <w:vAlign w:val="center"/>
                </w:tcPr>
                <w:p>
                  <w:pPr>
                    <w:pStyle w:val="20"/>
                    <w:numPr>
                      <w:ilvl w:val="0"/>
                      <w:numId w:val="0"/>
                    </w:numPr>
                    <w:ind w:left="425" w:leftChars="0" w:hanging="425"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其中</w:t>
                  </w:r>
                </w:p>
              </w:tc>
              <w:tc>
                <w:tcPr>
                  <w:tcW w:w="1538" w:type="dxa"/>
                  <w:vAlign w:val="center"/>
                </w:tcPr>
                <w:p>
                  <w:pPr>
                    <w:pStyle w:val="20"/>
                    <w:ind w:left="0" w:leftChars="0"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医护人员</w:t>
                  </w:r>
                </w:p>
              </w:tc>
              <w:tc>
                <w:tcPr>
                  <w:tcW w:w="2003" w:type="dxa"/>
                  <w:vAlign w:val="center"/>
                </w:tcPr>
                <w:p>
                  <w:pPr>
                    <w:numPr>
                      <w:ilvl w:val="0"/>
                      <w:numId w:val="0"/>
                    </w:numPr>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人</w:t>
                  </w:r>
                </w:p>
              </w:tc>
              <w:tc>
                <w:tcPr>
                  <w:tcW w:w="3242"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1299" w:type="dxa"/>
                  <w:vMerge w:val="continue"/>
                  <w:vAlign w:val="center"/>
                </w:tcPr>
                <w:p>
                  <w:pPr>
                    <w:pStyle w:val="20"/>
                    <w:numPr>
                      <w:ilvl w:val="0"/>
                      <w:numId w:val="0"/>
                    </w:numPr>
                    <w:ind w:left="425" w:leftChars="0" w:hanging="425" w:firstLineChars="0"/>
                    <w:jc w:val="center"/>
                    <w:rPr>
                      <w:rFonts w:hint="default" w:ascii="宋体" w:hAnsi="宋体" w:eastAsia="宋体" w:cs="宋体"/>
                      <w:color w:val="auto"/>
                      <w:kern w:val="0"/>
                      <w:sz w:val="21"/>
                      <w:szCs w:val="21"/>
                      <w:highlight w:val="none"/>
                      <w:vertAlign w:val="baseline"/>
                      <w:lang w:val="en-US" w:eastAsia="zh-CN" w:bidi="ar-SA"/>
                    </w:rPr>
                  </w:pPr>
                </w:p>
              </w:tc>
              <w:tc>
                <w:tcPr>
                  <w:tcW w:w="1538" w:type="dxa"/>
                  <w:vAlign w:val="center"/>
                </w:tcPr>
                <w:p>
                  <w:pPr>
                    <w:pStyle w:val="20"/>
                    <w:ind w:left="0" w:leftChars="0"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后勤及其他</w:t>
                  </w:r>
                </w:p>
              </w:tc>
              <w:tc>
                <w:tcPr>
                  <w:tcW w:w="2003"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人</w:t>
                  </w:r>
                </w:p>
              </w:tc>
              <w:tc>
                <w:tcPr>
                  <w:tcW w:w="3242"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2837" w:type="dxa"/>
                  <w:gridSpan w:val="2"/>
                  <w:vAlign w:val="center"/>
                </w:tcPr>
                <w:p>
                  <w:pPr>
                    <w:pStyle w:val="20"/>
                    <w:ind w:left="0" w:leftChars="0"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总投资</w:t>
                  </w:r>
                </w:p>
              </w:tc>
              <w:tc>
                <w:tcPr>
                  <w:tcW w:w="2003"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万元</w:t>
                  </w:r>
                </w:p>
              </w:tc>
              <w:tc>
                <w:tcPr>
                  <w:tcW w:w="3242"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2837" w:type="dxa"/>
                  <w:gridSpan w:val="2"/>
                  <w:vAlign w:val="center"/>
                </w:tcPr>
                <w:p>
                  <w:pPr>
                    <w:pStyle w:val="20"/>
                    <w:ind w:left="0" w:leftChars="0"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环保投资</w:t>
                  </w:r>
                </w:p>
              </w:tc>
              <w:tc>
                <w:tcPr>
                  <w:tcW w:w="2003"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万元</w:t>
                  </w:r>
                </w:p>
              </w:tc>
              <w:tc>
                <w:tcPr>
                  <w:tcW w:w="3242" w:type="dxa"/>
                  <w:vAlign w:val="center"/>
                </w:tcPr>
                <w:p>
                  <w:pPr>
                    <w:pStyle w:val="20"/>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cs="宋体"/>
                      <w:color w:val="auto"/>
                      <w:kern w:val="0"/>
                      <w:sz w:val="21"/>
                      <w:szCs w:val="21"/>
                      <w:highlight w:val="none"/>
                      <w:vertAlign w:val="baseline"/>
                      <w:lang w:val="en-US" w:eastAsia="zh-CN" w:bidi="ar-SA"/>
                    </w:rPr>
                    <w:t>60</w:t>
                  </w:r>
                </w:p>
              </w:tc>
            </w:tr>
          </w:tbl>
          <w:p>
            <w:pPr>
              <w:pStyle w:val="27"/>
              <w:spacing w:after="0" w:line="360" w:lineRule="auto"/>
              <w:ind w:left="0" w:leftChars="0" w:firstLine="480"/>
              <w:jc w:val="center"/>
              <w:rPr>
                <w:rFonts w:hint="eastAsia"/>
                <w:color w:val="auto"/>
                <w:sz w:val="24"/>
                <w:szCs w:val="24"/>
                <w:highlight w:val="none"/>
                <w:lang w:eastAsia="zh-CN"/>
              </w:rPr>
            </w:pPr>
          </w:p>
          <w:p>
            <w:pPr>
              <w:pStyle w:val="27"/>
              <w:spacing w:after="0" w:line="360" w:lineRule="auto"/>
              <w:ind w:left="0" w:leftChars="0" w:firstLine="0" w:firstLineChars="0"/>
              <w:rPr>
                <w:rFonts w:hint="eastAsia"/>
                <w:color w:val="auto"/>
                <w:sz w:val="24"/>
                <w:szCs w:val="24"/>
                <w:highlight w:val="none"/>
                <w:lang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trHeight w:val="5708" w:hRule="atLeast"/>
          <w:jc w:val="center"/>
        </w:trPr>
        <w:tc>
          <w:tcPr>
            <w:tcW w:w="752" w:type="dxa"/>
            <w:tcBorders>
              <w:tl2br w:val="nil"/>
              <w:tr2bl w:val="nil"/>
            </w:tcBorders>
            <w:vAlign w:val="center"/>
          </w:tcPr>
          <w:p>
            <w:pPr>
              <w:pStyle w:val="24"/>
              <w:adjustRightInd w:val="0"/>
              <w:snapToGrid w:val="0"/>
              <w:spacing w:before="0" w:beforeAutospacing="0" w:after="0" w:afterAutospacing="0"/>
              <w:ind w:left="0" w:leftChars="0" w:firstLine="0" w:firstLineChars="0"/>
              <w:jc w:val="both"/>
              <w:rPr>
                <w:rFonts w:ascii="Times New Roman" w:hAnsi="Times New Roman"/>
                <w:color w:val="auto"/>
                <w:szCs w:val="24"/>
                <w:highlight w:val="none"/>
              </w:rPr>
            </w:pPr>
            <w:r>
              <w:rPr>
                <w:rFonts w:ascii="Times New Roman" w:hAnsi="Times New Roman"/>
                <w:color w:val="auto"/>
                <w:szCs w:val="24"/>
                <w:highlight w:val="none"/>
              </w:rPr>
              <w:t>工艺流程和产排污环节</w:t>
            </w:r>
          </w:p>
        </w:tc>
        <w:tc>
          <w:tcPr>
            <w:tcW w:w="8309" w:type="dxa"/>
            <w:tcBorders>
              <w:tl2br w:val="nil"/>
              <w:tr2bl w:val="nil"/>
            </w:tcBorders>
          </w:tcPr>
          <w:p>
            <w:pPr>
              <w:pStyle w:val="4"/>
              <w:bidi w:val="0"/>
              <w:rPr>
                <w:rFonts w:hint="default"/>
                <w:color w:val="auto"/>
                <w:highlight w:val="none"/>
                <w:lang w:val="en-US" w:eastAsia="zh-CN"/>
              </w:rPr>
            </w:pPr>
            <w:r>
              <w:rPr>
                <w:rFonts w:hint="eastAsia"/>
                <w:color w:val="auto"/>
                <w:highlight w:val="none"/>
                <w:lang w:val="en-US" w:eastAsia="zh-CN"/>
              </w:rPr>
              <w:t>2.9 施工期工艺流程简述</w:t>
            </w:r>
          </w:p>
          <w:p>
            <w:pPr>
              <w:spacing w:line="360" w:lineRule="auto"/>
              <w:rPr>
                <w:rFonts w:hint="default"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（1）施工期作业流程</w:t>
            </w:r>
          </w:p>
          <w:p>
            <w:pPr>
              <w:spacing w:line="360" w:lineRule="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根据现场踏勘，拟建项目所在地块已平场处理，不涉及场地平整和表土开挖等，且不涉及拆迁构筑物等，项目施工计划大致分为四个步骤：基础施工、结构施工、设备安装、建筑装饰，直至建成后投入使用。具体建设流程及产污环节见图</w:t>
            </w:r>
            <w:r>
              <w:rPr>
                <w:rFonts w:hint="default" w:ascii="宋体" w:hAnsi="宋体" w:eastAsia="宋体" w:cs="Times New Roman"/>
                <w:color w:val="auto"/>
                <w:highlight w:val="none"/>
                <w:lang w:val="en-US" w:eastAsia="zh-CN"/>
              </w:rPr>
              <w:t>2</w:t>
            </w:r>
            <w:r>
              <w:rPr>
                <w:rFonts w:hint="eastAsia" w:ascii="宋体" w:hAnsi="宋体" w:eastAsia="宋体" w:cs="Times New Roman"/>
                <w:color w:val="auto"/>
                <w:highlight w:val="none"/>
                <w:lang w:val="en-US" w:eastAsia="zh-CN"/>
              </w:rPr>
              <w:t>.2。</w:t>
            </w:r>
          </w:p>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drawing>
                <wp:anchor distT="0" distB="0" distL="114300" distR="114300" simplePos="0" relativeHeight="251663360" behindDoc="0" locked="0" layoutInCell="1" allowOverlap="1">
                  <wp:simplePos x="0" y="0"/>
                  <wp:positionH relativeFrom="column">
                    <wp:posOffset>304800</wp:posOffset>
                  </wp:positionH>
                  <wp:positionV relativeFrom="paragraph">
                    <wp:posOffset>0</wp:posOffset>
                  </wp:positionV>
                  <wp:extent cx="4629785" cy="1933575"/>
                  <wp:effectExtent l="0" t="0" r="8890" b="0"/>
                  <wp:wrapNone/>
                  <wp:docPr id="87"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5" descr="IMG_256"/>
                          <pic:cNvPicPr>
                            <a:picLocks noChangeAspect="1"/>
                          </pic:cNvPicPr>
                        </pic:nvPicPr>
                        <pic:blipFill>
                          <a:blip r:embed="rId13"/>
                          <a:stretch>
                            <a:fillRect/>
                          </a:stretch>
                        </pic:blipFill>
                        <pic:spPr>
                          <a:xfrm>
                            <a:off x="0" y="0"/>
                            <a:ext cx="4629785" cy="1933575"/>
                          </a:xfrm>
                          <a:prstGeom prst="rect">
                            <a:avLst/>
                          </a:prstGeom>
                          <a:noFill/>
                          <a:ln w="9525">
                            <a:noFill/>
                          </a:ln>
                        </pic:spPr>
                      </pic:pic>
                    </a:graphicData>
                  </a:graphic>
                </wp:anchor>
              </w:drawing>
            </w:r>
          </w:p>
          <w:p>
            <w:pPr>
              <w:ind w:left="720" w:leftChars="0" w:hanging="720" w:hangingChars="300"/>
              <w:jc w:val="center"/>
              <w:rPr>
                <w:color w:val="auto"/>
                <w:highlight w:val="none"/>
              </w:rPr>
            </w:pPr>
          </w:p>
          <w:p>
            <w:pPr>
              <w:pStyle w:val="27"/>
              <w:rPr>
                <w:color w:val="auto"/>
                <w:highlight w:val="none"/>
              </w:rPr>
            </w:pPr>
          </w:p>
          <w:p>
            <w:pPr>
              <w:pStyle w:val="28"/>
              <w:rPr>
                <w:color w:val="auto"/>
                <w:highlight w:val="none"/>
              </w:rPr>
            </w:pPr>
          </w:p>
          <w:p>
            <w:pPr>
              <w:pStyle w:val="28"/>
              <w:rPr>
                <w:color w:val="auto"/>
                <w:highlight w:val="none"/>
              </w:rPr>
            </w:pPr>
          </w:p>
          <w:p>
            <w:pPr>
              <w:pStyle w:val="28"/>
              <w:rPr>
                <w:color w:val="auto"/>
                <w:highlight w:val="none"/>
              </w:rPr>
            </w:pPr>
          </w:p>
          <w:p>
            <w:pPr>
              <w:pStyle w:val="28"/>
              <w:rPr>
                <w:color w:val="auto"/>
                <w:highlight w:val="none"/>
              </w:rPr>
            </w:pPr>
          </w:p>
          <w:p>
            <w:pPr>
              <w:pStyle w:val="28"/>
              <w:rPr>
                <w:color w:val="auto"/>
                <w:highlight w:val="none"/>
              </w:rPr>
            </w:pPr>
          </w:p>
          <w:p>
            <w:pPr>
              <w:ind w:left="723" w:leftChars="0" w:hanging="723" w:hangingChars="300"/>
              <w:jc w:val="center"/>
              <w:rPr>
                <w:rFonts w:hint="eastAsia"/>
                <w:b/>
                <w:bCs/>
                <w:color w:val="auto"/>
                <w:highlight w:val="none"/>
              </w:rPr>
            </w:pPr>
            <w:r>
              <w:rPr>
                <w:rFonts w:hint="eastAsia"/>
                <w:b/>
                <w:bCs/>
                <w:color w:val="auto"/>
                <w:highlight w:val="none"/>
                <w:lang w:val="en-US" w:eastAsia="zh-CN"/>
              </w:rPr>
              <w:t>图2.2 施工期工艺流程及产污环节图</w:t>
            </w:r>
          </w:p>
          <w:p>
            <w:pPr>
              <w:spacing w:line="360" w:lineRule="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w:t>
            </w:r>
            <w:r>
              <w:rPr>
                <w:rFonts w:hint="default" w:ascii="宋体" w:hAnsi="宋体" w:eastAsia="宋体" w:cs="Times New Roman"/>
                <w:color w:val="auto"/>
                <w:highlight w:val="none"/>
                <w:lang w:val="en-US" w:eastAsia="zh-CN"/>
              </w:rPr>
              <w:t>2</w:t>
            </w:r>
            <w:r>
              <w:rPr>
                <w:rFonts w:hint="eastAsia" w:ascii="宋体" w:hAnsi="宋体" w:eastAsia="宋体" w:cs="Times New Roman"/>
                <w:color w:val="auto"/>
                <w:highlight w:val="none"/>
                <w:lang w:val="en-US" w:eastAsia="zh-CN"/>
              </w:rPr>
              <w:t>）施工方案</w:t>
            </w:r>
          </w:p>
          <w:p>
            <w:pPr>
              <w:spacing w:line="360" w:lineRule="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拟建项目选址场地地质条件简单，因此施工时主要采用机械化施工，辅助以手工作业，不涉及爆破施工。</w:t>
            </w:r>
          </w:p>
          <w:p>
            <w:pPr>
              <w:spacing w:line="360" w:lineRule="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w:t>
            </w:r>
            <w:r>
              <w:rPr>
                <w:rFonts w:hint="default" w:ascii="宋体" w:hAnsi="宋体" w:eastAsia="宋体" w:cs="Times New Roman"/>
                <w:color w:val="auto"/>
                <w:highlight w:val="none"/>
                <w:lang w:val="en-US" w:eastAsia="zh-CN"/>
              </w:rPr>
              <w:t>3</w:t>
            </w:r>
            <w:r>
              <w:rPr>
                <w:rFonts w:hint="eastAsia" w:ascii="宋体" w:hAnsi="宋体" w:eastAsia="宋体" w:cs="Times New Roman"/>
                <w:color w:val="auto"/>
                <w:highlight w:val="none"/>
                <w:lang w:val="en-US" w:eastAsia="zh-CN"/>
              </w:rPr>
              <w:t xml:space="preserve">）施工营地布置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① 施工便道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拟建项目选址场地交通便利，西南侧临近乡镇道路，项目建设所需建筑材料、土石方等可通过已建乡镇道路直接运送，项目施工时不再单独设置施工便道。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② 施工营地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拟建项目在地块北侧设置</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处施工营地，不新增临时占地，主要布置材料堆放场、钢筋加工场地等，其中材料堆放场及钢筋加工区为轻钢彩板结构，钢筋加工区周边设置围挡。不布置临时办公用房，工人为周边居民。项目使用预拌混凝土，场地内不设置混凝土搅拌场地；项目所需水泥混凝土采用外购商品砼形式，不单独设置混凝土搅拌站。</w:t>
            </w:r>
          </w:p>
          <w:p>
            <w:pPr>
              <w:pStyle w:val="4"/>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2.10 运营期工艺流程</w:t>
            </w:r>
          </w:p>
          <w:p>
            <w:pPr>
              <w:spacing w:line="360" w:lineRule="auto"/>
              <w:rPr>
                <w:rFonts w:ascii="宋体" w:hAnsi="宋体" w:eastAsia="宋体" w:cs="Times New Roman"/>
                <w:color w:val="auto"/>
                <w:highlight w:val="none"/>
              </w:rPr>
            </w:pPr>
            <w:r>
              <w:rPr>
                <w:color w:val="auto"/>
                <w:highlight w:val="none"/>
              </w:rPr>
              <w:drawing>
                <wp:anchor distT="0" distB="0" distL="114300" distR="114300" simplePos="0" relativeHeight="251664384" behindDoc="0" locked="0" layoutInCell="1" allowOverlap="1">
                  <wp:simplePos x="0" y="0"/>
                  <wp:positionH relativeFrom="column">
                    <wp:posOffset>-27940</wp:posOffset>
                  </wp:positionH>
                  <wp:positionV relativeFrom="paragraph">
                    <wp:posOffset>266700</wp:posOffset>
                  </wp:positionV>
                  <wp:extent cx="5133975" cy="5171440"/>
                  <wp:effectExtent l="0" t="0" r="0" b="635"/>
                  <wp:wrapNone/>
                  <wp:docPr id="8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7"/>
                          <pic:cNvPicPr>
                            <a:picLocks noChangeAspect="1"/>
                          </pic:cNvPicPr>
                        </pic:nvPicPr>
                        <pic:blipFill>
                          <a:blip r:embed="rId14"/>
                          <a:stretch>
                            <a:fillRect/>
                          </a:stretch>
                        </pic:blipFill>
                        <pic:spPr>
                          <a:xfrm>
                            <a:off x="0" y="0"/>
                            <a:ext cx="5133975" cy="5171440"/>
                          </a:xfrm>
                          <a:prstGeom prst="rect">
                            <a:avLst/>
                          </a:prstGeom>
                          <a:noFill/>
                          <a:ln>
                            <a:noFill/>
                          </a:ln>
                        </pic:spPr>
                      </pic:pic>
                    </a:graphicData>
                  </a:graphic>
                </wp:anchor>
              </w:drawing>
            </w:r>
            <w:r>
              <w:rPr>
                <w:rFonts w:hint="eastAsia" w:ascii="宋体" w:hAnsi="宋体" w:eastAsia="宋体" w:cs="Times New Roman"/>
                <w:color w:val="auto"/>
                <w:highlight w:val="none"/>
                <w:lang w:val="en-US" w:eastAsia="zh-CN"/>
              </w:rPr>
              <w:t xml:space="preserve">（1）项目医疗服务流程与产排污环节见图 </w:t>
            </w:r>
            <w:r>
              <w:rPr>
                <w:rFonts w:hint="default" w:ascii="宋体" w:hAnsi="宋体" w:eastAsia="宋体" w:cs="Times New Roman"/>
                <w:color w:val="auto"/>
                <w:highlight w:val="none"/>
                <w:lang w:val="en-US" w:eastAsia="zh-CN"/>
              </w:rPr>
              <w:t>2.</w:t>
            </w:r>
            <w:r>
              <w:rPr>
                <w:rFonts w:hint="eastAsia" w:ascii="宋体" w:hAnsi="宋体" w:eastAsia="宋体" w:cs="Times New Roman"/>
                <w:color w:val="auto"/>
                <w:highlight w:val="none"/>
                <w:lang w:val="en-US" w:eastAsia="zh-CN"/>
              </w:rPr>
              <w:t>3。</w:t>
            </w:r>
          </w:p>
          <w:p>
            <w:pPr>
              <w:keepNext w:val="0"/>
              <w:keepLines w:val="0"/>
              <w:widowControl/>
              <w:suppressLineNumbers w:val="0"/>
              <w:jc w:val="left"/>
              <w:rPr>
                <w:color w:val="auto"/>
                <w:highlight w:val="none"/>
              </w:rPr>
            </w:pPr>
          </w:p>
          <w:p>
            <w:pPr>
              <w:spacing w:line="360" w:lineRule="auto"/>
              <w:rPr>
                <w:rFonts w:ascii="宋体" w:hAnsi="宋体" w:eastAsia="宋体"/>
                <w:color w:val="auto"/>
                <w:highlight w:val="none"/>
              </w:rPr>
            </w:pPr>
          </w:p>
          <w:p>
            <w:pPr>
              <w:pStyle w:val="27"/>
              <w:rPr>
                <w:rFonts w:ascii="宋体" w:hAnsi="宋体" w:eastAsia="宋体"/>
                <w:color w:val="auto"/>
                <w:highlight w:val="none"/>
              </w:rPr>
            </w:pPr>
          </w:p>
          <w:p>
            <w:pPr>
              <w:pStyle w:val="28"/>
              <w:rPr>
                <w:rFonts w:ascii="宋体" w:hAnsi="宋体" w:eastAsia="宋体"/>
                <w:color w:val="auto"/>
                <w:highlight w:val="none"/>
              </w:rPr>
            </w:pPr>
          </w:p>
          <w:p>
            <w:pPr>
              <w:pStyle w:val="28"/>
              <w:rPr>
                <w:rFonts w:ascii="宋体" w:hAnsi="宋体" w:eastAsia="宋体"/>
                <w:color w:val="auto"/>
                <w:highlight w:val="none"/>
              </w:rPr>
            </w:pPr>
          </w:p>
          <w:p>
            <w:pPr>
              <w:pStyle w:val="28"/>
              <w:rPr>
                <w:rFonts w:ascii="宋体" w:hAnsi="宋体" w:eastAsia="宋体"/>
                <w:color w:val="auto"/>
                <w:highlight w:val="none"/>
              </w:rPr>
            </w:pPr>
          </w:p>
          <w:p>
            <w:pPr>
              <w:pStyle w:val="28"/>
              <w:rPr>
                <w:rFonts w:ascii="宋体" w:hAnsi="宋体" w:eastAsia="宋体"/>
                <w:color w:val="auto"/>
                <w:highlight w:val="none"/>
              </w:rPr>
            </w:pPr>
          </w:p>
          <w:p>
            <w:pPr>
              <w:pStyle w:val="28"/>
              <w:rPr>
                <w:rFonts w:ascii="宋体" w:hAnsi="宋体" w:eastAsia="宋体"/>
                <w:color w:val="auto"/>
                <w:highlight w:val="none"/>
              </w:rPr>
            </w:pPr>
          </w:p>
          <w:p>
            <w:pPr>
              <w:pStyle w:val="28"/>
              <w:rPr>
                <w:rFonts w:ascii="宋体" w:hAnsi="宋体" w:eastAsia="宋体"/>
                <w:color w:val="auto"/>
                <w:highlight w:val="none"/>
              </w:rPr>
            </w:pPr>
          </w:p>
          <w:p>
            <w:pPr>
              <w:pStyle w:val="28"/>
              <w:rPr>
                <w:rFonts w:ascii="宋体" w:hAnsi="宋体" w:eastAsia="宋体"/>
                <w:color w:val="auto"/>
                <w:highlight w:val="none"/>
              </w:rPr>
            </w:pPr>
          </w:p>
          <w:p>
            <w:pPr>
              <w:pStyle w:val="28"/>
              <w:rPr>
                <w:rFonts w:ascii="宋体" w:hAnsi="宋体" w:eastAsia="宋体"/>
                <w:color w:val="auto"/>
                <w:highlight w:val="none"/>
              </w:rPr>
            </w:pPr>
          </w:p>
          <w:p>
            <w:pPr>
              <w:pStyle w:val="28"/>
              <w:rPr>
                <w:rFonts w:ascii="宋体" w:hAnsi="宋体" w:eastAsia="宋体"/>
                <w:color w:val="auto"/>
                <w:highlight w:val="none"/>
              </w:rPr>
            </w:pPr>
          </w:p>
          <w:p>
            <w:pPr>
              <w:pStyle w:val="28"/>
              <w:rPr>
                <w:rFonts w:ascii="宋体" w:hAnsi="宋体" w:eastAsia="宋体"/>
                <w:color w:val="auto"/>
                <w:highlight w:val="none"/>
              </w:rPr>
            </w:pPr>
          </w:p>
          <w:p>
            <w:pPr>
              <w:pStyle w:val="28"/>
              <w:rPr>
                <w:rFonts w:ascii="宋体" w:hAnsi="宋体" w:eastAsia="宋体"/>
                <w:color w:val="auto"/>
                <w:highlight w:val="none"/>
              </w:rPr>
            </w:pPr>
          </w:p>
          <w:p>
            <w:pPr>
              <w:pStyle w:val="28"/>
              <w:rPr>
                <w:rFonts w:ascii="宋体" w:hAnsi="宋体" w:eastAsia="宋体"/>
                <w:color w:val="auto"/>
                <w:highlight w:val="none"/>
              </w:rPr>
            </w:pPr>
          </w:p>
          <w:p>
            <w:pPr>
              <w:pStyle w:val="28"/>
              <w:rPr>
                <w:rFonts w:ascii="宋体" w:hAnsi="宋体" w:eastAsia="宋体"/>
                <w:color w:val="auto"/>
                <w:highlight w:val="none"/>
              </w:rPr>
            </w:pPr>
          </w:p>
          <w:p>
            <w:pPr>
              <w:pStyle w:val="28"/>
              <w:rPr>
                <w:rFonts w:ascii="宋体" w:hAnsi="宋体" w:eastAsia="宋体"/>
                <w:color w:val="auto"/>
                <w:highlight w:val="none"/>
              </w:rPr>
            </w:pPr>
          </w:p>
          <w:p>
            <w:pPr>
              <w:spacing w:line="360" w:lineRule="auto"/>
              <w:rPr>
                <w:rFonts w:ascii="宋体" w:hAnsi="宋体" w:eastAsia="宋体"/>
                <w:color w:val="auto"/>
                <w:highlight w:val="none"/>
              </w:rPr>
            </w:pPr>
          </w:p>
          <w:p>
            <w:pPr>
              <w:spacing w:line="360" w:lineRule="auto"/>
              <w:rPr>
                <w:rFonts w:ascii="宋体" w:hAnsi="宋体" w:eastAsia="宋体"/>
                <w:color w:val="auto"/>
                <w:highlight w:val="none"/>
              </w:rPr>
            </w:pPr>
          </w:p>
          <w:p>
            <w:pPr>
              <w:pStyle w:val="27"/>
              <w:rPr>
                <w:rFonts w:ascii="宋体" w:hAnsi="宋体" w:eastAsia="宋体"/>
                <w:color w:val="auto"/>
                <w:highlight w:val="none"/>
              </w:rPr>
            </w:pPr>
          </w:p>
          <w:p>
            <w:pPr>
              <w:pStyle w:val="28"/>
              <w:rPr>
                <w:rFonts w:ascii="宋体" w:hAnsi="宋体" w:eastAsia="宋体"/>
                <w:color w:val="auto"/>
                <w:highlight w:val="none"/>
              </w:rPr>
            </w:pPr>
          </w:p>
          <w:p>
            <w:pPr>
              <w:ind w:left="723" w:leftChars="0" w:hanging="723" w:hangingChars="30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图2.3 项目医疗服务流程及产污排污环节</w:t>
            </w:r>
          </w:p>
          <w:p>
            <w:pPr>
              <w:keepNext w:val="0"/>
              <w:keepLines w:val="0"/>
              <w:widowControl/>
              <w:suppressLineNumbers w:val="0"/>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项目医疗服务主要产排污环节：</w:t>
            </w:r>
          </w:p>
          <w:p>
            <w:pPr>
              <w:keepNext w:val="0"/>
              <w:keepLines w:val="0"/>
              <w:widowControl/>
              <w:suppressLineNumbers w:val="0"/>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挂号：</w:t>
            </w:r>
            <w:r>
              <w:rPr>
                <w:rFonts w:hint="eastAsia" w:ascii="宋体" w:hAnsi="宋体" w:eastAsia="宋体" w:cs="宋体"/>
                <w:color w:val="auto"/>
                <w:kern w:val="0"/>
                <w:sz w:val="24"/>
                <w:szCs w:val="24"/>
                <w:highlight w:val="none"/>
                <w:lang w:val="en-US" w:eastAsia="zh-CN" w:bidi="ar"/>
              </w:rPr>
              <w:t xml:space="preserve">病人入院后在挂号处进行挂号，此处产生一般固废（S1），交环卫部门处理。一般固废主要为塑料包装材料、废药盒、废包装瓶等，不涉及危险废物。 </w:t>
            </w:r>
          </w:p>
          <w:p>
            <w:pPr>
              <w:keepNext w:val="0"/>
              <w:keepLines w:val="0"/>
              <w:widowControl/>
              <w:suppressLineNumbers w:val="0"/>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门诊：</w:t>
            </w:r>
            <w:r>
              <w:rPr>
                <w:rFonts w:hint="eastAsia" w:ascii="宋体" w:hAnsi="宋体" w:eastAsia="宋体" w:cs="宋体"/>
                <w:color w:val="auto"/>
                <w:kern w:val="0"/>
                <w:sz w:val="24"/>
                <w:szCs w:val="24"/>
                <w:highlight w:val="none"/>
                <w:lang w:val="en-US" w:eastAsia="zh-CN" w:bidi="ar"/>
              </w:rPr>
              <w:t>挂号后病人进入诊断服务，此过程中产生医疗废物（S2），交有资质单位处理。</w:t>
            </w:r>
          </w:p>
          <w:p>
            <w:pPr>
              <w:keepNext w:val="0"/>
              <w:keepLines w:val="0"/>
              <w:widowControl/>
              <w:suppressLineNumbers w:val="0"/>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检验：</w:t>
            </w:r>
            <w:r>
              <w:rPr>
                <w:rFonts w:hint="eastAsia" w:ascii="宋体" w:hAnsi="宋体" w:eastAsia="宋体" w:cs="宋体"/>
                <w:color w:val="auto"/>
                <w:kern w:val="0"/>
                <w:sz w:val="24"/>
                <w:szCs w:val="24"/>
                <w:highlight w:val="none"/>
                <w:lang w:val="en-US" w:eastAsia="zh-CN" w:bidi="ar"/>
              </w:rPr>
              <w:t xml:space="preserve">项目设有检验室，对患者进行尿检、血透等，此过程中产生检验废液（S8），按危险废物处理。检验过程中使用软水作为媒介，项目设有一台软水制备机，制备软水过程中产生软水制备浓水（W2）。 </w:t>
            </w:r>
          </w:p>
          <w:p>
            <w:pPr>
              <w:keepNext w:val="0"/>
              <w:keepLines w:val="0"/>
              <w:widowControl/>
              <w:suppressLineNumbers w:val="0"/>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住院治疗：</w:t>
            </w:r>
            <w:r>
              <w:rPr>
                <w:rFonts w:hint="eastAsia" w:ascii="宋体" w:hAnsi="宋体" w:eastAsia="宋体" w:cs="宋体"/>
                <w:color w:val="auto"/>
                <w:kern w:val="0"/>
                <w:sz w:val="24"/>
                <w:szCs w:val="24"/>
                <w:highlight w:val="none"/>
                <w:lang w:val="en-US" w:eastAsia="zh-CN" w:bidi="ar"/>
              </w:rPr>
              <w:t xml:space="preserve">经诊断后需要住院的病人办理住院后续后进行住院。针对不同病人，采取不同的治疗方案，主要设置预防保健科、全科医疗科、妇科、医学检验科、医学影像科、中医科等科室。病人手术及住院期间产生医疗废物（S2）、一般固废（S1）、医疗废水（W1）、生活垃圾（S3）。一般固废主要为塑料包装材料、废药盒、废包装瓶等，不涉及危险废物。 </w:t>
            </w:r>
          </w:p>
          <w:p>
            <w:pPr>
              <w:keepNext w:val="0"/>
              <w:keepLines w:val="0"/>
              <w:widowControl/>
              <w:suppressLineNumbers w:val="0"/>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康复：</w:t>
            </w:r>
            <w:r>
              <w:rPr>
                <w:rFonts w:hint="eastAsia" w:ascii="宋体" w:hAnsi="宋体" w:eastAsia="宋体" w:cs="宋体"/>
                <w:color w:val="auto"/>
                <w:kern w:val="0"/>
                <w:sz w:val="24"/>
                <w:szCs w:val="24"/>
                <w:highlight w:val="none"/>
                <w:lang w:val="en-US" w:eastAsia="zh-CN" w:bidi="ar"/>
              </w:rPr>
              <w:t xml:space="preserve">住院治疗康复后的病人取药后办理出院手续。 </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员工办公：</w:t>
            </w:r>
            <w:r>
              <w:rPr>
                <w:rFonts w:hint="eastAsia" w:ascii="宋体" w:hAnsi="宋体" w:eastAsia="宋体" w:cs="宋体"/>
                <w:color w:val="auto"/>
                <w:kern w:val="0"/>
                <w:sz w:val="24"/>
                <w:szCs w:val="24"/>
                <w:highlight w:val="none"/>
                <w:lang w:val="en-US" w:eastAsia="zh-CN" w:bidi="ar"/>
              </w:rPr>
              <w:t>项目行政人员为4人，主要负责医院人事接待、资料保管等。此过程中产生生活污水，因与诊治废水分不开，故全按医疗废水（W1）计。</w:t>
            </w:r>
          </w:p>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drawing>
                <wp:anchor distT="0" distB="0" distL="114300" distR="114300" simplePos="0" relativeHeight="251665408" behindDoc="0" locked="0" layoutInCell="1" allowOverlap="1">
                  <wp:simplePos x="0" y="0"/>
                  <wp:positionH relativeFrom="column">
                    <wp:posOffset>594995</wp:posOffset>
                  </wp:positionH>
                  <wp:positionV relativeFrom="paragraph">
                    <wp:posOffset>263525</wp:posOffset>
                  </wp:positionV>
                  <wp:extent cx="3806190" cy="2152015"/>
                  <wp:effectExtent l="0" t="0" r="3810" b="635"/>
                  <wp:wrapNone/>
                  <wp:docPr id="90"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8" descr="IMG_256"/>
                          <pic:cNvPicPr>
                            <a:picLocks noChangeAspect="1"/>
                          </pic:cNvPicPr>
                        </pic:nvPicPr>
                        <pic:blipFill>
                          <a:blip r:embed="rId15"/>
                          <a:stretch>
                            <a:fillRect/>
                          </a:stretch>
                        </pic:blipFill>
                        <pic:spPr>
                          <a:xfrm>
                            <a:off x="0" y="0"/>
                            <a:ext cx="3806190" cy="2152015"/>
                          </a:xfrm>
                          <a:prstGeom prst="rect">
                            <a:avLst/>
                          </a:prstGeom>
                          <a:noFill/>
                          <a:ln w="9525">
                            <a:noFill/>
                          </a:ln>
                        </pic:spPr>
                      </pic:pic>
                    </a:graphicData>
                  </a:graphic>
                </wp:anchor>
              </w:drawing>
            </w:r>
            <w:r>
              <w:rPr>
                <w:rFonts w:hint="eastAsia" w:ascii="宋体" w:hAnsi="宋体" w:eastAsia="宋体" w:cs="宋体"/>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2</w:t>
            </w:r>
            <w:r>
              <w:rPr>
                <w:rFonts w:hint="eastAsia" w:ascii="宋体" w:hAnsi="宋体" w:eastAsia="宋体" w:cs="宋体"/>
                <w:b/>
                <w:bCs/>
                <w:color w:val="auto"/>
                <w:kern w:val="0"/>
                <w:sz w:val="24"/>
                <w:szCs w:val="24"/>
                <w:highlight w:val="none"/>
                <w:lang w:val="en-US" w:eastAsia="zh-CN" w:bidi="ar"/>
              </w:rPr>
              <w:t>）中药煎制流程及产污</w:t>
            </w:r>
          </w:p>
          <w:p>
            <w:pPr>
              <w:keepNext w:val="0"/>
              <w:keepLines w:val="0"/>
              <w:widowControl/>
              <w:suppressLineNumbers w:val="0"/>
              <w:jc w:val="left"/>
              <w:rPr>
                <w:color w:val="auto"/>
                <w:highlight w:val="none"/>
              </w:rPr>
            </w:pPr>
          </w:p>
          <w:p>
            <w:pPr>
              <w:pStyle w:val="10"/>
              <w:rPr>
                <w:rFonts w:hint="eastAsia"/>
                <w:color w:val="auto"/>
                <w:highlight w:val="none"/>
                <w:lang w:val="en-US" w:eastAsia="zh-CN"/>
              </w:rPr>
            </w:pPr>
          </w:p>
          <w:p>
            <w:pPr>
              <w:rPr>
                <w:rFonts w:hint="eastAsia"/>
                <w:color w:val="auto"/>
                <w:highlight w:val="none"/>
                <w:lang w:val="en-US" w:eastAsia="zh-CN"/>
              </w:rPr>
            </w:pPr>
          </w:p>
          <w:p>
            <w:pPr>
              <w:pStyle w:val="27"/>
              <w:rPr>
                <w:rFonts w:hint="eastAsia"/>
                <w:color w:val="auto"/>
                <w:highlight w:val="none"/>
                <w:lang w:val="en-US" w:eastAsia="zh-CN"/>
              </w:rPr>
            </w:pPr>
          </w:p>
          <w:p>
            <w:pPr>
              <w:pStyle w:val="28"/>
              <w:rPr>
                <w:rFonts w:hint="eastAsia"/>
                <w:color w:val="auto"/>
                <w:highlight w:val="none"/>
                <w:lang w:val="en-US" w:eastAsia="zh-CN"/>
              </w:rPr>
            </w:pPr>
            <w:r>
              <w:rPr>
                <w:color w:val="auto"/>
                <w:sz w:val="28"/>
                <w:highlight w:val="none"/>
              </w:rPr>
              <mc:AlternateContent>
                <mc:Choice Requires="wps">
                  <w:drawing>
                    <wp:anchor distT="0" distB="0" distL="114300" distR="114300" simplePos="0" relativeHeight="251668480" behindDoc="0" locked="0" layoutInCell="1" allowOverlap="1">
                      <wp:simplePos x="0" y="0"/>
                      <wp:positionH relativeFrom="column">
                        <wp:posOffset>2821305</wp:posOffset>
                      </wp:positionH>
                      <wp:positionV relativeFrom="paragraph">
                        <wp:posOffset>142875</wp:posOffset>
                      </wp:positionV>
                      <wp:extent cx="492125" cy="280670"/>
                      <wp:effectExtent l="0" t="0" r="0" b="0"/>
                      <wp:wrapNone/>
                      <wp:docPr id="1" name="矩形 1"/>
                      <wp:cNvGraphicFramePr/>
                      <a:graphic xmlns:a="http://schemas.openxmlformats.org/drawingml/2006/main">
                        <a:graphicData uri="http://schemas.microsoft.com/office/word/2010/wordprocessingShape">
                          <wps:wsp>
                            <wps:cNvSpPr/>
                            <wps:spPr>
                              <a:xfrm>
                                <a:off x="4243705" y="5953125"/>
                                <a:ext cx="492125" cy="280670"/>
                              </a:xfrm>
                              <a:prstGeom prst="rect">
                                <a:avLst/>
                              </a:prstGeom>
                              <a:ln>
                                <a:noFill/>
                              </a:ln>
                            </wps:spPr>
                            <wps:style>
                              <a:lnRef idx="2">
                                <a:schemeClr val="accent1"/>
                              </a:lnRef>
                              <a:fillRef idx="0">
                                <a:srgbClr val="FFFFFF"/>
                              </a:fillRef>
                              <a:effectRef idx="0">
                                <a:srgbClr val="FFFFFF"/>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15pt;margin-top:11.25pt;height:22.1pt;width:38.75pt;z-index:251668480;v-text-anchor:middle;mso-width-relative:page;mso-height-relative:page;" filled="f" stroked="f" coordsize="21600,21600" o:gfxdata="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u+bYAAAACQEAAA8A&#10;AAAAAAAAAQAgAAAAIgAAAGRycy9kb3ducmV2LnhtbFBLAQIUABQAAAAIAIdO4kAT6uKiUAIAAGoE&#10;AAAOAAAAAAAAAAEAIAAAACcBAABkcnMvZTJvRG9jLnhtbFBLBQYAAAAABgAGAFkBAADpBQAAAAA=&#10;">
                      <v:fill on="f" focussize="0,0"/>
                      <v:stroke on="f" weight="1pt" miterlimit="8" joinstyle="miter"/>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3</w:t>
                            </w:r>
                          </w:p>
                        </w:txbxContent>
                      </v:textbox>
                    </v:rect>
                  </w:pict>
                </mc:Fallback>
              </mc:AlternateContent>
            </w:r>
          </w:p>
          <w:p>
            <w:pPr>
              <w:pStyle w:val="28"/>
              <w:rPr>
                <w:rFonts w:hint="eastAsia"/>
                <w:color w:val="auto"/>
                <w:highlight w:val="none"/>
                <w:lang w:val="en-US" w:eastAsia="zh-CN"/>
              </w:rPr>
            </w:pPr>
          </w:p>
          <w:p>
            <w:pPr>
              <w:pStyle w:val="28"/>
              <w:rPr>
                <w:rFonts w:hint="eastAsia"/>
                <w:color w:val="auto"/>
                <w:highlight w:val="none"/>
                <w:lang w:val="en-US" w:eastAsia="zh-CN"/>
              </w:rPr>
            </w:pPr>
          </w:p>
          <w:p>
            <w:pPr>
              <w:pStyle w:val="28"/>
              <w:rPr>
                <w:rFonts w:hint="eastAsia"/>
                <w:color w:val="auto"/>
                <w:highlight w:val="none"/>
                <w:lang w:val="en-US" w:eastAsia="zh-CN"/>
              </w:rPr>
            </w:pPr>
          </w:p>
          <w:p>
            <w:pPr>
              <w:pStyle w:val="28"/>
              <w:rPr>
                <w:rFonts w:hint="eastAsia"/>
                <w:color w:val="auto"/>
                <w:highlight w:val="none"/>
                <w:lang w:val="en-US" w:eastAsia="zh-CN"/>
              </w:rPr>
            </w:pPr>
          </w:p>
          <w:p>
            <w:pPr>
              <w:ind w:left="723" w:leftChars="0" w:hanging="723" w:hangingChars="30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图2.3 项目运营过程中药煎制产污排污环节</w:t>
            </w:r>
          </w:p>
          <w:p>
            <w:pPr>
              <w:keepNext w:val="0"/>
              <w:keepLines w:val="0"/>
              <w:widowControl/>
              <w:suppressLineNumbers w:val="0"/>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 xml:space="preserve">项目中药代煎主要产排污环节： </w:t>
            </w:r>
          </w:p>
          <w:p>
            <w:pPr>
              <w:keepNext w:val="0"/>
              <w:keepLines w:val="0"/>
              <w:widowControl/>
              <w:suppressLineNumbers w:val="0"/>
              <w:jc w:val="left"/>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部分患者将在中药房内抓好的药委托医院代煎中药，项目购置一台常温组合煎药机，使用电能，熬制温度为100°C，熬制时间为2-3h/副。此过程中产后生煎药臭气（G3）、设备清洗废水（W</w:t>
            </w:r>
            <w:r>
              <w:rPr>
                <w:rFonts w:hint="eastAsia" w:ascii="宋体" w:hAnsi="宋体" w:cs="宋体"/>
                <w:b w:val="0"/>
                <w:bCs w:val="0"/>
                <w:color w:val="auto"/>
                <w:kern w:val="0"/>
                <w:sz w:val="24"/>
                <w:szCs w:val="24"/>
                <w:highlight w:val="none"/>
                <w:lang w:val="en-US" w:eastAsia="zh-CN" w:bidi="ar"/>
              </w:rPr>
              <w:t>3</w:t>
            </w:r>
            <w:r>
              <w:rPr>
                <w:rFonts w:hint="eastAsia" w:ascii="宋体" w:hAnsi="宋体" w:eastAsia="宋体" w:cs="宋体"/>
                <w:b w:val="0"/>
                <w:bCs w:val="0"/>
                <w:color w:val="auto"/>
                <w:kern w:val="0"/>
                <w:sz w:val="24"/>
                <w:szCs w:val="24"/>
                <w:highlight w:val="none"/>
                <w:lang w:val="en-US" w:eastAsia="zh-CN" w:bidi="ar"/>
              </w:rPr>
              <w:t xml:space="preserve">）、废中药渣（S7）。 </w:t>
            </w:r>
          </w:p>
          <w:p>
            <w:pPr>
              <w:keepNext w:val="0"/>
              <w:keepLines w:val="0"/>
              <w:widowControl/>
              <w:suppressLineNumbers w:val="0"/>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 xml:space="preserve">其他产污环节： </w:t>
            </w:r>
          </w:p>
          <w:p>
            <w:pPr>
              <w:keepNext w:val="0"/>
              <w:keepLines w:val="0"/>
              <w:widowControl/>
              <w:suppressLineNumbers w:val="0"/>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废活性炭</w:t>
            </w:r>
            <w:r>
              <w:rPr>
                <w:rFonts w:hint="eastAsia" w:ascii="宋体" w:hAnsi="宋体" w:eastAsia="宋体" w:cs="宋体"/>
                <w:color w:val="auto"/>
                <w:kern w:val="0"/>
                <w:sz w:val="24"/>
                <w:szCs w:val="24"/>
                <w:highlight w:val="none"/>
                <w:lang w:val="en-US" w:eastAsia="zh-CN" w:bidi="ar"/>
              </w:rPr>
              <w:t xml:space="preserve">：项目对医疗废水治理实施产生的臭气采用活性炭吸附后排放，此过程中产生废活性炭（S5）； </w:t>
            </w:r>
          </w:p>
          <w:p>
            <w:pPr>
              <w:keepNext w:val="0"/>
              <w:keepLines w:val="0"/>
              <w:widowControl/>
              <w:suppressLineNumbers w:val="0"/>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废UV灯管：</w:t>
            </w:r>
            <w:r>
              <w:rPr>
                <w:rFonts w:hint="eastAsia" w:ascii="宋体" w:hAnsi="宋体" w:eastAsia="宋体" w:cs="宋体"/>
                <w:color w:val="auto"/>
                <w:kern w:val="0"/>
                <w:sz w:val="24"/>
                <w:szCs w:val="24"/>
                <w:highlight w:val="none"/>
                <w:lang w:val="en-US" w:eastAsia="zh-CN" w:bidi="ar"/>
              </w:rPr>
              <w:t>项目在医疗废物暂存间内设置UV灯管进行消毒杀菌，此过程中产生废UV灯管（S6）。</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其他产污：</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柴油发电机废气：</w:t>
            </w:r>
            <w:r>
              <w:rPr>
                <w:rFonts w:hint="eastAsia" w:ascii="宋体" w:hAnsi="宋体" w:eastAsia="宋体" w:cs="宋体"/>
                <w:color w:val="auto"/>
                <w:kern w:val="0"/>
                <w:sz w:val="24"/>
                <w:szCs w:val="24"/>
                <w:highlight w:val="none"/>
                <w:lang w:val="en-US" w:eastAsia="zh-CN" w:bidi="ar"/>
              </w:rPr>
              <w:t>项目设置一台柴油发电机作为医院备用电源，使用期间产生少量的柴油发电机废气（</w:t>
            </w:r>
            <w:r>
              <w:rPr>
                <w:rFonts w:hint="default" w:ascii="Times New Roman" w:hAnsi="Times New Roman" w:eastAsia="宋体" w:cs="Times New Roman"/>
                <w:color w:val="auto"/>
                <w:kern w:val="0"/>
                <w:sz w:val="24"/>
                <w:szCs w:val="24"/>
                <w:highlight w:val="none"/>
                <w:lang w:val="en-US" w:eastAsia="zh-CN" w:bidi="ar"/>
              </w:rPr>
              <w:t>G</w:t>
            </w:r>
            <w:r>
              <w:rPr>
                <w:rFonts w:hint="eastAsia"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3</w:t>
            </w:r>
            <w:r>
              <w:rPr>
                <w:rFonts w:hint="eastAsia" w:ascii="宋体" w:hAnsi="宋体" w:eastAsia="宋体" w:cs="宋体"/>
                <w:b/>
                <w:bCs/>
                <w:color w:val="auto"/>
                <w:kern w:val="0"/>
                <w:sz w:val="24"/>
                <w:szCs w:val="24"/>
                <w:highlight w:val="none"/>
                <w:lang w:val="en-US" w:eastAsia="zh-CN" w:bidi="ar"/>
              </w:rPr>
              <w:t>）纯水制备工艺流程分析</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ascii="宋体" w:hAnsi="宋体" w:eastAsia="宋体" w:cs="宋体"/>
                <w:color w:val="auto"/>
                <w:kern w:val="0"/>
                <w:sz w:val="24"/>
                <w:szCs w:val="24"/>
                <w:highlight w:val="none"/>
                <w:lang w:val="en-US" w:eastAsia="zh-CN" w:bidi="ar"/>
              </w:rPr>
              <w:drawing>
                <wp:anchor distT="0" distB="0" distL="114300" distR="114300" simplePos="0" relativeHeight="251666432" behindDoc="0" locked="0" layoutInCell="1" allowOverlap="1">
                  <wp:simplePos x="0" y="0"/>
                  <wp:positionH relativeFrom="column">
                    <wp:posOffset>-42545</wp:posOffset>
                  </wp:positionH>
                  <wp:positionV relativeFrom="paragraph">
                    <wp:posOffset>1372870</wp:posOffset>
                  </wp:positionV>
                  <wp:extent cx="5242560" cy="2273935"/>
                  <wp:effectExtent l="0" t="0" r="5715" b="2540"/>
                  <wp:wrapNone/>
                  <wp:docPr id="91"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9" descr="IMG_256"/>
                          <pic:cNvPicPr>
                            <a:picLocks noChangeAspect="1"/>
                          </pic:cNvPicPr>
                        </pic:nvPicPr>
                        <pic:blipFill>
                          <a:blip r:embed="rId16"/>
                          <a:stretch>
                            <a:fillRect/>
                          </a:stretch>
                        </pic:blipFill>
                        <pic:spPr>
                          <a:xfrm>
                            <a:off x="0" y="0"/>
                            <a:ext cx="5242560" cy="2273935"/>
                          </a:xfrm>
                          <a:prstGeom prst="rect">
                            <a:avLst/>
                          </a:prstGeom>
                          <a:noFill/>
                          <a:ln w="9525">
                            <a:noFill/>
                          </a:ln>
                        </pic:spPr>
                      </pic:pic>
                    </a:graphicData>
                  </a:graphic>
                </wp:anchor>
              </w:drawing>
            </w:r>
            <w:r>
              <w:rPr>
                <w:rFonts w:hint="eastAsia" w:ascii="宋体" w:hAnsi="宋体" w:eastAsia="宋体" w:cs="宋体"/>
                <w:color w:val="auto"/>
                <w:kern w:val="0"/>
                <w:sz w:val="24"/>
                <w:szCs w:val="24"/>
                <w:highlight w:val="none"/>
                <w:lang w:val="en-US" w:eastAsia="zh-CN" w:bidi="ar"/>
              </w:rPr>
              <w:t>拟建项目检验科实验室检验会使用纯水，均采用反渗透工艺制备纯水，反渗透法的原理是：水分子在反渗透压力的作用下通过反渗透膜，水中的杂质被反渗透膜截留，反渗透装置可以有效去除水中的溶解盐、胶体、细菌、病毒、细菌内毒素和大部分有机物等杂质，在纯水制备过程中将产生少量的浓水，纯水制备率为</w:t>
            </w:r>
            <w:r>
              <w:rPr>
                <w:rFonts w:hint="default" w:ascii="宋体" w:hAnsi="宋体" w:eastAsia="宋体" w:cs="宋体"/>
                <w:color w:val="auto"/>
                <w:kern w:val="0"/>
                <w:sz w:val="24"/>
                <w:szCs w:val="24"/>
                <w:highlight w:val="none"/>
                <w:lang w:val="en-US" w:eastAsia="zh-CN" w:bidi="ar"/>
              </w:rPr>
              <w:t>67%</w:t>
            </w:r>
            <w:r>
              <w:rPr>
                <w:rFonts w:hint="eastAsia" w:ascii="宋体" w:hAnsi="宋体" w:eastAsia="宋体" w:cs="宋体"/>
                <w:color w:val="auto"/>
                <w:kern w:val="0"/>
                <w:sz w:val="24"/>
                <w:szCs w:val="24"/>
                <w:highlight w:val="none"/>
                <w:lang w:val="en-US" w:eastAsia="zh-CN" w:bidi="ar"/>
              </w:rPr>
              <w:t>。纯水制备具体工艺流程如下图所示。</w:t>
            </w:r>
          </w:p>
          <w:p>
            <w:pPr>
              <w:keepNext w:val="0"/>
              <w:keepLines w:val="0"/>
              <w:widowControl/>
              <w:suppressLineNumbers w:val="0"/>
              <w:jc w:val="left"/>
              <w:rPr>
                <w:color w:val="auto"/>
                <w:highlight w:val="none"/>
              </w:rPr>
            </w:pPr>
          </w:p>
          <w:p>
            <w:pPr>
              <w:pStyle w:val="28"/>
              <w:rPr>
                <w:rFonts w:hint="eastAsia"/>
                <w:color w:val="auto"/>
                <w:highlight w:val="none"/>
                <w:lang w:val="en-US" w:eastAsia="zh-CN"/>
              </w:rPr>
            </w:pPr>
          </w:p>
          <w:p>
            <w:pPr>
              <w:pStyle w:val="28"/>
              <w:rPr>
                <w:rFonts w:hint="eastAsia"/>
                <w:color w:val="auto"/>
                <w:highlight w:val="none"/>
                <w:lang w:val="en-US" w:eastAsia="zh-CN"/>
              </w:rPr>
            </w:pPr>
          </w:p>
          <w:p>
            <w:pPr>
              <w:pStyle w:val="28"/>
              <w:rPr>
                <w:rFonts w:hint="eastAsia"/>
                <w:color w:val="auto"/>
                <w:highlight w:val="none"/>
                <w:lang w:val="en-US" w:eastAsia="zh-CN"/>
              </w:rPr>
            </w:pPr>
          </w:p>
          <w:p>
            <w:pPr>
              <w:pStyle w:val="28"/>
              <w:rPr>
                <w:rFonts w:hint="eastAsia"/>
                <w:color w:val="auto"/>
                <w:highlight w:val="none"/>
                <w:lang w:val="en-US" w:eastAsia="zh-CN"/>
              </w:rPr>
            </w:pPr>
          </w:p>
          <w:p>
            <w:pPr>
              <w:pStyle w:val="28"/>
              <w:rPr>
                <w:rFonts w:hint="eastAsia"/>
                <w:color w:val="auto"/>
                <w:highlight w:val="none"/>
                <w:lang w:val="en-US" w:eastAsia="zh-CN"/>
              </w:rPr>
            </w:pPr>
          </w:p>
          <w:p>
            <w:pPr>
              <w:pStyle w:val="28"/>
              <w:rPr>
                <w:rFonts w:hint="eastAsia"/>
                <w:color w:val="auto"/>
                <w:highlight w:val="none"/>
                <w:lang w:val="en-US" w:eastAsia="zh-CN"/>
              </w:rPr>
            </w:pPr>
          </w:p>
          <w:p>
            <w:pPr>
              <w:pStyle w:val="28"/>
              <w:rPr>
                <w:rFonts w:hint="eastAsia"/>
                <w:color w:val="auto"/>
                <w:highlight w:val="none"/>
                <w:lang w:val="en-US" w:eastAsia="zh-CN"/>
              </w:rPr>
            </w:pPr>
          </w:p>
          <w:p>
            <w:pPr>
              <w:pStyle w:val="28"/>
              <w:rPr>
                <w:rFonts w:hint="eastAsia"/>
                <w:color w:val="auto"/>
                <w:highlight w:val="none"/>
                <w:lang w:val="en-US" w:eastAsia="zh-CN"/>
              </w:rPr>
            </w:pPr>
          </w:p>
          <w:p>
            <w:pPr>
              <w:ind w:left="723" w:leftChars="0" w:hanging="723" w:hangingChars="300"/>
              <w:jc w:val="center"/>
              <w:rPr>
                <w:rFonts w:hint="eastAsia" w:ascii="Times New Roman" w:hAnsi="Times New Roman" w:eastAsia="宋体" w:cs="Times New Roman"/>
                <w:b/>
                <w:bCs/>
                <w:color w:val="auto"/>
                <w:highlight w:val="none"/>
                <w:lang w:val="en-US" w:eastAsia="zh-CN"/>
              </w:rPr>
            </w:pPr>
          </w:p>
          <w:p>
            <w:pPr>
              <w:ind w:left="723" w:leftChars="0" w:hanging="723" w:hangingChars="300"/>
              <w:jc w:val="center"/>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图2.4 纯水制备工艺流程图</w:t>
            </w:r>
          </w:p>
          <w:p>
            <w:pPr>
              <w:pStyle w:val="28"/>
              <w:rPr>
                <w:rFonts w:hint="eastAsia"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项目营运期过程中产污汇总详见表</w:t>
            </w:r>
            <w:r>
              <w:rPr>
                <w:rFonts w:hint="eastAsia" w:ascii="宋体" w:hAnsi="宋体" w:eastAsia="宋体" w:cs="宋体"/>
                <w:color w:val="auto"/>
                <w:kern w:val="0"/>
                <w:sz w:val="24"/>
                <w:szCs w:val="24"/>
                <w:highlight w:val="none"/>
                <w:lang w:val="en-US" w:eastAsia="zh-CN" w:bidi="ar"/>
              </w:rPr>
              <w:t>2.9</w:t>
            </w:r>
            <w:r>
              <w:rPr>
                <w:rFonts w:hint="default" w:ascii="宋体" w:hAnsi="宋体" w:eastAsia="宋体" w:cs="宋体"/>
                <w:color w:val="auto"/>
                <w:kern w:val="0"/>
                <w:sz w:val="24"/>
                <w:szCs w:val="24"/>
                <w:highlight w:val="none"/>
                <w:lang w:val="en-US" w:eastAsia="zh-CN" w:bidi="ar"/>
              </w:rPr>
              <w:t>。</w:t>
            </w:r>
          </w:p>
          <w:p>
            <w:pPr>
              <w:adjustRightInd w:val="0"/>
              <w:snapToGrid w:val="0"/>
              <w:spacing w:line="240" w:lineRule="auto"/>
              <w:ind w:left="0" w:leftChars="0" w:firstLine="0" w:firstLineChars="0"/>
              <w:jc w:val="center"/>
              <w:rPr>
                <w:rFonts w:hint="default" w:ascii="宋体" w:hAnsi="宋体" w:eastAsia="宋体" w:cs="宋体"/>
                <w:b/>
                <w:bCs/>
                <w:color w:val="auto"/>
                <w:sz w:val="24"/>
                <w:szCs w:val="24"/>
                <w:highlight w:val="none"/>
                <w:lang w:val="en-US" w:eastAsia="zh-CN"/>
              </w:rPr>
            </w:pPr>
            <w:r>
              <w:rPr>
                <w:rFonts w:hint="default" w:ascii="宋体" w:hAnsi="宋体" w:eastAsia="宋体" w:cs="宋体"/>
                <w:b/>
                <w:bCs/>
                <w:color w:val="auto"/>
                <w:sz w:val="24"/>
                <w:szCs w:val="24"/>
                <w:highlight w:val="none"/>
                <w:lang w:val="en-US" w:eastAsia="zh-CN"/>
              </w:rPr>
              <w:t>表</w:t>
            </w:r>
            <w:r>
              <w:rPr>
                <w:rFonts w:hint="eastAsia" w:ascii="宋体" w:hAnsi="宋体" w:eastAsia="宋体" w:cs="宋体"/>
                <w:b/>
                <w:bCs/>
                <w:color w:val="auto"/>
                <w:sz w:val="24"/>
                <w:szCs w:val="24"/>
                <w:highlight w:val="none"/>
                <w:lang w:val="en-US" w:eastAsia="zh-CN"/>
              </w:rPr>
              <w:t>2.9</w:t>
            </w:r>
            <w:r>
              <w:rPr>
                <w:rFonts w:hint="default"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eastAsia="zh-CN"/>
              </w:rPr>
              <w:t>营运期主要污染源环节及污染物</w:t>
            </w:r>
            <w:r>
              <w:rPr>
                <w:rFonts w:hint="default" w:ascii="宋体" w:hAnsi="宋体" w:eastAsia="宋体" w:cs="宋体"/>
                <w:b/>
                <w:bCs/>
                <w:color w:val="auto"/>
                <w:sz w:val="24"/>
                <w:szCs w:val="24"/>
                <w:highlight w:val="none"/>
                <w:lang w:val="en-US" w:eastAsia="zh-CN"/>
              </w:rPr>
              <w:t>产生</w:t>
            </w:r>
            <w:r>
              <w:rPr>
                <w:rFonts w:hint="eastAsia" w:ascii="宋体" w:hAnsi="宋体" w:eastAsia="宋体" w:cs="宋体"/>
                <w:b/>
                <w:bCs/>
                <w:color w:val="auto"/>
                <w:sz w:val="24"/>
                <w:szCs w:val="24"/>
                <w:highlight w:val="none"/>
                <w:lang w:val="en-US" w:eastAsia="zh-CN"/>
              </w:rPr>
              <w:t>情况一览</w:t>
            </w:r>
            <w:r>
              <w:rPr>
                <w:rFonts w:hint="default" w:ascii="宋体" w:hAnsi="宋体" w:eastAsia="宋体" w:cs="宋体"/>
                <w:b/>
                <w:bCs/>
                <w:color w:val="auto"/>
                <w:sz w:val="24"/>
                <w:szCs w:val="24"/>
                <w:highlight w:val="none"/>
                <w:lang w:val="en-US" w:eastAsia="zh-CN"/>
              </w:rPr>
              <w:t>表</w:t>
            </w:r>
          </w:p>
          <w:tbl>
            <w:tblPr>
              <w:tblStyle w:val="29"/>
              <w:tblW w:w="74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2034"/>
              <w:gridCol w:w="735"/>
              <w:gridCol w:w="1223"/>
              <w:gridCol w:w="1612"/>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51"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污染源名称</w:t>
                  </w: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编号</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污染源</w:t>
                  </w:r>
                </w:p>
              </w:tc>
              <w:tc>
                <w:tcPr>
                  <w:tcW w:w="16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主要污染物</w:t>
                  </w:r>
                </w:p>
              </w:tc>
              <w:tc>
                <w:tcPr>
                  <w:tcW w:w="118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排放特征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617" w:type="dxa"/>
                  <w:vMerge w:val="restart"/>
                  <w:tcBorders>
                    <w:top w:val="single" w:color="auto" w:sz="4" w:space="0"/>
                    <w:left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废气</w:t>
                  </w:r>
                </w:p>
              </w:tc>
              <w:tc>
                <w:tcPr>
                  <w:tcW w:w="2034"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废水处理设施废气</w:t>
                  </w: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G1</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废水处理设施</w:t>
                  </w:r>
                </w:p>
              </w:tc>
              <w:tc>
                <w:tcPr>
                  <w:tcW w:w="16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臭气浓度、硫化氢、氨气</w:t>
                  </w:r>
                </w:p>
              </w:tc>
              <w:tc>
                <w:tcPr>
                  <w:tcW w:w="1189" w:type="dxa"/>
                  <w:tcBorders>
                    <w:top w:val="single" w:color="auto" w:sz="4" w:space="0"/>
                    <w:left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617" w:type="dxa"/>
                  <w:vMerge w:val="continue"/>
                  <w:tcBorders>
                    <w:left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p>
              </w:tc>
              <w:tc>
                <w:tcPr>
                  <w:tcW w:w="2034"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医疗废物暂存间废气</w:t>
                  </w: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G</w:t>
                  </w:r>
                  <w:r>
                    <w:rPr>
                      <w:rFonts w:hint="eastAsia" w:ascii="Times New Roman" w:hAnsi="Times New Roman" w:cs="Times New Roman"/>
                      <w:b w:val="0"/>
                      <w:bCs w:val="0"/>
                      <w:color w:val="auto"/>
                      <w:sz w:val="21"/>
                      <w:szCs w:val="21"/>
                      <w:highlight w:val="none"/>
                      <w:lang w:val="en-US" w:eastAsia="zh-CN"/>
                    </w:rPr>
                    <w:t>2</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医疗废物暂存间</w:t>
                  </w:r>
                </w:p>
              </w:tc>
              <w:tc>
                <w:tcPr>
                  <w:tcW w:w="16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臭气浓度</w:t>
                  </w:r>
                </w:p>
              </w:tc>
              <w:tc>
                <w:tcPr>
                  <w:tcW w:w="1189" w:type="dxa"/>
                  <w:tcBorders>
                    <w:left w:val="single" w:color="auto" w:sz="4" w:space="0"/>
                    <w:right w:val="single" w:color="auto" w:sz="4" w:space="0"/>
                  </w:tcBorders>
                  <w:noWrap w:val="0"/>
                  <w:vAlign w:val="center"/>
                </w:tcPr>
                <w:p>
                  <w:pPr>
                    <w:spacing w:line="300" w:lineRule="exact"/>
                    <w:ind w:firstLine="0" w:firstLineChars="0"/>
                    <w:jc w:val="center"/>
                    <w:rPr>
                      <w:rFonts w:hint="eastAsia"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617" w:type="dxa"/>
                  <w:vMerge w:val="continue"/>
                  <w:tcBorders>
                    <w:left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p>
              </w:tc>
              <w:tc>
                <w:tcPr>
                  <w:tcW w:w="2034"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熬制中药臭气</w:t>
                  </w: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G</w:t>
                  </w:r>
                  <w:r>
                    <w:rPr>
                      <w:rFonts w:hint="eastAsia" w:ascii="Times New Roman" w:hAnsi="Times New Roman" w:cs="Times New Roman"/>
                      <w:b w:val="0"/>
                      <w:bCs w:val="0"/>
                      <w:color w:val="auto"/>
                      <w:sz w:val="21"/>
                      <w:szCs w:val="21"/>
                      <w:highlight w:val="none"/>
                      <w:lang w:val="en-US" w:eastAsia="zh-CN"/>
                    </w:rPr>
                    <w:t>3</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煎药房</w:t>
                  </w:r>
                </w:p>
              </w:tc>
              <w:tc>
                <w:tcPr>
                  <w:tcW w:w="16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臭气浓度</w:t>
                  </w:r>
                </w:p>
              </w:tc>
              <w:tc>
                <w:tcPr>
                  <w:tcW w:w="1189" w:type="dxa"/>
                  <w:tcBorders>
                    <w:left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617" w:type="dxa"/>
                  <w:vMerge w:val="continue"/>
                  <w:tcBorders>
                    <w:left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p>
              </w:tc>
              <w:tc>
                <w:tcPr>
                  <w:tcW w:w="2034"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柴油发电机废气</w:t>
                  </w: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G</w:t>
                  </w:r>
                  <w:r>
                    <w:rPr>
                      <w:rFonts w:hint="eastAsia" w:ascii="Times New Roman" w:hAnsi="Times New Roman" w:cs="Times New Roman"/>
                      <w:b w:val="0"/>
                      <w:bCs w:val="0"/>
                      <w:color w:val="auto"/>
                      <w:sz w:val="21"/>
                      <w:szCs w:val="21"/>
                      <w:highlight w:val="none"/>
                      <w:lang w:val="en-US" w:eastAsia="zh-CN"/>
                    </w:rPr>
                    <w:t>4</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柴油发电机房</w:t>
                  </w:r>
                </w:p>
              </w:tc>
              <w:tc>
                <w:tcPr>
                  <w:tcW w:w="16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THC</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NOx</w:t>
                  </w:r>
                </w:p>
              </w:tc>
              <w:tc>
                <w:tcPr>
                  <w:tcW w:w="1189" w:type="dxa"/>
                  <w:tcBorders>
                    <w:left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7" w:type="dxa"/>
                  <w:vMerge w:val="restart"/>
                  <w:tcBorders>
                    <w:left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废水</w:t>
                  </w:r>
                </w:p>
              </w:tc>
              <w:tc>
                <w:tcPr>
                  <w:tcW w:w="2034"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医疗废水</w:t>
                  </w: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W1</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门诊、住院</w:t>
                  </w:r>
                </w:p>
              </w:tc>
              <w:tc>
                <w:tcPr>
                  <w:tcW w:w="16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COD</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BOD</w:t>
                  </w:r>
                  <w:r>
                    <w:rPr>
                      <w:rFonts w:hint="default" w:ascii="Times New Roman" w:hAnsi="Times New Roman" w:eastAsia="宋体" w:cs="Times New Roman"/>
                      <w:b w:val="0"/>
                      <w:bCs w:val="0"/>
                      <w:color w:val="auto"/>
                      <w:sz w:val="21"/>
                      <w:szCs w:val="21"/>
                      <w:highlight w:val="none"/>
                      <w:vertAlign w:val="subscript"/>
                      <w:lang w:val="en-US" w:eastAsia="zh-CN"/>
                    </w:rPr>
                    <w:t>5</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SS</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NH</w:t>
                  </w:r>
                  <w:r>
                    <w:rPr>
                      <w:rFonts w:hint="default" w:ascii="Times New Roman" w:hAnsi="Times New Roman" w:eastAsia="宋体" w:cs="Times New Roman"/>
                      <w:b w:val="0"/>
                      <w:bCs w:val="0"/>
                      <w:color w:val="auto"/>
                      <w:sz w:val="21"/>
                      <w:szCs w:val="21"/>
                      <w:highlight w:val="none"/>
                      <w:vertAlign w:val="subscript"/>
                      <w:lang w:val="en-US" w:eastAsia="zh-CN"/>
                    </w:rPr>
                    <w:t>3</w:t>
                  </w:r>
                  <w:r>
                    <w:rPr>
                      <w:rFonts w:hint="default" w:ascii="Times New Roman" w:hAnsi="Times New Roman" w:eastAsia="宋体" w:cs="Times New Roman"/>
                      <w:b w:val="0"/>
                      <w:bCs w:val="0"/>
                      <w:color w:val="auto"/>
                      <w:sz w:val="21"/>
                      <w:szCs w:val="21"/>
                      <w:highlight w:val="none"/>
                      <w:lang w:val="en-US" w:eastAsia="zh-CN"/>
                    </w:rPr>
                    <w:t>-N</w:t>
                  </w:r>
                  <w:r>
                    <w:rPr>
                      <w:rFonts w:hint="eastAsia" w:ascii="Times New Roman" w:hAnsi="Times New Roman" w:eastAsia="宋体" w:cs="Times New Roman"/>
                      <w:b w:val="0"/>
                      <w:bCs w:val="0"/>
                      <w:color w:val="auto"/>
                      <w:sz w:val="21"/>
                      <w:szCs w:val="21"/>
                      <w:highlight w:val="none"/>
                      <w:lang w:val="en-US" w:eastAsia="zh-CN"/>
                    </w:rPr>
                    <w:t xml:space="preserve">、 </w:t>
                  </w:r>
                </w:p>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粪大肠菌群数、总余氯</w:t>
                  </w:r>
                </w:p>
              </w:tc>
              <w:tc>
                <w:tcPr>
                  <w:tcW w:w="1189" w:type="dxa"/>
                  <w:tcBorders>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17" w:type="dxa"/>
                  <w:vMerge w:val="continue"/>
                  <w:tcBorders>
                    <w:left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p>
              </w:tc>
              <w:tc>
                <w:tcPr>
                  <w:tcW w:w="2034"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软水制备浓水</w:t>
                  </w: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W2</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软水制备机</w:t>
                  </w:r>
                </w:p>
              </w:tc>
              <w:tc>
                <w:tcPr>
                  <w:tcW w:w="1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COD</w:t>
                  </w:r>
                </w:p>
              </w:tc>
              <w:tc>
                <w:tcPr>
                  <w:tcW w:w="1189" w:type="dxa"/>
                  <w:tcBorders>
                    <w:top w:val="single" w:color="auto" w:sz="4" w:space="0"/>
                    <w:left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17" w:type="dxa"/>
                  <w:vMerge w:val="continue"/>
                  <w:tcBorders>
                    <w:left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p>
              </w:tc>
              <w:tc>
                <w:tcPr>
                  <w:tcW w:w="2034"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设备清洗废水</w:t>
                  </w: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W3</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设备</w:t>
                  </w:r>
                </w:p>
              </w:tc>
              <w:tc>
                <w:tcPr>
                  <w:tcW w:w="1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COD</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BOD</w:t>
                  </w:r>
                  <w:r>
                    <w:rPr>
                      <w:rFonts w:hint="default" w:ascii="Times New Roman" w:hAnsi="Times New Roman" w:eastAsia="宋体" w:cs="Times New Roman"/>
                      <w:b w:val="0"/>
                      <w:bCs w:val="0"/>
                      <w:color w:val="auto"/>
                      <w:sz w:val="21"/>
                      <w:szCs w:val="21"/>
                      <w:highlight w:val="none"/>
                      <w:vertAlign w:val="subscript"/>
                      <w:lang w:val="en-US" w:eastAsia="zh-CN"/>
                    </w:rPr>
                    <w:t>5</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SS</w:t>
                  </w:r>
                </w:p>
              </w:tc>
              <w:tc>
                <w:tcPr>
                  <w:tcW w:w="1189" w:type="dxa"/>
                  <w:tcBorders>
                    <w:top w:val="single" w:color="auto" w:sz="4" w:space="0"/>
                    <w:left w:val="single" w:color="auto" w:sz="4" w:space="0"/>
                    <w:right w:val="single" w:color="auto" w:sz="4" w:space="0"/>
                  </w:tcBorders>
                  <w:noWrap w:val="0"/>
                  <w:vAlign w:val="center"/>
                </w:tcPr>
                <w:p>
                  <w:pPr>
                    <w:spacing w:line="300" w:lineRule="exact"/>
                    <w:ind w:firstLine="0" w:firstLineChars="0"/>
                    <w:jc w:val="center"/>
                    <w:rPr>
                      <w:rFonts w:hint="eastAsia" w:cs="Times New Roman"/>
                      <w:b w:val="0"/>
                      <w:bCs w:val="0"/>
                      <w:color w:val="auto"/>
                      <w:sz w:val="21"/>
                      <w:szCs w:val="21"/>
                      <w:highlight w:val="none"/>
                      <w:lang w:val="en-US" w:eastAsia="zh-CN"/>
                    </w:rPr>
                  </w:pPr>
                  <w:r>
                    <w:rPr>
                      <w:rFonts w:hint="eastAsia" w:cs="Times New Roman"/>
                      <w:b w:val="0"/>
                      <w:bCs w:val="0"/>
                      <w:color w:val="auto"/>
                      <w:kern w:val="2"/>
                      <w:sz w:val="21"/>
                      <w:szCs w:val="21"/>
                      <w:highlight w:val="none"/>
                      <w:lang w:val="en-US" w:eastAsia="zh-CN" w:bidi="ar-SA"/>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17"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噪声</w:t>
                  </w:r>
                </w:p>
              </w:tc>
              <w:tc>
                <w:tcPr>
                  <w:tcW w:w="2034"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设备运行</w:t>
                  </w: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N</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空调运行</w:t>
                  </w:r>
                </w:p>
              </w:tc>
              <w:tc>
                <w:tcPr>
                  <w:tcW w:w="16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噪声</w:t>
                  </w:r>
                </w:p>
              </w:tc>
              <w:tc>
                <w:tcPr>
                  <w:tcW w:w="118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jc w:val="center"/>
              </w:trPr>
              <w:tc>
                <w:tcPr>
                  <w:tcW w:w="61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固废</w:t>
                  </w:r>
                </w:p>
              </w:tc>
              <w:tc>
                <w:tcPr>
                  <w:tcW w:w="2034"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一般固废</w:t>
                  </w: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S1</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医院</w:t>
                  </w:r>
                </w:p>
              </w:tc>
              <w:tc>
                <w:tcPr>
                  <w:tcW w:w="16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塑料包装材料、废药盒、废包装瓶</w:t>
                  </w:r>
                  <w:r>
                    <w:rPr>
                      <w:rFonts w:hint="eastAsia" w:cs="Times New Roman"/>
                      <w:b w:val="0"/>
                      <w:bCs w:val="0"/>
                      <w:color w:val="auto"/>
                      <w:sz w:val="21"/>
                      <w:szCs w:val="21"/>
                      <w:highlight w:val="none"/>
                      <w:lang w:val="en-US" w:eastAsia="zh-CN"/>
                    </w:rPr>
                    <w:t>、废树脂</w:t>
                  </w:r>
                  <w:r>
                    <w:rPr>
                      <w:rFonts w:hint="eastAsia" w:ascii="Times New Roman" w:hAnsi="Times New Roman" w:eastAsia="宋体" w:cs="Times New Roman"/>
                      <w:b w:val="0"/>
                      <w:bCs w:val="0"/>
                      <w:color w:val="auto"/>
                      <w:sz w:val="21"/>
                      <w:szCs w:val="21"/>
                      <w:highlight w:val="none"/>
                      <w:lang w:val="en-US" w:eastAsia="zh-CN"/>
                    </w:rPr>
                    <w:t>等</w:t>
                  </w:r>
                </w:p>
              </w:tc>
              <w:tc>
                <w:tcPr>
                  <w:tcW w:w="118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p>
              </w:tc>
              <w:tc>
                <w:tcPr>
                  <w:tcW w:w="2034" w:type="dxa"/>
                  <w:tcBorders>
                    <w:top w:val="single" w:color="auto" w:sz="4" w:space="0"/>
                    <w:left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医疗废物</w:t>
                  </w: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S2</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门诊、住院</w:t>
                  </w:r>
                </w:p>
              </w:tc>
              <w:tc>
                <w:tcPr>
                  <w:tcW w:w="1612" w:type="dxa"/>
                  <w:tcBorders>
                    <w:top w:val="single" w:color="auto" w:sz="4" w:space="0"/>
                    <w:left w:val="single" w:color="auto" w:sz="4" w:space="0"/>
                    <w:right w:val="single" w:color="auto" w:sz="4" w:space="0"/>
                  </w:tcBorders>
                  <w:noWrap w:val="0"/>
                  <w:vAlign w:val="center"/>
                </w:tcPr>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 xml:space="preserve">感染性废物、损伤性废物、药物性废物、化学性 </w:t>
                  </w:r>
                </w:p>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废物、病理性废物</w:t>
                  </w:r>
                </w:p>
              </w:tc>
              <w:tc>
                <w:tcPr>
                  <w:tcW w:w="118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p>
              </w:tc>
              <w:tc>
                <w:tcPr>
                  <w:tcW w:w="2034"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生活垃圾</w:t>
                  </w: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S3</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员工及患者</w:t>
                  </w:r>
                </w:p>
              </w:tc>
              <w:tc>
                <w:tcPr>
                  <w:tcW w:w="16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生活垃圾</w:t>
                  </w:r>
                </w:p>
              </w:tc>
              <w:tc>
                <w:tcPr>
                  <w:tcW w:w="118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olor w:val="auto"/>
                      <w:highlight w:val="none"/>
                      <w:lang w:val="en-US" w:eastAsia="zh-CN"/>
                    </w:rPr>
                  </w:pPr>
                </w:p>
                <w:p>
                  <w:pPr>
                    <w:pStyle w:val="42"/>
                    <w:rPr>
                      <w:rFonts w:hint="default"/>
                      <w:color w:val="auto"/>
                      <w:highlight w:val="none"/>
                      <w:lang w:val="en-US" w:eastAsia="zh-CN"/>
                    </w:rPr>
                  </w:pPr>
                </w:p>
              </w:tc>
              <w:tc>
                <w:tcPr>
                  <w:tcW w:w="2034"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废水处理设施污泥</w:t>
                  </w: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S4</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废水处理设施</w:t>
                  </w:r>
                </w:p>
              </w:tc>
              <w:tc>
                <w:tcPr>
                  <w:tcW w:w="1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rPr>
                      <w:rFonts w:hint="default" w:cs="Times New Roman"/>
                      <w:b w:val="0"/>
                      <w:bCs w:val="0"/>
                      <w:color w:val="auto"/>
                      <w:sz w:val="21"/>
                      <w:szCs w:val="21"/>
                      <w:highlight w:val="none"/>
                      <w:lang w:val="en-US" w:eastAsia="zh-CN"/>
                    </w:rPr>
                  </w:pPr>
                  <w:r>
                    <w:rPr>
                      <w:rFonts w:hint="eastAsia" w:ascii="宋体" w:hAnsi="宋体" w:eastAsia="宋体" w:cs="宋体"/>
                      <w:color w:val="auto"/>
                      <w:kern w:val="0"/>
                      <w:sz w:val="20"/>
                      <w:szCs w:val="20"/>
                      <w:highlight w:val="none"/>
                      <w:lang w:val="en-US" w:eastAsia="zh-CN" w:bidi="ar"/>
                    </w:rPr>
                    <w:t>污泥</w:t>
                  </w:r>
                </w:p>
              </w:tc>
              <w:tc>
                <w:tcPr>
                  <w:tcW w:w="118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pPr>
                    <w:pStyle w:val="42"/>
                    <w:rPr>
                      <w:rFonts w:hint="default"/>
                      <w:color w:val="auto"/>
                      <w:highlight w:val="none"/>
                      <w:lang w:val="en-US" w:eastAsia="zh-CN"/>
                    </w:rPr>
                  </w:pPr>
                </w:p>
              </w:tc>
              <w:tc>
                <w:tcPr>
                  <w:tcW w:w="2034"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废活性炭</w:t>
                  </w: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S5</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废气处理设施</w:t>
                  </w:r>
                </w:p>
              </w:tc>
              <w:tc>
                <w:tcPr>
                  <w:tcW w:w="16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废活性炭</w:t>
                  </w:r>
                </w:p>
              </w:tc>
              <w:tc>
                <w:tcPr>
                  <w:tcW w:w="118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pPr>
                    <w:pStyle w:val="42"/>
                    <w:rPr>
                      <w:rFonts w:hint="default"/>
                      <w:color w:val="auto"/>
                      <w:highlight w:val="none"/>
                      <w:lang w:val="en-US" w:eastAsia="zh-CN"/>
                    </w:rPr>
                  </w:pPr>
                </w:p>
              </w:tc>
              <w:tc>
                <w:tcPr>
                  <w:tcW w:w="2034"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废UV灯管</w:t>
                  </w: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eastAsia"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S6</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医疗废物暂存间</w:t>
                  </w:r>
                </w:p>
              </w:tc>
              <w:tc>
                <w:tcPr>
                  <w:tcW w:w="16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紫外线灯管</w:t>
                  </w:r>
                </w:p>
              </w:tc>
              <w:tc>
                <w:tcPr>
                  <w:tcW w:w="118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pPr>
                    <w:pStyle w:val="42"/>
                    <w:rPr>
                      <w:rFonts w:hint="default"/>
                      <w:color w:val="auto"/>
                      <w:highlight w:val="none"/>
                      <w:lang w:val="en-US" w:eastAsia="zh-CN"/>
                    </w:rPr>
                  </w:pPr>
                </w:p>
              </w:tc>
              <w:tc>
                <w:tcPr>
                  <w:tcW w:w="2034"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废中药渣</w:t>
                  </w: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S7</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中药熬制</w:t>
                  </w:r>
                </w:p>
              </w:tc>
              <w:tc>
                <w:tcPr>
                  <w:tcW w:w="16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废中药渣</w:t>
                  </w:r>
                </w:p>
              </w:tc>
              <w:tc>
                <w:tcPr>
                  <w:tcW w:w="1189" w:type="dxa"/>
                  <w:tcBorders>
                    <w:top w:val="single" w:color="auto" w:sz="4" w:space="0"/>
                    <w:left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pPr>
                    <w:pStyle w:val="42"/>
                    <w:rPr>
                      <w:rFonts w:hint="default"/>
                      <w:color w:val="auto"/>
                      <w:highlight w:val="none"/>
                      <w:lang w:val="en-US" w:eastAsia="zh-CN"/>
                    </w:rPr>
                  </w:pPr>
                </w:p>
              </w:tc>
              <w:tc>
                <w:tcPr>
                  <w:tcW w:w="2034"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检验废液</w:t>
                  </w: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S8</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检验室</w:t>
                  </w:r>
                </w:p>
              </w:tc>
              <w:tc>
                <w:tcPr>
                  <w:tcW w:w="16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1189" w:type="dxa"/>
                  <w:tcBorders>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间断</w:t>
                  </w:r>
                </w:p>
              </w:tc>
            </w:tr>
          </w:tbl>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其中，医疗废物具体见表 </w:t>
            </w:r>
            <w:r>
              <w:rPr>
                <w:rFonts w:hint="default" w:ascii="Times New Roman" w:hAnsi="Times New Roman" w:eastAsia="宋体" w:cs="Times New Roman"/>
                <w:color w:val="auto"/>
                <w:kern w:val="0"/>
                <w:sz w:val="24"/>
                <w:szCs w:val="24"/>
                <w:highlight w:val="none"/>
                <w:lang w:val="en-US" w:eastAsia="zh-CN" w:bidi="ar"/>
              </w:rPr>
              <w:t>2.</w:t>
            </w:r>
            <w:r>
              <w:rPr>
                <w:rFonts w:hint="eastAsia" w:ascii="Times New Roman" w:hAnsi="Times New Roman" w:eastAsia="宋体" w:cs="Times New Roman"/>
                <w:color w:val="auto"/>
                <w:kern w:val="0"/>
                <w:sz w:val="24"/>
                <w:szCs w:val="24"/>
                <w:highlight w:val="none"/>
                <w:lang w:val="en-US" w:eastAsia="zh-CN" w:bidi="ar"/>
              </w:rPr>
              <w:t>10</w:t>
            </w:r>
            <w:r>
              <w:rPr>
                <w:rFonts w:hint="eastAsia" w:ascii="宋体" w:hAnsi="宋体" w:eastAsia="宋体" w:cs="宋体"/>
                <w:color w:val="auto"/>
                <w:kern w:val="0"/>
                <w:sz w:val="24"/>
                <w:szCs w:val="24"/>
                <w:highlight w:val="none"/>
                <w:lang w:val="en-US" w:eastAsia="zh-CN" w:bidi="ar"/>
              </w:rPr>
              <w:t>。</w:t>
            </w:r>
          </w:p>
          <w:p>
            <w:pPr>
              <w:adjustRightInd w:val="0"/>
              <w:snapToGrid w:val="0"/>
              <w:spacing w:line="240" w:lineRule="auto"/>
              <w:ind w:left="0" w:leftChars="0" w:firstLine="0" w:firstLineChars="0"/>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 xml:space="preserve">表 </w:t>
            </w:r>
            <w:r>
              <w:rPr>
                <w:rFonts w:hint="default"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eastAsia="zh-CN"/>
              </w:rPr>
              <w:t>10</w:t>
            </w:r>
            <w:r>
              <w:rPr>
                <w:rFonts w:hint="default"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eastAsia="zh-CN"/>
              </w:rPr>
              <w:t>本项目医疗废物产生情况一览表</w:t>
            </w:r>
          </w:p>
          <w:tbl>
            <w:tblPr>
              <w:tblStyle w:val="30"/>
              <w:tblW w:w="80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2245"/>
              <w:gridCol w:w="4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exact"/>
                <w:tblHeader/>
              </w:trPr>
              <w:tc>
                <w:tcPr>
                  <w:tcW w:w="1524" w:type="dxa"/>
                  <w:vAlign w:val="center"/>
                </w:tcPr>
                <w:p>
                  <w:pPr>
                    <w:adjustRightInd w:val="0"/>
                    <w:snapToGrid w:val="0"/>
                    <w:ind w:left="0" w:leftChars="0" w:firstLine="0" w:firstLineChars="0"/>
                    <w:jc w:val="center"/>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医疗分类</w:t>
                  </w:r>
                </w:p>
              </w:tc>
              <w:tc>
                <w:tcPr>
                  <w:tcW w:w="2245" w:type="dxa"/>
                  <w:vAlign w:val="center"/>
                </w:tcPr>
                <w:p>
                  <w:pPr>
                    <w:adjustRightInd w:val="0"/>
                    <w:snapToGrid w:val="0"/>
                    <w:ind w:left="0" w:leftChars="0" w:firstLine="0" w:firstLineChars="0"/>
                    <w:jc w:val="center"/>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特征</w:t>
                  </w:r>
                </w:p>
              </w:tc>
              <w:tc>
                <w:tcPr>
                  <w:tcW w:w="4313" w:type="dxa"/>
                  <w:vAlign w:val="center"/>
                </w:tcPr>
                <w:p>
                  <w:pPr>
                    <w:adjustRightInd w:val="0"/>
                    <w:snapToGrid w:val="0"/>
                    <w:ind w:left="0" w:leftChars="0" w:firstLine="0" w:firstLineChars="0"/>
                    <w:jc w:val="center"/>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31" w:hRule="exact"/>
                <w:tblHeader/>
              </w:trPr>
              <w:tc>
                <w:tcPr>
                  <w:tcW w:w="1524" w:type="dxa"/>
                  <w:vAlign w:val="center"/>
                </w:tcPr>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 xml:space="preserve">感染性废物 </w:t>
                  </w:r>
                </w:p>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HW01</w:t>
                  </w:r>
                  <w:r>
                    <w:rPr>
                      <w:rFonts w:hint="eastAsia" w:ascii="Times New Roman" w:hAnsi="Times New Roman" w:eastAsia="宋体" w:cs="Times New Roman"/>
                      <w:b w:val="0"/>
                      <w:bCs w:val="0"/>
                      <w:color w:val="auto"/>
                      <w:sz w:val="21"/>
                      <w:szCs w:val="21"/>
                      <w:highlight w:val="none"/>
                      <w:lang w:val="en-US" w:eastAsia="zh-CN"/>
                    </w:rPr>
                    <w:t xml:space="preserve">） </w:t>
                  </w:r>
                </w:p>
                <w:p>
                  <w:pPr>
                    <w:spacing w:line="300" w:lineRule="exact"/>
                    <w:ind w:firstLine="0" w:firstLineChars="0"/>
                    <w:jc w:val="center"/>
                    <w:rPr>
                      <w:rFonts w:hint="default" w:ascii="宋体" w:hAnsi="宋体" w:eastAsia="宋体" w:cs="宋体"/>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841-001-01</w:t>
                  </w:r>
                  <w:r>
                    <w:rPr>
                      <w:rFonts w:hint="eastAsia" w:ascii="Times New Roman" w:hAnsi="Times New Roman" w:eastAsia="宋体" w:cs="Times New Roman"/>
                      <w:b w:val="0"/>
                      <w:bCs w:val="0"/>
                      <w:color w:val="auto"/>
                      <w:sz w:val="21"/>
                      <w:szCs w:val="21"/>
                      <w:highlight w:val="none"/>
                      <w:lang w:val="en-US" w:eastAsia="zh-CN"/>
                    </w:rPr>
                    <w:t>）</w:t>
                  </w:r>
                </w:p>
              </w:tc>
              <w:tc>
                <w:tcPr>
                  <w:tcW w:w="2245" w:type="dxa"/>
                  <w:vAlign w:val="center"/>
                </w:tcPr>
                <w:p>
                  <w:pPr>
                    <w:spacing w:line="300" w:lineRule="exact"/>
                    <w:ind w:firstLine="0" w:firstLineChars="0"/>
                    <w:jc w:val="center"/>
                    <w:rPr>
                      <w:color w:val="auto"/>
                      <w:highlight w:val="none"/>
                    </w:rPr>
                  </w:pPr>
                  <w:r>
                    <w:rPr>
                      <w:rFonts w:hint="eastAsia" w:ascii="Times New Roman" w:hAnsi="Times New Roman" w:eastAsia="宋体" w:cs="Times New Roman"/>
                      <w:b w:val="0"/>
                      <w:bCs w:val="0"/>
                      <w:color w:val="auto"/>
                      <w:sz w:val="21"/>
                      <w:szCs w:val="21"/>
                      <w:highlight w:val="none"/>
                      <w:lang w:val="en-US" w:eastAsia="zh-CN"/>
                    </w:rPr>
                    <w:t>携带病原微生物具有引发感染性疾病</w:t>
                  </w:r>
                  <w:r>
                    <w:rPr>
                      <w:rFonts w:hint="eastAsia" w:ascii="宋体" w:hAnsi="宋体" w:eastAsia="宋体" w:cs="宋体"/>
                      <w:color w:val="auto"/>
                      <w:kern w:val="0"/>
                      <w:sz w:val="20"/>
                      <w:szCs w:val="20"/>
                      <w:highlight w:val="none"/>
                      <w:lang w:val="en-US" w:eastAsia="zh-CN" w:bidi="ar"/>
                    </w:rPr>
                    <w:t>传播危险的医疗废物</w:t>
                  </w:r>
                </w:p>
                <w:p>
                  <w:pPr>
                    <w:numPr>
                      <w:ilvl w:val="0"/>
                      <w:numId w:val="0"/>
                    </w:numPr>
                    <w:ind w:left="0" w:leftChars="0" w:firstLine="0" w:firstLineChars="0"/>
                    <w:jc w:val="center"/>
                    <w:rPr>
                      <w:rFonts w:hint="default" w:ascii="宋体" w:hAnsi="宋体" w:eastAsia="宋体" w:cs="宋体"/>
                      <w:color w:val="auto"/>
                      <w:kern w:val="0"/>
                      <w:sz w:val="21"/>
                      <w:szCs w:val="21"/>
                      <w:highlight w:val="none"/>
                      <w:vertAlign w:val="baseline"/>
                      <w:lang w:val="en-US" w:eastAsia="zh-CN" w:bidi="ar-SA"/>
                    </w:rPr>
                  </w:pPr>
                </w:p>
              </w:tc>
              <w:tc>
                <w:tcPr>
                  <w:tcW w:w="4313" w:type="dxa"/>
                  <w:vAlign w:val="center"/>
                </w:tcPr>
                <w:p>
                  <w:pPr>
                    <w:spacing w:line="300" w:lineRule="exact"/>
                    <w:ind w:firstLine="0" w:firstLineChars="0"/>
                    <w:jc w:val="left"/>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r>
                    <w:rPr>
                      <w:rFonts w:hint="eastAsia" w:ascii="Times New Roman" w:hAnsi="Times New Roman" w:eastAsia="宋体" w:cs="Times New Roman"/>
                      <w:b w:val="0"/>
                      <w:bCs w:val="0"/>
                      <w:color w:val="auto"/>
                      <w:sz w:val="21"/>
                      <w:szCs w:val="21"/>
                      <w:highlight w:val="none"/>
                      <w:lang w:val="en-US" w:eastAsia="zh-CN"/>
                    </w:rPr>
                    <w:t xml:space="preserve">、被患者血液、体液、排泄物等污染的除锐器意外的废物； </w:t>
                  </w:r>
                </w:p>
                <w:p>
                  <w:pPr>
                    <w:spacing w:line="300" w:lineRule="exact"/>
                    <w:ind w:firstLine="0" w:firstLineChars="0"/>
                    <w:jc w:val="left"/>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r>
                    <w:rPr>
                      <w:rFonts w:hint="eastAsia" w:ascii="Times New Roman" w:hAnsi="Times New Roman" w:eastAsia="宋体" w:cs="Times New Roman"/>
                      <w:b w:val="0"/>
                      <w:bCs w:val="0"/>
                      <w:color w:val="auto"/>
                      <w:sz w:val="21"/>
                      <w:szCs w:val="21"/>
                      <w:highlight w:val="none"/>
                      <w:lang w:val="en-US" w:eastAsia="zh-CN"/>
                    </w:rPr>
                    <w:t xml:space="preserve">、使用后废弃的一次性使用医疗器械，如注射器、输液器、透析器等； </w:t>
                  </w:r>
                </w:p>
                <w:p>
                  <w:pPr>
                    <w:spacing w:line="300" w:lineRule="exact"/>
                    <w:ind w:firstLine="0" w:firstLineChars="0"/>
                    <w:jc w:val="left"/>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r>
                    <w:rPr>
                      <w:rFonts w:hint="eastAsia" w:ascii="Times New Roman" w:hAnsi="Times New Roman" w:eastAsia="宋体" w:cs="Times New Roman"/>
                      <w:b w:val="0"/>
                      <w:bCs w:val="0"/>
                      <w:color w:val="auto"/>
                      <w:sz w:val="21"/>
                      <w:szCs w:val="21"/>
                      <w:highlight w:val="none"/>
                      <w:lang w:val="en-US" w:eastAsia="zh-CN"/>
                    </w:rPr>
                    <w:t xml:space="preserve">、病原微生物实验室废弃的病原体培养基、标本、菌种和毒种保存液及其容器；其他实验室及科室废弃的血液、血清、分泌物等标本和容器。 </w:t>
                  </w:r>
                </w:p>
                <w:p>
                  <w:pPr>
                    <w:spacing w:line="300" w:lineRule="exact"/>
                    <w:ind w:firstLine="0" w:firstLineChars="0"/>
                    <w:jc w:val="left"/>
                    <w:rPr>
                      <w:rFonts w:hint="default" w:ascii="宋体" w:hAnsi="宋体" w:eastAsia="宋体" w:cs="宋体"/>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val="en-US" w:eastAsia="zh-CN"/>
                    </w:rPr>
                    <w:t>4</w:t>
                  </w:r>
                  <w:r>
                    <w:rPr>
                      <w:rFonts w:hint="eastAsia" w:ascii="Times New Roman" w:hAnsi="Times New Roman" w:eastAsia="宋体" w:cs="Times New Roman"/>
                      <w:b w:val="0"/>
                      <w:bCs w:val="0"/>
                      <w:color w:val="auto"/>
                      <w:sz w:val="21"/>
                      <w:szCs w:val="21"/>
                      <w:highlight w:val="none"/>
                      <w:lang w:val="en-US" w:eastAsia="zh-CN"/>
                    </w:rPr>
                    <w:t>、隔离传染病患者或者疑似传染病患者产生的废弃物。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1" w:hRule="exact"/>
                <w:tblHeader/>
              </w:trPr>
              <w:tc>
                <w:tcPr>
                  <w:tcW w:w="1524" w:type="dxa"/>
                  <w:vAlign w:val="center"/>
                </w:tcPr>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 xml:space="preserve">损伤性废物 </w:t>
                  </w:r>
                </w:p>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HW01</w:t>
                  </w:r>
                  <w:r>
                    <w:rPr>
                      <w:rFonts w:hint="eastAsia" w:ascii="Times New Roman" w:hAnsi="Times New Roman" w:eastAsia="宋体" w:cs="Times New Roman"/>
                      <w:b w:val="0"/>
                      <w:bCs w:val="0"/>
                      <w:color w:val="auto"/>
                      <w:sz w:val="21"/>
                      <w:szCs w:val="21"/>
                      <w:highlight w:val="none"/>
                      <w:lang w:val="en-US" w:eastAsia="zh-CN"/>
                    </w:rPr>
                    <w:t xml:space="preserve">） </w:t>
                  </w:r>
                </w:p>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841-002-01</w:t>
                  </w:r>
                  <w:r>
                    <w:rPr>
                      <w:rFonts w:hint="eastAsia" w:ascii="Times New Roman" w:hAnsi="Times New Roman" w:eastAsia="宋体" w:cs="Times New Roman"/>
                      <w:b w:val="0"/>
                      <w:bCs w:val="0"/>
                      <w:color w:val="auto"/>
                      <w:sz w:val="21"/>
                      <w:szCs w:val="21"/>
                      <w:highlight w:val="none"/>
                      <w:lang w:val="en-US" w:eastAsia="zh-CN"/>
                    </w:rPr>
                    <w:t>）</w:t>
                  </w:r>
                </w:p>
                <w:p>
                  <w:pPr>
                    <w:numPr>
                      <w:ilvl w:val="0"/>
                      <w:numId w:val="0"/>
                    </w:numPr>
                    <w:ind w:left="0" w:leftChars="0" w:firstLine="0" w:firstLineChars="0"/>
                    <w:jc w:val="center"/>
                    <w:rPr>
                      <w:rFonts w:hint="default" w:ascii="宋体" w:hAnsi="宋体" w:eastAsia="宋体" w:cs="宋体"/>
                      <w:color w:val="auto"/>
                      <w:kern w:val="0"/>
                      <w:sz w:val="21"/>
                      <w:szCs w:val="21"/>
                      <w:highlight w:val="none"/>
                      <w:lang w:val="en-US" w:eastAsia="zh-CN" w:bidi="ar-SA"/>
                    </w:rPr>
                  </w:pPr>
                </w:p>
              </w:tc>
              <w:tc>
                <w:tcPr>
                  <w:tcW w:w="2245" w:type="dxa"/>
                  <w:vAlign w:val="center"/>
                </w:tcPr>
                <w:p>
                  <w:pPr>
                    <w:spacing w:line="30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能够刺伤或者割伤人体的废弃的医用锐器</w:t>
                  </w:r>
                </w:p>
              </w:tc>
              <w:tc>
                <w:tcPr>
                  <w:tcW w:w="4313" w:type="dxa"/>
                  <w:vAlign w:val="center"/>
                </w:tcPr>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废弃金属类锐器，如针头、缝合针、针灸针、探针、穿刺针、解剖刀、手术刀、手术锯、备皮刀、钢钉和导丝等；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default"/>
                      <w:color w:val="auto"/>
                      <w:highlight w:val="none"/>
                      <w:lang w:val="en-US" w:eastAsia="zh-CN"/>
                    </w:rPr>
                  </w:pPr>
                  <w:r>
                    <w:rPr>
                      <w:rFonts w:hint="eastAsia" w:ascii="宋体" w:hAnsi="宋体" w:eastAsia="宋体" w:cs="宋体"/>
                      <w:color w:val="auto"/>
                      <w:kern w:val="0"/>
                      <w:sz w:val="21"/>
                      <w:szCs w:val="21"/>
                      <w:highlight w:val="none"/>
                      <w:vertAlign w:val="baseline"/>
                      <w:lang w:val="en-US" w:eastAsia="zh-CN" w:bidi="ar-SA"/>
                    </w:rPr>
                    <w:t>2、废弃的玻璃类锐器，如盖玻片、载玻片、玻璃安瓶等；</w:t>
                  </w:r>
                </w:p>
                <w:p>
                  <w:pPr>
                    <w:pStyle w:val="27"/>
                    <w:ind w:left="0" w:leftChars="0" w:firstLine="0" w:firstLineChars="0"/>
                    <w:jc w:val="left"/>
                    <w:rPr>
                      <w:rFonts w:hint="default"/>
                      <w:color w:val="auto"/>
                      <w:highlight w:val="none"/>
                      <w:lang w:val="en-US" w:eastAsia="zh-CN"/>
                    </w:rPr>
                  </w:pPr>
                  <w:r>
                    <w:rPr>
                      <w:rFonts w:hint="eastAsia" w:ascii="宋体" w:hAnsi="宋体" w:eastAsia="宋体" w:cs="宋体"/>
                      <w:color w:val="auto"/>
                      <w:kern w:val="0"/>
                      <w:sz w:val="21"/>
                      <w:szCs w:val="21"/>
                      <w:highlight w:val="none"/>
                      <w:vertAlign w:val="baseline"/>
                      <w:lang w:val="en-US" w:eastAsia="zh-CN" w:bidi="ar-SA"/>
                    </w:rPr>
                    <w:t>3、废弃的其他材质锐器。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8" w:hRule="exact"/>
                <w:tblHeader/>
              </w:trPr>
              <w:tc>
                <w:tcPr>
                  <w:tcW w:w="1524" w:type="dxa"/>
                  <w:vAlign w:val="center"/>
                </w:tcPr>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 xml:space="preserve">病理性废物 </w:t>
                  </w:r>
                </w:p>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HW01</w:t>
                  </w:r>
                  <w:r>
                    <w:rPr>
                      <w:rFonts w:hint="eastAsia" w:ascii="Times New Roman" w:hAnsi="Times New Roman" w:eastAsia="宋体" w:cs="Times New Roman"/>
                      <w:b w:val="0"/>
                      <w:bCs w:val="0"/>
                      <w:color w:val="auto"/>
                      <w:sz w:val="21"/>
                      <w:szCs w:val="21"/>
                      <w:highlight w:val="none"/>
                      <w:lang w:val="en-US" w:eastAsia="zh-CN"/>
                    </w:rPr>
                    <w:t xml:space="preserve">） </w:t>
                  </w:r>
                </w:p>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841-003-01</w:t>
                  </w:r>
                  <w:r>
                    <w:rPr>
                      <w:rFonts w:hint="eastAsia" w:ascii="Times New Roman" w:hAnsi="Times New Roman" w:eastAsia="宋体" w:cs="Times New Roman"/>
                      <w:b w:val="0"/>
                      <w:bCs w:val="0"/>
                      <w:color w:val="auto"/>
                      <w:sz w:val="21"/>
                      <w:szCs w:val="21"/>
                      <w:highlight w:val="none"/>
                      <w:lang w:val="en-US" w:eastAsia="zh-CN"/>
                    </w:rPr>
                    <w:t>）</w:t>
                  </w:r>
                </w:p>
                <w:p>
                  <w:pPr>
                    <w:spacing w:line="30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2245" w:type="dxa"/>
                  <w:vAlign w:val="center"/>
                </w:tcPr>
                <w:p>
                  <w:pPr>
                    <w:spacing w:line="30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诊疗过程中产生的人体废弃物和医学实验动物尸体等</w:t>
                  </w:r>
                </w:p>
              </w:tc>
              <w:tc>
                <w:tcPr>
                  <w:tcW w:w="4313" w:type="dxa"/>
                  <w:vAlign w:val="center"/>
                </w:tcPr>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手术及其他医学服务过程中产生的废弃人体组织、器官；</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病理切片后废弃的人体组织、病理蜡块；</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16周胎龄一下或重量不足500g的胚胎组织等；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color w:val="auto"/>
                      <w:highlight w:val="none"/>
                      <w:lang w:val="en-US" w:eastAsia="zh-CN"/>
                    </w:rPr>
                  </w:pPr>
                  <w:r>
                    <w:rPr>
                      <w:rFonts w:hint="eastAsia" w:ascii="宋体" w:hAnsi="宋体" w:eastAsia="宋体" w:cs="宋体"/>
                      <w:color w:val="auto"/>
                      <w:kern w:val="0"/>
                      <w:sz w:val="21"/>
                      <w:szCs w:val="21"/>
                      <w:highlight w:val="none"/>
                      <w:vertAlign w:val="baseline"/>
                      <w:lang w:val="en-US" w:eastAsia="zh-CN" w:bidi="ar-SA"/>
                    </w:rPr>
                    <w:t>4、确认、疑似传染病毒或携带传染病病原体的产妇的胎盘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4" w:hRule="exact"/>
                <w:tblHeader/>
              </w:trPr>
              <w:tc>
                <w:tcPr>
                  <w:tcW w:w="1524" w:type="dxa"/>
                  <w:vAlign w:val="center"/>
                </w:tcPr>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 xml:space="preserve">药物性废物 </w:t>
                  </w:r>
                </w:p>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HW01</w:t>
                  </w:r>
                  <w:r>
                    <w:rPr>
                      <w:rFonts w:hint="eastAsia" w:ascii="Times New Roman" w:hAnsi="Times New Roman" w:eastAsia="宋体" w:cs="Times New Roman"/>
                      <w:b w:val="0"/>
                      <w:bCs w:val="0"/>
                      <w:color w:val="auto"/>
                      <w:sz w:val="21"/>
                      <w:szCs w:val="21"/>
                      <w:highlight w:val="none"/>
                      <w:lang w:val="en-US" w:eastAsia="zh-CN"/>
                    </w:rPr>
                    <w:t xml:space="preserve">） </w:t>
                  </w:r>
                </w:p>
                <w:p>
                  <w:pPr>
                    <w:spacing w:line="300" w:lineRule="exact"/>
                    <w:ind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841-005</w:t>
                  </w:r>
                  <w:r>
                    <w:rPr>
                      <w:rFonts w:hint="default" w:ascii="Times New Roman" w:hAnsi="Times New Roman" w:eastAsia="宋体" w:cs="Times New Roman"/>
                      <w:color w:val="auto"/>
                      <w:kern w:val="0"/>
                      <w:sz w:val="20"/>
                      <w:szCs w:val="20"/>
                      <w:highlight w:val="none"/>
                      <w:lang w:val="en-US" w:eastAsia="zh-CN" w:bidi="ar"/>
                    </w:rPr>
                    <w:t>-01</w:t>
                  </w:r>
                  <w:r>
                    <w:rPr>
                      <w:rFonts w:hint="eastAsia" w:ascii="宋体" w:hAnsi="宋体" w:eastAsia="宋体" w:cs="宋体"/>
                      <w:color w:val="auto"/>
                      <w:kern w:val="0"/>
                      <w:sz w:val="20"/>
                      <w:szCs w:val="20"/>
                      <w:highlight w:val="none"/>
                      <w:lang w:val="en-US" w:eastAsia="zh-CN" w:bidi="ar"/>
                    </w:rPr>
                    <w:t>）</w:t>
                  </w:r>
                </w:p>
              </w:tc>
              <w:tc>
                <w:tcPr>
                  <w:tcW w:w="2245" w:type="dxa"/>
                  <w:vAlign w:val="center"/>
                </w:tcPr>
                <w:p>
                  <w:pPr>
                    <w:spacing w:line="30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过期、淘汰、变质或者被污染的废弃的药物</w:t>
                  </w:r>
                </w:p>
              </w:tc>
              <w:tc>
                <w:tcPr>
                  <w:tcW w:w="4313" w:type="dxa"/>
                  <w:vAlign w:val="center"/>
                </w:tcPr>
                <w:p>
                  <w:pPr>
                    <w:spacing w:line="300" w:lineRule="exact"/>
                    <w:ind w:firstLine="0" w:firstLineChars="0"/>
                    <w:jc w:val="left"/>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r>
                    <w:rPr>
                      <w:rFonts w:hint="eastAsia" w:ascii="Times New Roman" w:hAnsi="Times New Roman" w:eastAsia="宋体" w:cs="Times New Roman"/>
                      <w:b w:val="0"/>
                      <w:bCs w:val="0"/>
                      <w:color w:val="auto"/>
                      <w:sz w:val="21"/>
                      <w:szCs w:val="21"/>
                      <w:highlight w:val="none"/>
                      <w:lang w:val="en-US" w:eastAsia="zh-CN"/>
                    </w:rPr>
                    <w:t xml:space="preserve">、废弃的一般性药物； </w:t>
                  </w:r>
                </w:p>
                <w:p>
                  <w:pPr>
                    <w:spacing w:line="300" w:lineRule="exact"/>
                    <w:ind w:firstLine="0" w:firstLineChars="0"/>
                    <w:jc w:val="left"/>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r>
                    <w:rPr>
                      <w:rFonts w:hint="eastAsia" w:ascii="Times New Roman" w:hAnsi="Times New Roman" w:eastAsia="宋体" w:cs="Times New Roman"/>
                      <w:b w:val="0"/>
                      <w:bCs w:val="0"/>
                      <w:color w:val="auto"/>
                      <w:sz w:val="21"/>
                      <w:szCs w:val="21"/>
                      <w:highlight w:val="none"/>
                      <w:lang w:val="en-US" w:eastAsia="zh-CN"/>
                    </w:rPr>
                    <w:t xml:space="preserve">、废弃的细胞毒性药物和遗传毒性药物； </w:t>
                  </w:r>
                </w:p>
                <w:p>
                  <w:pPr>
                    <w:spacing w:line="300" w:lineRule="exact"/>
                    <w:ind w:firstLine="0" w:firstLineChars="0"/>
                    <w:jc w:val="left"/>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r>
                    <w:rPr>
                      <w:rFonts w:hint="eastAsia" w:ascii="Times New Roman" w:hAnsi="Times New Roman" w:eastAsia="宋体" w:cs="Times New Roman"/>
                      <w:b w:val="0"/>
                      <w:bCs w:val="0"/>
                      <w:color w:val="auto"/>
                      <w:sz w:val="21"/>
                      <w:szCs w:val="21"/>
                      <w:highlight w:val="none"/>
                      <w:lang w:val="en-US" w:eastAsia="zh-CN"/>
                    </w:rPr>
                    <w:t>、废弃的疫苗及血液制品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9" w:hRule="exact"/>
                <w:tblHeader/>
              </w:trPr>
              <w:tc>
                <w:tcPr>
                  <w:tcW w:w="1524" w:type="dxa"/>
                  <w:vAlign w:val="center"/>
                </w:tcPr>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 xml:space="preserve">化学性废物 </w:t>
                  </w:r>
                </w:p>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HW01</w:t>
                  </w:r>
                  <w:r>
                    <w:rPr>
                      <w:rFonts w:hint="eastAsia" w:ascii="Times New Roman" w:hAnsi="Times New Roman" w:eastAsia="宋体" w:cs="Times New Roman"/>
                      <w:b w:val="0"/>
                      <w:bCs w:val="0"/>
                      <w:color w:val="auto"/>
                      <w:sz w:val="21"/>
                      <w:szCs w:val="21"/>
                      <w:highlight w:val="none"/>
                      <w:lang w:val="en-US" w:eastAsia="zh-CN"/>
                    </w:rPr>
                    <w:t xml:space="preserve">） </w:t>
                  </w:r>
                </w:p>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841-004-01</w:t>
                  </w:r>
                  <w:r>
                    <w:rPr>
                      <w:rFonts w:hint="eastAsia" w:ascii="Times New Roman" w:hAnsi="Times New Roman" w:eastAsia="宋体" w:cs="Times New Roman"/>
                      <w:b w:val="0"/>
                      <w:bCs w:val="0"/>
                      <w:color w:val="auto"/>
                      <w:sz w:val="21"/>
                      <w:szCs w:val="21"/>
                      <w:highlight w:val="none"/>
                      <w:lang w:val="en-US" w:eastAsia="zh-CN"/>
                    </w:rPr>
                    <w:t>）</w:t>
                  </w:r>
                </w:p>
                <w:p>
                  <w:pPr>
                    <w:spacing w:line="30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2245" w:type="dxa"/>
                  <w:vAlign w:val="center"/>
                </w:tcPr>
                <w:p>
                  <w:pPr>
                    <w:spacing w:line="30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具有毒性、腐蚀性易燃易爆性的废弃的化学物品</w:t>
                  </w:r>
                </w:p>
              </w:tc>
              <w:tc>
                <w:tcPr>
                  <w:tcW w:w="4313" w:type="dxa"/>
                  <w:vAlign w:val="center"/>
                </w:tcPr>
                <w:p>
                  <w:pPr>
                    <w:spacing w:line="300" w:lineRule="exact"/>
                    <w:ind w:firstLine="0" w:firstLineChars="0"/>
                    <w:jc w:val="left"/>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列入《国家危险废物名录》中的废弃危险化学品，如甲醛、 二甲苯等；废特定行业来源的危险废物，如含汞血压计、 含汞体温计等。</w:t>
                  </w:r>
                </w:p>
              </w:tc>
            </w:tr>
          </w:tbl>
          <w:p>
            <w:pPr>
              <w:pStyle w:val="28"/>
              <w:rPr>
                <w:rFonts w:hint="eastAsia"/>
                <w:color w:val="auto"/>
                <w:highlight w:val="none"/>
                <w:lang w:val="en-US" w:eastAsia="zh-CN"/>
              </w:rPr>
            </w:pPr>
          </w:p>
          <w:p>
            <w:pPr>
              <w:pStyle w:val="10"/>
              <w:ind w:left="0" w:leftChars="0" w:firstLine="0" w:firstLineChars="0"/>
              <w:rPr>
                <w:rFonts w:hint="default"/>
                <w:color w:val="auto"/>
                <w:highlight w:val="none"/>
                <w:lang w:val="en-US" w:eastAsia="zh-CN"/>
              </w:rPr>
            </w:pPr>
          </w:p>
        </w:tc>
      </w:tr>
    </w:tbl>
    <w:tbl>
      <w:tblPr>
        <w:tblStyle w:val="30"/>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8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2" w:hRule="atLeast"/>
        </w:trPr>
        <w:tc>
          <w:tcPr>
            <w:tcW w:w="754" w:type="dxa"/>
            <w:vAlign w:val="center"/>
          </w:tcPr>
          <w:p>
            <w:pPr>
              <w:pStyle w:val="24"/>
              <w:ind w:left="0" w:leftChars="0" w:firstLine="0" w:firstLineChars="0"/>
              <w:jc w:val="center"/>
              <w:outlineLvl w:val="0"/>
              <w:rPr>
                <w:snapToGrid w:val="0"/>
                <w:color w:val="auto"/>
                <w:szCs w:val="24"/>
                <w:highlight w:val="none"/>
              </w:rPr>
            </w:pPr>
            <w:r>
              <w:rPr>
                <w:rFonts w:ascii="Times New Roman" w:hAnsi="Times New Roman"/>
                <w:bCs/>
                <w:color w:val="auto"/>
                <w:kern w:val="2"/>
                <w:szCs w:val="24"/>
                <w:highlight w:val="none"/>
              </w:rPr>
              <w:t>与项目有关的原有环境污染问题</w:t>
            </w:r>
          </w:p>
        </w:tc>
        <w:tc>
          <w:tcPr>
            <w:tcW w:w="8307" w:type="dxa"/>
            <w:vAlign w:val="center"/>
          </w:tcPr>
          <w:p>
            <w:pPr>
              <w:keepNext w:val="0"/>
              <w:keepLines w:val="0"/>
              <w:widowControl/>
              <w:suppressLineNumbers w:val="0"/>
              <w:ind w:left="0" w:leftChars="0" w:firstLine="0" w:firstLineChars="0"/>
              <w:jc w:val="left"/>
              <w:rPr>
                <w:color w:val="auto"/>
                <w:sz w:val="24"/>
                <w:szCs w:val="24"/>
                <w:highlight w:val="none"/>
              </w:rPr>
            </w:pPr>
            <w:r>
              <w:rPr>
                <w:rFonts w:hint="eastAsia" w:ascii="宋体" w:hAnsi="宋体" w:cs="宋体"/>
                <w:b/>
                <w:bCs/>
                <w:color w:val="auto"/>
                <w:kern w:val="0"/>
                <w:sz w:val="24"/>
                <w:szCs w:val="24"/>
                <w:highlight w:val="none"/>
                <w:lang w:val="en-US" w:eastAsia="zh-CN" w:bidi="ar"/>
              </w:rPr>
              <w:t>2.11</w:t>
            </w:r>
            <w:r>
              <w:rPr>
                <w:rFonts w:hint="eastAsia" w:ascii="宋体" w:hAnsi="宋体" w:eastAsia="宋体" w:cs="宋体"/>
                <w:b/>
                <w:bCs/>
                <w:color w:val="auto"/>
                <w:kern w:val="0"/>
                <w:sz w:val="24"/>
                <w:szCs w:val="24"/>
                <w:highlight w:val="none"/>
                <w:lang w:val="en-US" w:eastAsia="zh-CN" w:bidi="ar"/>
              </w:rPr>
              <w:t>搬迁前医院基本情况</w:t>
            </w:r>
          </w:p>
          <w:p>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奉节县羊市镇</w:t>
            </w:r>
            <w:r>
              <w:rPr>
                <w:rFonts w:hint="eastAsia" w:ascii="Times New Roman" w:hAnsi="Times New Roman" w:eastAsia="宋体" w:cs="Times New Roman"/>
                <w:color w:val="auto"/>
                <w:kern w:val="0"/>
                <w:sz w:val="24"/>
                <w:szCs w:val="24"/>
                <w:highlight w:val="none"/>
                <w:lang w:val="en-US" w:eastAsia="zh-CN" w:bidi="ar-SA"/>
              </w:rPr>
              <w:t>卫生院现状位于奉节县羊市镇渔灯社区15组，占地面积</w:t>
            </w:r>
            <w:r>
              <w:rPr>
                <w:rFonts w:hint="eastAsia" w:cs="Times New Roman"/>
                <w:color w:val="auto"/>
                <w:kern w:val="0"/>
                <w:sz w:val="24"/>
                <w:szCs w:val="24"/>
                <w:highlight w:val="none"/>
                <w:lang w:val="en-US" w:eastAsia="zh-CN" w:bidi="ar-SA"/>
              </w:rPr>
              <w:t>700</w:t>
            </w:r>
            <w:r>
              <w:rPr>
                <w:rFonts w:hint="default" w:ascii="Times New Roman" w:hAnsi="Times New Roman" w:eastAsia="宋体" w:cs="Times New Roman"/>
                <w:color w:val="auto"/>
                <w:kern w:val="0"/>
                <w:sz w:val="24"/>
                <w:szCs w:val="24"/>
                <w:highlight w:val="none"/>
                <w:lang w:val="en-US" w:eastAsia="zh-CN" w:bidi="ar-SA"/>
              </w:rPr>
              <w:t>m</w:t>
            </w:r>
            <w:r>
              <w:rPr>
                <w:rFonts w:hint="default" w:ascii="Times New Roman" w:hAnsi="Times New Roman" w:eastAsia="宋体" w:cs="Times New Roman"/>
                <w:color w:val="auto"/>
                <w:kern w:val="0"/>
                <w:sz w:val="24"/>
                <w:szCs w:val="24"/>
                <w:highlight w:val="none"/>
                <w:vertAlign w:val="superscript"/>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总</w:t>
            </w:r>
            <w:r>
              <w:rPr>
                <w:rFonts w:hint="eastAsia" w:ascii="Times New Roman" w:hAnsi="Times New Roman" w:eastAsia="宋体" w:cs="Times New Roman"/>
                <w:color w:val="auto"/>
                <w:kern w:val="0"/>
                <w:sz w:val="24"/>
                <w:szCs w:val="24"/>
                <w:highlight w:val="none"/>
                <w:lang w:val="en-US" w:eastAsia="zh-CN" w:bidi="ar-SA"/>
              </w:rPr>
              <w:t>建筑面积</w:t>
            </w:r>
            <w:r>
              <w:rPr>
                <w:rFonts w:hint="eastAsia" w:cs="Times New Roman"/>
                <w:color w:val="auto"/>
                <w:kern w:val="0"/>
                <w:sz w:val="24"/>
                <w:szCs w:val="24"/>
                <w:highlight w:val="none"/>
                <w:lang w:val="en-US" w:eastAsia="zh-CN" w:bidi="ar-SA"/>
              </w:rPr>
              <w:t>约为1935</w:t>
            </w:r>
            <w:r>
              <w:rPr>
                <w:rFonts w:hint="default" w:ascii="Times New Roman" w:hAnsi="Times New Roman" w:eastAsia="宋体" w:cs="Times New Roman"/>
                <w:color w:val="auto"/>
                <w:kern w:val="0"/>
                <w:sz w:val="24"/>
                <w:szCs w:val="24"/>
                <w:highlight w:val="none"/>
                <w:lang w:val="en-US" w:eastAsia="zh-CN" w:bidi="ar-SA"/>
              </w:rPr>
              <w:t>m</w:t>
            </w:r>
            <w:r>
              <w:rPr>
                <w:rFonts w:hint="default" w:ascii="Times New Roman" w:hAnsi="Times New Roman" w:eastAsia="宋体" w:cs="Times New Roman"/>
                <w:color w:val="auto"/>
                <w:kern w:val="0"/>
                <w:sz w:val="24"/>
                <w:szCs w:val="24"/>
                <w:highlight w:val="none"/>
                <w:vertAlign w:val="superscript"/>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，开设有</w:t>
            </w:r>
            <w:r>
              <w:rPr>
                <w:rFonts w:hint="eastAsia" w:ascii="宋体" w:hAnsi="宋体" w:eastAsia="宋体" w:cs="宋体"/>
                <w:color w:val="auto"/>
                <w:kern w:val="0"/>
                <w:sz w:val="24"/>
                <w:szCs w:val="24"/>
                <w:highlight w:val="none"/>
                <w:lang w:val="en-US" w:eastAsia="zh-CN" w:bidi="ar"/>
              </w:rPr>
              <w:t>彩超、化验、放射、DR、急诊、中医、全科、康复理疗、外科、内科、西药房、中药房、预防接种诊室、输液大厅</w:t>
            </w:r>
            <w:r>
              <w:rPr>
                <w:rFonts w:hint="eastAsia" w:ascii="Times New Roman" w:hAnsi="Times New Roman" w:eastAsia="宋体" w:cs="Times New Roman"/>
                <w:color w:val="auto"/>
                <w:kern w:val="0"/>
                <w:sz w:val="24"/>
                <w:szCs w:val="24"/>
                <w:highlight w:val="none"/>
                <w:lang w:val="en-US" w:eastAsia="zh-CN" w:bidi="ar-SA"/>
              </w:rPr>
              <w:t>，设置床位数</w:t>
            </w:r>
            <w:r>
              <w:rPr>
                <w:rFonts w:hint="eastAsia" w:cs="Times New Roman"/>
                <w:color w:val="auto"/>
                <w:kern w:val="0"/>
                <w:sz w:val="24"/>
                <w:szCs w:val="24"/>
                <w:highlight w:val="none"/>
                <w:lang w:val="en-US" w:eastAsia="zh-CN" w:bidi="ar-SA"/>
              </w:rPr>
              <w:t>20</w:t>
            </w:r>
            <w:r>
              <w:rPr>
                <w:rFonts w:hint="eastAsia" w:ascii="Times New Roman" w:hAnsi="Times New Roman" w:eastAsia="宋体" w:cs="Times New Roman"/>
                <w:color w:val="auto"/>
                <w:kern w:val="0"/>
                <w:sz w:val="24"/>
                <w:szCs w:val="24"/>
                <w:highlight w:val="none"/>
                <w:lang w:val="en-US" w:eastAsia="zh-CN" w:bidi="ar-SA"/>
              </w:rPr>
              <w:t>张，</w:t>
            </w:r>
            <w:r>
              <w:rPr>
                <w:rFonts w:hint="eastAsia" w:cs="Times New Roman"/>
                <w:color w:val="auto"/>
                <w:kern w:val="0"/>
                <w:sz w:val="24"/>
                <w:szCs w:val="24"/>
                <w:highlight w:val="none"/>
                <w:lang w:val="en-US" w:eastAsia="zh-CN" w:bidi="ar-SA"/>
              </w:rPr>
              <w:t>年</w:t>
            </w:r>
            <w:r>
              <w:rPr>
                <w:rFonts w:hint="eastAsia" w:ascii="Times New Roman" w:hAnsi="Times New Roman" w:eastAsia="宋体" w:cs="Times New Roman"/>
                <w:color w:val="auto"/>
                <w:kern w:val="0"/>
                <w:sz w:val="24"/>
                <w:szCs w:val="24"/>
                <w:highlight w:val="none"/>
                <w:lang w:val="en-US" w:eastAsia="zh-CN" w:bidi="ar-SA"/>
              </w:rPr>
              <w:t>门诊</w:t>
            </w:r>
            <w:r>
              <w:rPr>
                <w:rFonts w:hint="eastAsia" w:cs="Times New Roman"/>
                <w:color w:val="auto"/>
                <w:kern w:val="0"/>
                <w:sz w:val="24"/>
                <w:szCs w:val="24"/>
                <w:highlight w:val="none"/>
                <w:lang w:val="en-US" w:eastAsia="zh-CN" w:bidi="ar-SA"/>
              </w:rPr>
              <w:t>人次约为400人。项目总投资200万元，其中环保投资30万元。</w:t>
            </w:r>
          </w:p>
          <w:p>
            <w:pPr>
              <w:keepNext w:val="0"/>
              <w:keepLines w:val="0"/>
              <w:widowControl/>
              <w:suppressLineNumbers w:val="0"/>
              <w:ind w:left="0" w:leftChars="0" w:firstLine="0" w:firstLineChars="0"/>
              <w:jc w:val="left"/>
              <w:rPr>
                <w:rFonts w:hint="eastAsia"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2.12</w:t>
            </w:r>
            <w:r>
              <w:rPr>
                <w:rFonts w:hint="eastAsia" w:ascii="宋体" w:hAnsi="宋体" w:eastAsia="宋体" w:cs="宋体"/>
                <w:b/>
                <w:bCs/>
                <w:color w:val="auto"/>
                <w:kern w:val="0"/>
                <w:sz w:val="24"/>
                <w:szCs w:val="24"/>
                <w:highlight w:val="none"/>
                <w:lang w:val="en-US" w:eastAsia="zh-CN" w:bidi="ar"/>
              </w:rPr>
              <w:t>搬迁前医院排污情况以及污染防治措施</w:t>
            </w:r>
          </w:p>
          <w:p>
            <w:pPr>
              <w:keepNext w:val="0"/>
              <w:keepLines w:val="0"/>
              <w:widowControl/>
              <w:suppressLineNumbers w:val="0"/>
              <w:jc w:val="left"/>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根据院方提供资料，搬迁前医院产排污情况如下： </w:t>
            </w:r>
          </w:p>
          <w:p>
            <w:pPr>
              <w:keepNext w:val="0"/>
              <w:keepLines w:val="0"/>
              <w:widowControl/>
              <w:suppressLineNumbers w:val="0"/>
              <w:jc w:val="left"/>
              <w:rPr>
                <w:color w:val="auto"/>
                <w:sz w:val="24"/>
                <w:szCs w:val="24"/>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 xml:space="preserve">）废水 </w:t>
            </w:r>
          </w:p>
          <w:p>
            <w:pPr>
              <w:keepNext w:val="0"/>
              <w:keepLines w:val="0"/>
              <w:widowControl/>
              <w:suppressLineNumbers w:val="0"/>
              <w:jc w:val="left"/>
              <w:rPr>
                <w:color w:val="auto"/>
                <w:sz w:val="24"/>
                <w:szCs w:val="24"/>
                <w:highlight w:val="none"/>
              </w:rPr>
            </w:pPr>
            <w:r>
              <w:rPr>
                <w:rFonts w:hint="eastAsia" w:ascii="宋体" w:hAnsi="宋体" w:eastAsia="宋体" w:cs="宋体"/>
                <w:color w:val="auto"/>
                <w:kern w:val="0"/>
                <w:sz w:val="24"/>
                <w:szCs w:val="24"/>
                <w:highlight w:val="none"/>
                <w:lang w:val="en-US" w:eastAsia="zh-CN" w:bidi="ar"/>
              </w:rPr>
              <w:t>原医院废水主要包括医疗废水和生活污水，根据院方提供资料，医院综合废水（医疗废水和生活污水混合处理）产生量为</w:t>
            </w:r>
            <w:r>
              <w:rPr>
                <w:rFonts w:hint="eastAsia" w:cs="Times New Roman"/>
                <w:color w:val="auto"/>
                <w:kern w:val="0"/>
                <w:sz w:val="24"/>
                <w:szCs w:val="24"/>
                <w:highlight w:val="none"/>
                <w:lang w:val="en-US" w:eastAsia="zh-CN" w:bidi="ar"/>
              </w:rPr>
              <w:t>0.2</w:t>
            </w:r>
            <w:r>
              <w:rPr>
                <w:rFonts w:hint="eastAsia" w:ascii="宋体" w:hAnsi="宋体" w:eastAsia="宋体" w:cs="宋体"/>
                <w:color w:val="auto"/>
                <w:kern w:val="0"/>
                <w:sz w:val="24"/>
                <w:szCs w:val="24"/>
                <w:highlight w:val="none"/>
                <w:lang w:val="en-US" w:eastAsia="zh-CN" w:bidi="ar"/>
              </w:rPr>
              <w:t>万</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，医院综合废水经医院污水处理设施处理达《医疗机构水污染物排放标准》（</w:t>
            </w:r>
            <w:r>
              <w:rPr>
                <w:rFonts w:hint="default" w:ascii="Times New Roman" w:hAnsi="Times New Roman" w:eastAsia="宋体" w:cs="Times New Roman"/>
                <w:color w:val="auto"/>
                <w:kern w:val="0"/>
                <w:sz w:val="24"/>
                <w:szCs w:val="24"/>
                <w:highlight w:val="none"/>
                <w:lang w:val="en-US" w:eastAsia="zh-CN" w:bidi="ar"/>
              </w:rPr>
              <w:t>GB18466</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2005</w:t>
            </w:r>
            <w:r>
              <w:rPr>
                <w:rFonts w:hint="eastAsia" w:ascii="宋体" w:hAnsi="宋体" w:eastAsia="宋体" w:cs="宋体"/>
                <w:color w:val="auto"/>
                <w:kern w:val="0"/>
                <w:sz w:val="24"/>
                <w:szCs w:val="24"/>
                <w:highlight w:val="none"/>
                <w:lang w:val="en-US" w:eastAsia="zh-CN" w:bidi="ar"/>
              </w:rPr>
              <w:t>）表</w:t>
            </w: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中预处理标准后，通过排放口进入市政污水管网，进入</w:t>
            </w:r>
            <w:r>
              <w:rPr>
                <w:rFonts w:hint="eastAsia" w:ascii="宋体" w:hAnsi="宋体" w:cs="宋体"/>
                <w:color w:val="auto"/>
                <w:kern w:val="0"/>
                <w:sz w:val="24"/>
                <w:szCs w:val="24"/>
                <w:highlight w:val="none"/>
                <w:lang w:val="en-US" w:eastAsia="zh-CN" w:bidi="ar"/>
              </w:rPr>
              <w:t>羊市</w:t>
            </w:r>
            <w:r>
              <w:rPr>
                <w:rFonts w:hint="eastAsia" w:ascii="宋体" w:hAnsi="宋体" w:eastAsia="宋体" w:cs="宋体"/>
                <w:color w:val="auto"/>
                <w:kern w:val="0"/>
                <w:sz w:val="24"/>
                <w:szCs w:val="24"/>
                <w:highlight w:val="none"/>
                <w:lang w:val="en-US" w:eastAsia="zh-CN" w:bidi="ar"/>
              </w:rPr>
              <w:t>污水处理厂处理后达标排放。最终排入环境的</w:t>
            </w:r>
            <w:r>
              <w:rPr>
                <w:rFonts w:hint="default" w:ascii="Times New Roman" w:hAnsi="Times New Roman" w:eastAsia="宋体" w:cs="Times New Roman"/>
                <w:color w:val="auto"/>
                <w:kern w:val="0"/>
                <w:sz w:val="24"/>
                <w:szCs w:val="24"/>
                <w:highlight w:val="none"/>
                <w:lang w:val="en-US" w:eastAsia="zh-CN" w:bidi="ar"/>
              </w:rPr>
              <w:t>COD</w:t>
            </w:r>
            <w:r>
              <w:rPr>
                <w:rFonts w:hint="eastAsia" w:ascii="宋体" w:hAnsi="宋体" w:eastAsia="宋体" w:cs="宋体"/>
                <w:color w:val="auto"/>
                <w:kern w:val="0"/>
                <w:sz w:val="24"/>
                <w:szCs w:val="24"/>
                <w:highlight w:val="none"/>
                <w:lang w:val="en-US" w:eastAsia="zh-CN" w:bidi="ar"/>
              </w:rPr>
              <w:t>量为</w:t>
            </w:r>
            <w:r>
              <w:rPr>
                <w:rFonts w:hint="default" w:ascii="Times New Roman" w:hAnsi="Times New Roman" w:eastAsia="宋体" w:cs="Times New Roman"/>
                <w:color w:val="auto"/>
                <w:kern w:val="0"/>
                <w:sz w:val="24"/>
                <w:szCs w:val="24"/>
                <w:highlight w:val="none"/>
                <w:lang w:val="en-US" w:eastAsia="zh-CN" w:bidi="ar"/>
              </w:rPr>
              <w:t>0.</w:t>
            </w:r>
            <w:r>
              <w:rPr>
                <w:rFonts w:hint="eastAsia" w:cs="Times New Roman"/>
                <w:color w:val="auto"/>
                <w:kern w:val="0"/>
                <w:sz w:val="24"/>
                <w:szCs w:val="24"/>
                <w:highlight w:val="none"/>
                <w:lang w:val="en-US" w:eastAsia="zh-CN" w:bidi="ar"/>
              </w:rPr>
              <w:t>18</w:t>
            </w:r>
            <w:r>
              <w:rPr>
                <w:rFonts w:hint="default" w:ascii="Times New Roman" w:hAnsi="Times New Roman" w:eastAsia="宋体" w:cs="Times New Roman"/>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，氨氮量为</w:t>
            </w:r>
            <w:r>
              <w:rPr>
                <w:rFonts w:hint="default" w:ascii="Times New Roman" w:hAnsi="Times New Roman" w:eastAsia="宋体" w:cs="Times New Roman"/>
                <w:color w:val="auto"/>
                <w:kern w:val="0"/>
                <w:sz w:val="24"/>
                <w:szCs w:val="24"/>
                <w:highlight w:val="none"/>
                <w:lang w:val="en-US" w:eastAsia="zh-CN" w:bidi="ar"/>
              </w:rPr>
              <w:t>0.0</w:t>
            </w:r>
            <w:r>
              <w:rPr>
                <w:rFonts w:hint="eastAsia"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jc w:val="left"/>
              <w:rPr>
                <w:color w:val="auto"/>
                <w:sz w:val="24"/>
                <w:szCs w:val="24"/>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 xml:space="preserve">）废气 </w:t>
            </w:r>
          </w:p>
          <w:p>
            <w:pPr>
              <w:keepNext w:val="0"/>
              <w:keepLines w:val="0"/>
              <w:widowControl/>
              <w:suppressLineNumbers w:val="0"/>
              <w:jc w:val="left"/>
              <w:rPr>
                <w:color w:val="auto"/>
                <w:sz w:val="24"/>
                <w:szCs w:val="24"/>
                <w:highlight w:val="none"/>
              </w:rPr>
            </w:pPr>
            <w:r>
              <w:rPr>
                <w:rFonts w:hint="eastAsia" w:ascii="宋体" w:hAnsi="宋体" w:eastAsia="宋体" w:cs="宋体"/>
                <w:color w:val="auto"/>
                <w:kern w:val="0"/>
                <w:sz w:val="24"/>
                <w:szCs w:val="24"/>
                <w:highlight w:val="none"/>
                <w:lang w:val="en-US" w:eastAsia="zh-CN" w:bidi="ar"/>
              </w:rPr>
              <w:t>污水处理设施臭气经加盖处理，能达到《医疗机构水污染物排放标准》（</w:t>
            </w:r>
            <w:r>
              <w:rPr>
                <w:rFonts w:hint="default" w:ascii="Times New Roman" w:hAnsi="Times New Roman" w:eastAsia="宋体" w:cs="Times New Roman"/>
                <w:color w:val="auto"/>
                <w:kern w:val="0"/>
                <w:sz w:val="24"/>
                <w:szCs w:val="24"/>
                <w:highlight w:val="none"/>
                <w:lang w:val="en-US" w:eastAsia="zh-CN" w:bidi="ar"/>
              </w:rPr>
              <w:t>GB18466</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2005</w:t>
            </w:r>
            <w:r>
              <w:rPr>
                <w:rFonts w:hint="eastAsia" w:ascii="宋体" w:hAnsi="宋体" w:eastAsia="宋体" w:cs="宋体"/>
                <w:color w:val="auto"/>
                <w:kern w:val="0"/>
                <w:sz w:val="24"/>
                <w:szCs w:val="24"/>
                <w:highlight w:val="none"/>
                <w:lang w:val="en-US" w:eastAsia="zh-CN" w:bidi="ar"/>
              </w:rPr>
              <w:t>）表</w:t>
            </w: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 xml:space="preserve">标准；中药煎药异味通过加强机械通风处理。 </w:t>
            </w:r>
          </w:p>
          <w:p>
            <w:pPr>
              <w:keepNext w:val="0"/>
              <w:keepLines w:val="0"/>
              <w:widowControl/>
              <w:suppressLineNumbers w:val="0"/>
              <w:jc w:val="left"/>
              <w:rPr>
                <w:color w:val="auto"/>
                <w:sz w:val="24"/>
                <w:szCs w:val="24"/>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）噪声</w:t>
            </w:r>
          </w:p>
          <w:p>
            <w:pPr>
              <w:keepNext w:val="0"/>
              <w:keepLines w:val="0"/>
              <w:widowControl/>
              <w:suppressLineNumbers w:val="0"/>
              <w:jc w:val="left"/>
              <w:rPr>
                <w:color w:val="auto"/>
                <w:sz w:val="24"/>
                <w:szCs w:val="24"/>
                <w:highlight w:val="none"/>
              </w:rPr>
            </w:pPr>
            <w:r>
              <w:rPr>
                <w:rFonts w:hint="eastAsia" w:ascii="宋体" w:hAnsi="宋体" w:eastAsia="宋体" w:cs="宋体"/>
                <w:color w:val="auto"/>
                <w:kern w:val="0"/>
                <w:sz w:val="24"/>
                <w:szCs w:val="24"/>
                <w:highlight w:val="none"/>
                <w:lang w:val="en-US" w:eastAsia="zh-CN" w:bidi="ar"/>
              </w:rPr>
              <w:t>医院搬迁前主要噪声源为：污水处理设施的水泵、空调外机和门诊噪声。通过选用低噪声设备，合理布局，以及减震隔声，加强管理等措施处理后，医院噪声排放能够满足《工业企业</w:t>
            </w:r>
            <w:r>
              <w:rPr>
                <w:rFonts w:hint="eastAsia" w:ascii="宋体" w:hAnsi="宋体" w:cs="宋体"/>
                <w:color w:val="auto"/>
                <w:kern w:val="0"/>
                <w:sz w:val="24"/>
                <w:szCs w:val="24"/>
                <w:highlight w:val="none"/>
                <w:lang w:val="en-US" w:eastAsia="zh-CN" w:bidi="ar"/>
              </w:rPr>
              <w:t>场界</w:t>
            </w:r>
            <w:r>
              <w:rPr>
                <w:rFonts w:hint="eastAsia" w:ascii="宋体" w:hAnsi="宋体" w:eastAsia="宋体" w:cs="宋体"/>
                <w:color w:val="auto"/>
                <w:kern w:val="0"/>
                <w:sz w:val="24"/>
                <w:szCs w:val="24"/>
                <w:highlight w:val="none"/>
                <w:lang w:val="en-US" w:eastAsia="zh-CN" w:bidi="ar"/>
              </w:rPr>
              <w:t>环境噪声排放标准》（</w:t>
            </w:r>
            <w:r>
              <w:rPr>
                <w:rFonts w:hint="default" w:ascii="Times New Roman" w:hAnsi="Times New Roman" w:eastAsia="宋体" w:cs="Times New Roman"/>
                <w:color w:val="auto"/>
                <w:kern w:val="0"/>
                <w:sz w:val="24"/>
                <w:szCs w:val="24"/>
                <w:highlight w:val="none"/>
                <w:lang w:val="en-US" w:eastAsia="zh-CN" w:bidi="ar"/>
              </w:rPr>
              <w:t>GB12348-2008</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2 </w:t>
            </w:r>
            <w:r>
              <w:rPr>
                <w:rFonts w:hint="eastAsia" w:ascii="宋体" w:hAnsi="宋体" w:eastAsia="宋体" w:cs="宋体"/>
                <w:color w:val="auto"/>
                <w:kern w:val="0"/>
                <w:sz w:val="24"/>
                <w:szCs w:val="24"/>
                <w:highlight w:val="none"/>
                <w:lang w:val="en-US" w:eastAsia="zh-CN" w:bidi="ar"/>
              </w:rPr>
              <w:t xml:space="preserve">类标准。 </w:t>
            </w:r>
          </w:p>
          <w:p>
            <w:pPr>
              <w:keepNext w:val="0"/>
              <w:keepLines w:val="0"/>
              <w:widowControl/>
              <w:suppressLineNumbers w:val="0"/>
              <w:jc w:val="left"/>
              <w:rPr>
                <w:color w:val="auto"/>
                <w:sz w:val="24"/>
                <w:szCs w:val="24"/>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 xml:space="preserve">）固废 </w:t>
            </w:r>
          </w:p>
          <w:p>
            <w:pPr>
              <w:keepNext w:val="0"/>
              <w:keepLines w:val="0"/>
              <w:widowControl/>
              <w:suppressLineNumbers w:val="0"/>
              <w:jc w:val="left"/>
              <w:rPr>
                <w:color w:val="auto"/>
                <w:sz w:val="24"/>
                <w:szCs w:val="24"/>
                <w:highlight w:val="none"/>
              </w:rPr>
            </w:pPr>
            <w:r>
              <w:rPr>
                <w:rFonts w:hint="eastAsia" w:ascii="宋体" w:hAnsi="宋体" w:eastAsia="宋体" w:cs="宋体"/>
                <w:color w:val="auto"/>
                <w:kern w:val="0"/>
                <w:sz w:val="24"/>
                <w:szCs w:val="24"/>
                <w:highlight w:val="none"/>
                <w:lang w:val="en-US" w:eastAsia="zh-CN" w:bidi="ar"/>
              </w:rPr>
              <w:t>根据院方提供资料，搬迁前医院实际产生的医疗废物量为</w:t>
            </w:r>
            <w:r>
              <w:rPr>
                <w:rFonts w:hint="eastAsia" w:cs="Times New Roman"/>
                <w:color w:val="auto"/>
                <w:kern w:val="0"/>
                <w:sz w:val="24"/>
                <w:szCs w:val="24"/>
                <w:highlight w:val="none"/>
                <w:lang w:val="en-US" w:eastAsia="zh-CN" w:bidi="ar"/>
              </w:rPr>
              <w:t>3.2</w:t>
            </w:r>
            <w:r>
              <w:rPr>
                <w:rFonts w:hint="default" w:ascii="Times New Roman" w:hAnsi="Times New Roman" w:eastAsia="宋体" w:cs="Times New Roman"/>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医疗废水污泥</w:t>
            </w:r>
            <w:r>
              <w:rPr>
                <w:rFonts w:hint="default" w:ascii="Times New Roman" w:hAnsi="Times New Roman" w:eastAsia="宋体" w:cs="Times New Roman"/>
                <w:color w:val="auto"/>
                <w:kern w:val="0"/>
                <w:sz w:val="24"/>
                <w:szCs w:val="24"/>
                <w:highlight w:val="none"/>
                <w:lang w:val="en-US" w:eastAsia="zh-CN" w:bidi="ar"/>
              </w:rPr>
              <w:t>0.</w:t>
            </w:r>
            <w:r>
              <w:rPr>
                <w:rFonts w:hint="eastAsia" w:cs="Times New Roman"/>
                <w:color w:val="auto"/>
                <w:kern w:val="0"/>
                <w:sz w:val="24"/>
                <w:szCs w:val="24"/>
                <w:highlight w:val="none"/>
                <w:lang w:val="en-US" w:eastAsia="zh-CN" w:bidi="ar"/>
              </w:rPr>
              <w:t>05</w:t>
            </w:r>
            <w:r>
              <w:rPr>
                <w:rFonts w:hint="default" w:ascii="Times New Roman" w:hAnsi="Times New Roman" w:eastAsia="宋体" w:cs="Times New Roman"/>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废活性炭</w:t>
            </w:r>
            <w:r>
              <w:rPr>
                <w:rFonts w:hint="default" w:ascii="Times New Roman" w:hAnsi="Times New Roman" w:eastAsia="宋体" w:cs="Times New Roman"/>
                <w:color w:val="auto"/>
                <w:kern w:val="0"/>
                <w:sz w:val="24"/>
                <w:szCs w:val="24"/>
                <w:highlight w:val="none"/>
                <w:lang w:val="en-US" w:eastAsia="zh-CN" w:bidi="ar"/>
              </w:rPr>
              <w:t>0.</w:t>
            </w:r>
            <w:r>
              <w:rPr>
                <w:rFonts w:hint="eastAsia"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分类收集后交由资质单位处置；生活垃圾</w:t>
            </w:r>
            <w:r>
              <w:rPr>
                <w:rFonts w:hint="eastAsia" w:cs="Times New Roman"/>
                <w:color w:val="auto"/>
                <w:kern w:val="0"/>
                <w:sz w:val="24"/>
                <w:szCs w:val="24"/>
                <w:highlight w:val="none"/>
                <w:lang w:val="en-US" w:eastAsia="zh-CN" w:bidi="ar"/>
              </w:rPr>
              <w:t>5.66</w:t>
            </w:r>
            <w:r>
              <w:rPr>
                <w:rFonts w:hint="default" w:ascii="Times New Roman" w:hAnsi="Times New Roman" w:eastAsia="宋体" w:cs="Times New Roman"/>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 xml:space="preserve">，交市政环卫部门统一处理。 </w:t>
            </w:r>
          </w:p>
          <w:p>
            <w:pPr>
              <w:keepNext w:val="0"/>
              <w:keepLines w:val="0"/>
              <w:widowControl/>
              <w:suppressLineNumbers w:val="0"/>
              <w:jc w:val="left"/>
              <w:rPr>
                <w:color w:val="auto"/>
                <w:sz w:val="24"/>
                <w:szCs w:val="24"/>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val="en-US" w:eastAsia="zh-CN" w:bidi="ar"/>
              </w:rPr>
              <w:t xml:space="preserve">）搬迁前医院污染物排放情况汇总 </w:t>
            </w:r>
          </w:p>
          <w:p>
            <w:pPr>
              <w:keepNext w:val="0"/>
              <w:keepLines w:val="0"/>
              <w:widowControl/>
              <w:suppressLineNumbers w:val="0"/>
              <w:jc w:val="left"/>
              <w:rPr>
                <w:color w:val="auto"/>
                <w:sz w:val="24"/>
                <w:szCs w:val="24"/>
                <w:highlight w:val="none"/>
              </w:rPr>
            </w:pPr>
            <w:r>
              <w:rPr>
                <w:rFonts w:hint="eastAsia" w:ascii="宋体" w:hAnsi="宋体" w:eastAsia="宋体" w:cs="宋体"/>
                <w:color w:val="auto"/>
                <w:kern w:val="0"/>
                <w:sz w:val="24"/>
                <w:szCs w:val="24"/>
                <w:highlight w:val="none"/>
                <w:lang w:val="en-US" w:eastAsia="zh-CN" w:bidi="ar"/>
              </w:rPr>
              <w:t>医院搬迁之前</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三废</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排放情况见表</w:t>
            </w:r>
            <w:r>
              <w:rPr>
                <w:rFonts w:hint="default" w:ascii="Times New Roman" w:hAnsi="Times New Roman" w:eastAsia="宋体" w:cs="Times New Roman"/>
                <w:color w:val="auto"/>
                <w:kern w:val="0"/>
                <w:sz w:val="24"/>
                <w:szCs w:val="24"/>
                <w:highlight w:val="none"/>
                <w:lang w:val="en-US" w:eastAsia="zh-CN" w:bidi="ar"/>
              </w:rPr>
              <w:t>2</w:t>
            </w:r>
            <w:r>
              <w:rPr>
                <w:rFonts w:hint="eastAsia" w:cs="Times New Roman"/>
                <w:color w:val="auto"/>
                <w:kern w:val="0"/>
                <w:sz w:val="24"/>
                <w:szCs w:val="24"/>
                <w:highlight w:val="none"/>
                <w:lang w:val="en-US" w:eastAsia="zh-CN" w:bidi="ar"/>
              </w:rPr>
              <w:t>.11</w:t>
            </w:r>
            <w:r>
              <w:rPr>
                <w:rFonts w:hint="eastAsia" w:ascii="宋体" w:hAnsi="宋体" w:eastAsia="宋体" w:cs="宋体"/>
                <w:color w:val="auto"/>
                <w:kern w:val="0"/>
                <w:sz w:val="24"/>
                <w:szCs w:val="24"/>
                <w:highlight w:val="none"/>
                <w:lang w:val="en-US" w:eastAsia="zh-CN" w:bidi="ar"/>
              </w:rPr>
              <w:t>。</w:t>
            </w:r>
          </w:p>
          <w:p>
            <w:pPr>
              <w:spacing w:line="360" w:lineRule="auto"/>
              <w:ind w:left="0" w:leftChars="0" w:firstLine="482" w:firstLineChars="200"/>
              <w:jc w:val="center"/>
              <w:rPr>
                <w:rFonts w:hint="eastAsia" w:ascii="宋体" w:hAnsi="宋体" w:eastAsia="宋体" w:cs="宋体"/>
                <w:color w:val="auto"/>
                <w:highlight w:val="none"/>
              </w:rPr>
            </w:pPr>
            <w:r>
              <w:rPr>
                <w:rFonts w:hint="eastAsia" w:ascii="宋体" w:hAnsi="宋体" w:eastAsia="宋体" w:cs="宋体"/>
                <w:b/>
                <w:bCs/>
                <w:color w:val="auto"/>
                <w:sz w:val="24"/>
                <w:szCs w:val="24"/>
                <w:highlight w:val="none"/>
                <w:lang w:val="en-US" w:eastAsia="zh-CN"/>
              </w:rPr>
              <w:t>表2.</w:t>
            </w:r>
            <w:r>
              <w:rPr>
                <w:rFonts w:hint="eastAsia" w:ascii="宋体" w:hAnsi="宋体" w:cs="宋体"/>
                <w:b/>
                <w:bCs/>
                <w:color w:val="auto"/>
                <w:sz w:val="24"/>
                <w:szCs w:val="24"/>
                <w:highlight w:val="none"/>
                <w:lang w:val="en-US" w:eastAsia="zh-CN"/>
              </w:rPr>
              <w:t>11</w:t>
            </w:r>
            <w:r>
              <w:rPr>
                <w:rFonts w:hint="eastAsia" w:ascii="宋体" w:hAnsi="宋体" w:eastAsia="宋体" w:cs="宋体"/>
                <w:b/>
                <w:bCs/>
                <w:color w:val="auto"/>
                <w:sz w:val="24"/>
                <w:szCs w:val="24"/>
                <w:highlight w:val="none"/>
                <w:lang w:val="en-US" w:eastAsia="zh-CN"/>
              </w:rPr>
              <w:t xml:space="preserve"> 羊市镇卫生院搬迁之前污染物排放情况</w:t>
            </w:r>
            <w:r>
              <w:rPr>
                <w:rFonts w:hint="eastAsia" w:ascii="宋体" w:hAnsi="宋体" w:eastAsia="宋体" w:cs="宋体"/>
                <w:b/>
                <w:bCs/>
                <w:color w:val="auto"/>
                <w:sz w:val="24"/>
                <w:highlight w:val="none"/>
              </w:rPr>
              <w:t>表</w:t>
            </w:r>
          </w:p>
          <w:tbl>
            <w:tblPr>
              <w:tblStyle w:val="29"/>
              <w:tblW w:w="78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1372"/>
              <w:gridCol w:w="965"/>
              <w:gridCol w:w="981"/>
              <w:gridCol w:w="3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污染源</w:t>
                  </w:r>
                  <w:r>
                    <w:rPr>
                      <w:rFonts w:hint="eastAsia" w:ascii="Times New Roman" w:hAnsi="Times New Roman" w:cs="Times New Roman"/>
                      <w:b w:val="0"/>
                      <w:bCs w:val="0"/>
                      <w:color w:val="auto"/>
                      <w:sz w:val="21"/>
                      <w:szCs w:val="21"/>
                      <w:highlight w:val="none"/>
                      <w:lang w:val="en-US" w:eastAsia="zh-CN"/>
                    </w:rPr>
                    <w:t>类型</w:t>
                  </w:r>
                </w:p>
              </w:tc>
              <w:tc>
                <w:tcPr>
                  <w:tcW w:w="137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污染物名称</w:t>
                  </w:r>
                </w:p>
              </w:tc>
              <w:tc>
                <w:tcPr>
                  <w:tcW w:w="96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产生</w:t>
                  </w:r>
                  <w:r>
                    <w:rPr>
                      <w:rFonts w:hint="eastAsia" w:ascii="Times New Roman" w:hAnsi="Times New Roman" w:cs="Times New Roman"/>
                      <w:b w:val="0"/>
                      <w:bCs w:val="0"/>
                      <w:color w:val="auto"/>
                      <w:sz w:val="21"/>
                      <w:szCs w:val="21"/>
                      <w:highlight w:val="none"/>
                      <w:lang w:val="en-US" w:eastAsia="zh-CN"/>
                    </w:rPr>
                    <w:t>量</w:t>
                  </w:r>
                </w:p>
              </w:tc>
              <w:tc>
                <w:tcPr>
                  <w:tcW w:w="98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排放量</w:t>
                  </w:r>
                </w:p>
              </w:tc>
              <w:tc>
                <w:tcPr>
                  <w:tcW w:w="3234"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处理措施及排放去向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1291" w:type="dxa"/>
                  <w:vMerge w:val="restart"/>
                  <w:tcBorders>
                    <w:top w:val="single" w:color="auto" w:sz="4" w:space="0"/>
                    <w:left w:val="single" w:color="auto" w:sz="4" w:space="0"/>
                    <w:right w:val="single" w:color="auto" w:sz="4" w:space="0"/>
                  </w:tcBorders>
                  <w:noWrap w:val="0"/>
                  <w:vAlign w:val="center"/>
                </w:tcPr>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 xml:space="preserve">医院废水 </w:t>
                  </w:r>
                </w:p>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0.2</w:t>
                  </w:r>
                  <w:r>
                    <w:rPr>
                      <w:rFonts w:hint="eastAsia" w:ascii="Times New Roman" w:hAnsi="Times New Roman" w:eastAsia="宋体" w:cs="Times New Roman"/>
                      <w:b w:val="0"/>
                      <w:bCs w:val="0"/>
                      <w:color w:val="auto"/>
                      <w:sz w:val="21"/>
                      <w:szCs w:val="21"/>
                      <w:highlight w:val="none"/>
                      <w:lang w:val="en-US" w:eastAsia="zh-CN"/>
                    </w:rPr>
                    <w:t xml:space="preserve">万 </w:t>
                  </w:r>
                </w:p>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/a</w:t>
                  </w:r>
                  <w:r>
                    <w:rPr>
                      <w:rFonts w:hint="eastAsia" w:ascii="Times New Roman" w:hAnsi="Times New Roman" w:eastAsia="宋体" w:cs="Times New Roman"/>
                      <w:b w:val="0"/>
                      <w:bCs w:val="0"/>
                      <w:color w:val="auto"/>
                      <w:sz w:val="21"/>
                      <w:szCs w:val="21"/>
                      <w:highlight w:val="none"/>
                      <w:lang w:val="en-US" w:eastAsia="zh-CN"/>
                    </w:rPr>
                    <w:t>）</w:t>
                  </w:r>
                </w:p>
              </w:tc>
              <w:tc>
                <w:tcPr>
                  <w:tcW w:w="137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COD</w:t>
                  </w:r>
                </w:p>
              </w:tc>
              <w:tc>
                <w:tcPr>
                  <w:tcW w:w="965" w:type="dxa"/>
                  <w:tcBorders>
                    <w:top w:val="single" w:color="auto" w:sz="4" w:space="0"/>
                    <w:left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1.2</w:t>
                  </w:r>
                  <w:r>
                    <w:rPr>
                      <w:rFonts w:hint="eastAsia" w:ascii="Times New Roman" w:hAnsi="Times New Roman" w:cs="Times New Roman"/>
                      <w:b w:val="0"/>
                      <w:bCs w:val="0"/>
                      <w:color w:val="auto"/>
                      <w:sz w:val="21"/>
                      <w:szCs w:val="21"/>
                      <w:highlight w:val="none"/>
                      <w:lang w:val="en-US" w:eastAsia="zh-CN"/>
                    </w:rPr>
                    <w:t>t/a</w:t>
                  </w:r>
                </w:p>
              </w:tc>
              <w:tc>
                <w:tcPr>
                  <w:tcW w:w="981" w:type="dxa"/>
                  <w:tcBorders>
                    <w:top w:val="single" w:color="auto" w:sz="4" w:space="0"/>
                    <w:left w:val="single" w:color="auto" w:sz="4" w:space="0"/>
                    <w:right w:val="single" w:color="auto" w:sz="4" w:space="0"/>
                  </w:tcBorders>
                  <w:noWrap w:val="0"/>
                  <w:vAlign w:val="center"/>
                </w:tcPr>
                <w:p>
                  <w:pPr>
                    <w:spacing w:line="300" w:lineRule="exact"/>
                    <w:ind w:left="0" w:leftChars="0"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0.18</w:t>
                  </w:r>
                  <w:r>
                    <w:rPr>
                      <w:rFonts w:hint="eastAsia" w:ascii="Times New Roman" w:hAnsi="Times New Roman" w:cs="Times New Roman"/>
                      <w:b w:val="0"/>
                      <w:bCs w:val="0"/>
                      <w:color w:val="auto"/>
                      <w:sz w:val="21"/>
                      <w:szCs w:val="21"/>
                      <w:highlight w:val="none"/>
                      <w:lang w:val="en-US" w:eastAsia="zh-CN"/>
                    </w:rPr>
                    <w:t>t/a</w:t>
                  </w:r>
                </w:p>
              </w:tc>
              <w:tc>
                <w:tcPr>
                  <w:tcW w:w="3234" w:type="dxa"/>
                  <w:vMerge w:val="restart"/>
                  <w:tcBorders>
                    <w:top w:val="single" w:color="auto" w:sz="4" w:space="0"/>
                    <w:left w:val="single" w:color="auto" w:sz="4" w:space="0"/>
                    <w:right w:val="single" w:color="auto" w:sz="4" w:space="0"/>
                  </w:tcBorders>
                  <w:noWrap w:val="0"/>
                  <w:vAlign w:val="center"/>
                </w:tcPr>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医院废水经医院污水处理站处理，达到《医疗机构水污染排放标准》（</w:t>
                  </w:r>
                  <w:r>
                    <w:rPr>
                      <w:rFonts w:hint="default" w:ascii="Times New Roman" w:hAnsi="Times New Roman" w:eastAsia="宋体" w:cs="Times New Roman"/>
                      <w:b w:val="0"/>
                      <w:bCs w:val="0"/>
                      <w:color w:val="auto"/>
                      <w:sz w:val="21"/>
                      <w:szCs w:val="21"/>
                      <w:highlight w:val="none"/>
                      <w:lang w:val="en-US" w:eastAsia="zh-CN"/>
                    </w:rPr>
                    <w:t>GB18466-2005</w:t>
                  </w:r>
                  <w:r>
                    <w:rPr>
                      <w:rFonts w:hint="eastAsia" w:ascii="Times New Roman" w:hAnsi="Times New Roman" w:eastAsia="宋体" w:cs="Times New Roman"/>
                      <w:b w:val="0"/>
                      <w:bCs w:val="0"/>
                      <w:color w:val="auto"/>
                      <w:sz w:val="21"/>
                      <w:szCs w:val="21"/>
                      <w:highlight w:val="none"/>
                      <w:lang w:val="en-US" w:eastAsia="zh-CN"/>
                    </w:rPr>
                    <w:t>）中表</w:t>
                  </w:r>
                </w:p>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 xml:space="preserve">2 </w:t>
                  </w:r>
                  <w:r>
                    <w:rPr>
                      <w:rFonts w:hint="eastAsia" w:ascii="Times New Roman" w:hAnsi="Times New Roman" w:eastAsia="宋体" w:cs="Times New Roman"/>
                      <w:b w:val="0"/>
                      <w:bCs w:val="0"/>
                      <w:color w:val="auto"/>
                      <w:sz w:val="21"/>
                      <w:szCs w:val="21"/>
                      <w:highlight w:val="none"/>
                      <w:lang w:val="en-US" w:eastAsia="zh-CN"/>
                    </w:rPr>
                    <w:t>的预处理标准后，排入城市污水管网，进入</w:t>
                  </w:r>
                  <w:r>
                    <w:rPr>
                      <w:rFonts w:hint="eastAsia" w:cs="Times New Roman"/>
                      <w:b w:val="0"/>
                      <w:bCs w:val="0"/>
                      <w:color w:val="auto"/>
                      <w:sz w:val="21"/>
                      <w:szCs w:val="21"/>
                      <w:highlight w:val="none"/>
                      <w:lang w:val="en-US" w:eastAsia="zh-CN"/>
                    </w:rPr>
                    <w:t>羊市镇</w:t>
                  </w:r>
                  <w:r>
                    <w:rPr>
                      <w:rFonts w:hint="eastAsia" w:ascii="Times New Roman" w:hAnsi="Times New Roman" w:eastAsia="宋体" w:cs="Times New Roman"/>
                      <w:b w:val="0"/>
                      <w:bCs w:val="0"/>
                      <w:color w:val="auto"/>
                      <w:sz w:val="21"/>
                      <w:szCs w:val="21"/>
                      <w:highlight w:val="none"/>
                      <w:lang w:val="en-US" w:eastAsia="zh-CN"/>
                    </w:rPr>
                    <w:t>污水处理厂深度处理达标后排入</w:t>
                  </w:r>
                  <w:r>
                    <w:rPr>
                      <w:rFonts w:hint="eastAsia" w:cs="Times New Roman"/>
                      <w:b w:val="0"/>
                      <w:bCs w:val="0"/>
                      <w:color w:val="auto"/>
                      <w:sz w:val="21"/>
                      <w:szCs w:val="21"/>
                      <w:highlight w:val="none"/>
                      <w:lang w:val="en-US" w:eastAsia="zh-CN"/>
                    </w:rPr>
                    <w:t>长滩</w:t>
                  </w:r>
                  <w:r>
                    <w:rPr>
                      <w:rFonts w:hint="eastAsia" w:ascii="Times New Roman" w:hAnsi="Times New Roman" w:eastAsia="宋体" w:cs="Times New Roman"/>
                      <w:b w:val="0"/>
                      <w:bCs w:val="0"/>
                      <w:color w:val="auto"/>
                      <w:sz w:val="21"/>
                      <w:szCs w:val="21"/>
                      <w:highlight w:val="none"/>
                      <w:lang w:val="en-US" w:eastAsia="zh-CN"/>
                    </w:rPr>
                    <w:t>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6" w:hRule="atLeast"/>
                <w:jc w:val="center"/>
              </w:trPr>
              <w:tc>
                <w:tcPr>
                  <w:tcW w:w="1291" w:type="dxa"/>
                  <w:vMerge w:val="continue"/>
                  <w:tcBorders>
                    <w:left w:val="single" w:color="auto" w:sz="4" w:space="0"/>
                    <w:right w:val="single" w:color="auto" w:sz="4" w:space="0"/>
                  </w:tcBorders>
                  <w:noWrap w:val="0"/>
                  <w:vAlign w:val="center"/>
                </w:tcPr>
                <w:p>
                  <w:pPr>
                    <w:spacing w:line="300" w:lineRule="exact"/>
                    <w:ind w:firstLine="0" w:firstLineChars="0"/>
                    <w:jc w:val="center"/>
                    <w:rPr>
                      <w:color w:val="auto"/>
                      <w:highlight w:val="none"/>
                    </w:rPr>
                  </w:pPr>
                </w:p>
              </w:tc>
              <w:tc>
                <w:tcPr>
                  <w:tcW w:w="137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NH</w:t>
                  </w:r>
                  <w:r>
                    <w:rPr>
                      <w:rFonts w:hint="eastAsia" w:ascii="Times New Roman" w:hAnsi="Times New Roman" w:cs="Times New Roman"/>
                      <w:b w:val="0"/>
                      <w:bCs w:val="0"/>
                      <w:color w:val="auto"/>
                      <w:sz w:val="21"/>
                      <w:szCs w:val="21"/>
                      <w:highlight w:val="none"/>
                      <w:vertAlign w:val="subscript"/>
                      <w:lang w:val="en-US" w:eastAsia="zh-CN"/>
                    </w:rPr>
                    <w:t>3</w:t>
                  </w:r>
                  <w:r>
                    <w:rPr>
                      <w:rFonts w:hint="eastAsia" w:ascii="Times New Roman" w:hAnsi="Times New Roman" w:cs="Times New Roman"/>
                      <w:b w:val="0"/>
                      <w:bCs w:val="0"/>
                      <w:color w:val="auto"/>
                      <w:sz w:val="21"/>
                      <w:szCs w:val="21"/>
                      <w:highlight w:val="none"/>
                      <w:lang w:val="en-US" w:eastAsia="zh-CN"/>
                    </w:rPr>
                    <w:t>-N</w:t>
                  </w:r>
                </w:p>
              </w:tc>
              <w:tc>
                <w:tcPr>
                  <w:tcW w:w="965" w:type="dxa"/>
                  <w:tcBorders>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0.35</w:t>
                  </w:r>
                  <w:r>
                    <w:rPr>
                      <w:rFonts w:hint="eastAsia" w:ascii="Times New Roman" w:hAnsi="Times New Roman" w:cs="Times New Roman"/>
                      <w:b w:val="0"/>
                      <w:bCs w:val="0"/>
                      <w:color w:val="auto"/>
                      <w:sz w:val="21"/>
                      <w:szCs w:val="21"/>
                      <w:highlight w:val="none"/>
                      <w:lang w:val="en-US" w:eastAsia="zh-CN"/>
                    </w:rPr>
                    <w:t>t/a</w:t>
                  </w:r>
                </w:p>
              </w:tc>
              <w:tc>
                <w:tcPr>
                  <w:tcW w:w="981" w:type="dxa"/>
                  <w:tcBorders>
                    <w:left w:val="single" w:color="auto" w:sz="4" w:space="0"/>
                    <w:bottom w:val="single" w:color="auto" w:sz="4" w:space="0"/>
                    <w:right w:val="single" w:color="auto" w:sz="4" w:space="0"/>
                  </w:tcBorders>
                  <w:noWrap w:val="0"/>
                  <w:vAlign w:val="center"/>
                </w:tcPr>
                <w:p>
                  <w:pPr>
                    <w:spacing w:line="300" w:lineRule="exact"/>
                    <w:ind w:left="0" w:leftChars="0"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0.02</w:t>
                  </w:r>
                  <w:r>
                    <w:rPr>
                      <w:rFonts w:hint="eastAsia" w:ascii="Times New Roman" w:hAnsi="Times New Roman" w:cs="Times New Roman"/>
                      <w:b w:val="0"/>
                      <w:bCs w:val="0"/>
                      <w:color w:val="auto"/>
                      <w:sz w:val="21"/>
                      <w:szCs w:val="21"/>
                      <w:highlight w:val="none"/>
                      <w:lang w:val="en-US" w:eastAsia="zh-CN"/>
                    </w:rPr>
                    <w:t>t/a</w:t>
                  </w:r>
                </w:p>
              </w:tc>
              <w:tc>
                <w:tcPr>
                  <w:tcW w:w="3234" w:type="dxa"/>
                  <w:vMerge w:val="continue"/>
                  <w:tcBorders>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1291" w:type="dxa"/>
                  <w:vMerge w:val="restart"/>
                  <w:tcBorders>
                    <w:left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废气</w:t>
                  </w:r>
                </w:p>
              </w:tc>
              <w:tc>
                <w:tcPr>
                  <w:tcW w:w="137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 xml:space="preserve">污水处理站 </w:t>
                  </w:r>
                </w:p>
                <w:p>
                  <w:pPr>
                    <w:spacing w:line="30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臭气</w:t>
                  </w:r>
                </w:p>
              </w:tc>
              <w:tc>
                <w:tcPr>
                  <w:tcW w:w="965" w:type="dxa"/>
                  <w:tcBorders>
                    <w:top w:val="single" w:color="auto" w:sz="4" w:space="0"/>
                    <w:left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少量</w:t>
                  </w:r>
                </w:p>
              </w:tc>
              <w:tc>
                <w:tcPr>
                  <w:tcW w:w="981" w:type="dxa"/>
                  <w:tcBorders>
                    <w:top w:val="single" w:color="auto" w:sz="4" w:space="0"/>
                    <w:left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少量</w:t>
                  </w:r>
                </w:p>
              </w:tc>
              <w:tc>
                <w:tcPr>
                  <w:tcW w:w="3234" w:type="dxa"/>
                  <w:tcBorders>
                    <w:top w:val="single" w:color="auto" w:sz="4" w:space="0"/>
                    <w:left w:val="single" w:color="auto" w:sz="4" w:space="0"/>
                    <w:right w:val="single" w:color="auto" w:sz="4" w:space="0"/>
                  </w:tcBorders>
                  <w:noWrap w:val="0"/>
                  <w:vAlign w:val="center"/>
                </w:tcPr>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污水池加盖密闭，无组织排放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1291" w:type="dxa"/>
                  <w:vMerge w:val="continue"/>
                  <w:tcBorders>
                    <w:left w:val="single" w:color="auto" w:sz="4" w:space="0"/>
                    <w:right w:val="single" w:color="auto" w:sz="4" w:space="0"/>
                  </w:tcBorders>
                  <w:noWrap w:val="0"/>
                  <w:vAlign w:val="center"/>
                </w:tcPr>
                <w:p>
                  <w:pPr>
                    <w:spacing w:line="300" w:lineRule="exact"/>
                    <w:ind w:firstLine="0" w:firstLineChars="0"/>
                    <w:jc w:val="center"/>
                    <w:rPr>
                      <w:color w:val="auto"/>
                      <w:highlight w:val="none"/>
                    </w:rPr>
                  </w:pPr>
                </w:p>
              </w:tc>
              <w:tc>
                <w:tcPr>
                  <w:tcW w:w="137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中药异味</w:t>
                  </w:r>
                </w:p>
              </w:tc>
              <w:tc>
                <w:tcPr>
                  <w:tcW w:w="965" w:type="dxa"/>
                  <w:tcBorders>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少量</w:t>
                  </w:r>
                </w:p>
              </w:tc>
              <w:tc>
                <w:tcPr>
                  <w:tcW w:w="981" w:type="dxa"/>
                  <w:tcBorders>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少量</w:t>
                  </w:r>
                </w:p>
              </w:tc>
              <w:tc>
                <w:tcPr>
                  <w:tcW w:w="3234" w:type="dxa"/>
                  <w:tcBorders>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加强机械通风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1291" w:type="dxa"/>
                  <w:vMerge w:val="restart"/>
                  <w:tcBorders>
                    <w:left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固体废物</w:t>
                  </w:r>
                </w:p>
              </w:tc>
              <w:tc>
                <w:tcPr>
                  <w:tcW w:w="137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医疗</w:t>
                  </w:r>
                  <w:r>
                    <w:rPr>
                      <w:rFonts w:hint="eastAsia" w:cs="Times New Roman"/>
                      <w:b w:val="0"/>
                      <w:bCs w:val="0"/>
                      <w:color w:val="auto"/>
                      <w:sz w:val="21"/>
                      <w:szCs w:val="21"/>
                      <w:highlight w:val="none"/>
                      <w:lang w:val="en-US" w:eastAsia="zh-CN"/>
                    </w:rPr>
                    <w:t>废物</w:t>
                  </w:r>
                </w:p>
              </w:tc>
              <w:tc>
                <w:tcPr>
                  <w:tcW w:w="96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left="0" w:leftChars="0" w:firstLine="0" w:firstLineChars="0"/>
                    <w:jc w:val="both"/>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3.2</w:t>
                  </w:r>
                  <w:r>
                    <w:rPr>
                      <w:rFonts w:hint="eastAsia" w:ascii="Times New Roman" w:hAnsi="Times New Roman" w:cs="Times New Roman"/>
                      <w:b w:val="0"/>
                      <w:bCs w:val="0"/>
                      <w:color w:val="auto"/>
                      <w:sz w:val="21"/>
                      <w:szCs w:val="21"/>
                      <w:highlight w:val="none"/>
                      <w:lang w:val="en-US" w:eastAsia="zh-CN"/>
                    </w:rPr>
                    <w:t>t/a</w:t>
                  </w:r>
                </w:p>
              </w:tc>
              <w:tc>
                <w:tcPr>
                  <w:tcW w:w="98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3234" w:type="dxa"/>
                  <w:vMerge w:val="restart"/>
                  <w:tcBorders>
                    <w:top w:val="single" w:color="auto" w:sz="4" w:space="0"/>
                    <w:left w:val="single" w:color="auto" w:sz="4" w:space="0"/>
                    <w:right w:val="single" w:color="auto" w:sz="4" w:space="0"/>
                  </w:tcBorders>
                  <w:noWrap w:val="0"/>
                  <w:vAlign w:val="center"/>
                </w:tcPr>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分类收集后交由医疗废物处置资质单位处理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1291" w:type="dxa"/>
                  <w:vMerge w:val="continue"/>
                  <w:tcBorders>
                    <w:left w:val="single" w:color="auto" w:sz="4" w:space="0"/>
                    <w:right w:val="single" w:color="auto" w:sz="4" w:space="0"/>
                  </w:tcBorders>
                  <w:noWrap w:val="0"/>
                  <w:vAlign w:val="center"/>
                </w:tcPr>
                <w:p>
                  <w:pPr>
                    <w:spacing w:line="300" w:lineRule="exact"/>
                    <w:ind w:firstLine="0" w:firstLineChars="0"/>
                    <w:jc w:val="center"/>
                    <w:rPr>
                      <w:rFonts w:hint="eastAsia" w:cs="Times New Roman"/>
                      <w:b w:val="0"/>
                      <w:bCs w:val="0"/>
                      <w:color w:val="auto"/>
                      <w:sz w:val="21"/>
                      <w:szCs w:val="21"/>
                      <w:highlight w:val="none"/>
                      <w:lang w:val="en-US" w:eastAsia="zh-CN"/>
                    </w:rPr>
                  </w:pPr>
                </w:p>
              </w:tc>
              <w:tc>
                <w:tcPr>
                  <w:tcW w:w="137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医疗废水污泥</w:t>
                  </w:r>
                </w:p>
              </w:tc>
              <w:tc>
                <w:tcPr>
                  <w:tcW w:w="96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left="0" w:leftChars="0" w:firstLine="0" w:firstLineChars="0"/>
                    <w:jc w:val="both"/>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0.05</w:t>
                  </w:r>
                  <w:r>
                    <w:rPr>
                      <w:rFonts w:hint="eastAsia" w:ascii="Times New Roman" w:hAnsi="Times New Roman" w:cs="Times New Roman"/>
                      <w:b w:val="0"/>
                      <w:bCs w:val="0"/>
                      <w:color w:val="auto"/>
                      <w:sz w:val="21"/>
                      <w:szCs w:val="21"/>
                      <w:highlight w:val="none"/>
                      <w:lang w:val="en-US" w:eastAsia="zh-CN"/>
                    </w:rPr>
                    <w:t>t/a</w:t>
                  </w:r>
                </w:p>
              </w:tc>
              <w:tc>
                <w:tcPr>
                  <w:tcW w:w="98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3234" w:type="dxa"/>
                  <w:vMerge w:val="continue"/>
                  <w:tcBorders>
                    <w:left w:val="single" w:color="auto" w:sz="4" w:space="0"/>
                    <w:right w:val="single" w:color="auto" w:sz="4" w:space="0"/>
                  </w:tcBorders>
                  <w:noWrap w:val="0"/>
                  <w:vAlign w:val="center"/>
                </w:tcPr>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1291" w:type="dxa"/>
                  <w:vMerge w:val="continue"/>
                  <w:tcBorders>
                    <w:left w:val="single" w:color="auto" w:sz="4" w:space="0"/>
                    <w:right w:val="single" w:color="auto" w:sz="4" w:space="0"/>
                  </w:tcBorders>
                  <w:noWrap w:val="0"/>
                  <w:vAlign w:val="center"/>
                </w:tcPr>
                <w:p>
                  <w:pPr>
                    <w:spacing w:line="300" w:lineRule="exact"/>
                    <w:ind w:firstLine="0" w:firstLineChars="0"/>
                    <w:jc w:val="center"/>
                    <w:rPr>
                      <w:rFonts w:hint="eastAsia" w:cs="Times New Roman"/>
                      <w:b w:val="0"/>
                      <w:bCs w:val="0"/>
                      <w:color w:val="auto"/>
                      <w:sz w:val="21"/>
                      <w:szCs w:val="21"/>
                      <w:highlight w:val="none"/>
                      <w:lang w:val="en-US" w:eastAsia="zh-CN"/>
                    </w:rPr>
                  </w:pPr>
                </w:p>
              </w:tc>
              <w:tc>
                <w:tcPr>
                  <w:tcW w:w="137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废活性炭</w:t>
                  </w:r>
                </w:p>
              </w:tc>
              <w:tc>
                <w:tcPr>
                  <w:tcW w:w="96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left="0" w:leftChars="0" w:firstLine="0" w:firstLineChars="0"/>
                    <w:jc w:val="both"/>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0.1</w:t>
                  </w:r>
                  <w:r>
                    <w:rPr>
                      <w:rFonts w:hint="eastAsia" w:ascii="Times New Roman" w:hAnsi="Times New Roman" w:cs="Times New Roman"/>
                      <w:b w:val="0"/>
                      <w:bCs w:val="0"/>
                      <w:color w:val="auto"/>
                      <w:sz w:val="21"/>
                      <w:szCs w:val="21"/>
                      <w:highlight w:val="none"/>
                      <w:lang w:val="en-US" w:eastAsia="zh-CN"/>
                    </w:rPr>
                    <w:t>t/a</w:t>
                  </w:r>
                </w:p>
              </w:tc>
              <w:tc>
                <w:tcPr>
                  <w:tcW w:w="98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3234" w:type="dxa"/>
                  <w:vMerge w:val="continue"/>
                  <w:tcBorders>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1291" w:type="dxa"/>
                  <w:vMerge w:val="continue"/>
                  <w:tcBorders>
                    <w:left w:val="single" w:color="auto" w:sz="4" w:space="0"/>
                    <w:right w:val="single" w:color="auto" w:sz="4" w:space="0"/>
                  </w:tcBorders>
                  <w:noWrap w:val="0"/>
                  <w:vAlign w:val="center"/>
                </w:tcPr>
                <w:p>
                  <w:pPr>
                    <w:spacing w:line="300" w:lineRule="exact"/>
                    <w:ind w:firstLine="0" w:firstLineChars="0"/>
                    <w:jc w:val="center"/>
                    <w:rPr>
                      <w:rFonts w:hint="eastAsia" w:cs="Times New Roman"/>
                      <w:b w:val="0"/>
                      <w:bCs w:val="0"/>
                      <w:color w:val="auto"/>
                      <w:sz w:val="21"/>
                      <w:szCs w:val="21"/>
                      <w:highlight w:val="none"/>
                      <w:lang w:val="en-US" w:eastAsia="zh-CN"/>
                    </w:rPr>
                  </w:pPr>
                </w:p>
              </w:tc>
              <w:tc>
                <w:tcPr>
                  <w:tcW w:w="137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生活垃圾</w:t>
                  </w:r>
                </w:p>
              </w:tc>
              <w:tc>
                <w:tcPr>
                  <w:tcW w:w="96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left="0" w:leftChars="0" w:firstLine="0" w:firstLineChars="0"/>
                    <w:jc w:val="both"/>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5.66</w:t>
                  </w:r>
                  <w:r>
                    <w:rPr>
                      <w:rFonts w:hint="eastAsia" w:ascii="Times New Roman" w:hAnsi="Times New Roman" w:cs="Times New Roman"/>
                      <w:b w:val="0"/>
                      <w:bCs w:val="0"/>
                      <w:color w:val="auto"/>
                      <w:sz w:val="21"/>
                      <w:szCs w:val="21"/>
                      <w:highlight w:val="none"/>
                      <w:lang w:val="en-US" w:eastAsia="zh-CN"/>
                    </w:rPr>
                    <w:t>t/a</w:t>
                  </w:r>
                </w:p>
              </w:tc>
              <w:tc>
                <w:tcPr>
                  <w:tcW w:w="98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3234"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由垃圾桶收集后交由环卫部门处理</w:t>
                  </w:r>
                </w:p>
              </w:tc>
            </w:tr>
          </w:tbl>
          <w:p>
            <w:pPr>
              <w:pStyle w:val="20"/>
              <w:rPr>
                <w:rFonts w:hint="eastAsia"/>
                <w:color w:val="auto"/>
                <w:highlight w:val="none"/>
              </w:rPr>
            </w:pPr>
          </w:p>
          <w:p>
            <w:pPr>
              <w:keepNext w:val="0"/>
              <w:keepLines w:val="0"/>
              <w:widowControl/>
              <w:suppressLineNumbers w:val="0"/>
              <w:ind w:left="0" w:leftChars="0" w:firstLine="0" w:firstLineChars="0"/>
              <w:jc w:val="left"/>
              <w:rPr>
                <w:rFonts w:hint="eastAsia"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 xml:space="preserve">2.13 </w:t>
            </w:r>
            <w:r>
              <w:rPr>
                <w:rFonts w:hint="eastAsia" w:ascii="宋体" w:hAnsi="宋体" w:eastAsia="宋体" w:cs="宋体"/>
                <w:b/>
                <w:bCs/>
                <w:color w:val="auto"/>
                <w:kern w:val="0"/>
                <w:sz w:val="24"/>
                <w:szCs w:val="24"/>
                <w:highlight w:val="none"/>
                <w:lang w:val="en-US" w:eastAsia="zh-CN" w:bidi="ar"/>
              </w:rPr>
              <w:t>搬迁前环保投诉情况</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医院营运过程中未收到环保投诉。</w:t>
            </w:r>
          </w:p>
          <w:p>
            <w:pPr>
              <w:keepNext w:val="0"/>
              <w:keepLines w:val="0"/>
              <w:widowControl/>
              <w:suppressLineNumbers w:val="0"/>
              <w:ind w:left="0" w:leftChars="0" w:firstLine="0" w:firstLineChars="0"/>
              <w:jc w:val="left"/>
              <w:rPr>
                <w:rFonts w:hint="eastAsia"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2.14现有院区</w:t>
            </w:r>
            <w:r>
              <w:rPr>
                <w:rFonts w:hint="eastAsia" w:ascii="宋体" w:hAnsi="宋体" w:eastAsia="宋体" w:cs="宋体"/>
                <w:b/>
                <w:bCs/>
                <w:color w:val="auto"/>
                <w:kern w:val="0"/>
                <w:sz w:val="24"/>
                <w:szCs w:val="24"/>
                <w:highlight w:val="none"/>
                <w:lang w:val="en-US" w:eastAsia="zh-CN" w:bidi="ar"/>
              </w:rPr>
              <w:t>环境遗留问题</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新院区投入运行后，现有设备</w:t>
            </w:r>
            <w:r>
              <w:rPr>
                <w:rFonts w:hint="eastAsia" w:ascii="宋体" w:hAnsi="宋体" w:cs="宋体"/>
                <w:color w:val="auto"/>
                <w:kern w:val="0"/>
                <w:sz w:val="24"/>
                <w:szCs w:val="24"/>
                <w:highlight w:val="none"/>
                <w:lang w:val="en-US" w:eastAsia="zh-CN" w:bidi="ar"/>
              </w:rPr>
              <w:t>将</w:t>
            </w:r>
            <w:r>
              <w:rPr>
                <w:rFonts w:hint="eastAsia" w:ascii="宋体" w:hAnsi="宋体" w:eastAsia="宋体" w:cs="宋体"/>
                <w:color w:val="auto"/>
                <w:kern w:val="0"/>
                <w:sz w:val="24"/>
                <w:szCs w:val="24"/>
                <w:highlight w:val="none"/>
                <w:lang w:val="en-US" w:eastAsia="zh-CN" w:bidi="ar"/>
              </w:rPr>
              <w:t>搬迁至新院区，原有卫生院建筑暂时保留，由奉节县羊市镇政府收回，若拆除另建将另行开展环境影响评价。</w:t>
            </w:r>
          </w:p>
          <w:p>
            <w:pPr>
              <w:spacing w:line="360" w:lineRule="auto"/>
              <w:ind w:left="0" w:leftChars="0" w:firstLine="482" w:firstLineChars="200"/>
              <w:jc w:val="center"/>
              <w:rPr>
                <w:rFonts w:hint="default" w:ascii="宋体" w:hAnsi="宋体" w:eastAsia="宋体" w:cs="宋体"/>
                <w:color w:val="auto"/>
                <w:highlight w:val="none"/>
                <w:lang w:val="en-US"/>
              </w:rPr>
            </w:pPr>
            <w:r>
              <w:rPr>
                <w:rFonts w:hint="eastAsia" w:ascii="宋体" w:hAnsi="宋体" w:eastAsia="宋体" w:cs="宋体"/>
                <w:b/>
                <w:bCs/>
                <w:color w:val="auto"/>
                <w:sz w:val="24"/>
                <w:szCs w:val="24"/>
                <w:highlight w:val="none"/>
                <w:lang w:val="en-US" w:eastAsia="zh-CN"/>
              </w:rPr>
              <w:t>表2.</w:t>
            </w:r>
            <w:r>
              <w:rPr>
                <w:rFonts w:hint="eastAsia" w:ascii="宋体" w:hAnsi="宋体" w:cs="宋体"/>
                <w:b/>
                <w:bCs/>
                <w:color w:val="auto"/>
                <w:sz w:val="24"/>
                <w:szCs w:val="24"/>
                <w:highlight w:val="none"/>
                <w:lang w:val="en-US" w:eastAsia="zh-CN"/>
              </w:rPr>
              <w:t>12</w:t>
            </w:r>
            <w:r>
              <w:rPr>
                <w:rFonts w:hint="eastAsia" w:ascii="宋体" w:hAnsi="宋体" w:eastAsia="宋体" w:cs="宋体"/>
                <w:b/>
                <w:bCs/>
                <w:color w:val="auto"/>
                <w:sz w:val="24"/>
                <w:szCs w:val="24"/>
                <w:highlight w:val="none"/>
                <w:lang w:val="en-US" w:eastAsia="zh-CN"/>
              </w:rPr>
              <w:t xml:space="preserve"> </w:t>
            </w:r>
            <w:r>
              <w:rPr>
                <w:rFonts w:hint="eastAsia" w:ascii="宋体" w:hAnsi="宋体" w:cs="宋体"/>
                <w:b/>
                <w:bCs/>
                <w:color w:val="auto"/>
                <w:sz w:val="24"/>
                <w:szCs w:val="24"/>
                <w:highlight w:val="none"/>
                <w:lang w:val="en-US" w:eastAsia="zh-CN"/>
              </w:rPr>
              <w:t>现有院区环境问题</w:t>
            </w:r>
          </w:p>
          <w:tbl>
            <w:tblPr>
              <w:tblStyle w:val="29"/>
              <w:tblW w:w="72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665"/>
              <w:gridCol w:w="1215"/>
              <w:gridCol w:w="1725"/>
              <w:gridCol w:w="3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序号</w:t>
                  </w:r>
                </w:p>
              </w:tc>
              <w:tc>
                <w:tcPr>
                  <w:tcW w:w="1880"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污染类型</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存在问题</w:t>
                  </w:r>
                </w:p>
              </w:tc>
              <w:tc>
                <w:tcPr>
                  <w:tcW w:w="304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“以新带老”措施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1" w:type="dxa"/>
                  <w:vMerge w:val="restart"/>
                  <w:tcBorders>
                    <w:top w:val="single" w:color="auto" w:sz="4" w:space="0"/>
                    <w:left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665" w:type="dxa"/>
                  <w:vMerge w:val="restart"/>
                  <w:tcBorders>
                    <w:top w:val="single" w:color="auto" w:sz="4" w:space="0"/>
                    <w:left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废气</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污水站</w:t>
                  </w:r>
                </w:p>
              </w:tc>
              <w:tc>
                <w:tcPr>
                  <w:tcW w:w="1725" w:type="dxa"/>
                  <w:tcBorders>
                    <w:top w:val="single" w:color="auto" w:sz="4" w:space="0"/>
                    <w:left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未处理污水站废气；</w:t>
                  </w:r>
                </w:p>
              </w:tc>
              <w:tc>
                <w:tcPr>
                  <w:tcW w:w="3043" w:type="dxa"/>
                  <w:tcBorders>
                    <w:top w:val="single" w:color="auto" w:sz="4" w:space="0"/>
                    <w:left w:val="single" w:color="auto" w:sz="4" w:space="0"/>
                    <w:right w:val="single" w:color="auto" w:sz="4" w:space="0"/>
                  </w:tcBorders>
                  <w:noWrap w:val="0"/>
                  <w:vAlign w:val="center"/>
                </w:tcPr>
                <w:p>
                  <w:pPr>
                    <w:spacing w:line="300" w:lineRule="exact"/>
                    <w:ind w:firstLine="0" w:firstLineChars="0"/>
                    <w:jc w:val="left"/>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新建污水处理站臭气管道收集后经</w:t>
                  </w:r>
                  <w:r>
                    <w:rPr>
                      <w:rFonts w:hint="default"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活性炭</w:t>
                  </w:r>
                  <w:r>
                    <w:rPr>
                      <w:rFonts w:hint="default"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处理后由</w:t>
                  </w:r>
                  <w:r>
                    <w:rPr>
                      <w:rFonts w:hint="default" w:cs="Times New Roman"/>
                      <w:b w:val="0"/>
                      <w:bCs w:val="0"/>
                      <w:color w:val="auto"/>
                      <w:sz w:val="21"/>
                      <w:szCs w:val="21"/>
                      <w:highlight w:val="none"/>
                      <w:lang w:val="en-US" w:eastAsia="zh-CN"/>
                    </w:rPr>
                    <w:t>15</w:t>
                  </w:r>
                  <w:r>
                    <w:rPr>
                      <w:rFonts w:hint="eastAsia" w:cs="Times New Roman"/>
                      <w:b w:val="0"/>
                      <w:bCs w:val="0"/>
                      <w:color w:val="auto"/>
                      <w:sz w:val="21"/>
                      <w:szCs w:val="21"/>
                      <w:highlight w:val="none"/>
                      <w:lang w:val="en-US" w:eastAsia="zh-CN"/>
                    </w:rPr>
                    <w:t>米高排气筒有组织排放；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1" w:type="dxa"/>
                  <w:vMerge w:val="continue"/>
                  <w:tcBorders>
                    <w:left w:val="single" w:color="auto" w:sz="4" w:space="0"/>
                    <w:right w:val="single" w:color="auto" w:sz="4" w:space="0"/>
                  </w:tcBorders>
                  <w:noWrap w:val="0"/>
                  <w:vAlign w:val="center"/>
                </w:tcPr>
                <w:p>
                  <w:pPr>
                    <w:spacing w:line="300" w:lineRule="exact"/>
                    <w:ind w:firstLine="0" w:firstLineChars="0"/>
                    <w:jc w:val="center"/>
                    <w:rPr>
                      <w:rFonts w:hint="eastAsia" w:cs="Times New Roman"/>
                      <w:b w:val="0"/>
                      <w:bCs w:val="0"/>
                      <w:color w:val="auto"/>
                      <w:sz w:val="21"/>
                      <w:szCs w:val="21"/>
                      <w:highlight w:val="none"/>
                      <w:lang w:val="en-US" w:eastAsia="zh-CN"/>
                    </w:rPr>
                  </w:pPr>
                </w:p>
              </w:tc>
              <w:tc>
                <w:tcPr>
                  <w:tcW w:w="665" w:type="dxa"/>
                  <w:vMerge w:val="continue"/>
                  <w:tcBorders>
                    <w:left w:val="single" w:color="auto" w:sz="4" w:space="0"/>
                    <w:right w:val="single" w:color="auto" w:sz="4" w:space="0"/>
                  </w:tcBorders>
                  <w:noWrap w:val="0"/>
                  <w:vAlign w:val="center"/>
                </w:tcPr>
                <w:p>
                  <w:pPr>
                    <w:spacing w:line="300" w:lineRule="exact"/>
                    <w:ind w:firstLine="0" w:firstLineChars="0"/>
                    <w:jc w:val="center"/>
                    <w:rPr>
                      <w:rFonts w:hint="eastAsia" w:cs="Times New Roman"/>
                      <w:b w:val="0"/>
                      <w:bCs w:val="0"/>
                      <w:color w:val="auto"/>
                      <w:sz w:val="21"/>
                      <w:szCs w:val="21"/>
                      <w:highlight w:val="none"/>
                      <w:lang w:val="en-US" w:eastAsia="zh-CN"/>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医疗废物暂存间</w:t>
                  </w:r>
                </w:p>
              </w:tc>
              <w:tc>
                <w:tcPr>
                  <w:tcW w:w="1725" w:type="dxa"/>
                  <w:tcBorders>
                    <w:top w:val="single" w:color="auto" w:sz="4" w:space="0"/>
                    <w:left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机械排风，未处理危险废物暂存间废气；</w:t>
                  </w:r>
                </w:p>
              </w:tc>
              <w:tc>
                <w:tcPr>
                  <w:tcW w:w="3043" w:type="dxa"/>
                  <w:tcBorders>
                    <w:left w:val="single" w:color="auto" w:sz="4" w:space="0"/>
                    <w:right w:val="single" w:color="auto" w:sz="4" w:space="0"/>
                  </w:tcBorders>
                  <w:noWrap w:val="0"/>
                  <w:vAlign w:val="center"/>
                </w:tcPr>
                <w:p>
                  <w:pPr>
                    <w:spacing w:line="300" w:lineRule="exact"/>
                    <w:ind w:firstLine="0" w:firstLineChars="0"/>
                    <w:jc w:val="left"/>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危险废物暂存间废气经活性炭装置吸附处理后经引风机引至危险废物暂存间屋顶排放；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1" w:type="dxa"/>
                  <w:vMerge w:val="continue"/>
                  <w:tcBorders>
                    <w:left w:val="single" w:color="auto" w:sz="4" w:space="0"/>
                    <w:right w:val="single" w:color="auto" w:sz="4" w:space="0"/>
                  </w:tcBorders>
                  <w:noWrap w:val="0"/>
                  <w:vAlign w:val="center"/>
                </w:tcPr>
                <w:p>
                  <w:pPr>
                    <w:spacing w:line="300" w:lineRule="exact"/>
                    <w:ind w:firstLine="0" w:firstLineChars="0"/>
                    <w:jc w:val="center"/>
                    <w:rPr>
                      <w:rFonts w:hint="eastAsia" w:cs="Times New Roman"/>
                      <w:b w:val="0"/>
                      <w:bCs w:val="0"/>
                      <w:color w:val="auto"/>
                      <w:sz w:val="21"/>
                      <w:szCs w:val="21"/>
                      <w:highlight w:val="none"/>
                      <w:lang w:val="en-US" w:eastAsia="zh-CN"/>
                    </w:rPr>
                  </w:pPr>
                </w:p>
              </w:tc>
              <w:tc>
                <w:tcPr>
                  <w:tcW w:w="665" w:type="dxa"/>
                  <w:vMerge w:val="continue"/>
                  <w:tcBorders>
                    <w:left w:val="single" w:color="auto" w:sz="4" w:space="0"/>
                    <w:right w:val="single" w:color="auto" w:sz="4" w:space="0"/>
                  </w:tcBorders>
                  <w:noWrap w:val="0"/>
                  <w:vAlign w:val="center"/>
                </w:tcPr>
                <w:p>
                  <w:pPr>
                    <w:spacing w:line="300" w:lineRule="exact"/>
                    <w:ind w:firstLine="0" w:firstLineChars="0"/>
                    <w:jc w:val="center"/>
                    <w:rPr>
                      <w:rFonts w:hint="eastAsia" w:cs="Times New Roman"/>
                      <w:b w:val="0"/>
                      <w:bCs w:val="0"/>
                      <w:color w:val="auto"/>
                      <w:sz w:val="21"/>
                      <w:szCs w:val="21"/>
                      <w:highlight w:val="none"/>
                      <w:lang w:val="en-US" w:eastAsia="zh-CN"/>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中药煎药</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未收集中药煎药废气；</w:t>
                  </w:r>
                </w:p>
              </w:tc>
              <w:tc>
                <w:tcPr>
                  <w:tcW w:w="3043" w:type="dxa"/>
                  <w:tcBorders>
                    <w:left w:val="single" w:color="auto" w:sz="4" w:space="0"/>
                    <w:right w:val="single" w:color="auto" w:sz="4" w:space="0"/>
                  </w:tcBorders>
                  <w:noWrap w:val="0"/>
                  <w:vAlign w:val="center"/>
                </w:tcPr>
                <w:p>
                  <w:pPr>
                    <w:spacing w:line="300" w:lineRule="exact"/>
                    <w:ind w:firstLine="0" w:firstLineChars="0"/>
                    <w:jc w:val="left"/>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经烟道引至楼顶排放；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1" w:type="dxa"/>
                  <w:tcBorders>
                    <w:left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665" w:type="dxa"/>
                  <w:tcBorders>
                    <w:left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风险</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污水站</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未设置事故池</w:t>
                  </w:r>
                </w:p>
              </w:tc>
              <w:tc>
                <w:tcPr>
                  <w:tcW w:w="3043" w:type="dxa"/>
                  <w:tcBorders>
                    <w:left w:val="single" w:color="auto" w:sz="4" w:space="0"/>
                    <w:right w:val="single" w:color="auto" w:sz="4" w:space="0"/>
                  </w:tcBorders>
                  <w:noWrap w:val="0"/>
                  <w:vAlign w:val="center"/>
                </w:tcPr>
                <w:p>
                  <w:pPr>
                    <w:spacing w:line="300" w:lineRule="exact"/>
                    <w:ind w:firstLine="0" w:firstLineChars="0"/>
                    <w:jc w:val="left"/>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新建污水处理站配套设置事故池。</w:t>
                  </w:r>
                </w:p>
              </w:tc>
            </w:tr>
          </w:tbl>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项目搬迁后，以上环境问题将不复存在。 </w:t>
            </w:r>
          </w:p>
          <w:p>
            <w:pPr>
              <w:keepNext w:val="0"/>
              <w:keepLines w:val="0"/>
              <w:widowControl/>
              <w:suppressLineNumbers w:val="0"/>
              <w:jc w:val="left"/>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原有院区的医疗废物暂存间有围堰设施，且地面已做防渗措施，且自运营以来，未发生过火灾、泄漏等风险事故，未发生过环保投诉。</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本着谁污染谁治理的原则，项目完成搬迁后，对现有场址拆迁后的设备、设施，剩余原辅材料及固废的处理处置应符合相关环保要求，现有场址的搬迁中及搬迁后的具体环境保护措施不包含在本次评价中。本次评价仅对现有场址的搬迁中及搬迁后的环境保护提出以上反馈要求。</w:t>
            </w:r>
          </w:p>
          <w:p>
            <w:pPr>
              <w:keepNext w:val="0"/>
              <w:keepLines w:val="0"/>
              <w:pageBreakBefore w:val="0"/>
              <w:widowControl/>
              <w:suppressLineNumbers w:val="0"/>
              <w:kinsoku/>
              <w:wordWrap/>
              <w:overflowPunct/>
              <w:topLinePunct w:val="0"/>
              <w:autoSpaceDE/>
              <w:autoSpaceDN/>
              <w:bidi w:val="0"/>
              <w:adjustRightInd/>
              <w:spacing w:line="360" w:lineRule="auto"/>
              <w:ind w:left="0" w:leftChars="0" w:firstLine="0" w:firstLineChars="0"/>
              <w:jc w:val="left"/>
              <w:textAlignment w:val="auto"/>
              <w:rPr>
                <w:rFonts w:hint="eastAsia"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2.15</w:t>
            </w:r>
            <w:r>
              <w:rPr>
                <w:rFonts w:hint="eastAsia" w:ascii="宋体" w:hAnsi="宋体" w:eastAsia="宋体" w:cs="宋体"/>
                <w:b/>
                <w:bCs/>
                <w:color w:val="auto"/>
                <w:kern w:val="0"/>
                <w:sz w:val="24"/>
                <w:szCs w:val="24"/>
                <w:highlight w:val="none"/>
                <w:lang w:val="en-US" w:eastAsia="zh-CN" w:bidi="ar"/>
              </w:rPr>
              <w:t>搬迁新场址的环境遗留问题</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本项目拟搬迁至</w:t>
            </w:r>
            <w:r>
              <w:rPr>
                <w:rFonts w:hint="eastAsia" w:ascii="Times New Roman" w:hAnsi="Times New Roman" w:eastAsia="宋体" w:cs="Times New Roman"/>
                <w:color w:val="auto"/>
                <w:sz w:val="24"/>
                <w:szCs w:val="24"/>
                <w:highlight w:val="none"/>
                <w:lang w:eastAsia="zh-CN"/>
              </w:rPr>
              <w:t>奉节县羊市镇渔灯社区</w:t>
            </w:r>
            <w:r>
              <w:rPr>
                <w:rFonts w:hint="eastAsia" w:ascii="Times New Roman" w:hAnsi="Times New Roman" w:eastAsia="宋体" w:cs="Times New Roman"/>
                <w:color w:val="auto"/>
                <w:sz w:val="24"/>
                <w:szCs w:val="24"/>
                <w:highlight w:val="none"/>
                <w:lang w:val="en-US" w:eastAsia="zh-CN"/>
              </w:rPr>
              <w:t>15社</w:t>
            </w:r>
            <w:r>
              <w:rPr>
                <w:rFonts w:hint="eastAsia" w:ascii="宋体" w:hAnsi="宋体" w:eastAsia="宋体" w:cs="宋体"/>
                <w:color w:val="auto"/>
                <w:kern w:val="0"/>
                <w:sz w:val="24"/>
                <w:szCs w:val="24"/>
                <w:highlight w:val="none"/>
                <w:lang w:val="en-US" w:eastAsia="zh-CN" w:bidi="ar"/>
              </w:rPr>
              <w:t>，项目所在地的水电气基础设施完善，排水采用雨污分流制。污水通过自建的污水处理站处理达标后排入市政管网，进入羊市镇污水处理厂处理后排入长滩河。</w:t>
            </w:r>
            <w:r>
              <w:rPr>
                <w:rFonts w:hint="eastAsia" w:ascii="Times New Roman" w:hAnsi="Times New Roman" w:eastAsia="宋体" w:cs="Times New Roman"/>
                <w:color w:val="auto"/>
                <w:sz w:val="24"/>
                <w:szCs w:val="24"/>
                <w:highlight w:val="none"/>
                <w:lang w:val="en-US" w:eastAsia="zh-CN"/>
              </w:rPr>
              <w:t>拟建</w:t>
            </w:r>
            <w:r>
              <w:rPr>
                <w:rFonts w:hint="eastAsia" w:ascii="Times New Roman" w:hAnsi="Times New Roman" w:eastAsia="宋体" w:cs="Times New Roman"/>
                <w:color w:val="auto"/>
                <w:sz w:val="24"/>
                <w:szCs w:val="24"/>
                <w:highlight w:val="none"/>
                <w:lang w:eastAsia="zh-CN"/>
              </w:rPr>
              <w:t>项目为新建项目，</w:t>
            </w:r>
          </w:p>
          <w:p>
            <w:pPr>
              <w:pStyle w:val="10"/>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textAlignment w:val="auto"/>
              <w:rPr>
                <w:rFonts w:hint="eastAsia"/>
                <w:bCs/>
                <w:color w:val="auto"/>
                <w:sz w:val="24"/>
                <w:szCs w:val="21"/>
                <w:highlight w:val="none"/>
              </w:rPr>
            </w:pPr>
            <w:r>
              <w:rPr>
                <w:rFonts w:hint="eastAsia" w:ascii="Times New Roman" w:hAnsi="Times New Roman" w:eastAsia="宋体" w:cs="Times New Roman"/>
                <w:color w:val="auto"/>
                <w:sz w:val="24"/>
                <w:szCs w:val="24"/>
                <w:highlight w:val="none"/>
                <w:lang w:val="en-US" w:eastAsia="zh-CN"/>
              </w:rPr>
              <w:t>经</w:t>
            </w:r>
            <w:r>
              <w:rPr>
                <w:rFonts w:hint="eastAsia" w:ascii="Times New Roman" w:hAnsi="Times New Roman"/>
                <w:color w:val="auto"/>
                <w:sz w:val="24"/>
                <w:szCs w:val="24"/>
                <w:highlight w:val="none"/>
                <w:lang w:eastAsia="zh-CN"/>
              </w:rPr>
              <w:t>现场勘查，本项目所在地块无其他历史遗留环境问题，不存在原有污染问题。</w:t>
            </w:r>
          </w:p>
        </w:tc>
      </w:tr>
    </w:tbl>
    <w:p>
      <w:pPr>
        <w:pStyle w:val="24"/>
        <w:jc w:val="center"/>
        <w:outlineLvl w:val="0"/>
        <w:rPr>
          <w:rFonts w:ascii="Times New Roman" w:hAnsi="Times New Roman" w:eastAsia="黑体"/>
          <w:snapToGrid w:val="0"/>
          <w:color w:val="auto"/>
          <w:sz w:val="30"/>
          <w:szCs w:val="30"/>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4"/>
        <w:jc w:val="center"/>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0"/>
          <w:szCs w:val="30"/>
          <w:highlight w:val="none"/>
        </w:rPr>
        <w:t>三、区域环境质量现状、环境保护目标及评价标准</w:t>
      </w:r>
    </w:p>
    <w:tbl>
      <w:tblPr>
        <w:tblStyle w:val="29"/>
        <w:tblW w:w="899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800" w:type="dxa"/>
            <w:vAlign w:val="center"/>
          </w:tcPr>
          <w:p>
            <w:pPr>
              <w:adjustRightInd w:val="0"/>
              <w:snapToGrid w:val="0"/>
              <w:ind w:left="0" w:leftChars="0" w:firstLine="0" w:firstLineChars="0"/>
              <w:jc w:val="both"/>
              <w:rPr>
                <w:color w:val="auto"/>
                <w:kern w:val="0"/>
                <w:szCs w:val="21"/>
                <w:highlight w:val="none"/>
              </w:rPr>
            </w:pPr>
            <w:r>
              <w:rPr>
                <w:color w:val="auto"/>
                <w:kern w:val="0"/>
                <w:szCs w:val="21"/>
                <w:highlight w:val="none"/>
              </w:rPr>
              <w:t>区域</w:t>
            </w:r>
          </w:p>
          <w:p>
            <w:pPr>
              <w:adjustRightInd w:val="0"/>
              <w:snapToGrid w:val="0"/>
              <w:ind w:left="0" w:leftChars="0" w:firstLine="0" w:firstLineChars="0"/>
              <w:jc w:val="both"/>
              <w:rPr>
                <w:color w:val="auto"/>
                <w:kern w:val="0"/>
                <w:szCs w:val="21"/>
                <w:highlight w:val="none"/>
              </w:rPr>
            </w:pPr>
            <w:r>
              <w:rPr>
                <w:color w:val="auto"/>
                <w:kern w:val="0"/>
                <w:szCs w:val="21"/>
                <w:highlight w:val="none"/>
              </w:rPr>
              <w:t>环境</w:t>
            </w:r>
          </w:p>
          <w:p>
            <w:pPr>
              <w:adjustRightInd w:val="0"/>
              <w:snapToGrid w:val="0"/>
              <w:ind w:left="0" w:leftChars="0" w:firstLine="0" w:firstLineChars="0"/>
              <w:jc w:val="both"/>
              <w:rPr>
                <w:color w:val="auto"/>
                <w:kern w:val="0"/>
                <w:szCs w:val="21"/>
                <w:highlight w:val="none"/>
              </w:rPr>
            </w:pPr>
            <w:r>
              <w:rPr>
                <w:color w:val="auto"/>
                <w:kern w:val="0"/>
                <w:szCs w:val="21"/>
                <w:highlight w:val="none"/>
              </w:rPr>
              <w:t>质量</w:t>
            </w:r>
          </w:p>
          <w:p>
            <w:pPr>
              <w:adjustRightInd w:val="0"/>
              <w:snapToGrid w:val="0"/>
              <w:ind w:left="0" w:leftChars="0" w:firstLine="0" w:firstLineChars="0"/>
              <w:jc w:val="both"/>
              <w:rPr>
                <w:color w:val="auto"/>
                <w:kern w:val="0"/>
                <w:szCs w:val="21"/>
                <w:highlight w:val="none"/>
              </w:rPr>
            </w:pPr>
            <w:r>
              <w:rPr>
                <w:color w:val="auto"/>
                <w:kern w:val="0"/>
                <w:szCs w:val="21"/>
                <w:highlight w:val="none"/>
              </w:rPr>
              <w:t>现状</w:t>
            </w:r>
          </w:p>
        </w:tc>
        <w:tc>
          <w:tcPr>
            <w:tcW w:w="8190" w:type="dxa"/>
            <w:vAlign w:val="center"/>
          </w:tcPr>
          <w:p>
            <w:pPr>
              <w:keepNext w:val="0"/>
              <w:keepLines w:val="0"/>
              <w:widowControl/>
              <w:suppressLineNumbers w:val="0"/>
              <w:ind w:left="0" w:leftChars="0" w:firstLine="0" w:firstLineChars="0"/>
              <w:jc w:val="left"/>
              <w:rPr>
                <w:color w:val="auto"/>
                <w:highlight w:val="none"/>
              </w:rPr>
            </w:pPr>
            <w:bookmarkStart w:id="1" w:name="_Toc490844413"/>
            <w:r>
              <w:rPr>
                <w:rFonts w:hint="eastAsia" w:ascii="宋体" w:hAnsi="宋体" w:eastAsia="宋体" w:cs="宋体"/>
                <w:b/>
                <w:bCs/>
                <w:color w:val="auto"/>
                <w:kern w:val="0"/>
                <w:sz w:val="24"/>
                <w:szCs w:val="24"/>
                <w:highlight w:val="none"/>
                <w:lang w:val="en-US" w:eastAsia="zh-CN" w:bidi="ar"/>
              </w:rPr>
              <w:t>建设项目所在地区域环境质量现状及主要环境问题（环境空气、地表水、声环境、生态环境等）：</w:t>
            </w:r>
          </w:p>
          <w:p>
            <w:pPr>
              <w:pStyle w:val="3"/>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3.1环境空气质量现状</w:t>
            </w:r>
          </w:p>
          <w:bookmarkEnd w:id="1"/>
          <w:p>
            <w:pPr>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color w:val="auto"/>
                <w:highlight w:val="none"/>
              </w:rPr>
              <w:t>根据《重庆市人民政府关于印发重庆市环境空气质量功能区划》（渝府发</w:t>
            </w:r>
            <w:r>
              <w:rPr>
                <w:rFonts w:hint="eastAsia"/>
                <w:color w:val="auto"/>
                <w:highlight w:val="none"/>
                <w:lang w:eastAsia="zh-CN"/>
              </w:rPr>
              <w:t>〔</w:t>
            </w:r>
            <w:r>
              <w:rPr>
                <w:rFonts w:hint="eastAsia"/>
                <w:color w:val="auto"/>
                <w:highlight w:val="none"/>
              </w:rPr>
              <w:t>2016</w:t>
            </w:r>
            <w:r>
              <w:rPr>
                <w:rFonts w:hint="eastAsia"/>
                <w:color w:val="auto"/>
                <w:highlight w:val="none"/>
                <w:lang w:eastAsia="zh-CN"/>
              </w:rPr>
              <w:t>〕</w:t>
            </w:r>
            <w:r>
              <w:rPr>
                <w:rFonts w:hint="eastAsia"/>
                <w:color w:val="auto"/>
                <w:highlight w:val="none"/>
              </w:rPr>
              <w:t>19号）规定，项目所在区域为空气质量二类功能区，评价标准按《环境空气质量标准》（GB3095-2012）二级标准执行。</w:t>
            </w:r>
          </w:p>
          <w:p>
            <w:pPr>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color w:val="auto"/>
                <w:highlight w:val="none"/>
              </w:rPr>
              <w:t>评价引用《202</w:t>
            </w:r>
            <w:r>
              <w:rPr>
                <w:rFonts w:hint="eastAsia"/>
                <w:color w:val="auto"/>
                <w:highlight w:val="none"/>
                <w:lang w:val="en-US" w:eastAsia="zh-CN"/>
              </w:rPr>
              <w:t>2</w:t>
            </w:r>
            <w:r>
              <w:rPr>
                <w:color w:val="auto"/>
                <w:highlight w:val="none"/>
              </w:rPr>
              <w:t>年重庆市</w:t>
            </w:r>
            <w:r>
              <w:rPr>
                <w:rFonts w:hint="eastAsia"/>
                <w:color w:val="auto"/>
                <w:highlight w:val="none"/>
              </w:rPr>
              <w:t>生态</w:t>
            </w:r>
            <w:r>
              <w:rPr>
                <w:color w:val="auto"/>
                <w:highlight w:val="none"/>
              </w:rPr>
              <w:t>环境状况公报》中</w:t>
            </w:r>
            <w:r>
              <w:rPr>
                <w:rFonts w:hint="eastAsia"/>
                <w:color w:val="auto"/>
                <w:highlight w:val="none"/>
                <w:lang w:val="en-US" w:eastAsia="zh-CN"/>
              </w:rPr>
              <w:t>奉节县</w:t>
            </w:r>
            <w:r>
              <w:rPr>
                <w:color w:val="auto"/>
                <w:highlight w:val="none"/>
              </w:rPr>
              <w:t>环境空气质量状况的数据，监测因子为SO</w:t>
            </w:r>
            <w:r>
              <w:rPr>
                <w:color w:val="auto"/>
                <w:highlight w:val="none"/>
                <w:vertAlign w:val="subscript"/>
              </w:rPr>
              <w:t>2</w:t>
            </w:r>
            <w:r>
              <w:rPr>
                <w:color w:val="auto"/>
                <w:highlight w:val="none"/>
              </w:rPr>
              <w:t>、NO</w:t>
            </w:r>
            <w:r>
              <w:rPr>
                <w:color w:val="auto"/>
                <w:highlight w:val="none"/>
                <w:vertAlign w:val="subscript"/>
              </w:rPr>
              <w:t>2</w:t>
            </w:r>
            <w:r>
              <w:rPr>
                <w:color w:val="auto"/>
                <w:highlight w:val="none"/>
              </w:rPr>
              <w:t>、PM</w:t>
            </w:r>
            <w:r>
              <w:rPr>
                <w:color w:val="auto"/>
                <w:highlight w:val="none"/>
                <w:vertAlign w:val="subscript"/>
              </w:rPr>
              <w:t>10</w:t>
            </w:r>
            <w:r>
              <w:rPr>
                <w:color w:val="auto"/>
                <w:highlight w:val="none"/>
              </w:rPr>
              <w:t>、PM</w:t>
            </w:r>
            <w:r>
              <w:rPr>
                <w:color w:val="auto"/>
                <w:highlight w:val="none"/>
                <w:vertAlign w:val="subscript"/>
              </w:rPr>
              <w:t>2.5</w:t>
            </w:r>
            <w:r>
              <w:rPr>
                <w:color w:val="auto"/>
                <w:highlight w:val="none"/>
              </w:rPr>
              <w:t>、CO和O</w:t>
            </w:r>
            <w:r>
              <w:rPr>
                <w:color w:val="auto"/>
                <w:highlight w:val="none"/>
                <w:vertAlign w:val="subscript"/>
              </w:rPr>
              <w:t>3</w:t>
            </w:r>
            <w:r>
              <w:rPr>
                <w:color w:val="auto"/>
                <w:highlight w:val="none"/>
              </w:rPr>
              <w:t>，环境空气质量达标区判定表见表3</w:t>
            </w:r>
            <w:r>
              <w:rPr>
                <w:rFonts w:hint="eastAsia"/>
                <w:color w:val="auto"/>
                <w:highlight w:val="none"/>
                <w:lang w:val="en-US" w:eastAsia="zh-CN"/>
              </w:rPr>
              <w:t>.1</w:t>
            </w:r>
            <w:r>
              <w:rPr>
                <w:color w:val="auto"/>
                <w:highlight w:val="none"/>
              </w:rPr>
              <w:t>。</w:t>
            </w:r>
          </w:p>
          <w:p>
            <w:pPr>
              <w:pStyle w:val="84"/>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表3</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 xml:space="preserve">   区域空气质量现状评价表      单位：μg/m</w:t>
            </w:r>
            <w:r>
              <w:rPr>
                <w:rFonts w:hint="eastAsia" w:ascii="宋体" w:hAnsi="宋体" w:eastAsia="宋体" w:cs="宋体"/>
                <w:b/>
                <w:bCs/>
                <w:color w:val="auto"/>
                <w:sz w:val="24"/>
                <w:szCs w:val="24"/>
                <w:highlight w:val="none"/>
                <w:vertAlign w:val="superscript"/>
              </w:rPr>
              <w:t>3</w:t>
            </w:r>
          </w:p>
          <w:tbl>
            <w:tblPr>
              <w:tblStyle w:val="29"/>
              <w:tblW w:w="7969"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
            <w:tblGrid>
              <w:gridCol w:w="990"/>
              <w:gridCol w:w="2563"/>
              <w:gridCol w:w="1256"/>
              <w:gridCol w:w="1210"/>
              <w:gridCol w:w="1010"/>
              <w:gridCol w:w="94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trHeight w:val="750" w:hRule="atLeast"/>
                <w:jc w:val="center"/>
              </w:trPr>
              <w:tc>
                <w:tcPr>
                  <w:tcW w:w="990" w:type="dxa"/>
                  <w:tcBorders>
                    <w:tl2br w:val="nil"/>
                    <w:tr2bl w:val="nil"/>
                  </w:tcBorders>
                  <w:vAlign w:val="center"/>
                </w:tcPr>
                <w:p>
                  <w:pPr>
                    <w:spacing w:line="240" w:lineRule="auto"/>
                    <w:ind w:left="0" w:leftChars="0" w:firstLine="0" w:firstLineChars="0"/>
                    <w:jc w:val="center"/>
                    <w:rPr>
                      <w:color w:val="auto"/>
                      <w:sz w:val="21"/>
                      <w:szCs w:val="21"/>
                      <w:highlight w:val="none"/>
                    </w:rPr>
                  </w:pPr>
                  <w:r>
                    <w:rPr>
                      <w:color w:val="auto"/>
                      <w:sz w:val="21"/>
                      <w:szCs w:val="21"/>
                      <w:highlight w:val="none"/>
                    </w:rPr>
                    <w:t>污染物</w:t>
                  </w:r>
                </w:p>
              </w:tc>
              <w:tc>
                <w:tcPr>
                  <w:tcW w:w="2563" w:type="dxa"/>
                  <w:tcBorders>
                    <w:tl2br w:val="nil"/>
                    <w:tr2bl w:val="nil"/>
                  </w:tcBorders>
                  <w:vAlign w:val="center"/>
                </w:tcPr>
                <w:p>
                  <w:pPr>
                    <w:spacing w:line="240" w:lineRule="auto"/>
                    <w:ind w:left="0" w:leftChars="0" w:firstLine="0" w:firstLineChars="0"/>
                    <w:jc w:val="center"/>
                    <w:rPr>
                      <w:color w:val="auto"/>
                      <w:sz w:val="21"/>
                      <w:szCs w:val="21"/>
                      <w:highlight w:val="none"/>
                    </w:rPr>
                  </w:pPr>
                  <w:r>
                    <w:rPr>
                      <w:color w:val="auto"/>
                      <w:sz w:val="21"/>
                      <w:szCs w:val="21"/>
                      <w:highlight w:val="none"/>
                    </w:rPr>
                    <w:t>年评价指标</w:t>
                  </w:r>
                </w:p>
              </w:tc>
              <w:tc>
                <w:tcPr>
                  <w:tcW w:w="1256" w:type="dxa"/>
                  <w:tcBorders>
                    <w:tl2br w:val="nil"/>
                    <w:tr2bl w:val="nil"/>
                  </w:tcBorders>
                  <w:vAlign w:val="center"/>
                </w:tcPr>
                <w:p>
                  <w:pPr>
                    <w:spacing w:line="240" w:lineRule="auto"/>
                    <w:ind w:left="0" w:leftChars="0" w:firstLine="0" w:firstLineChars="0"/>
                    <w:jc w:val="center"/>
                    <w:rPr>
                      <w:color w:val="auto"/>
                      <w:sz w:val="21"/>
                      <w:szCs w:val="21"/>
                      <w:highlight w:val="none"/>
                    </w:rPr>
                  </w:pPr>
                  <w:r>
                    <w:rPr>
                      <w:color w:val="auto"/>
                      <w:sz w:val="21"/>
                      <w:szCs w:val="21"/>
                      <w:highlight w:val="none"/>
                    </w:rPr>
                    <w:t>现状浓度/(μg/m</w:t>
                  </w:r>
                  <w:r>
                    <w:rPr>
                      <w:color w:val="auto"/>
                      <w:sz w:val="21"/>
                      <w:szCs w:val="21"/>
                      <w:highlight w:val="none"/>
                      <w:vertAlign w:val="superscript"/>
                    </w:rPr>
                    <w:t>3</w:t>
                  </w:r>
                  <w:r>
                    <w:rPr>
                      <w:color w:val="auto"/>
                      <w:sz w:val="21"/>
                      <w:szCs w:val="21"/>
                      <w:highlight w:val="none"/>
                    </w:rPr>
                    <w:t>)</w:t>
                  </w:r>
                </w:p>
              </w:tc>
              <w:tc>
                <w:tcPr>
                  <w:tcW w:w="1210" w:type="dxa"/>
                  <w:tcBorders>
                    <w:tl2br w:val="nil"/>
                    <w:tr2bl w:val="nil"/>
                  </w:tcBorders>
                  <w:vAlign w:val="center"/>
                </w:tcPr>
                <w:p>
                  <w:pPr>
                    <w:spacing w:line="240" w:lineRule="auto"/>
                    <w:ind w:left="0" w:leftChars="0" w:firstLine="0" w:firstLineChars="0"/>
                    <w:jc w:val="center"/>
                    <w:rPr>
                      <w:color w:val="auto"/>
                      <w:sz w:val="21"/>
                      <w:szCs w:val="21"/>
                      <w:highlight w:val="none"/>
                    </w:rPr>
                  </w:pPr>
                  <w:r>
                    <w:rPr>
                      <w:color w:val="auto"/>
                      <w:sz w:val="21"/>
                      <w:szCs w:val="21"/>
                      <w:highlight w:val="none"/>
                    </w:rPr>
                    <w:t>标准值/(μg/m</w:t>
                  </w:r>
                  <w:r>
                    <w:rPr>
                      <w:color w:val="auto"/>
                      <w:sz w:val="21"/>
                      <w:szCs w:val="21"/>
                      <w:highlight w:val="none"/>
                      <w:vertAlign w:val="superscript"/>
                    </w:rPr>
                    <w:t>3</w:t>
                  </w:r>
                  <w:r>
                    <w:rPr>
                      <w:color w:val="auto"/>
                      <w:sz w:val="21"/>
                      <w:szCs w:val="21"/>
                      <w:highlight w:val="none"/>
                    </w:rPr>
                    <w:t>)</w:t>
                  </w:r>
                </w:p>
              </w:tc>
              <w:tc>
                <w:tcPr>
                  <w:tcW w:w="1010" w:type="dxa"/>
                  <w:tcBorders>
                    <w:tl2br w:val="nil"/>
                    <w:tr2bl w:val="nil"/>
                  </w:tcBorders>
                  <w:vAlign w:val="center"/>
                </w:tcPr>
                <w:p>
                  <w:pPr>
                    <w:spacing w:line="240" w:lineRule="auto"/>
                    <w:ind w:left="0" w:leftChars="0" w:firstLine="0" w:firstLineChars="0"/>
                    <w:jc w:val="center"/>
                    <w:rPr>
                      <w:color w:val="auto"/>
                      <w:sz w:val="21"/>
                      <w:szCs w:val="21"/>
                      <w:highlight w:val="none"/>
                    </w:rPr>
                  </w:pPr>
                  <w:r>
                    <w:rPr>
                      <w:color w:val="auto"/>
                      <w:sz w:val="21"/>
                      <w:szCs w:val="21"/>
                      <w:highlight w:val="none"/>
                    </w:rPr>
                    <w:t>占标率/%</w:t>
                  </w:r>
                </w:p>
              </w:tc>
              <w:tc>
                <w:tcPr>
                  <w:tcW w:w="940" w:type="dxa"/>
                  <w:tcBorders>
                    <w:tl2br w:val="nil"/>
                    <w:tr2bl w:val="nil"/>
                  </w:tcBorders>
                  <w:vAlign w:val="center"/>
                </w:tcPr>
                <w:p>
                  <w:pPr>
                    <w:spacing w:line="240" w:lineRule="auto"/>
                    <w:ind w:left="0" w:leftChars="0" w:firstLine="0" w:firstLineChars="0"/>
                    <w:jc w:val="center"/>
                    <w:rPr>
                      <w:color w:val="auto"/>
                      <w:sz w:val="21"/>
                      <w:szCs w:val="21"/>
                      <w:highlight w:val="none"/>
                    </w:rPr>
                  </w:pPr>
                  <w:r>
                    <w:rPr>
                      <w:color w:val="auto"/>
                      <w:sz w:val="21"/>
                      <w:szCs w:val="21"/>
                      <w:highlight w:val="none"/>
                    </w:rPr>
                    <w:t>达标情况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trHeight w:val="90" w:hRule="atLeast"/>
                <w:jc w:val="center"/>
              </w:trPr>
              <w:tc>
                <w:tcPr>
                  <w:tcW w:w="990" w:type="dxa"/>
                  <w:tcBorders>
                    <w:tl2br w:val="nil"/>
                    <w:tr2bl w:val="nil"/>
                  </w:tcBorders>
                  <w:vAlign w:val="center"/>
                </w:tcPr>
                <w:p>
                  <w:pPr>
                    <w:spacing w:line="240" w:lineRule="auto"/>
                    <w:ind w:left="0" w:leftChars="0" w:firstLine="0" w:firstLineChars="0"/>
                    <w:jc w:val="center"/>
                    <w:rPr>
                      <w:color w:val="auto"/>
                      <w:sz w:val="21"/>
                      <w:szCs w:val="21"/>
                      <w:highlight w:val="none"/>
                    </w:rPr>
                  </w:pPr>
                  <w:r>
                    <w:rPr>
                      <w:color w:val="auto"/>
                      <w:sz w:val="21"/>
                      <w:szCs w:val="21"/>
                      <w:highlight w:val="none"/>
                    </w:rPr>
                    <w:t>SO</w:t>
                  </w:r>
                  <w:r>
                    <w:rPr>
                      <w:color w:val="auto"/>
                      <w:sz w:val="21"/>
                      <w:szCs w:val="21"/>
                      <w:highlight w:val="none"/>
                      <w:vertAlign w:val="subscript"/>
                    </w:rPr>
                    <w:t>2</w:t>
                  </w:r>
                </w:p>
              </w:tc>
              <w:tc>
                <w:tcPr>
                  <w:tcW w:w="2563" w:type="dxa"/>
                  <w:tcBorders>
                    <w:tl2br w:val="nil"/>
                    <w:tr2bl w:val="nil"/>
                  </w:tcBorders>
                  <w:vAlign w:val="center"/>
                </w:tcPr>
                <w:p>
                  <w:pPr>
                    <w:spacing w:line="240" w:lineRule="auto"/>
                    <w:ind w:left="0" w:leftChars="0" w:firstLine="0" w:firstLineChars="0"/>
                    <w:jc w:val="center"/>
                    <w:rPr>
                      <w:color w:val="auto"/>
                      <w:sz w:val="21"/>
                      <w:szCs w:val="21"/>
                      <w:highlight w:val="none"/>
                    </w:rPr>
                  </w:pPr>
                  <w:r>
                    <w:rPr>
                      <w:color w:val="auto"/>
                      <w:sz w:val="21"/>
                      <w:szCs w:val="21"/>
                      <w:highlight w:val="none"/>
                    </w:rPr>
                    <w:t>年平均质量浓度</w:t>
                  </w:r>
                </w:p>
              </w:tc>
              <w:tc>
                <w:tcPr>
                  <w:tcW w:w="1256" w:type="dxa"/>
                  <w:tcBorders>
                    <w:tl2br w:val="nil"/>
                    <w:tr2bl w:val="nil"/>
                  </w:tcBorders>
                  <w:vAlign w:val="center"/>
                </w:tcPr>
                <w:p>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10</w:t>
                  </w:r>
                </w:p>
              </w:tc>
              <w:tc>
                <w:tcPr>
                  <w:tcW w:w="1210" w:type="dxa"/>
                  <w:tcBorders>
                    <w:tl2br w:val="nil"/>
                    <w:tr2bl w:val="nil"/>
                  </w:tcBorders>
                  <w:vAlign w:val="center"/>
                </w:tcPr>
                <w:p>
                  <w:pPr>
                    <w:spacing w:line="240" w:lineRule="auto"/>
                    <w:ind w:left="0" w:leftChars="0" w:firstLine="0" w:firstLineChars="0"/>
                    <w:jc w:val="center"/>
                    <w:rPr>
                      <w:color w:val="auto"/>
                      <w:sz w:val="21"/>
                      <w:szCs w:val="21"/>
                      <w:highlight w:val="none"/>
                    </w:rPr>
                  </w:pPr>
                  <w:r>
                    <w:rPr>
                      <w:color w:val="auto"/>
                      <w:sz w:val="21"/>
                      <w:szCs w:val="21"/>
                      <w:highlight w:val="none"/>
                    </w:rPr>
                    <w:t>60</w:t>
                  </w:r>
                </w:p>
              </w:tc>
              <w:tc>
                <w:tcPr>
                  <w:tcW w:w="1010" w:type="dxa"/>
                  <w:tcBorders>
                    <w:tl2br w:val="nil"/>
                    <w:tr2bl w:val="nil"/>
                  </w:tcBorders>
                  <w:vAlign w:val="center"/>
                </w:tcPr>
                <w:p>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16.67</w:t>
                  </w:r>
                </w:p>
              </w:tc>
              <w:tc>
                <w:tcPr>
                  <w:tcW w:w="940" w:type="dxa"/>
                  <w:tcBorders>
                    <w:tl2br w:val="nil"/>
                    <w:tr2bl w:val="nil"/>
                  </w:tcBorders>
                  <w:vAlign w:val="center"/>
                </w:tcPr>
                <w:p>
                  <w:pPr>
                    <w:spacing w:line="240" w:lineRule="auto"/>
                    <w:ind w:left="0" w:leftChars="0" w:firstLine="0" w:firstLineChars="0"/>
                    <w:jc w:val="center"/>
                    <w:rPr>
                      <w:color w:val="auto"/>
                      <w:sz w:val="21"/>
                      <w:szCs w:val="21"/>
                      <w:highlight w:val="none"/>
                    </w:rPr>
                  </w:pPr>
                  <w:r>
                    <w:rPr>
                      <w:color w:val="auto"/>
                      <w:sz w:val="21"/>
                      <w:szCs w:val="21"/>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trHeight w:val="340" w:hRule="atLeast"/>
                <w:jc w:val="center"/>
              </w:trPr>
              <w:tc>
                <w:tcPr>
                  <w:tcW w:w="990" w:type="dxa"/>
                  <w:tcBorders>
                    <w:tl2br w:val="nil"/>
                    <w:tr2bl w:val="nil"/>
                  </w:tcBorders>
                  <w:vAlign w:val="center"/>
                </w:tcPr>
                <w:p>
                  <w:pPr>
                    <w:spacing w:line="240" w:lineRule="auto"/>
                    <w:ind w:left="0" w:leftChars="0" w:firstLine="0" w:firstLineChars="0"/>
                    <w:jc w:val="center"/>
                    <w:rPr>
                      <w:color w:val="auto"/>
                      <w:sz w:val="21"/>
                      <w:szCs w:val="21"/>
                      <w:highlight w:val="none"/>
                    </w:rPr>
                  </w:pPr>
                  <w:r>
                    <w:rPr>
                      <w:color w:val="auto"/>
                      <w:sz w:val="21"/>
                      <w:szCs w:val="21"/>
                      <w:highlight w:val="none"/>
                    </w:rPr>
                    <w:t>NO</w:t>
                  </w:r>
                  <w:r>
                    <w:rPr>
                      <w:color w:val="auto"/>
                      <w:sz w:val="21"/>
                      <w:szCs w:val="21"/>
                      <w:highlight w:val="none"/>
                      <w:vertAlign w:val="subscript"/>
                    </w:rPr>
                    <w:t>2</w:t>
                  </w:r>
                </w:p>
              </w:tc>
              <w:tc>
                <w:tcPr>
                  <w:tcW w:w="2563" w:type="dxa"/>
                  <w:tcBorders>
                    <w:tl2br w:val="nil"/>
                    <w:tr2bl w:val="nil"/>
                  </w:tcBorders>
                  <w:vAlign w:val="center"/>
                </w:tcPr>
                <w:p>
                  <w:pPr>
                    <w:spacing w:line="240" w:lineRule="auto"/>
                    <w:ind w:left="0" w:leftChars="0" w:firstLine="0" w:firstLineChars="0"/>
                    <w:jc w:val="center"/>
                    <w:rPr>
                      <w:color w:val="auto"/>
                      <w:sz w:val="21"/>
                      <w:szCs w:val="21"/>
                      <w:highlight w:val="none"/>
                    </w:rPr>
                  </w:pPr>
                  <w:r>
                    <w:rPr>
                      <w:color w:val="auto"/>
                      <w:sz w:val="21"/>
                      <w:szCs w:val="21"/>
                      <w:highlight w:val="none"/>
                    </w:rPr>
                    <w:t>年平均质量浓度</w:t>
                  </w:r>
                </w:p>
              </w:tc>
              <w:tc>
                <w:tcPr>
                  <w:tcW w:w="1256" w:type="dxa"/>
                  <w:tcBorders>
                    <w:tl2br w:val="nil"/>
                    <w:tr2bl w:val="nil"/>
                  </w:tcBorders>
                  <w:vAlign w:val="center"/>
                </w:tcPr>
                <w:p>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25</w:t>
                  </w:r>
                </w:p>
              </w:tc>
              <w:tc>
                <w:tcPr>
                  <w:tcW w:w="1210" w:type="dxa"/>
                  <w:tcBorders>
                    <w:tl2br w:val="nil"/>
                    <w:tr2bl w:val="nil"/>
                  </w:tcBorders>
                  <w:vAlign w:val="center"/>
                </w:tcPr>
                <w:p>
                  <w:pPr>
                    <w:spacing w:line="240" w:lineRule="auto"/>
                    <w:ind w:left="0" w:leftChars="0" w:firstLine="0" w:firstLineChars="0"/>
                    <w:jc w:val="center"/>
                    <w:rPr>
                      <w:color w:val="auto"/>
                      <w:sz w:val="21"/>
                      <w:szCs w:val="21"/>
                      <w:highlight w:val="none"/>
                    </w:rPr>
                  </w:pPr>
                  <w:r>
                    <w:rPr>
                      <w:color w:val="auto"/>
                      <w:sz w:val="21"/>
                      <w:szCs w:val="21"/>
                      <w:highlight w:val="none"/>
                    </w:rPr>
                    <w:t>40</w:t>
                  </w:r>
                </w:p>
              </w:tc>
              <w:tc>
                <w:tcPr>
                  <w:tcW w:w="1010" w:type="dxa"/>
                  <w:tcBorders>
                    <w:tl2br w:val="nil"/>
                    <w:tr2bl w:val="nil"/>
                  </w:tcBorders>
                  <w:vAlign w:val="center"/>
                </w:tcPr>
                <w:p>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62.5</w:t>
                  </w:r>
                </w:p>
              </w:tc>
              <w:tc>
                <w:tcPr>
                  <w:tcW w:w="940" w:type="dxa"/>
                  <w:tcBorders>
                    <w:tl2br w:val="nil"/>
                    <w:tr2bl w:val="nil"/>
                  </w:tcBorders>
                  <w:vAlign w:val="center"/>
                </w:tcPr>
                <w:p>
                  <w:pPr>
                    <w:spacing w:line="240" w:lineRule="auto"/>
                    <w:ind w:left="0" w:leftChars="0" w:firstLine="0" w:firstLineChars="0"/>
                    <w:jc w:val="center"/>
                    <w:rPr>
                      <w:rFonts w:hint="eastAsia"/>
                      <w:color w:val="auto"/>
                      <w:sz w:val="21"/>
                      <w:szCs w:val="21"/>
                      <w:highlight w:val="none"/>
                      <w:lang w:val="en-US" w:eastAsia="zh-CN"/>
                    </w:rPr>
                  </w:pPr>
                  <w:r>
                    <w:rPr>
                      <w:color w:val="auto"/>
                      <w:sz w:val="21"/>
                      <w:szCs w:val="21"/>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trHeight w:val="340" w:hRule="atLeast"/>
                <w:jc w:val="center"/>
              </w:trPr>
              <w:tc>
                <w:tcPr>
                  <w:tcW w:w="990" w:type="dxa"/>
                  <w:tcBorders>
                    <w:tl2br w:val="nil"/>
                    <w:tr2bl w:val="nil"/>
                  </w:tcBorders>
                  <w:vAlign w:val="center"/>
                </w:tcPr>
                <w:p>
                  <w:pPr>
                    <w:spacing w:line="240" w:lineRule="auto"/>
                    <w:ind w:left="0" w:leftChars="0" w:firstLine="0" w:firstLineChars="0"/>
                    <w:jc w:val="center"/>
                    <w:rPr>
                      <w:color w:val="auto"/>
                      <w:sz w:val="21"/>
                      <w:szCs w:val="21"/>
                      <w:highlight w:val="none"/>
                    </w:rPr>
                  </w:pPr>
                  <w:r>
                    <w:rPr>
                      <w:color w:val="auto"/>
                      <w:sz w:val="21"/>
                      <w:szCs w:val="21"/>
                      <w:highlight w:val="none"/>
                    </w:rPr>
                    <w:t>PM</w:t>
                  </w:r>
                  <w:r>
                    <w:rPr>
                      <w:color w:val="auto"/>
                      <w:sz w:val="21"/>
                      <w:szCs w:val="21"/>
                      <w:highlight w:val="none"/>
                      <w:vertAlign w:val="subscript"/>
                    </w:rPr>
                    <w:t>10</w:t>
                  </w:r>
                </w:p>
              </w:tc>
              <w:tc>
                <w:tcPr>
                  <w:tcW w:w="2563" w:type="dxa"/>
                  <w:tcBorders>
                    <w:tl2br w:val="nil"/>
                    <w:tr2bl w:val="nil"/>
                  </w:tcBorders>
                  <w:vAlign w:val="center"/>
                </w:tcPr>
                <w:p>
                  <w:pPr>
                    <w:spacing w:line="240" w:lineRule="auto"/>
                    <w:ind w:left="0" w:leftChars="0" w:firstLine="0" w:firstLineChars="0"/>
                    <w:jc w:val="center"/>
                    <w:rPr>
                      <w:color w:val="auto"/>
                      <w:sz w:val="21"/>
                      <w:szCs w:val="21"/>
                      <w:highlight w:val="none"/>
                    </w:rPr>
                  </w:pPr>
                  <w:r>
                    <w:rPr>
                      <w:color w:val="auto"/>
                      <w:sz w:val="21"/>
                      <w:szCs w:val="21"/>
                      <w:highlight w:val="none"/>
                    </w:rPr>
                    <w:t>年平均质量浓度</w:t>
                  </w:r>
                </w:p>
              </w:tc>
              <w:tc>
                <w:tcPr>
                  <w:tcW w:w="1256" w:type="dxa"/>
                  <w:tcBorders>
                    <w:tl2br w:val="nil"/>
                    <w:tr2bl w:val="nil"/>
                  </w:tcBorders>
                  <w:vAlign w:val="center"/>
                </w:tcPr>
                <w:p>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37</w:t>
                  </w:r>
                </w:p>
              </w:tc>
              <w:tc>
                <w:tcPr>
                  <w:tcW w:w="1210" w:type="dxa"/>
                  <w:tcBorders>
                    <w:tl2br w:val="nil"/>
                    <w:tr2bl w:val="nil"/>
                  </w:tcBorders>
                  <w:vAlign w:val="center"/>
                </w:tcPr>
                <w:p>
                  <w:pPr>
                    <w:spacing w:line="240" w:lineRule="auto"/>
                    <w:ind w:left="0" w:leftChars="0" w:firstLine="0" w:firstLineChars="0"/>
                    <w:jc w:val="center"/>
                    <w:rPr>
                      <w:color w:val="auto"/>
                      <w:sz w:val="21"/>
                      <w:szCs w:val="21"/>
                      <w:highlight w:val="none"/>
                    </w:rPr>
                  </w:pPr>
                  <w:r>
                    <w:rPr>
                      <w:color w:val="auto"/>
                      <w:sz w:val="21"/>
                      <w:szCs w:val="21"/>
                      <w:highlight w:val="none"/>
                    </w:rPr>
                    <w:t>70</w:t>
                  </w:r>
                </w:p>
              </w:tc>
              <w:tc>
                <w:tcPr>
                  <w:tcW w:w="1010" w:type="dxa"/>
                  <w:tcBorders>
                    <w:tl2br w:val="nil"/>
                    <w:tr2bl w:val="nil"/>
                  </w:tcBorders>
                  <w:vAlign w:val="center"/>
                </w:tcPr>
                <w:p>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52.86</w:t>
                  </w:r>
                </w:p>
              </w:tc>
              <w:tc>
                <w:tcPr>
                  <w:tcW w:w="940" w:type="dxa"/>
                  <w:tcBorders>
                    <w:tl2br w:val="nil"/>
                    <w:tr2bl w:val="nil"/>
                  </w:tcBorders>
                  <w:vAlign w:val="center"/>
                </w:tcPr>
                <w:p>
                  <w:pPr>
                    <w:spacing w:line="240" w:lineRule="auto"/>
                    <w:ind w:left="0" w:leftChars="0" w:firstLine="0" w:firstLineChars="0"/>
                    <w:jc w:val="center"/>
                    <w:rPr>
                      <w:color w:val="auto"/>
                      <w:sz w:val="21"/>
                      <w:szCs w:val="21"/>
                      <w:highlight w:val="none"/>
                    </w:rPr>
                  </w:pPr>
                  <w:r>
                    <w:rPr>
                      <w:color w:val="auto"/>
                      <w:sz w:val="21"/>
                      <w:szCs w:val="21"/>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trHeight w:val="340" w:hRule="atLeast"/>
                <w:jc w:val="center"/>
              </w:trPr>
              <w:tc>
                <w:tcPr>
                  <w:tcW w:w="990" w:type="dxa"/>
                  <w:tcBorders>
                    <w:tl2br w:val="nil"/>
                    <w:tr2bl w:val="nil"/>
                  </w:tcBorders>
                  <w:vAlign w:val="center"/>
                </w:tcPr>
                <w:p>
                  <w:pPr>
                    <w:spacing w:line="240" w:lineRule="auto"/>
                    <w:ind w:left="0" w:leftChars="0" w:firstLine="0" w:firstLineChars="0"/>
                    <w:jc w:val="center"/>
                    <w:rPr>
                      <w:color w:val="auto"/>
                      <w:sz w:val="21"/>
                      <w:szCs w:val="21"/>
                      <w:highlight w:val="none"/>
                    </w:rPr>
                  </w:pPr>
                  <w:bookmarkStart w:id="2" w:name="_Hlk11763680"/>
                  <w:r>
                    <w:rPr>
                      <w:color w:val="auto"/>
                      <w:sz w:val="21"/>
                      <w:szCs w:val="21"/>
                      <w:highlight w:val="none"/>
                    </w:rPr>
                    <w:t>PM</w:t>
                  </w:r>
                  <w:r>
                    <w:rPr>
                      <w:color w:val="auto"/>
                      <w:sz w:val="21"/>
                      <w:szCs w:val="21"/>
                      <w:highlight w:val="none"/>
                      <w:vertAlign w:val="subscript"/>
                    </w:rPr>
                    <w:t>2.5</w:t>
                  </w:r>
                  <w:bookmarkEnd w:id="2"/>
                </w:p>
              </w:tc>
              <w:tc>
                <w:tcPr>
                  <w:tcW w:w="2563" w:type="dxa"/>
                  <w:tcBorders>
                    <w:tl2br w:val="nil"/>
                    <w:tr2bl w:val="nil"/>
                  </w:tcBorders>
                  <w:vAlign w:val="center"/>
                </w:tcPr>
                <w:p>
                  <w:pPr>
                    <w:spacing w:line="240" w:lineRule="auto"/>
                    <w:ind w:left="0" w:leftChars="0" w:firstLine="0" w:firstLineChars="0"/>
                    <w:jc w:val="center"/>
                    <w:rPr>
                      <w:color w:val="auto"/>
                      <w:sz w:val="21"/>
                      <w:szCs w:val="21"/>
                      <w:highlight w:val="none"/>
                    </w:rPr>
                  </w:pPr>
                  <w:r>
                    <w:rPr>
                      <w:color w:val="auto"/>
                      <w:sz w:val="21"/>
                      <w:szCs w:val="21"/>
                      <w:highlight w:val="none"/>
                    </w:rPr>
                    <w:t>年平均质量浓度</w:t>
                  </w:r>
                </w:p>
              </w:tc>
              <w:tc>
                <w:tcPr>
                  <w:tcW w:w="1256" w:type="dxa"/>
                  <w:tcBorders>
                    <w:tl2br w:val="nil"/>
                    <w:tr2bl w:val="nil"/>
                  </w:tcBorders>
                  <w:vAlign w:val="center"/>
                </w:tcPr>
                <w:p>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27</w:t>
                  </w:r>
                </w:p>
              </w:tc>
              <w:tc>
                <w:tcPr>
                  <w:tcW w:w="1210" w:type="dxa"/>
                  <w:tcBorders>
                    <w:tl2br w:val="nil"/>
                    <w:tr2bl w:val="nil"/>
                  </w:tcBorders>
                  <w:vAlign w:val="center"/>
                </w:tcPr>
                <w:p>
                  <w:pPr>
                    <w:spacing w:line="240" w:lineRule="auto"/>
                    <w:ind w:left="0" w:leftChars="0" w:firstLine="0" w:firstLineChars="0"/>
                    <w:jc w:val="center"/>
                    <w:rPr>
                      <w:color w:val="auto"/>
                      <w:sz w:val="21"/>
                      <w:szCs w:val="21"/>
                      <w:highlight w:val="none"/>
                    </w:rPr>
                  </w:pPr>
                  <w:r>
                    <w:rPr>
                      <w:color w:val="auto"/>
                      <w:sz w:val="21"/>
                      <w:szCs w:val="21"/>
                      <w:highlight w:val="none"/>
                    </w:rPr>
                    <w:t>35</w:t>
                  </w:r>
                </w:p>
              </w:tc>
              <w:tc>
                <w:tcPr>
                  <w:tcW w:w="1010" w:type="dxa"/>
                  <w:tcBorders>
                    <w:tl2br w:val="nil"/>
                    <w:tr2bl w:val="nil"/>
                  </w:tcBorders>
                  <w:vAlign w:val="center"/>
                </w:tcPr>
                <w:p>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77.14</w:t>
                  </w:r>
                </w:p>
              </w:tc>
              <w:tc>
                <w:tcPr>
                  <w:tcW w:w="940" w:type="dxa"/>
                  <w:tcBorders>
                    <w:tl2br w:val="nil"/>
                    <w:tr2bl w:val="nil"/>
                  </w:tcBorders>
                  <w:vAlign w:val="center"/>
                </w:tcPr>
                <w:p>
                  <w:pPr>
                    <w:spacing w:line="240" w:lineRule="auto"/>
                    <w:ind w:left="0" w:leftChars="0" w:firstLine="0" w:firstLineChars="0"/>
                    <w:jc w:val="center"/>
                    <w:rPr>
                      <w:rFonts w:hint="eastAsia"/>
                      <w:color w:val="auto"/>
                      <w:sz w:val="21"/>
                      <w:szCs w:val="21"/>
                      <w:highlight w:val="none"/>
                      <w:lang w:val="en-US" w:eastAsia="zh-CN"/>
                    </w:rPr>
                  </w:pPr>
                  <w:r>
                    <w:rPr>
                      <w:color w:val="auto"/>
                      <w:sz w:val="21"/>
                      <w:szCs w:val="21"/>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trHeight w:val="340" w:hRule="atLeast"/>
                <w:jc w:val="center"/>
              </w:trPr>
              <w:tc>
                <w:tcPr>
                  <w:tcW w:w="990" w:type="dxa"/>
                  <w:tcBorders>
                    <w:tl2br w:val="nil"/>
                    <w:tr2bl w:val="nil"/>
                  </w:tcBorders>
                  <w:vAlign w:val="center"/>
                </w:tcPr>
                <w:p>
                  <w:pPr>
                    <w:spacing w:line="240" w:lineRule="auto"/>
                    <w:ind w:left="0" w:leftChars="0" w:firstLine="0" w:firstLineChars="0"/>
                    <w:jc w:val="center"/>
                    <w:rPr>
                      <w:color w:val="auto"/>
                      <w:sz w:val="21"/>
                      <w:szCs w:val="21"/>
                      <w:highlight w:val="none"/>
                    </w:rPr>
                  </w:pPr>
                  <w:r>
                    <w:rPr>
                      <w:color w:val="auto"/>
                      <w:sz w:val="21"/>
                      <w:szCs w:val="21"/>
                      <w:highlight w:val="none"/>
                    </w:rPr>
                    <w:t>O</w:t>
                  </w:r>
                  <w:r>
                    <w:rPr>
                      <w:color w:val="auto"/>
                      <w:sz w:val="21"/>
                      <w:szCs w:val="21"/>
                      <w:highlight w:val="none"/>
                      <w:vertAlign w:val="subscript"/>
                    </w:rPr>
                    <w:t>3</w:t>
                  </w:r>
                </w:p>
              </w:tc>
              <w:tc>
                <w:tcPr>
                  <w:tcW w:w="2563" w:type="dxa"/>
                  <w:tcBorders>
                    <w:tl2br w:val="nil"/>
                    <w:tr2bl w:val="nil"/>
                  </w:tcBorders>
                  <w:vAlign w:val="center"/>
                </w:tcPr>
                <w:p>
                  <w:pPr>
                    <w:spacing w:line="240" w:lineRule="auto"/>
                    <w:ind w:left="0" w:leftChars="0" w:firstLine="0" w:firstLineChars="0"/>
                    <w:jc w:val="center"/>
                    <w:rPr>
                      <w:color w:val="auto"/>
                      <w:sz w:val="21"/>
                      <w:szCs w:val="21"/>
                      <w:highlight w:val="none"/>
                    </w:rPr>
                  </w:pPr>
                  <w:r>
                    <w:rPr>
                      <w:color w:val="auto"/>
                      <w:sz w:val="21"/>
                      <w:szCs w:val="21"/>
                      <w:highlight w:val="none"/>
                    </w:rPr>
                    <w:t>年最大8小时平均浓度的第90百分位数</w:t>
                  </w:r>
                </w:p>
              </w:tc>
              <w:tc>
                <w:tcPr>
                  <w:tcW w:w="1256" w:type="dxa"/>
                  <w:tcBorders>
                    <w:tl2br w:val="nil"/>
                    <w:tr2bl w:val="nil"/>
                  </w:tcBorders>
                  <w:vAlign w:val="center"/>
                </w:tcPr>
                <w:p>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108</w:t>
                  </w:r>
                </w:p>
              </w:tc>
              <w:tc>
                <w:tcPr>
                  <w:tcW w:w="1210" w:type="dxa"/>
                  <w:tcBorders>
                    <w:tl2br w:val="nil"/>
                    <w:tr2bl w:val="nil"/>
                  </w:tcBorders>
                  <w:vAlign w:val="center"/>
                </w:tcPr>
                <w:p>
                  <w:pPr>
                    <w:spacing w:line="240" w:lineRule="auto"/>
                    <w:ind w:left="0" w:leftChars="0" w:firstLine="0" w:firstLineChars="0"/>
                    <w:jc w:val="center"/>
                    <w:rPr>
                      <w:color w:val="auto"/>
                      <w:sz w:val="21"/>
                      <w:szCs w:val="21"/>
                      <w:highlight w:val="none"/>
                    </w:rPr>
                  </w:pPr>
                  <w:r>
                    <w:rPr>
                      <w:color w:val="auto"/>
                      <w:sz w:val="21"/>
                      <w:szCs w:val="21"/>
                      <w:highlight w:val="none"/>
                    </w:rPr>
                    <w:t>160</w:t>
                  </w:r>
                </w:p>
              </w:tc>
              <w:tc>
                <w:tcPr>
                  <w:tcW w:w="1010" w:type="dxa"/>
                  <w:tcBorders>
                    <w:tl2br w:val="nil"/>
                    <w:tr2bl w:val="nil"/>
                  </w:tcBorders>
                  <w:vAlign w:val="center"/>
                </w:tcPr>
                <w:p>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67.5</w:t>
                  </w:r>
                </w:p>
              </w:tc>
              <w:tc>
                <w:tcPr>
                  <w:tcW w:w="940" w:type="dxa"/>
                  <w:tcBorders>
                    <w:tl2br w:val="nil"/>
                    <w:tr2bl w:val="nil"/>
                  </w:tcBorders>
                  <w:vAlign w:val="center"/>
                </w:tcPr>
                <w:p>
                  <w:pPr>
                    <w:spacing w:line="240" w:lineRule="auto"/>
                    <w:ind w:left="0" w:leftChars="0" w:firstLine="0" w:firstLineChars="0"/>
                    <w:jc w:val="center"/>
                    <w:rPr>
                      <w:rFonts w:hint="eastAsia"/>
                      <w:color w:val="auto"/>
                      <w:sz w:val="21"/>
                      <w:szCs w:val="21"/>
                      <w:highlight w:val="none"/>
                      <w:lang w:val="en-US" w:eastAsia="zh-CN"/>
                    </w:rPr>
                  </w:pPr>
                  <w:r>
                    <w:rPr>
                      <w:color w:val="auto"/>
                      <w:sz w:val="21"/>
                      <w:szCs w:val="21"/>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trHeight w:val="340" w:hRule="atLeast"/>
                <w:jc w:val="center"/>
              </w:trPr>
              <w:tc>
                <w:tcPr>
                  <w:tcW w:w="990" w:type="dxa"/>
                  <w:tcBorders>
                    <w:tl2br w:val="nil"/>
                    <w:tr2bl w:val="nil"/>
                  </w:tcBorders>
                  <w:vAlign w:val="center"/>
                </w:tcPr>
                <w:p>
                  <w:pPr>
                    <w:spacing w:line="240" w:lineRule="auto"/>
                    <w:ind w:left="0" w:leftChars="0" w:firstLine="0" w:firstLineChars="0"/>
                    <w:jc w:val="center"/>
                    <w:rPr>
                      <w:color w:val="auto"/>
                      <w:sz w:val="21"/>
                      <w:szCs w:val="21"/>
                      <w:highlight w:val="none"/>
                    </w:rPr>
                  </w:pPr>
                  <w:r>
                    <w:rPr>
                      <w:color w:val="auto"/>
                      <w:sz w:val="21"/>
                      <w:szCs w:val="21"/>
                      <w:highlight w:val="none"/>
                    </w:rPr>
                    <w:t>CO</w:t>
                  </w:r>
                </w:p>
              </w:tc>
              <w:tc>
                <w:tcPr>
                  <w:tcW w:w="2563" w:type="dxa"/>
                  <w:tcBorders>
                    <w:tl2br w:val="nil"/>
                    <w:tr2bl w:val="nil"/>
                  </w:tcBorders>
                  <w:vAlign w:val="center"/>
                </w:tcPr>
                <w:p>
                  <w:pPr>
                    <w:spacing w:line="240" w:lineRule="auto"/>
                    <w:ind w:left="0" w:leftChars="0" w:firstLine="0" w:firstLineChars="0"/>
                    <w:jc w:val="center"/>
                    <w:rPr>
                      <w:color w:val="auto"/>
                      <w:sz w:val="21"/>
                      <w:szCs w:val="21"/>
                      <w:highlight w:val="none"/>
                    </w:rPr>
                  </w:pPr>
                  <w:r>
                    <w:rPr>
                      <w:rFonts w:hint="eastAsia"/>
                      <w:color w:val="auto"/>
                      <w:sz w:val="21"/>
                      <w:szCs w:val="21"/>
                      <w:highlight w:val="none"/>
                    </w:rPr>
                    <w:t>8</w:t>
                  </w:r>
                  <w:r>
                    <w:rPr>
                      <w:color w:val="auto"/>
                      <w:sz w:val="21"/>
                      <w:szCs w:val="21"/>
                      <w:highlight w:val="none"/>
                    </w:rPr>
                    <w:t>年24小时平均浓度的第95百分位数</w:t>
                  </w:r>
                </w:p>
              </w:tc>
              <w:tc>
                <w:tcPr>
                  <w:tcW w:w="1256" w:type="dxa"/>
                  <w:tcBorders>
                    <w:tl2br w:val="nil"/>
                    <w:tr2bl w:val="nil"/>
                  </w:tcBorders>
                  <w:vAlign w:val="center"/>
                </w:tcPr>
                <w:p>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1100</w:t>
                  </w:r>
                </w:p>
              </w:tc>
              <w:tc>
                <w:tcPr>
                  <w:tcW w:w="1210" w:type="dxa"/>
                  <w:tcBorders>
                    <w:tl2br w:val="nil"/>
                    <w:tr2bl w:val="nil"/>
                  </w:tcBorders>
                  <w:vAlign w:val="center"/>
                </w:tcPr>
                <w:p>
                  <w:pPr>
                    <w:spacing w:line="240" w:lineRule="auto"/>
                    <w:ind w:left="0" w:leftChars="0" w:firstLine="0" w:firstLineChars="0"/>
                    <w:jc w:val="center"/>
                    <w:rPr>
                      <w:rFonts w:hint="default"/>
                      <w:color w:val="auto"/>
                      <w:sz w:val="21"/>
                      <w:szCs w:val="21"/>
                      <w:highlight w:val="none"/>
                      <w:lang w:val="en-US" w:eastAsia="zh-CN"/>
                    </w:rPr>
                  </w:pPr>
                  <w:r>
                    <w:rPr>
                      <w:color w:val="auto"/>
                      <w:sz w:val="21"/>
                      <w:szCs w:val="21"/>
                      <w:highlight w:val="none"/>
                    </w:rPr>
                    <w:t>4</w:t>
                  </w:r>
                  <w:r>
                    <w:rPr>
                      <w:rFonts w:hint="eastAsia"/>
                      <w:color w:val="auto"/>
                      <w:sz w:val="21"/>
                      <w:szCs w:val="21"/>
                      <w:highlight w:val="none"/>
                      <w:lang w:val="en-US" w:eastAsia="zh-CN"/>
                    </w:rPr>
                    <w:t>000</w:t>
                  </w:r>
                </w:p>
              </w:tc>
              <w:tc>
                <w:tcPr>
                  <w:tcW w:w="1010" w:type="dxa"/>
                  <w:tcBorders>
                    <w:tl2br w:val="nil"/>
                    <w:tr2bl w:val="nil"/>
                  </w:tcBorders>
                  <w:vAlign w:val="center"/>
                </w:tcPr>
                <w:p>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27.5</w:t>
                  </w:r>
                </w:p>
              </w:tc>
              <w:tc>
                <w:tcPr>
                  <w:tcW w:w="940" w:type="dxa"/>
                  <w:tcBorders>
                    <w:tl2br w:val="nil"/>
                    <w:tr2bl w:val="nil"/>
                  </w:tcBorders>
                  <w:vAlign w:val="center"/>
                </w:tcPr>
                <w:p>
                  <w:pPr>
                    <w:spacing w:line="240" w:lineRule="auto"/>
                    <w:ind w:left="0" w:leftChars="0" w:firstLine="0" w:firstLineChars="0"/>
                    <w:jc w:val="center"/>
                    <w:rPr>
                      <w:color w:val="auto"/>
                      <w:sz w:val="21"/>
                      <w:szCs w:val="21"/>
                      <w:highlight w:val="none"/>
                    </w:rPr>
                  </w:pPr>
                  <w:r>
                    <w:rPr>
                      <w:color w:val="auto"/>
                      <w:sz w:val="21"/>
                      <w:szCs w:val="21"/>
                      <w:highlight w:val="none"/>
                    </w:rPr>
                    <w:t>达标</w:t>
                  </w:r>
                </w:p>
              </w:tc>
            </w:tr>
          </w:tbl>
          <w:p>
            <w:pPr>
              <w:pageBreakBefore w:val="0"/>
              <w:widowControl/>
              <w:kinsoku/>
              <w:wordWrap/>
              <w:overflowPunct/>
              <w:topLinePunct w:val="0"/>
              <w:autoSpaceDE/>
              <w:autoSpaceDN/>
              <w:bidi w:val="0"/>
              <w:adjustRightInd/>
              <w:snapToGrid/>
              <w:spacing w:line="360" w:lineRule="auto"/>
              <w:ind w:firstLine="480"/>
              <w:jc w:val="both"/>
              <w:textAlignment w:val="auto"/>
              <w:rPr>
                <w:rFonts w:hint="eastAsia" w:eastAsia="宋体"/>
                <w:color w:val="auto"/>
                <w:highlight w:val="none"/>
                <w:lang w:eastAsia="zh-CN"/>
              </w:rPr>
            </w:pPr>
            <w:r>
              <w:rPr>
                <w:rFonts w:hint="eastAsia"/>
                <w:color w:val="auto"/>
                <w:highlight w:val="none"/>
              </w:rPr>
              <w:t>区域内大气各因子均未超标，均满足《环境空气质量标准》（GB3095-2012）中二级标准要求，为达标区域。</w:t>
            </w:r>
          </w:p>
          <w:p>
            <w:pPr>
              <w:pStyle w:val="3"/>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val="en-US" w:eastAsia="zh-CN"/>
              </w:rPr>
            </w:pPr>
            <w:bookmarkStart w:id="3" w:name="_Toc490844414"/>
            <w:r>
              <w:rPr>
                <w:rFonts w:hint="eastAsia" w:ascii="宋体" w:hAnsi="宋体" w:eastAsia="宋体" w:cs="宋体"/>
                <w:color w:val="auto"/>
                <w:highlight w:val="none"/>
                <w:lang w:val="en-US" w:eastAsia="zh-CN"/>
              </w:rPr>
              <w:t>3.2 地表水质量现状</w:t>
            </w:r>
            <w:bookmarkEnd w:id="3"/>
          </w:p>
          <w:p>
            <w:pPr>
              <w:pageBreakBefore w:val="0"/>
              <w:kinsoku/>
              <w:wordWrap/>
              <w:overflowPunct/>
              <w:topLinePunct w:val="0"/>
              <w:autoSpaceDE/>
              <w:autoSpaceDN/>
              <w:bidi w:val="0"/>
              <w:adjustRightInd/>
              <w:snapToGrid/>
              <w:spacing w:line="360" w:lineRule="auto"/>
              <w:ind w:firstLine="520"/>
              <w:textAlignment w:val="auto"/>
              <w:rPr>
                <w:rFonts w:hint="eastAsia"/>
                <w:color w:val="auto"/>
                <w:highlight w:val="none"/>
              </w:rPr>
            </w:pPr>
            <w:r>
              <w:rPr>
                <w:rFonts w:hint="eastAsia"/>
                <w:color w:val="auto"/>
                <w:sz w:val="24"/>
                <w:szCs w:val="24"/>
                <w:highlight w:val="none"/>
                <w:lang w:eastAsia="zh-CN"/>
              </w:rPr>
              <w:t>拟建</w:t>
            </w:r>
            <w:r>
              <w:rPr>
                <w:color w:val="auto"/>
                <w:sz w:val="24"/>
                <w:szCs w:val="24"/>
                <w:highlight w:val="none"/>
              </w:rPr>
              <w:t>项目</w:t>
            </w:r>
            <w:r>
              <w:rPr>
                <w:rFonts w:hint="eastAsia"/>
                <w:color w:val="auto"/>
                <w:sz w:val="24"/>
                <w:szCs w:val="24"/>
                <w:highlight w:val="none"/>
                <w:lang w:val="en-US" w:eastAsia="zh-CN"/>
              </w:rPr>
              <w:t>受纳水体为长滩河，根据《重庆市人民政府批准重庆市地表水环境功能类别调整方案的通知》（渝府发</w:t>
            </w:r>
            <w:r>
              <w:rPr>
                <w:rFonts w:hint="eastAsia" w:ascii="宋体" w:hAnsi="宋体" w:eastAsia="宋体" w:cs="宋体"/>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2012〕4号</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，项目评价段</w:t>
            </w:r>
            <w:r>
              <w:rPr>
                <w:rFonts w:hint="eastAsia" w:cs="Times New Roman"/>
                <w:color w:val="auto"/>
                <w:sz w:val="24"/>
                <w:szCs w:val="24"/>
                <w:highlight w:val="none"/>
                <w:lang w:val="en-US" w:eastAsia="zh-CN"/>
              </w:rPr>
              <w:t>长滩河</w:t>
            </w:r>
            <w:r>
              <w:rPr>
                <w:rFonts w:hint="eastAsia" w:ascii="Times New Roman" w:hAnsi="Times New Roman" w:cs="Times New Roman"/>
                <w:color w:val="auto"/>
                <w:sz w:val="24"/>
                <w:szCs w:val="24"/>
                <w:highlight w:val="none"/>
                <w:lang w:val="en-US" w:eastAsia="zh-CN"/>
              </w:rPr>
              <w:t>属于</w:t>
            </w:r>
            <w:r>
              <w:rPr>
                <w:rFonts w:hint="eastAsia" w:ascii="宋体" w:hAnsi="宋体" w:eastAsia="宋体" w:cs="宋体"/>
                <w:color w:val="auto"/>
                <w:sz w:val="24"/>
                <w:szCs w:val="24"/>
                <w:highlight w:val="none"/>
                <w:lang w:val="en-US" w:eastAsia="zh-CN"/>
              </w:rPr>
              <w:t>Ⅲ</w:t>
            </w:r>
            <w:r>
              <w:rPr>
                <w:rFonts w:hint="eastAsia" w:ascii="Times New Roman" w:hAnsi="Times New Roman" w:cs="Times New Roman"/>
                <w:color w:val="auto"/>
                <w:sz w:val="24"/>
                <w:szCs w:val="24"/>
                <w:highlight w:val="none"/>
                <w:lang w:val="en-US" w:eastAsia="zh-CN"/>
              </w:rPr>
              <w:t>类水域，执行《地表水环境质量标准》（GB3838-2002）</w:t>
            </w:r>
            <w:r>
              <w:rPr>
                <w:rFonts w:hint="eastAsia" w:ascii="宋体" w:hAnsi="宋体" w:eastAsia="宋体" w:cs="宋体"/>
                <w:color w:val="auto"/>
                <w:sz w:val="24"/>
                <w:szCs w:val="24"/>
                <w:highlight w:val="none"/>
                <w:lang w:val="en-US" w:eastAsia="zh-CN"/>
              </w:rPr>
              <w:t>Ⅲ</w:t>
            </w:r>
            <w:r>
              <w:rPr>
                <w:rFonts w:hint="eastAsia" w:ascii="Times New Roman" w:hAnsi="Times New Roman" w:cs="Times New Roman"/>
                <w:color w:val="auto"/>
                <w:sz w:val="24"/>
                <w:szCs w:val="24"/>
                <w:highlight w:val="none"/>
                <w:lang w:val="en-US" w:eastAsia="zh-CN"/>
              </w:rPr>
              <w:t>类水域标准</w:t>
            </w:r>
            <w:r>
              <w:rPr>
                <w:rFonts w:hint="eastAsia"/>
                <w:color w:val="auto"/>
                <w:highlight w:val="none"/>
              </w:rPr>
              <w:t>。</w:t>
            </w:r>
          </w:p>
          <w:p>
            <w:pPr>
              <w:pageBreakBefore w:val="0"/>
              <w:kinsoku/>
              <w:wordWrap/>
              <w:overflowPunct/>
              <w:topLinePunct w:val="0"/>
              <w:autoSpaceDE/>
              <w:autoSpaceDN/>
              <w:bidi w:val="0"/>
              <w:adjustRightInd/>
              <w:snapToGrid/>
              <w:spacing w:line="360" w:lineRule="auto"/>
              <w:ind w:firstLine="520"/>
              <w:textAlignment w:val="auto"/>
              <w:rPr>
                <w:rFonts w:hint="eastAsia"/>
                <w:color w:val="auto"/>
                <w:highlight w:val="none"/>
              </w:rPr>
            </w:pPr>
            <w:r>
              <w:rPr>
                <w:rFonts w:hint="eastAsia"/>
                <w:color w:val="auto"/>
                <w:highlight w:val="none"/>
              </w:rPr>
              <w:t>根据</w:t>
            </w:r>
            <w:r>
              <w:rPr>
                <w:rFonts w:hint="eastAsia"/>
                <w:color w:val="auto"/>
                <w:highlight w:val="none"/>
                <w:lang w:eastAsia="zh-CN"/>
              </w:rPr>
              <w:t>奉节</w:t>
            </w:r>
            <w:r>
              <w:rPr>
                <w:rFonts w:hint="eastAsia"/>
                <w:color w:val="auto"/>
                <w:highlight w:val="none"/>
              </w:rPr>
              <w:t>县生态环境局发布的《202</w:t>
            </w:r>
            <w:r>
              <w:rPr>
                <w:rFonts w:hint="eastAsia"/>
                <w:color w:val="auto"/>
                <w:highlight w:val="none"/>
                <w:lang w:val="en-US" w:eastAsia="zh-CN"/>
              </w:rPr>
              <w:t>3</w:t>
            </w:r>
            <w:r>
              <w:rPr>
                <w:rFonts w:hint="eastAsia"/>
                <w:color w:val="auto"/>
                <w:highlight w:val="none"/>
              </w:rPr>
              <w:t>年</w:t>
            </w:r>
            <w:r>
              <w:rPr>
                <w:rFonts w:hint="eastAsia"/>
                <w:color w:val="auto"/>
                <w:highlight w:val="none"/>
                <w:lang w:eastAsia="zh-CN"/>
              </w:rPr>
              <w:t>奉节</w:t>
            </w:r>
            <w:r>
              <w:rPr>
                <w:rFonts w:hint="eastAsia"/>
                <w:color w:val="auto"/>
                <w:highlight w:val="none"/>
              </w:rPr>
              <w:t>县环境质量状况（</w:t>
            </w:r>
            <w:r>
              <w:rPr>
                <w:rFonts w:hint="eastAsia"/>
                <w:color w:val="auto"/>
                <w:highlight w:val="none"/>
                <w:lang w:val="en-US" w:eastAsia="zh-CN"/>
              </w:rPr>
              <w:t>7</w:t>
            </w:r>
            <w:r>
              <w:rPr>
                <w:rFonts w:hint="eastAsia"/>
                <w:color w:val="auto"/>
                <w:highlight w:val="none"/>
              </w:rPr>
              <w:t>月）》结果，</w:t>
            </w:r>
            <w:r>
              <w:rPr>
                <w:rFonts w:hint="eastAsia"/>
                <w:color w:val="auto"/>
                <w:highlight w:val="none"/>
                <w:lang w:eastAsia="zh-CN"/>
              </w:rPr>
              <w:t>长滩河</w:t>
            </w:r>
            <w:r>
              <w:rPr>
                <w:rFonts w:hint="eastAsia"/>
                <w:color w:val="auto"/>
                <w:highlight w:val="none"/>
              </w:rPr>
              <w:t>水质类别稳定达到《地表水环境质量标准》（GB3838-2002）Ⅲ类水质标准。</w:t>
            </w:r>
          </w:p>
          <w:p>
            <w:pPr>
              <w:spacing w:line="480" w:lineRule="atLeast"/>
              <w:ind w:firstLine="520"/>
              <w:rPr>
                <w:rFonts w:hint="eastAsia" w:eastAsia="宋体"/>
                <w:color w:val="auto"/>
                <w:highlight w:val="none"/>
                <w:lang w:eastAsia="zh-CN"/>
              </w:rPr>
            </w:pPr>
            <w:r>
              <w:rPr>
                <w:rFonts w:hint="eastAsia"/>
                <w:color w:val="auto"/>
                <w:highlight w:val="none"/>
              </w:rPr>
              <w:t>因此，项目所在地地表水环境质量良好</w:t>
            </w:r>
            <w:r>
              <w:rPr>
                <w:rFonts w:hint="eastAsia"/>
                <w:color w:val="auto"/>
                <w:highlight w:val="none"/>
                <w:lang w:eastAsia="zh-CN"/>
              </w:rPr>
              <w:t>。</w:t>
            </w:r>
          </w:p>
          <w:p>
            <w:pPr>
              <w:keepNext w:val="0"/>
              <w:keepLines w:val="0"/>
              <w:widowControl/>
              <w:suppressLineNumbers w:val="0"/>
              <w:jc w:val="left"/>
              <w:rPr>
                <w:color w:val="auto"/>
                <w:highlight w:val="none"/>
              </w:rPr>
            </w:pPr>
            <w:bookmarkStart w:id="4" w:name="_Toc490844416"/>
            <w:r>
              <w:rPr>
                <w:rFonts w:ascii="宋体" w:hAnsi="宋体" w:eastAsia="宋体" w:cs="宋体"/>
                <w:color w:val="auto"/>
                <w:kern w:val="0"/>
                <w:sz w:val="24"/>
                <w:szCs w:val="24"/>
                <w:highlight w:val="none"/>
                <w:lang w:val="en-US" w:eastAsia="zh-CN" w:bidi="ar"/>
              </w:rPr>
              <w:drawing>
                <wp:anchor distT="0" distB="0" distL="114300" distR="114300" simplePos="0" relativeHeight="251661312" behindDoc="0" locked="0" layoutInCell="1" allowOverlap="1">
                  <wp:simplePos x="0" y="0"/>
                  <wp:positionH relativeFrom="column">
                    <wp:posOffset>250190</wp:posOffset>
                  </wp:positionH>
                  <wp:positionV relativeFrom="paragraph">
                    <wp:posOffset>96520</wp:posOffset>
                  </wp:positionV>
                  <wp:extent cx="4552950" cy="7198360"/>
                  <wp:effectExtent l="0" t="0" r="0" b="2540"/>
                  <wp:wrapNone/>
                  <wp:docPr id="6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descr="IMG_256"/>
                          <pic:cNvPicPr>
                            <a:picLocks noChangeAspect="1"/>
                          </pic:cNvPicPr>
                        </pic:nvPicPr>
                        <pic:blipFill>
                          <a:blip r:embed="rId17"/>
                          <a:stretch>
                            <a:fillRect/>
                          </a:stretch>
                        </pic:blipFill>
                        <pic:spPr>
                          <a:xfrm>
                            <a:off x="0" y="0"/>
                            <a:ext cx="4552950" cy="7198360"/>
                          </a:xfrm>
                          <a:prstGeom prst="rect">
                            <a:avLst/>
                          </a:prstGeom>
                          <a:noFill/>
                          <a:ln w="9525">
                            <a:noFill/>
                          </a:ln>
                        </pic:spPr>
                      </pic:pic>
                    </a:graphicData>
                  </a:graphic>
                </wp:anchor>
              </w:drawing>
            </w:r>
          </w:p>
          <w:p>
            <w:pPr>
              <w:keepNext w:val="0"/>
              <w:keepLines w:val="0"/>
              <w:widowControl/>
              <w:suppressLineNumbers w:val="0"/>
              <w:jc w:val="left"/>
              <w:rPr>
                <w:color w:val="auto"/>
                <w:highlight w:val="none"/>
              </w:rPr>
            </w:pPr>
          </w:p>
          <w:p>
            <w:pPr>
              <w:pStyle w:val="4"/>
              <w:bidi w:val="0"/>
              <w:rPr>
                <w:rFonts w:hint="eastAsia"/>
                <w:color w:val="auto"/>
                <w:highlight w:val="none"/>
                <w:lang w:val="en-US" w:eastAsia="zh-CN"/>
              </w:rPr>
            </w:pPr>
          </w:p>
          <w:p>
            <w:pPr>
              <w:pStyle w:val="4"/>
              <w:bidi w:val="0"/>
              <w:rPr>
                <w:rFonts w:hint="eastAsia"/>
                <w:color w:val="auto"/>
                <w:highlight w:val="none"/>
                <w:lang w:val="en-US" w:eastAsia="zh-CN"/>
              </w:rPr>
            </w:pPr>
          </w:p>
          <w:p>
            <w:pPr>
              <w:pStyle w:val="4"/>
              <w:bidi w:val="0"/>
              <w:rPr>
                <w:rFonts w:hint="eastAsia"/>
                <w:color w:val="auto"/>
                <w:highlight w:val="none"/>
                <w:lang w:val="en-US" w:eastAsia="zh-CN"/>
              </w:rPr>
            </w:pPr>
          </w:p>
          <w:p>
            <w:pPr>
              <w:pStyle w:val="4"/>
              <w:bidi w:val="0"/>
              <w:rPr>
                <w:rFonts w:hint="eastAsia"/>
                <w:color w:val="auto"/>
                <w:highlight w:val="none"/>
                <w:lang w:val="en-US" w:eastAsia="zh-CN"/>
              </w:rPr>
            </w:pPr>
          </w:p>
          <w:p>
            <w:pPr>
              <w:pStyle w:val="4"/>
              <w:bidi w:val="0"/>
              <w:rPr>
                <w:rFonts w:hint="eastAsia"/>
                <w:color w:val="auto"/>
                <w:highlight w:val="none"/>
                <w:lang w:val="en-US" w:eastAsia="zh-CN"/>
              </w:rPr>
            </w:pPr>
          </w:p>
          <w:p>
            <w:pPr>
              <w:pStyle w:val="4"/>
              <w:bidi w:val="0"/>
              <w:rPr>
                <w:rFonts w:hint="eastAsia"/>
                <w:color w:val="auto"/>
                <w:highlight w:val="none"/>
                <w:lang w:val="en-US" w:eastAsia="zh-CN"/>
              </w:rPr>
            </w:pPr>
          </w:p>
          <w:p>
            <w:pPr>
              <w:pStyle w:val="4"/>
              <w:bidi w:val="0"/>
              <w:rPr>
                <w:rFonts w:hint="eastAsia"/>
                <w:color w:val="auto"/>
                <w:highlight w:val="none"/>
                <w:lang w:val="en-US" w:eastAsia="zh-CN"/>
              </w:rPr>
            </w:pPr>
          </w:p>
          <w:p>
            <w:pPr>
              <w:pStyle w:val="4"/>
              <w:bidi w:val="0"/>
              <w:rPr>
                <w:rFonts w:hint="eastAsia"/>
                <w:color w:val="auto"/>
                <w:highlight w:val="none"/>
                <w:lang w:val="en-US" w:eastAsia="zh-CN"/>
              </w:rPr>
            </w:pPr>
          </w:p>
          <w:p>
            <w:pPr>
              <w:pStyle w:val="4"/>
              <w:bidi w:val="0"/>
              <w:rPr>
                <w:rFonts w:hint="eastAsia"/>
                <w:color w:val="auto"/>
                <w:highlight w:val="none"/>
                <w:lang w:val="en-US" w:eastAsia="zh-CN"/>
              </w:rPr>
            </w:pPr>
          </w:p>
          <w:p>
            <w:pPr>
              <w:pStyle w:val="4"/>
              <w:bidi w:val="0"/>
              <w:rPr>
                <w:rFonts w:hint="eastAsia"/>
                <w:color w:val="auto"/>
                <w:highlight w:val="none"/>
                <w:lang w:val="en-US" w:eastAsia="zh-CN"/>
              </w:rPr>
            </w:pPr>
          </w:p>
          <w:p>
            <w:pPr>
              <w:pStyle w:val="4"/>
              <w:bidi w:val="0"/>
              <w:rPr>
                <w:rFonts w:hint="eastAsia"/>
                <w:color w:val="auto"/>
                <w:highlight w:val="none"/>
                <w:lang w:val="en-US" w:eastAsia="zh-CN"/>
              </w:rPr>
            </w:pPr>
          </w:p>
          <w:p>
            <w:pPr>
              <w:pStyle w:val="4"/>
              <w:bidi w:val="0"/>
              <w:rPr>
                <w:rFonts w:hint="eastAsia"/>
                <w:color w:val="auto"/>
                <w:highlight w:val="none"/>
                <w:lang w:val="en-US" w:eastAsia="zh-CN"/>
              </w:rPr>
            </w:pPr>
          </w:p>
          <w:p>
            <w:pPr>
              <w:pStyle w:val="4"/>
              <w:bidi w:val="0"/>
              <w:rPr>
                <w:rFonts w:hint="eastAsia"/>
                <w:color w:val="auto"/>
                <w:highlight w:val="none"/>
                <w:lang w:val="en-US" w:eastAsia="zh-CN"/>
              </w:rPr>
            </w:pPr>
          </w:p>
          <w:p>
            <w:pPr>
              <w:pStyle w:val="4"/>
              <w:bidi w:val="0"/>
              <w:rPr>
                <w:rFonts w:hint="eastAsia"/>
                <w:color w:val="auto"/>
                <w:highlight w:val="none"/>
                <w:lang w:val="en-US" w:eastAsia="zh-CN"/>
              </w:rPr>
            </w:pPr>
          </w:p>
          <w:p>
            <w:pPr>
              <w:pStyle w:val="4"/>
              <w:bidi w:val="0"/>
              <w:rPr>
                <w:rFonts w:hint="eastAsia"/>
                <w:color w:val="auto"/>
                <w:highlight w:val="none"/>
                <w:lang w:val="en-US" w:eastAsia="zh-CN"/>
              </w:rPr>
            </w:pPr>
          </w:p>
          <w:p>
            <w:pPr>
              <w:pStyle w:val="4"/>
              <w:bidi w:val="0"/>
              <w:rPr>
                <w:rFonts w:hint="eastAsia"/>
                <w:color w:val="auto"/>
                <w:highlight w:val="none"/>
                <w:lang w:val="en-US" w:eastAsia="zh-CN"/>
              </w:rPr>
            </w:pPr>
          </w:p>
          <w:p>
            <w:pPr>
              <w:pStyle w:val="4"/>
              <w:bidi w:val="0"/>
              <w:rPr>
                <w:rFonts w:hint="eastAsia"/>
                <w:color w:val="auto"/>
                <w:highlight w:val="none"/>
                <w:lang w:val="en-US" w:eastAsia="zh-CN"/>
              </w:rPr>
            </w:pPr>
          </w:p>
          <w:p>
            <w:pPr>
              <w:rPr>
                <w:rFonts w:hint="eastAsia"/>
                <w:color w:val="auto"/>
                <w:highlight w:val="none"/>
                <w:lang w:val="en-US" w:eastAsia="zh-CN"/>
              </w:rPr>
            </w:pPr>
          </w:p>
          <w:p>
            <w:pPr>
              <w:pStyle w:val="41"/>
              <w:rPr>
                <w:rFonts w:hint="eastAsia"/>
                <w:color w:val="auto"/>
                <w:highlight w:val="none"/>
                <w:lang w:val="en-US" w:eastAsia="zh-CN"/>
              </w:rPr>
            </w:pPr>
          </w:p>
          <w:p>
            <w:pPr>
              <w:pStyle w:val="41"/>
              <w:rPr>
                <w:rFonts w:hint="eastAsia"/>
                <w:color w:val="auto"/>
                <w:highlight w:val="none"/>
                <w:lang w:val="en-US" w:eastAsia="zh-CN"/>
              </w:rPr>
            </w:pPr>
          </w:p>
          <w:p>
            <w:pPr>
              <w:pStyle w:val="41"/>
              <w:rPr>
                <w:rFonts w:hint="eastAsia"/>
                <w:color w:val="auto"/>
                <w:highlight w:val="none"/>
                <w:lang w:val="en-US" w:eastAsia="zh-CN"/>
              </w:rPr>
            </w:pPr>
          </w:p>
          <w:p>
            <w:pPr>
              <w:pStyle w:val="41"/>
              <w:rPr>
                <w:rFonts w:hint="eastAsia"/>
                <w:color w:val="auto"/>
                <w:highlight w:val="none"/>
                <w:lang w:val="en-US" w:eastAsia="zh-CN"/>
              </w:rPr>
            </w:pPr>
          </w:p>
          <w:p>
            <w:pPr>
              <w:pStyle w:val="41"/>
              <w:rPr>
                <w:rFonts w:hint="eastAsia"/>
                <w:color w:val="auto"/>
                <w:highlight w:val="none"/>
                <w:lang w:val="en-US" w:eastAsia="zh-CN"/>
              </w:rPr>
            </w:pPr>
          </w:p>
          <w:p>
            <w:pPr>
              <w:pStyle w:val="41"/>
              <w:rPr>
                <w:rFonts w:hint="eastAsia"/>
                <w:color w:val="auto"/>
                <w:highlight w:val="none"/>
                <w:lang w:val="en-US" w:eastAsia="zh-CN"/>
              </w:rPr>
            </w:pPr>
          </w:p>
          <w:p>
            <w:pPr>
              <w:pStyle w:val="41"/>
              <w:rPr>
                <w:rFonts w:hint="eastAsia"/>
                <w:color w:val="auto"/>
                <w:highlight w:val="none"/>
                <w:lang w:val="en-US" w:eastAsia="zh-CN"/>
              </w:rPr>
            </w:pPr>
          </w:p>
          <w:p>
            <w:pPr>
              <w:pStyle w:val="41"/>
              <w:rPr>
                <w:rFonts w:hint="eastAsia"/>
                <w:color w:val="auto"/>
                <w:highlight w:val="none"/>
                <w:lang w:val="en-US" w:eastAsia="zh-CN"/>
              </w:rPr>
            </w:pPr>
          </w:p>
          <w:p>
            <w:pPr>
              <w:pStyle w:val="41"/>
              <w:rPr>
                <w:rFonts w:hint="eastAsia"/>
                <w:color w:val="auto"/>
                <w:highlight w:val="none"/>
                <w:lang w:val="en-US" w:eastAsia="zh-CN"/>
              </w:rPr>
            </w:pPr>
          </w:p>
          <w:p>
            <w:pPr>
              <w:pStyle w:val="4"/>
              <w:pageBreakBefore w:val="0"/>
              <w:widowControl w:val="0"/>
              <w:kinsoku/>
              <w:wordWrap/>
              <w:overflowPunct/>
              <w:bidi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3.3 </w:t>
            </w:r>
            <w:r>
              <w:rPr>
                <w:rFonts w:hint="eastAsia" w:ascii="宋体" w:hAnsi="宋体" w:eastAsia="宋体" w:cs="宋体"/>
                <w:color w:val="auto"/>
                <w:highlight w:val="none"/>
              </w:rPr>
              <w:t>声环境质量现状</w:t>
            </w:r>
            <w:bookmarkEnd w:id="4"/>
          </w:p>
          <w:p>
            <w:pPr>
              <w:pStyle w:val="42"/>
              <w:pageBreakBefore w:val="0"/>
              <w:widowControl w:val="0"/>
              <w:kinsoku/>
              <w:wordWrap/>
              <w:overflowPunct/>
              <w:bidi w:val="0"/>
              <w:spacing w:line="360" w:lineRule="auto"/>
              <w:ind w:firstLine="480" w:firstLineChars="200"/>
              <w:jc w:val="both"/>
              <w:textAlignment w:val="auto"/>
              <w:rPr>
                <w:color w:val="auto"/>
                <w:highlight w:val="none"/>
              </w:rPr>
            </w:pPr>
            <w:r>
              <w:rPr>
                <w:rFonts w:hint="eastAsia"/>
                <w:color w:val="auto"/>
                <w:highlight w:val="none"/>
                <w:lang w:eastAsia="zh-CN"/>
              </w:rPr>
              <w:t>拟建项目</w:t>
            </w:r>
            <w:r>
              <w:rPr>
                <w:rFonts w:hint="eastAsia"/>
                <w:color w:val="auto"/>
                <w:highlight w:val="none"/>
              </w:rPr>
              <w:t>位于</w:t>
            </w:r>
            <w:r>
              <w:rPr>
                <w:rFonts w:hint="eastAsia"/>
                <w:color w:val="auto"/>
                <w:highlight w:val="none"/>
                <w:lang w:val="en-US" w:eastAsia="zh-CN"/>
              </w:rPr>
              <w:t>2</w:t>
            </w:r>
            <w:r>
              <w:rPr>
                <w:rFonts w:hint="eastAsia"/>
                <w:color w:val="auto"/>
                <w:highlight w:val="none"/>
              </w:rPr>
              <w:t>类声环境功能区，执行《声环境质量标准》（</w:t>
            </w:r>
            <w:r>
              <w:rPr>
                <w:color w:val="auto"/>
                <w:highlight w:val="none"/>
              </w:rPr>
              <w:t>GB3096-2008</w:t>
            </w:r>
            <w:r>
              <w:rPr>
                <w:rFonts w:hint="eastAsia"/>
                <w:color w:val="auto"/>
                <w:highlight w:val="none"/>
              </w:rPr>
              <w:t>）</w:t>
            </w:r>
            <w:r>
              <w:rPr>
                <w:rFonts w:hint="eastAsia"/>
                <w:color w:val="auto"/>
                <w:highlight w:val="none"/>
                <w:lang w:val="en-US" w:eastAsia="zh-CN"/>
              </w:rPr>
              <w:t>2</w:t>
            </w:r>
            <w:r>
              <w:rPr>
                <w:rFonts w:hint="eastAsia"/>
                <w:color w:val="auto"/>
                <w:highlight w:val="none"/>
              </w:rPr>
              <w:t>类</w:t>
            </w:r>
            <w:r>
              <w:rPr>
                <w:rFonts w:hint="eastAsia"/>
                <w:color w:val="auto"/>
                <w:highlight w:val="none"/>
                <w:lang w:val="en-US" w:eastAsia="zh-CN"/>
              </w:rPr>
              <w:t>标准</w:t>
            </w:r>
            <w:r>
              <w:rPr>
                <w:rFonts w:hint="eastAsia"/>
                <w:color w:val="auto"/>
                <w:highlight w:val="none"/>
              </w:rPr>
              <w:t>。</w:t>
            </w:r>
          </w:p>
          <w:p>
            <w:pPr>
              <w:pStyle w:val="75"/>
              <w:pageBreakBefore w:val="0"/>
              <w:widowControl w:val="0"/>
              <w:kinsoku/>
              <w:wordWrap/>
              <w:overflowPunct/>
              <w:bidi w:val="0"/>
              <w:spacing w:line="360" w:lineRule="auto"/>
              <w:ind w:firstLine="480" w:firstLineChars="200"/>
              <w:jc w:val="both"/>
              <w:textAlignment w:val="auto"/>
              <w:rPr>
                <w:rFonts w:hint="eastAsia"/>
                <w:color w:val="auto"/>
                <w:highlight w:val="none"/>
              </w:rPr>
            </w:pPr>
            <w:r>
              <w:rPr>
                <w:rFonts w:hint="eastAsia"/>
                <w:color w:val="auto"/>
                <w:highlight w:val="none"/>
              </w:rPr>
              <w:t>评价委托</w:t>
            </w:r>
            <w:r>
              <w:rPr>
                <w:rFonts w:hint="eastAsia"/>
                <w:color w:val="auto"/>
                <w:highlight w:val="none"/>
                <w:lang w:val="en-US" w:eastAsia="zh-CN"/>
              </w:rPr>
              <w:t>重庆新晨环境监测有限公司</w:t>
            </w:r>
            <w:r>
              <w:rPr>
                <w:color w:val="auto"/>
                <w:highlight w:val="none"/>
              </w:rPr>
              <w:t>对</w:t>
            </w:r>
            <w:r>
              <w:rPr>
                <w:rFonts w:hint="eastAsia"/>
                <w:color w:val="auto"/>
                <w:highlight w:val="none"/>
                <w:lang w:eastAsia="zh-CN"/>
              </w:rPr>
              <w:t>拟建项目</w:t>
            </w:r>
            <w:r>
              <w:rPr>
                <w:rFonts w:hint="eastAsia"/>
                <w:color w:val="auto"/>
                <w:highlight w:val="none"/>
                <w:lang w:val="en-US" w:eastAsia="zh-CN"/>
              </w:rPr>
              <w:t>所在地</w:t>
            </w:r>
            <w:r>
              <w:rPr>
                <w:color w:val="auto"/>
                <w:highlight w:val="none"/>
              </w:rPr>
              <w:t>噪声进行了监测，</w:t>
            </w:r>
            <w:r>
              <w:rPr>
                <w:rFonts w:hint="eastAsia"/>
                <w:color w:val="auto"/>
                <w:highlight w:val="none"/>
              </w:rPr>
              <w:t>监测</w:t>
            </w:r>
            <w:r>
              <w:rPr>
                <w:color w:val="auto"/>
                <w:highlight w:val="none"/>
              </w:rPr>
              <w:t>时间为202</w:t>
            </w:r>
            <w:r>
              <w:rPr>
                <w:rFonts w:hint="eastAsia"/>
                <w:color w:val="auto"/>
                <w:highlight w:val="none"/>
                <w:lang w:val="en-US" w:eastAsia="zh-CN"/>
              </w:rPr>
              <w:t>3</w:t>
            </w:r>
            <w:r>
              <w:rPr>
                <w:rFonts w:hint="eastAsia"/>
                <w:color w:val="auto"/>
                <w:highlight w:val="none"/>
              </w:rPr>
              <w:t>年</w:t>
            </w:r>
            <w:r>
              <w:rPr>
                <w:rFonts w:hint="eastAsia"/>
                <w:color w:val="auto"/>
                <w:highlight w:val="none"/>
                <w:lang w:val="en-US" w:eastAsia="zh-CN"/>
              </w:rPr>
              <w:t>10</w:t>
            </w:r>
            <w:r>
              <w:rPr>
                <w:rFonts w:hint="eastAsia"/>
                <w:color w:val="auto"/>
                <w:highlight w:val="none"/>
              </w:rPr>
              <w:t>月</w:t>
            </w:r>
            <w:r>
              <w:rPr>
                <w:rFonts w:hint="eastAsia"/>
                <w:color w:val="auto"/>
                <w:highlight w:val="none"/>
                <w:lang w:val="en-US" w:eastAsia="zh-CN"/>
              </w:rPr>
              <w:t>5</w:t>
            </w:r>
            <w:r>
              <w:rPr>
                <w:rFonts w:hint="eastAsia"/>
                <w:color w:val="auto"/>
                <w:highlight w:val="none"/>
              </w:rPr>
              <w:t>日，</w:t>
            </w:r>
            <w:r>
              <w:rPr>
                <w:color w:val="auto"/>
                <w:highlight w:val="none"/>
              </w:rPr>
              <w:t>监测</w:t>
            </w:r>
            <w:r>
              <w:rPr>
                <w:rFonts w:hint="eastAsia"/>
                <w:color w:val="auto"/>
                <w:highlight w:val="none"/>
                <w:lang w:val="en-US" w:eastAsia="zh-CN"/>
              </w:rPr>
              <w:t>1</w:t>
            </w:r>
            <w:r>
              <w:rPr>
                <w:color w:val="auto"/>
                <w:highlight w:val="none"/>
              </w:rPr>
              <w:t>天，昼夜各</w:t>
            </w:r>
            <w:r>
              <w:rPr>
                <w:rFonts w:hint="eastAsia"/>
                <w:color w:val="auto"/>
                <w:highlight w:val="none"/>
              </w:rPr>
              <w:t>监测</w:t>
            </w:r>
            <w:r>
              <w:rPr>
                <w:color w:val="auto"/>
                <w:highlight w:val="none"/>
              </w:rPr>
              <w:t>一次</w:t>
            </w:r>
            <w:r>
              <w:rPr>
                <w:rFonts w:hint="eastAsia"/>
                <w:color w:val="auto"/>
                <w:highlight w:val="none"/>
              </w:rPr>
              <w:t>，</w:t>
            </w:r>
            <w:r>
              <w:rPr>
                <w:color w:val="auto"/>
                <w:highlight w:val="none"/>
              </w:rPr>
              <w:t>监测</w:t>
            </w:r>
            <w:r>
              <w:rPr>
                <w:rFonts w:hint="eastAsia"/>
                <w:color w:val="auto"/>
                <w:highlight w:val="none"/>
              </w:rPr>
              <w:t>点位</w:t>
            </w:r>
            <w:r>
              <w:rPr>
                <w:rFonts w:hint="eastAsia"/>
                <w:color w:val="auto"/>
                <w:highlight w:val="none"/>
                <w:lang w:val="en-US" w:eastAsia="zh-CN"/>
              </w:rPr>
              <w:t>Z1</w:t>
            </w:r>
            <w:r>
              <w:rPr>
                <w:color w:val="auto"/>
                <w:highlight w:val="none"/>
              </w:rPr>
              <w:t>设置在</w:t>
            </w:r>
            <w:r>
              <w:rPr>
                <w:rFonts w:hint="eastAsia"/>
                <w:color w:val="auto"/>
                <w:highlight w:val="none"/>
                <w:lang w:eastAsia="zh-CN"/>
              </w:rPr>
              <w:t>拟建项目</w:t>
            </w:r>
            <w:r>
              <w:rPr>
                <w:rFonts w:hint="eastAsia"/>
                <w:color w:val="auto"/>
                <w:highlight w:val="none"/>
                <w:lang w:val="en-US" w:eastAsia="zh-CN"/>
              </w:rPr>
              <w:t>西</w:t>
            </w:r>
            <w:r>
              <w:rPr>
                <w:color w:val="auto"/>
                <w:highlight w:val="none"/>
              </w:rPr>
              <w:t>侧</w:t>
            </w:r>
            <w:r>
              <w:rPr>
                <w:rFonts w:hint="eastAsia"/>
                <w:color w:val="auto"/>
                <w:highlight w:val="none"/>
              </w:rPr>
              <w:t>，</w:t>
            </w:r>
            <w:r>
              <w:rPr>
                <w:rFonts w:hint="eastAsia"/>
                <w:color w:val="auto"/>
                <w:highlight w:val="none"/>
                <w:lang w:val="en-US" w:eastAsia="zh-CN"/>
              </w:rPr>
              <w:t>Z</w:t>
            </w:r>
            <w:r>
              <w:rPr>
                <w:rFonts w:hint="eastAsia"/>
                <w:color w:val="auto"/>
                <w:highlight w:val="none"/>
              </w:rPr>
              <w:t>2</w:t>
            </w:r>
            <w:r>
              <w:rPr>
                <w:color w:val="auto"/>
                <w:highlight w:val="none"/>
              </w:rPr>
              <w:t>设置在</w:t>
            </w:r>
            <w:r>
              <w:rPr>
                <w:rFonts w:hint="eastAsia"/>
                <w:color w:val="auto"/>
                <w:highlight w:val="none"/>
                <w:lang w:eastAsia="zh-CN"/>
              </w:rPr>
              <w:t>拟建项目</w:t>
            </w:r>
            <w:r>
              <w:rPr>
                <w:rFonts w:hint="eastAsia"/>
                <w:color w:val="auto"/>
                <w:highlight w:val="none"/>
                <w:lang w:val="en-US" w:eastAsia="zh-CN"/>
              </w:rPr>
              <w:t>西南侧</w:t>
            </w:r>
            <w:r>
              <w:rPr>
                <w:rFonts w:hint="eastAsia"/>
                <w:color w:val="auto"/>
                <w:highlight w:val="none"/>
              </w:rPr>
              <w:t>。</w:t>
            </w:r>
          </w:p>
          <w:p>
            <w:pPr>
              <w:pageBreakBefore w:val="0"/>
              <w:widowControl w:val="0"/>
              <w:kinsoku/>
              <w:wordWrap/>
              <w:overflowPunct/>
              <w:bidi w:val="0"/>
              <w:spacing w:line="360" w:lineRule="auto"/>
              <w:ind w:firstLine="480" w:firstLineChars="200"/>
              <w:textAlignment w:val="auto"/>
              <w:rPr>
                <w:rFonts w:hint="eastAsia"/>
                <w:color w:val="auto"/>
                <w:highlight w:val="none"/>
              </w:rPr>
            </w:pPr>
            <w:r>
              <w:rPr>
                <w:color w:val="auto"/>
                <w:highlight w:val="none"/>
              </w:rPr>
              <w:t>监测及评价结果见表</w:t>
            </w:r>
            <w:r>
              <w:rPr>
                <w:rFonts w:hint="eastAsia"/>
                <w:color w:val="auto"/>
                <w:highlight w:val="none"/>
                <w:lang w:val="en-US" w:eastAsia="zh-CN"/>
              </w:rPr>
              <w:t>3.2</w:t>
            </w:r>
            <w:r>
              <w:rPr>
                <w:color w:val="auto"/>
                <w:highlight w:val="none"/>
              </w:rPr>
              <w:t>。</w:t>
            </w:r>
          </w:p>
          <w:p>
            <w:pPr>
              <w:adjustRightInd w:val="0"/>
              <w:snapToGrid w:val="0"/>
              <w:spacing w:line="440" w:lineRule="exact"/>
              <w:ind w:firstLine="482" w:firstLineChars="20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表</w:t>
            </w:r>
            <w:r>
              <w:rPr>
                <w:rFonts w:hint="eastAsia" w:ascii="宋体" w:hAnsi="宋体" w:eastAsia="宋体" w:cs="宋体"/>
                <w:b/>
                <w:bCs/>
                <w:color w:val="auto"/>
                <w:highlight w:val="none"/>
                <w:lang w:val="en-US" w:eastAsia="zh-CN"/>
              </w:rPr>
              <w:t>3.2</w:t>
            </w:r>
            <w:r>
              <w:rPr>
                <w:rFonts w:hint="eastAsia" w:ascii="宋体" w:hAnsi="宋体" w:eastAsia="宋体" w:cs="宋体"/>
                <w:b/>
                <w:bCs/>
                <w:color w:val="auto"/>
                <w:highlight w:val="none"/>
              </w:rPr>
              <w:t xml:space="preserve">  噪声监测结果   单位：dB（A）</w:t>
            </w:r>
          </w:p>
          <w:tbl>
            <w:tblPr>
              <w:tblStyle w:val="29"/>
              <w:tblW w:w="7966" w:type="dxa"/>
              <w:tblInd w:w="0" w:type="dxa"/>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57" w:type="dxa"/>
                <w:bottom w:w="0" w:type="dxa"/>
                <w:right w:w="57" w:type="dxa"/>
              </w:tblCellMar>
            </w:tblPr>
            <w:tblGrid>
              <w:gridCol w:w="2753"/>
              <w:gridCol w:w="1246"/>
              <w:gridCol w:w="1256"/>
              <w:gridCol w:w="1246"/>
              <w:gridCol w:w="1465"/>
            </w:tblGrid>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57" w:type="dxa"/>
                  <w:bottom w:w="0" w:type="dxa"/>
                  <w:right w:w="57" w:type="dxa"/>
                </w:tblCellMar>
              </w:tblPrEx>
              <w:trPr>
                <w:cantSplit/>
                <w:trHeight w:val="314" w:hRule="atLeast"/>
              </w:trPr>
              <w:tc>
                <w:tcPr>
                  <w:tcW w:w="2753" w:type="dxa"/>
                  <w:vMerge w:val="restart"/>
                  <w:tcBorders>
                    <w:tl2br w:val="nil"/>
                    <w:tr2bl w:val="nil"/>
                  </w:tcBorders>
                  <w:noWrap w:val="0"/>
                  <w:vAlign w:val="center"/>
                </w:tcPr>
                <w:p>
                  <w:pPr>
                    <w:pStyle w:val="14"/>
                    <w:adjustRightInd w:val="0"/>
                    <w:snapToGrid w:val="0"/>
                    <w:ind w:left="0" w:leftChars="0" w:firstLine="0" w:firstLineChars="0"/>
                    <w:jc w:val="center"/>
                    <w:rPr>
                      <w:rFonts w:hint="eastAsia" w:eastAsia="宋体"/>
                      <w:color w:val="auto"/>
                      <w:sz w:val="21"/>
                      <w:szCs w:val="21"/>
                      <w:highlight w:val="none"/>
                      <w:lang w:val="en-US" w:eastAsia="zh-CN"/>
                    </w:rPr>
                  </w:pPr>
                  <w:r>
                    <w:rPr>
                      <w:color w:val="auto"/>
                      <w:sz w:val="21"/>
                      <w:highlight w:val="none"/>
                    </w:rPr>
                    <mc:AlternateContent>
                      <mc:Choice Requires="wps">
                        <w:drawing>
                          <wp:anchor distT="0" distB="0" distL="114300" distR="114300" simplePos="0" relativeHeight="251660288" behindDoc="0" locked="0" layoutInCell="1" allowOverlap="1">
                            <wp:simplePos x="0" y="0"/>
                            <wp:positionH relativeFrom="column">
                              <wp:posOffset>-31115</wp:posOffset>
                            </wp:positionH>
                            <wp:positionV relativeFrom="paragraph">
                              <wp:posOffset>6350</wp:posOffset>
                            </wp:positionV>
                            <wp:extent cx="1708150" cy="515620"/>
                            <wp:effectExtent l="1270" t="4445" r="5080" b="13335"/>
                            <wp:wrapNone/>
                            <wp:docPr id="2" name="直接连接符 2"/>
                            <wp:cNvGraphicFramePr/>
                            <a:graphic xmlns:a="http://schemas.openxmlformats.org/drawingml/2006/main">
                              <a:graphicData uri="http://schemas.microsoft.com/office/word/2010/wordprocessingShape">
                                <wps:wsp>
                                  <wps:cNvCnPr/>
                                  <wps:spPr>
                                    <a:xfrm>
                                      <a:off x="1496695" y="2781300"/>
                                      <a:ext cx="1708150" cy="515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5pt;margin-top:0.5pt;height:40.6pt;width:134.5pt;z-index:251660288;mso-width-relative:page;mso-height-relative:page;" filled="f" stroked="t" coordsize="21600,21600" o:gfxdata="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GHjzDWAAAABwEAAA8AAAAAAAAAAQAg&#10;AAAAIgAAAGRycy9kb3ducmV2LnhtbFBLAQIUABQAAAAIAIdO4kA2z4u01wEAAHQDAAAOAAAAAAAA&#10;AAEAIAAAACUBAABkcnMvZTJvRG9jLnhtbFBLBQYAAAAABgAGAFkBAABuBQAAAAA=&#10;">
                            <v:fill on="f" focussize="0,0"/>
                            <v:stroke weight="0.5pt" color="#000000 [3213]" miterlimit="8" joinstyle="miter"/>
                            <v:imagedata o:title=""/>
                            <o:lock v:ext="edit" aspectratio="f"/>
                          </v:line>
                        </w:pict>
                      </mc:Fallback>
                    </mc:AlternateContent>
                  </w:r>
                  <w:r>
                    <w:rPr>
                      <w:rFonts w:hint="eastAsia"/>
                      <w:color w:val="auto"/>
                      <w:sz w:val="21"/>
                      <w:szCs w:val="21"/>
                      <w:highlight w:val="none"/>
                    </w:rPr>
                    <w:t>检测</w:t>
                  </w:r>
                  <w:r>
                    <w:rPr>
                      <w:rFonts w:hint="eastAsia"/>
                      <w:color w:val="auto"/>
                      <w:sz w:val="21"/>
                      <w:szCs w:val="21"/>
                      <w:highlight w:val="none"/>
                      <w:lang w:val="en-US" w:eastAsia="zh-CN"/>
                    </w:rPr>
                    <w:t>点位</w:t>
                  </w:r>
                </w:p>
                <w:p>
                  <w:pPr>
                    <w:pStyle w:val="14"/>
                    <w:adjustRightInd w:val="0"/>
                    <w:snapToGrid w:val="0"/>
                    <w:ind w:left="0" w:leftChars="0" w:firstLine="0" w:firstLineChars="0"/>
                    <w:jc w:val="both"/>
                    <w:rPr>
                      <w:rFonts w:hint="eastAsia" w:eastAsia="宋体"/>
                      <w:color w:val="auto"/>
                      <w:sz w:val="21"/>
                      <w:szCs w:val="21"/>
                      <w:highlight w:val="none"/>
                      <w:lang w:val="en-US" w:eastAsia="zh-CN"/>
                    </w:rPr>
                  </w:pPr>
                  <w:r>
                    <w:rPr>
                      <w:rFonts w:hint="eastAsia"/>
                      <w:color w:val="auto"/>
                      <w:sz w:val="21"/>
                      <w:szCs w:val="21"/>
                      <w:highlight w:val="none"/>
                      <w:lang w:val="en-US" w:eastAsia="zh-CN"/>
                    </w:rPr>
                    <w:t>检测时间</w:t>
                  </w:r>
                </w:p>
              </w:tc>
              <w:tc>
                <w:tcPr>
                  <w:tcW w:w="2502" w:type="dxa"/>
                  <w:gridSpan w:val="2"/>
                  <w:tcBorders>
                    <w:tl2br w:val="nil"/>
                    <w:tr2bl w:val="nil"/>
                  </w:tcBorders>
                  <w:noWrap w:val="0"/>
                  <w:vAlign w:val="center"/>
                </w:tcPr>
                <w:p>
                  <w:pPr>
                    <w:pStyle w:val="14"/>
                    <w:adjustRightInd w:val="0"/>
                    <w:snapToGrid w:val="0"/>
                    <w:jc w:val="center"/>
                    <w:rPr>
                      <w:color w:val="auto"/>
                      <w:sz w:val="21"/>
                      <w:szCs w:val="21"/>
                      <w:highlight w:val="none"/>
                    </w:rPr>
                  </w:pPr>
                  <w:r>
                    <w:rPr>
                      <w:rFonts w:hint="eastAsia"/>
                      <w:color w:val="auto"/>
                      <w:highlight w:val="none"/>
                      <w:lang w:val="en-US" w:eastAsia="zh-CN"/>
                    </w:rPr>
                    <w:t>Z1</w:t>
                  </w:r>
                </w:p>
              </w:tc>
              <w:tc>
                <w:tcPr>
                  <w:tcW w:w="2711" w:type="dxa"/>
                  <w:gridSpan w:val="2"/>
                  <w:tcBorders>
                    <w:tl2br w:val="nil"/>
                    <w:tr2bl w:val="nil"/>
                  </w:tcBorders>
                  <w:noWrap w:val="0"/>
                  <w:vAlign w:val="center"/>
                </w:tcPr>
                <w:p>
                  <w:pPr>
                    <w:pStyle w:val="14"/>
                    <w:adjustRightInd w:val="0"/>
                    <w:snapToGrid w:val="0"/>
                    <w:jc w:val="center"/>
                    <w:rPr>
                      <w:color w:val="auto"/>
                      <w:sz w:val="21"/>
                      <w:szCs w:val="21"/>
                      <w:highlight w:val="none"/>
                    </w:rPr>
                  </w:pPr>
                  <w:r>
                    <w:rPr>
                      <w:rFonts w:hint="eastAsia"/>
                      <w:color w:val="auto"/>
                      <w:highlight w:val="none"/>
                      <w:lang w:val="en-US" w:eastAsia="zh-CN"/>
                    </w:rPr>
                    <w:t>Z2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57" w:type="dxa"/>
                  <w:bottom w:w="0" w:type="dxa"/>
                  <w:right w:w="57" w:type="dxa"/>
                </w:tblCellMar>
              </w:tblPrEx>
              <w:trPr>
                <w:cantSplit/>
                <w:trHeight w:val="314" w:hRule="atLeast"/>
              </w:trPr>
              <w:tc>
                <w:tcPr>
                  <w:tcW w:w="2753" w:type="dxa"/>
                  <w:vMerge w:val="continue"/>
                  <w:tcBorders>
                    <w:tl2br w:val="nil"/>
                    <w:tr2bl w:val="nil"/>
                  </w:tcBorders>
                  <w:noWrap w:val="0"/>
                  <w:vAlign w:val="center"/>
                </w:tcPr>
                <w:p>
                  <w:pPr>
                    <w:pStyle w:val="14"/>
                    <w:adjustRightInd w:val="0"/>
                    <w:snapToGrid w:val="0"/>
                    <w:ind w:firstLine="420"/>
                    <w:jc w:val="center"/>
                    <w:rPr>
                      <w:color w:val="auto"/>
                      <w:sz w:val="21"/>
                      <w:szCs w:val="21"/>
                      <w:highlight w:val="none"/>
                    </w:rPr>
                  </w:pPr>
                </w:p>
              </w:tc>
              <w:tc>
                <w:tcPr>
                  <w:tcW w:w="1246" w:type="dxa"/>
                  <w:tcBorders>
                    <w:tl2br w:val="nil"/>
                    <w:tr2bl w:val="nil"/>
                  </w:tcBorders>
                  <w:noWrap w:val="0"/>
                  <w:vAlign w:val="center"/>
                </w:tcPr>
                <w:p>
                  <w:pPr>
                    <w:pStyle w:val="14"/>
                    <w:adjustRightInd w:val="0"/>
                    <w:snapToGrid w:val="0"/>
                    <w:ind w:left="0" w:leftChars="0" w:firstLine="0" w:firstLineChars="0"/>
                    <w:jc w:val="center"/>
                    <w:rPr>
                      <w:color w:val="auto"/>
                      <w:sz w:val="21"/>
                      <w:szCs w:val="21"/>
                      <w:highlight w:val="none"/>
                    </w:rPr>
                  </w:pPr>
                  <w:r>
                    <w:rPr>
                      <w:rFonts w:hint="eastAsia"/>
                      <w:color w:val="auto"/>
                      <w:sz w:val="21"/>
                      <w:szCs w:val="21"/>
                      <w:highlight w:val="none"/>
                    </w:rPr>
                    <w:t>昼间</w:t>
                  </w:r>
                </w:p>
              </w:tc>
              <w:tc>
                <w:tcPr>
                  <w:tcW w:w="1256" w:type="dxa"/>
                  <w:tcBorders>
                    <w:tl2br w:val="nil"/>
                    <w:tr2bl w:val="nil"/>
                  </w:tcBorders>
                  <w:noWrap w:val="0"/>
                  <w:vAlign w:val="center"/>
                </w:tcPr>
                <w:p>
                  <w:pPr>
                    <w:pStyle w:val="14"/>
                    <w:adjustRightInd w:val="0"/>
                    <w:snapToGrid w:val="0"/>
                    <w:ind w:left="0" w:leftChars="0" w:firstLine="0" w:firstLineChars="0"/>
                    <w:jc w:val="center"/>
                    <w:rPr>
                      <w:color w:val="auto"/>
                      <w:sz w:val="21"/>
                      <w:szCs w:val="21"/>
                      <w:highlight w:val="none"/>
                    </w:rPr>
                  </w:pPr>
                  <w:r>
                    <w:rPr>
                      <w:rFonts w:hint="eastAsia"/>
                      <w:color w:val="auto"/>
                      <w:sz w:val="21"/>
                      <w:szCs w:val="21"/>
                      <w:highlight w:val="none"/>
                    </w:rPr>
                    <w:t>夜间</w:t>
                  </w:r>
                </w:p>
              </w:tc>
              <w:tc>
                <w:tcPr>
                  <w:tcW w:w="1246" w:type="dxa"/>
                  <w:tcBorders>
                    <w:tl2br w:val="nil"/>
                    <w:tr2bl w:val="nil"/>
                  </w:tcBorders>
                  <w:noWrap w:val="0"/>
                  <w:vAlign w:val="center"/>
                </w:tcPr>
                <w:p>
                  <w:pPr>
                    <w:pStyle w:val="14"/>
                    <w:adjustRightInd w:val="0"/>
                    <w:snapToGrid w:val="0"/>
                    <w:ind w:left="0" w:leftChars="0" w:firstLine="0" w:firstLineChars="0"/>
                    <w:jc w:val="center"/>
                    <w:rPr>
                      <w:color w:val="auto"/>
                      <w:sz w:val="21"/>
                      <w:szCs w:val="21"/>
                      <w:highlight w:val="none"/>
                    </w:rPr>
                  </w:pPr>
                  <w:r>
                    <w:rPr>
                      <w:rFonts w:hint="eastAsia"/>
                      <w:color w:val="auto"/>
                      <w:sz w:val="21"/>
                      <w:szCs w:val="21"/>
                      <w:highlight w:val="none"/>
                    </w:rPr>
                    <w:t>昼间</w:t>
                  </w:r>
                </w:p>
              </w:tc>
              <w:tc>
                <w:tcPr>
                  <w:tcW w:w="1465" w:type="dxa"/>
                  <w:tcBorders>
                    <w:tl2br w:val="nil"/>
                    <w:tr2bl w:val="nil"/>
                  </w:tcBorders>
                  <w:noWrap w:val="0"/>
                  <w:vAlign w:val="center"/>
                </w:tcPr>
                <w:p>
                  <w:pPr>
                    <w:pStyle w:val="14"/>
                    <w:adjustRightInd w:val="0"/>
                    <w:snapToGrid w:val="0"/>
                    <w:ind w:left="0" w:leftChars="0" w:firstLine="0" w:firstLineChars="0"/>
                    <w:jc w:val="center"/>
                    <w:rPr>
                      <w:color w:val="auto"/>
                      <w:sz w:val="21"/>
                      <w:szCs w:val="21"/>
                      <w:highlight w:val="none"/>
                    </w:rPr>
                  </w:pPr>
                  <w:r>
                    <w:rPr>
                      <w:rFonts w:hint="eastAsia"/>
                      <w:color w:val="auto"/>
                      <w:sz w:val="21"/>
                      <w:szCs w:val="21"/>
                      <w:highlight w:val="none"/>
                    </w:rPr>
                    <w:t>夜间</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57" w:type="dxa"/>
                  <w:bottom w:w="0" w:type="dxa"/>
                  <w:right w:w="57" w:type="dxa"/>
                </w:tblCellMar>
              </w:tblPrEx>
              <w:trPr>
                <w:cantSplit/>
                <w:trHeight w:val="280" w:hRule="atLeast"/>
              </w:trPr>
              <w:tc>
                <w:tcPr>
                  <w:tcW w:w="2753" w:type="dxa"/>
                  <w:tcBorders>
                    <w:tl2br w:val="nil"/>
                    <w:tr2bl w:val="nil"/>
                  </w:tcBorders>
                  <w:noWrap w:val="0"/>
                  <w:vAlign w:val="center"/>
                </w:tcPr>
                <w:p>
                  <w:pPr>
                    <w:pStyle w:val="14"/>
                    <w:adjustRightInd w:val="0"/>
                    <w:snapToGrid w:val="0"/>
                    <w:ind w:left="0" w:leftChars="0" w:firstLine="0" w:firstLineChars="0"/>
                    <w:jc w:val="center"/>
                    <w:rPr>
                      <w:rFonts w:hint="eastAsia" w:eastAsia="宋体"/>
                      <w:color w:val="auto"/>
                      <w:sz w:val="21"/>
                      <w:szCs w:val="21"/>
                      <w:highlight w:val="none"/>
                      <w:lang w:val="en-US" w:eastAsia="zh-CN"/>
                    </w:rPr>
                  </w:pPr>
                  <w:r>
                    <w:rPr>
                      <w:rFonts w:hint="eastAsia"/>
                      <w:color w:val="auto"/>
                      <w:sz w:val="21"/>
                      <w:szCs w:val="21"/>
                      <w:highlight w:val="none"/>
                    </w:rPr>
                    <w:t>2</w:t>
                  </w:r>
                  <w:r>
                    <w:rPr>
                      <w:color w:val="auto"/>
                      <w:sz w:val="21"/>
                      <w:szCs w:val="21"/>
                      <w:highlight w:val="none"/>
                    </w:rPr>
                    <w:t>02</w:t>
                  </w:r>
                  <w:r>
                    <w:rPr>
                      <w:rFonts w:hint="eastAsia"/>
                      <w:color w:val="auto"/>
                      <w:sz w:val="21"/>
                      <w:szCs w:val="21"/>
                      <w:highlight w:val="none"/>
                      <w:lang w:val="en-US" w:eastAsia="zh-CN"/>
                    </w:rPr>
                    <w:t>3</w:t>
                  </w:r>
                  <w:r>
                    <w:rPr>
                      <w:color w:val="auto"/>
                      <w:sz w:val="21"/>
                      <w:szCs w:val="21"/>
                      <w:highlight w:val="none"/>
                    </w:rPr>
                    <w:t>.1</w:t>
                  </w:r>
                  <w:r>
                    <w:rPr>
                      <w:rFonts w:hint="eastAsia"/>
                      <w:color w:val="auto"/>
                      <w:sz w:val="21"/>
                      <w:szCs w:val="21"/>
                      <w:highlight w:val="none"/>
                      <w:lang w:val="en-US" w:eastAsia="zh-CN"/>
                    </w:rPr>
                    <w:t>0</w:t>
                  </w:r>
                  <w:r>
                    <w:rPr>
                      <w:color w:val="auto"/>
                      <w:sz w:val="21"/>
                      <w:szCs w:val="21"/>
                      <w:highlight w:val="none"/>
                    </w:rPr>
                    <w:t>.</w:t>
                  </w:r>
                  <w:r>
                    <w:rPr>
                      <w:rFonts w:hint="eastAsia"/>
                      <w:color w:val="auto"/>
                      <w:sz w:val="21"/>
                      <w:szCs w:val="21"/>
                      <w:highlight w:val="none"/>
                      <w:lang w:val="en-US" w:eastAsia="zh-CN"/>
                    </w:rPr>
                    <w:t>5</w:t>
                  </w:r>
                </w:p>
              </w:tc>
              <w:tc>
                <w:tcPr>
                  <w:tcW w:w="1246" w:type="dxa"/>
                  <w:tcBorders>
                    <w:tl2br w:val="nil"/>
                    <w:tr2bl w:val="nil"/>
                  </w:tcBorders>
                  <w:noWrap w:val="0"/>
                  <w:vAlign w:val="center"/>
                </w:tcPr>
                <w:p>
                  <w:pPr>
                    <w:pStyle w:val="14"/>
                    <w:adjustRightInd w:val="0"/>
                    <w:snapToGrid w:val="0"/>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52</w:t>
                  </w:r>
                </w:p>
              </w:tc>
              <w:tc>
                <w:tcPr>
                  <w:tcW w:w="1256" w:type="dxa"/>
                  <w:tcBorders>
                    <w:tl2br w:val="nil"/>
                    <w:tr2bl w:val="nil"/>
                  </w:tcBorders>
                  <w:noWrap w:val="0"/>
                  <w:vAlign w:val="center"/>
                </w:tcPr>
                <w:p>
                  <w:pPr>
                    <w:pStyle w:val="14"/>
                    <w:adjustRightInd w:val="0"/>
                    <w:snapToGrid w:val="0"/>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44</w:t>
                  </w:r>
                </w:p>
              </w:tc>
              <w:tc>
                <w:tcPr>
                  <w:tcW w:w="1246" w:type="dxa"/>
                  <w:tcBorders>
                    <w:tl2br w:val="nil"/>
                    <w:tr2bl w:val="nil"/>
                  </w:tcBorders>
                  <w:noWrap w:val="0"/>
                  <w:vAlign w:val="center"/>
                </w:tcPr>
                <w:p>
                  <w:pPr>
                    <w:pStyle w:val="14"/>
                    <w:adjustRightInd w:val="0"/>
                    <w:snapToGrid w:val="0"/>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52</w:t>
                  </w:r>
                </w:p>
              </w:tc>
              <w:tc>
                <w:tcPr>
                  <w:tcW w:w="1465" w:type="dxa"/>
                  <w:tcBorders>
                    <w:tl2br w:val="nil"/>
                    <w:tr2bl w:val="nil"/>
                  </w:tcBorders>
                  <w:noWrap w:val="0"/>
                  <w:vAlign w:val="center"/>
                </w:tcPr>
                <w:p>
                  <w:pPr>
                    <w:pStyle w:val="14"/>
                    <w:adjustRightInd w:val="0"/>
                    <w:snapToGrid w:val="0"/>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57" w:type="dxa"/>
                  <w:bottom w:w="0" w:type="dxa"/>
                  <w:right w:w="57" w:type="dxa"/>
                </w:tblCellMar>
              </w:tblPrEx>
              <w:trPr>
                <w:cantSplit/>
                <w:trHeight w:val="297" w:hRule="atLeast"/>
              </w:trPr>
              <w:tc>
                <w:tcPr>
                  <w:tcW w:w="2753" w:type="dxa"/>
                  <w:tcBorders>
                    <w:tl2br w:val="nil"/>
                    <w:tr2bl w:val="nil"/>
                  </w:tcBorders>
                  <w:noWrap w:val="0"/>
                  <w:vAlign w:val="center"/>
                </w:tcPr>
                <w:p>
                  <w:pPr>
                    <w:pStyle w:val="14"/>
                    <w:adjustRightInd w:val="0"/>
                    <w:snapToGrid w:val="0"/>
                    <w:ind w:left="0" w:leftChars="0" w:firstLine="0" w:firstLineChars="0"/>
                    <w:jc w:val="center"/>
                    <w:rPr>
                      <w:rFonts w:hint="eastAsia"/>
                      <w:color w:val="auto"/>
                      <w:sz w:val="21"/>
                      <w:szCs w:val="21"/>
                      <w:highlight w:val="none"/>
                    </w:rPr>
                  </w:pPr>
                  <w:r>
                    <w:rPr>
                      <w:rFonts w:hint="eastAsia"/>
                      <w:color w:val="auto"/>
                      <w:sz w:val="21"/>
                      <w:szCs w:val="21"/>
                      <w:highlight w:val="none"/>
                    </w:rPr>
                    <w:t>标准限值</w:t>
                  </w:r>
                </w:p>
              </w:tc>
              <w:tc>
                <w:tcPr>
                  <w:tcW w:w="1246" w:type="dxa"/>
                  <w:tcBorders>
                    <w:tl2br w:val="nil"/>
                    <w:tr2bl w:val="nil"/>
                  </w:tcBorders>
                  <w:noWrap w:val="0"/>
                  <w:vAlign w:val="center"/>
                </w:tcPr>
                <w:p>
                  <w:pPr>
                    <w:pStyle w:val="14"/>
                    <w:adjustRightInd w:val="0"/>
                    <w:snapToGrid w:val="0"/>
                    <w:ind w:left="0" w:leftChars="0" w:firstLine="0" w:firstLineChars="0"/>
                    <w:jc w:val="center"/>
                    <w:rPr>
                      <w:rFonts w:hint="eastAsia"/>
                      <w:color w:val="auto"/>
                      <w:sz w:val="21"/>
                      <w:szCs w:val="21"/>
                      <w:highlight w:val="none"/>
                    </w:rPr>
                  </w:pPr>
                  <w:r>
                    <w:rPr>
                      <w:rFonts w:hint="eastAsia"/>
                      <w:color w:val="auto"/>
                      <w:sz w:val="21"/>
                      <w:szCs w:val="21"/>
                      <w:highlight w:val="none"/>
                    </w:rPr>
                    <w:t>6</w:t>
                  </w:r>
                  <w:r>
                    <w:rPr>
                      <w:rFonts w:hint="eastAsia"/>
                      <w:color w:val="auto"/>
                      <w:sz w:val="21"/>
                      <w:szCs w:val="21"/>
                      <w:highlight w:val="none"/>
                      <w:lang w:val="en-US" w:eastAsia="zh-CN"/>
                    </w:rPr>
                    <w:t>0</w:t>
                  </w:r>
                </w:p>
              </w:tc>
              <w:tc>
                <w:tcPr>
                  <w:tcW w:w="1256" w:type="dxa"/>
                  <w:tcBorders>
                    <w:tl2br w:val="nil"/>
                    <w:tr2bl w:val="nil"/>
                  </w:tcBorders>
                  <w:noWrap w:val="0"/>
                  <w:vAlign w:val="center"/>
                </w:tcPr>
                <w:p>
                  <w:pPr>
                    <w:pStyle w:val="14"/>
                    <w:adjustRightInd w:val="0"/>
                    <w:snapToGrid w:val="0"/>
                    <w:ind w:left="0" w:leftChars="0" w:firstLine="0" w:firstLineChars="0"/>
                    <w:jc w:val="center"/>
                    <w:rPr>
                      <w:rFonts w:hint="eastAsia"/>
                      <w:color w:val="auto"/>
                      <w:sz w:val="21"/>
                      <w:szCs w:val="21"/>
                      <w:highlight w:val="none"/>
                    </w:rPr>
                  </w:pPr>
                  <w:r>
                    <w:rPr>
                      <w:rFonts w:hint="eastAsia"/>
                      <w:color w:val="auto"/>
                      <w:sz w:val="21"/>
                      <w:szCs w:val="21"/>
                      <w:highlight w:val="none"/>
                    </w:rPr>
                    <w:t>5</w:t>
                  </w:r>
                  <w:r>
                    <w:rPr>
                      <w:rFonts w:hint="eastAsia"/>
                      <w:color w:val="auto"/>
                      <w:sz w:val="21"/>
                      <w:szCs w:val="21"/>
                      <w:highlight w:val="none"/>
                      <w:lang w:val="en-US" w:eastAsia="zh-CN"/>
                    </w:rPr>
                    <w:t>0</w:t>
                  </w:r>
                </w:p>
              </w:tc>
              <w:tc>
                <w:tcPr>
                  <w:tcW w:w="1246" w:type="dxa"/>
                  <w:tcBorders>
                    <w:tl2br w:val="nil"/>
                    <w:tr2bl w:val="nil"/>
                  </w:tcBorders>
                  <w:noWrap w:val="0"/>
                  <w:vAlign w:val="center"/>
                </w:tcPr>
                <w:p>
                  <w:pPr>
                    <w:pStyle w:val="14"/>
                    <w:adjustRightInd w:val="0"/>
                    <w:snapToGrid w:val="0"/>
                    <w:ind w:left="0" w:leftChars="0" w:firstLine="0" w:firstLineChars="0"/>
                    <w:jc w:val="center"/>
                    <w:rPr>
                      <w:rFonts w:hint="eastAsia" w:eastAsia="宋体"/>
                      <w:color w:val="auto"/>
                      <w:sz w:val="21"/>
                      <w:szCs w:val="21"/>
                      <w:highlight w:val="none"/>
                      <w:lang w:val="en-US" w:eastAsia="zh-CN"/>
                    </w:rPr>
                  </w:pPr>
                  <w:r>
                    <w:rPr>
                      <w:rFonts w:hint="eastAsia"/>
                      <w:color w:val="auto"/>
                      <w:sz w:val="21"/>
                      <w:szCs w:val="21"/>
                      <w:highlight w:val="none"/>
                    </w:rPr>
                    <w:t>6</w:t>
                  </w:r>
                  <w:r>
                    <w:rPr>
                      <w:rFonts w:hint="eastAsia"/>
                      <w:color w:val="auto"/>
                      <w:sz w:val="21"/>
                      <w:szCs w:val="21"/>
                      <w:highlight w:val="none"/>
                      <w:lang w:val="en-US" w:eastAsia="zh-CN"/>
                    </w:rPr>
                    <w:t>0</w:t>
                  </w:r>
                </w:p>
              </w:tc>
              <w:tc>
                <w:tcPr>
                  <w:tcW w:w="1465" w:type="dxa"/>
                  <w:tcBorders>
                    <w:tl2br w:val="nil"/>
                    <w:tr2bl w:val="nil"/>
                  </w:tcBorders>
                  <w:noWrap w:val="0"/>
                  <w:vAlign w:val="center"/>
                </w:tcPr>
                <w:p>
                  <w:pPr>
                    <w:pStyle w:val="14"/>
                    <w:adjustRightInd w:val="0"/>
                    <w:snapToGrid w:val="0"/>
                    <w:ind w:left="0" w:leftChars="0" w:firstLine="0" w:firstLineChars="0"/>
                    <w:jc w:val="center"/>
                    <w:rPr>
                      <w:rFonts w:hint="eastAsia" w:eastAsia="宋体"/>
                      <w:color w:val="auto"/>
                      <w:sz w:val="21"/>
                      <w:szCs w:val="21"/>
                      <w:highlight w:val="none"/>
                      <w:lang w:val="en-US" w:eastAsia="zh-CN"/>
                    </w:rPr>
                  </w:pPr>
                  <w:r>
                    <w:rPr>
                      <w:rFonts w:hint="eastAsia"/>
                      <w:color w:val="auto"/>
                      <w:sz w:val="21"/>
                      <w:szCs w:val="21"/>
                      <w:highlight w:val="none"/>
                    </w:rPr>
                    <w:t>5</w:t>
                  </w:r>
                  <w:r>
                    <w:rPr>
                      <w:rFonts w:hint="eastAsia"/>
                      <w:color w:val="auto"/>
                      <w:sz w:val="21"/>
                      <w:szCs w:val="21"/>
                      <w:highlight w:val="none"/>
                      <w:lang w:val="en-US" w:eastAsia="zh-CN"/>
                    </w:rPr>
                    <w:t>0</w:t>
                  </w:r>
                </w:p>
              </w:tc>
            </w:tr>
          </w:tbl>
          <w:p>
            <w:pPr>
              <w:widowControl/>
              <w:spacing w:line="360" w:lineRule="auto"/>
              <w:ind w:firstLine="480" w:firstLineChars="200"/>
              <w:jc w:val="both"/>
              <w:rPr>
                <w:color w:val="auto"/>
                <w:highlight w:val="none"/>
              </w:rPr>
            </w:pPr>
            <w:r>
              <w:rPr>
                <w:color w:val="auto"/>
                <w:highlight w:val="none"/>
              </w:rPr>
              <w:t>由</w:t>
            </w:r>
            <w:r>
              <w:rPr>
                <w:rFonts w:hint="eastAsia"/>
                <w:color w:val="auto"/>
                <w:highlight w:val="none"/>
                <w:lang w:val="en-US" w:eastAsia="zh-CN"/>
              </w:rPr>
              <w:t>上表</w:t>
            </w:r>
            <w:r>
              <w:rPr>
                <w:color w:val="auto"/>
                <w:highlight w:val="none"/>
              </w:rPr>
              <w:t>可知，</w:t>
            </w:r>
            <w:r>
              <w:rPr>
                <w:rFonts w:hint="eastAsia"/>
                <w:color w:val="auto"/>
                <w:highlight w:val="none"/>
                <w:lang w:eastAsia="zh-CN"/>
              </w:rPr>
              <w:t>拟建项目</w:t>
            </w:r>
            <w:r>
              <w:rPr>
                <w:rFonts w:hint="eastAsia"/>
                <w:color w:val="auto"/>
                <w:highlight w:val="none"/>
                <w:lang w:val="en-US" w:eastAsia="zh-CN"/>
              </w:rPr>
              <w:t>西侧、西南侧昼间、夜间</w:t>
            </w:r>
            <w:r>
              <w:rPr>
                <w:color w:val="auto"/>
                <w:highlight w:val="none"/>
              </w:rPr>
              <w:t>噪声能满足《声环境质量标准》（GB3096-2008）</w:t>
            </w:r>
            <w:r>
              <w:rPr>
                <w:rFonts w:hint="eastAsia"/>
                <w:color w:val="auto"/>
                <w:highlight w:val="none"/>
                <w:lang w:val="en-US" w:eastAsia="zh-CN"/>
              </w:rPr>
              <w:t>2</w:t>
            </w:r>
            <w:r>
              <w:rPr>
                <w:color w:val="auto"/>
                <w:highlight w:val="none"/>
              </w:rPr>
              <w:t>类</w:t>
            </w:r>
            <w:r>
              <w:rPr>
                <w:rFonts w:hint="eastAsia"/>
                <w:color w:val="auto"/>
                <w:highlight w:val="none"/>
                <w:lang w:val="en-US" w:eastAsia="zh-CN"/>
              </w:rPr>
              <w:t>标准</w:t>
            </w:r>
            <w:r>
              <w:rPr>
                <w:color w:val="auto"/>
                <w:highlight w:val="none"/>
              </w:rPr>
              <w:t>。</w:t>
            </w:r>
          </w:p>
          <w:p>
            <w:pPr>
              <w:pStyle w:val="4"/>
              <w:pageBreakBefore w:val="0"/>
              <w:widowControl w:val="0"/>
              <w:kinsoku/>
              <w:wordWrap/>
              <w:overflowPunct/>
              <w:bidi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cs="宋体"/>
                <w:color w:val="auto"/>
                <w:highlight w:val="none"/>
                <w:lang w:val="en-US" w:eastAsia="zh-CN"/>
              </w:rPr>
              <w:t>4</w:t>
            </w:r>
            <w:r>
              <w:rPr>
                <w:rFonts w:hint="eastAsia" w:ascii="宋体" w:hAnsi="宋体" w:eastAsia="宋体" w:cs="宋体"/>
                <w:color w:val="auto"/>
                <w:highlight w:val="none"/>
                <w:lang w:val="en-US" w:eastAsia="zh-CN"/>
              </w:rPr>
              <w:t xml:space="preserve"> </w:t>
            </w:r>
            <w:r>
              <w:rPr>
                <w:rFonts w:hint="eastAsia" w:ascii="宋体" w:hAnsi="宋体" w:cs="宋体"/>
                <w:color w:val="auto"/>
                <w:highlight w:val="none"/>
                <w:lang w:val="en-US" w:eastAsia="zh-CN"/>
              </w:rPr>
              <w:t>生态环境</w:t>
            </w:r>
            <w:r>
              <w:rPr>
                <w:rFonts w:hint="eastAsia" w:ascii="宋体" w:hAnsi="宋体" w:eastAsia="宋体" w:cs="宋体"/>
                <w:color w:val="auto"/>
                <w:highlight w:val="none"/>
              </w:rPr>
              <w:t>现状</w:t>
            </w:r>
          </w:p>
          <w:p>
            <w:pPr>
              <w:widowControl/>
              <w:spacing w:line="360" w:lineRule="auto"/>
              <w:ind w:firstLine="480" w:firstLineChars="200"/>
              <w:jc w:val="both"/>
              <w:rPr>
                <w:color w:val="auto"/>
                <w:highlight w:val="none"/>
              </w:rPr>
            </w:pPr>
            <w:r>
              <w:rPr>
                <w:rFonts w:hint="eastAsia"/>
                <w:color w:val="auto"/>
                <w:highlight w:val="none"/>
                <w:lang w:val="en-US" w:eastAsia="zh-CN"/>
              </w:rPr>
              <w:t>根据现场调查，本项目建设场地目前为耕地，附近为羊市镇渔灯社区，项目所在地及评价范围内无野生动物栖息地，无珍稀动植物分布，无国家保护的文物及其它特殊的环境保护目标。</w:t>
            </w:r>
          </w:p>
          <w:p>
            <w:pPr>
              <w:pStyle w:val="4"/>
              <w:pageBreakBefore w:val="0"/>
              <w:widowControl w:val="0"/>
              <w:kinsoku/>
              <w:wordWrap/>
              <w:overflowPunct/>
              <w:bidi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cs="宋体"/>
                <w:color w:val="auto"/>
                <w:highlight w:val="none"/>
                <w:lang w:val="en-US" w:eastAsia="zh-CN"/>
              </w:rPr>
              <w:t>5</w:t>
            </w:r>
            <w:r>
              <w:rPr>
                <w:rFonts w:hint="eastAsia" w:ascii="宋体" w:hAnsi="宋体" w:eastAsia="宋体" w:cs="宋体"/>
                <w:color w:val="auto"/>
                <w:highlight w:val="none"/>
                <w:lang w:val="en-US" w:eastAsia="zh-CN"/>
              </w:rPr>
              <w:t xml:space="preserve"> </w:t>
            </w:r>
            <w:r>
              <w:rPr>
                <w:rFonts w:hint="eastAsia" w:ascii="宋体" w:hAnsi="宋体" w:cs="宋体"/>
                <w:color w:val="auto"/>
                <w:highlight w:val="none"/>
                <w:lang w:val="en-US" w:eastAsia="zh-CN"/>
              </w:rPr>
              <w:t>辐射</w:t>
            </w:r>
            <w:r>
              <w:rPr>
                <w:rFonts w:hint="eastAsia" w:ascii="宋体" w:hAnsi="宋体" w:eastAsia="宋体" w:cs="宋体"/>
                <w:color w:val="auto"/>
                <w:highlight w:val="none"/>
              </w:rPr>
              <w:t>现状</w:t>
            </w:r>
          </w:p>
          <w:p>
            <w:pPr>
              <w:widowControl/>
              <w:spacing w:line="360" w:lineRule="auto"/>
              <w:ind w:firstLine="480" w:firstLineChars="200"/>
              <w:jc w:val="both"/>
              <w:rPr>
                <w:rFonts w:hint="eastAsia"/>
                <w:color w:val="auto"/>
                <w:highlight w:val="none"/>
                <w:lang w:val="en-US" w:eastAsia="zh-CN"/>
              </w:rPr>
            </w:pPr>
            <w:r>
              <w:rPr>
                <w:rFonts w:hint="eastAsia"/>
                <w:color w:val="auto"/>
                <w:highlight w:val="none"/>
                <w:lang w:val="en-US" w:eastAsia="zh-CN"/>
              </w:rPr>
              <w:t>根据《</w:t>
            </w:r>
            <w:r>
              <w:rPr>
                <w:rFonts w:hint="default"/>
                <w:color w:val="auto"/>
                <w:highlight w:val="none"/>
                <w:lang w:val="en-US" w:eastAsia="zh-CN"/>
              </w:rPr>
              <w:t>202</w:t>
            </w:r>
            <w:r>
              <w:rPr>
                <w:rFonts w:hint="eastAsia"/>
                <w:color w:val="auto"/>
                <w:highlight w:val="none"/>
                <w:lang w:val="en-US" w:eastAsia="zh-CN"/>
              </w:rPr>
              <w:t>2年重庆市环境状况公报》的数据：</w:t>
            </w:r>
            <w:r>
              <w:rPr>
                <w:rFonts w:hint="default"/>
                <w:color w:val="auto"/>
                <w:highlight w:val="none"/>
                <w:lang w:val="en-US" w:eastAsia="zh-CN"/>
              </w:rPr>
              <w:t>202</w:t>
            </w:r>
            <w:r>
              <w:rPr>
                <w:rFonts w:hint="eastAsia"/>
                <w:color w:val="auto"/>
                <w:highlight w:val="none"/>
                <w:lang w:val="en-US" w:eastAsia="zh-CN"/>
              </w:rPr>
              <w:t>2年重庆市全市各监测点位环境地表</w:t>
            </w:r>
            <w:r>
              <w:rPr>
                <w:rFonts w:hint="default"/>
                <w:color w:val="auto"/>
                <w:highlight w:val="none"/>
                <w:lang w:val="en-US" w:eastAsia="zh-CN"/>
              </w:rPr>
              <w:t>γ</w:t>
            </w:r>
            <w:r>
              <w:rPr>
                <w:rFonts w:hint="eastAsia"/>
                <w:color w:val="auto"/>
                <w:highlight w:val="none"/>
                <w:lang w:val="en-US" w:eastAsia="zh-CN"/>
              </w:rPr>
              <w:t xml:space="preserve">空气吸收剂量率和累积剂量处于重庆天然本底涨落范围内。 </w:t>
            </w:r>
          </w:p>
          <w:p>
            <w:pPr>
              <w:widowControl/>
              <w:spacing w:line="360" w:lineRule="auto"/>
              <w:ind w:firstLine="480" w:firstLineChars="200"/>
              <w:jc w:val="both"/>
              <w:rPr>
                <w:rFonts w:hint="eastAsia"/>
                <w:color w:val="auto"/>
                <w:highlight w:val="none"/>
                <w:lang w:val="en-US" w:eastAsia="zh-CN"/>
              </w:rPr>
            </w:pPr>
            <w:r>
              <w:rPr>
                <w:rFonts w:hint="default"/>
                <w:color w:val="auto"/>
                <w:highlight w:val="none"/>
                <w:lang w:val="en-US" w:eastAsia="zh-CN"/>
              </w:rPr>
              <w:t>X</w:t>
            </w:r>
            <w:r>
              <w:rPr>
                <w:rFonts w:hint="eastAsia"/>
                <w:color w:val="auto"/>
                <w:highlight w:val="none"/>
                <w:lang w:val="en-US" w:eastAsia="zh-CN"/>
              </w:rPr>
              <w:t>射线随射线诊断设备的开、关而产生或消失。项目附近区域无电离辐射设备，项目迁建地址周围环境的辐射环境质量现状无异常。</w:t>
            </w:r>
          </w:p>
          <w:p>
            <w:pPr>
              <w:pStyle w:val="27"/>
              <w:rPr>
                <w:color w:val="auto"/>
                <w:highlight w:val="none"/>
              </w:rPr>
            </w:pPr>
          </w:p>
          <w:p>
            <w:pPr>
              <w:pStyle w:val="28"/>
              <w:rPr>
                <w:color w:val="auto"/>
                <w:highlight w:val="none"/>
              </w:rPr>
            </w:pPr>
          </w:p>
          <w:p>
            <w:pPr>
              <w:pStyle w:val="28"/>
              <w:rPr>
                <w:color w:val="auto"/>
                <w:highlight w:val="none"/>
              </w:rPr>
            </w:pPr>
          </w:p>
          <w:p>
            <w:pPr>
              <w:pStyle w:val="28"/>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800" w:type="dxa"/>
            <w:vAlign w:val="center"/>
          </w:tcPr>
          <w:p>
            <w:pPr>
              <w:adjustRightInd w:val="0"/>
              <w:snapToGrid w:val="0"/>
              <w:ind w:left="0" w:leftChars="0" w:firstLine="0" w:firstLineChars="0"/>
              <w:jc w:val="both"/>
              <w:rPr>
                <w:color w:val="auto"/>
                <w:kern w:val="0"/>
                <w:szCs w:val="21"/>
                <w:highlight w:val="none"/>
              </w:rPr>
            </w:pPr>
            <w:r>
              <w:rPr>
                <w:color w:val="auto"/>
                <w:kern w:val="0"/>
                <w:szCs w:val="21"/>
                <w:highlight w:val="none"/>
              </w:rPr>
              <w:t>环境</w:t>
            </w:r>
          </w:p>
          <w:p>
            <w:pPr>
              <w:adjustRightInd w:val="0"/>
              <w:snapToGrid w:val="0"/>
              <w:ind w:left="0" w:leftChars="0" w:firstLine="0" w:firstLineChars="0"/>
              <w:jc w:val="both"/>
              <w:rPr>
                <w:color w:val="auto"/>
                <w:kern w:val="0"/>
                <w:szCs w:val="21"/>
                <w:highlight w:val="none"/>
              </w:rPr>
            </w:pPr>
            <w:r>
              <w:rPr>
                <w:color w:val="auto"/>
                <w:kern w:val="0"/>
                <w:szCs w:val="21"/>
                <w:highlight w:val="none"/>
              </w:rPr>
              <w:t>保护</w:t>
            </w:r>
          </w:p>
          <w:p>
            <w:pPr>
              <w:adjustRightInd w:val="0"/>
              <w:snapToGrid w:val="0"/>
              <w:ind w:left="0" w:leftChars="0" w:firstLine="0" w:firstLineChars="0"/>
              <w:jc w:val="both"/>
              <w:rPr>
                <w:color w:val="auto"/>
                <w:kern w:val="0"/>
                <w:szCs w:val="21"/>
                <w:highlight w:val="none"/>
              </w:rPr>
            </w:pPr>
            <w:r>
              <w:rPr>
                <w:color w:val="auto"/>
                <w:kern w:val="0"/>
                <w:szCs w:val="21"/>
                <w:highlight w:val="none"/>
              </w:rPr>
              <w:t>目标</w:t>
            </w:r>
          </w:p>
        </w:tc>
        <w:tc>
          <w:tcPr>
            <w:tcW w:w="8190" w:type="dxa"/>
            <w:vAlign w:val="center"/>
          </w:tcPr>
          <w:p>
            <w:pPr>
              <w:pStyle w:val="3"/>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3.</w:t>
            </w:r>
            <w:r>
              <w:rPr>
                <w:rFonts w:hint="eastAsia" w:ascii="宋体" w:hAnsi="宋体" w:cs="宋体"/>
                <w:color w:val="auto"/>
                <w:highlight w:val="none"/>
                <w:lang w:val="en-US" w:eastAsia="zh-CN"/>
              </w:rPr>
              <w:t>6</w:t>
            </w:r>
            <w:r>
              <w:rPr>
                <w:rFonts w:hint="eastAsia" w:ascii="宋体" w:hAnsi="宋体" w:eastAsia="宋体" w:cs="宋体"/>
                <w:color w:val="auto"/>
                <w:highlight w:val="none"/>
              </w:rPr>
              <w:t xml:space="preserve"> </w:t>
            </w:r>
            <w:r>
              <w:rPr>
                <w:rFonts w:hint="eastAsia" w:ascii="宋体" w:hAnsi="宋体" w:eastAsia="宋体" w:cs="宋体"/>
                <w:color w:val="auto"/>
                <w:highlight w:val="none"/>
                <w:lang w:val="en-US" w:eastAsia="zh-CN"/>
              </w:rPr>
              <w:t>外环境关系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拟建项目位于</w:t>
            </w:r>
            <w:r>
              <w:rPr>
                <w:rFonts w:hint="eastAsia" w:ascii="宋体" w:hAnsi="宋体" w:eastAsia="宋体" w:cs="宋体"/>
                <w:color w:val="auto"/>
                <w:highlight w:val="none"/>
                <w:lang w:eastAsia="zh-CN"/>
              </w:rPr>
              <w:t>奉节县羊市镇渔灯社区</w:t>
            </w:r>
            <w:r>
              <w:rPr>
                <w:rFonts w:hint="eastAsia" w:ascii="宋体" w:hAnsi="宋体" w:eastAsia="宋体" w:cs="宋体"/>
                <w:color w:val="auto"/>
                <w:highlight w:val="none"/>
                <w:lang w:val="en-US" w:eastAsia="zh-CN"/>
              </w:rPr>
              <w:t>15社，场地北侧为长滩河，西南侧为羊市镇、西北侧为堰坪镇。</w:t>
            </w:r>
          </w:p>
          <w:p>
            <w:pPr>
              <w:pStyle w:val="3"/>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cs="宋体"/>
                <w:color w:val="auto"/>
                <w:highlight w:val="none"/>
                <w:lang w:val="en-US" w:eastAsia="zh-CN"/>
              </w:rPr>
              <w:t>7</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主要环境保护目标</w:t>
            </w:r>
          </w:p>
          <w:p>
            <w:pPr>
              <w:pStyle w:val="4"/>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 大气环境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场界</w:t>
            </w:r>
            <w:r>
              <w:rPr>
                <w:rFonts w:hint="eastAsia" w:ascii="宋体" w:hAnsi="宋体" w:eastAsia="宋体" w:cs="宋体"/>
                <w:color w:val="auto"/>
                <w:highlight w:val="none"/>
                <w:lang w:val="en-US" w:eastAsia="zh-CN"/>
              </w:rPr>
              <w:t>外</w:t>
            </w:r>
            <w:r>
              <w:rPr>
                <w:rFonts w:hint="default" w:ascii="宋体" w:hAnsi="宋体" w:eastAsia="宋体" w:cs="宋体"/>
                <w:color w:val="auto"/>
                <w:highlight w:val="none"/>
                <w:lang w:val="en-US" w:eastAsia="zh-CN"/>
              </w:rPr>
              <w:t xml:space="preserve">500m </w:t>
            </w:r>
            <w:r>
              <w:rPr>
                <w:rFonts w:hint="eastAsia" w:ascii="宋体" w:hAnsi="宋体" w:eastAsia="宋体" w:cs="宋体"/>
                <w:color w:val="auto"/>
                <w:highlight w:val="none"/>
                <w:lang w:val="en-US" w:eastAsia="zh-CN"/>
              </w:rPr>
              <w:t>范围内未分布风景名胜区、文化区，但500m范围内保护目标主要为羊市镇居民和堰坪镇居民，具体见下表</w:t>
            </w:r>
            <w:r>
              <w:rPr>
                <w:rFonts w:hint="default" w:ascii="宋体" w:hAnsi="宋体" w:eastAsia="宋体" w:cs="宋体"/>
                <w:color w:val="auto"/>
                <w:highlight w:val="none"/>
                <w:lang w:val="en-US" w:eastAsia="zh-CN"/>
              </w:rPr>
              <w:t>3</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w:t>
            </w:r>
          </w:p>
          <w:p>
            <w:pPr>
              <w:pStyle w:val="4"/>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 声环境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经现场踏勘，拟建</w:t>
            </w:r>
            <w:r>
              <w:rPr>
                <w:rFonts w:hint="eastAsia" w:ascii="宋体" w:hAnsi="宋体" w:cs="宋体"/>
                <w:color w:val="auto"/>
                <w:highlight w:val="none"/>
                <w:lang w:val="en-US" w:eastAsia="zh-CN"/>
              </w:rPr>
              <w:t>场界</w:t>
            </w:r>
            <w:r>
              <w:rPr>
                <w:rFonts w:hint="eastAsia" w:ascii="宋体" w:hAnsi="宋体" w:eastAsia="宋体" w:cs="宋体"/>
                <w:color w:val="auto"/>
                <w:highlight w:val="none"/>
                <w:lang w:val="en-US" w:eastAsia="zh-CN"/>
              </w:rPr>
              <w:t>外</w:t>
            </w:r>
            <w:r>
              <w:rPr>
                <w:rFonts w:hint="default" w:ascii="宋体" w:hAnsi="宋体" w:eastAsia="宋体" w:cs="宋体"/>
                <w:color w:val="auto"/>
                <w:highlight w:val="none"/>
                <w:lang w:val="en-US" w:eastAsia="zh-CN"/>
              </w:rPr>
              <w:t>50m</w:t>
            </w:r>
            <w:r>
              <w:rPr>
                <w:rFonts w:hint="eastAsia" w:ascii="宋体" w:hAnsi="宋体" w:eastAsia="宋体" w:cs="宋体"/>
                <w:color w:val="auto"/>
                <w:highlight w:val="none"/>
                <w:lang w:val="en-US" w:eastAsia="zh-CN"/>
              </w:rPr>
              <w:t>范围内有声环境保护目标，具体见下表</w:t>
            </w:r>
            <w:r>
              <w:rPr>
                <w:rFonts w:hint="default" w:ascii="宋体" w:hAnsi="宋体" w:eastAsia="宋体" w:cs="宋体"/>
                <w:color w:val="auto"/>
                <w:highlight w:val="none"/>
                <w:lang w:val="en-US" w:eastAsia="zh-CN"/>
              </w:rPr>
              <w:t>3</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w:t>
            </w:r>
          </w:p>
          <w:p>
            <w:pPr>
              <w:pStyle w:val="4"/>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 地下水环境</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bidi="ar"/>
              </w:rPr>
              <w:t>拟建项目位于奉节县羊市镇渔灯社区，</w:t>
            </w:r>
            <w:r>
              <w:rPr>
                <w:rFonts w:hint="eastAsia" w:ascii="宋体" w:hAnsi="宋体" w:eastAsia="宋体" w:cs="宋体"/>
                <w:color w:val="auto"/>
                <w:highlight w:val="none"/>
              </w:rPr>
              <w:t>项目外500m范围内的无地下集中式饮用水水源和热水、矿泉水、温泉等特殊地下水资源。</w:t>
            </w:r>
          </w:p>
          <w:p>
            <w:pPr>
              <w:pStyle w:val="4"/>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4</w:t>
            </w:r>
            <w:r>
              <w:rPr>
                <w:rFonts w:hint="eastAsia" w:ascii="宋体" w:hAnsi="宋体" w:eastAsia="宋体" w:cs="宋体"/>
                <w:color w:val="auto"/>
                <w:highlight w:val="none"/>
                <w:lang w:val="en-US" w:eastAsia="zh-CN"/>
              </w:rPr>
              <w:t xml:space="preserve"> </w:t>
            </w:r>
            <w:r>
              <w:rPr>
                <w:rFonts w:hint="eastAsia" w:ascii="宋体" w:hAnsi="宋体" w:cs="宋体"/>
                <w:color w:val="auto"/>
                <w:highlight w:val="none"/>
                <w:lang w:val="en-US" w:eastAsia="zh-CN"/>
              </w:rPr>
              <w:t>生态</w:t>
            </w:r>
            <w:r>
              <w:rPr>
                <w:rFonts w:hint="eastAsia" w:ascii="宋体" w:hAnsi="宋体" w:eastAsia="宋体" w:cs="宋体"/>
                <w:color w:val="auto"/>
                <w:highlight w:val="none"/>
                <w:lang w:val="en-US" w:eastAsia="zh-CN"/>
              </w:rPr>
              <w:t>环境</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拟建项目周边生态系统为典型的城市生态系统，未发现珍稀野生动植物分布，无自然保护区、风景名胜区、饮用水源地分布。</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综上，拟建项目环境保护目标见下表 </w:t>
            </w:r>
            <w:r>
              <w:rPr>
                <w:rFonts w:hint="default" w:ascii="宋体" w:hAnsi="宋体" w:eastAsia="宋体" w:cs="宋体"/>
                <w:color w:val="auto"/>
                <w:kern w:val="0"/>
                <w:sz w:val="24"/>
                <w:szCs w:val="24"/>
                <w:highlight w:val="none"/>
                <w:lang w:val="en-US" w:eastAsia="zh-CN" w:bidi="ar"/>
              </w:rPr>
              <w:t>3</w:t>
            </w:r>
            <w:r>
              <w:rPr>
                <w:rFonts w:hint="eastAsia" w:ascii="宋体" w:hAnsi="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和附图</w:t>
            </w:r>
            <w:r>
              <w:rPr>
                <w:rFonts w:hint="eastAsia" w:ascii="宋体" w:hAnsi="宋体" w:cs="宋体"/>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w:t>
            </w:r>
          </w:p>
          <w:p>
            <w:pPr>
              <w:pStyle w:val="1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 xml:space="preserve">表3.3 </w:t>
            </w:r>
            <w:r>
              <w:rPr>
                <w:rFonts w:hint="default" w:ascii="Times New Roman" w:hAnsi="Times New Roman" w:eastAsia="宋体" w:cs="Times New Roman"/>
                <w:b/>
                <w:bCs/>
                <w:color w:val="auto"/>
                <w:kern w:val="2"/>
                <w:sz w:val="24"/>
                <w:szCs w:val="24"/>
                <w:highlight w:val="none"/>
                <w:lang w:val="en-US" w:eastAsia="zh-CN" w:bidi="ar-SA"/>
              </w:rPr>
              <w:t>环境保护目标分布一览表</w:t>
            </w:r>
          </w:p>
          <w:tbl>
            <w:tblPr>
              <w:tblStyle w:val="29"/>
              <w:tblW w:w="7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
              <w:gridCol w:w="1110"/>
              <w:gridCol w:w="603"/>
              <w:gridCol w:w="617"/>
              <w:gridCol w:w="1011"/>
              <w:gridCol w:w="1284"/>
              <w:gridCol w:w="1438"/>
              <w:gridCol w:w="700"/>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trPr>
              <w:tc>
                <w:tcPr>
                  <w:tcW w:w="398" w:type="dxa"/>
                  <w:vMerge w:val="restart"/>
                  <w:noWrap w:val="0"/>
                  <w:vAlign w:val="center"/>
                </w:tcPr>
                <w:p>
                  <w:pPr>
                    <w:pStyle w:val="138"/>
                    <w:wordWrap w:val="0"/>
                    <w:adjustRightInd w:val="0"/>
                    <w:snapToGrid w:val="0"/>
                    <w:spacing w:line="240" w:lineRule="auto"/>
                    <w:ind w:left="0" w:leftChars="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序号</w:t>
                  </w:r>
                </w:p>
              </w:tc>
              <w:tc>
                <w:tcPr>
                  <w:tcW w:w="1110" w:type="dxa"/>
                  <w:vMerge w:val="restart"/>
                  <w:noWrap w:val="0"/>
                  <w:vAlign w:val="center"/>
                </w:tcPr>
                <w:p>
                  <w:pPr>
                    <w:pStyle w:val="138"/>
                    <w:wordWrap w:val="0"/>
                    <w:adjustRightInd w:val="0"/>
                    <w:snapToGrid w:val="0"/>
                    <w:spacing w:line="240" w:lineRule="auto"/>
                    <w:ind w:left="0" w:leftChars="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名称</w:t>
                  </w:r>
                </w:p>
              </w:tc>
              <w:tc>
                <w:tcPr>
                  <w:tcW w:w="1220" w:type="dxa"/>
                  <w:gridSpan w:val="2"/>
                  <w:noWrap w:val="0"/>
                  <w:vAlign w:val="center"/>
                </w:tcPr>
                <w:p>
                  <w:pPr>
                    <w:pStyle w:val="138"/>
                    <w:wordWrap w:val="0"/>
                    <w:adjustRightInd w:val="0"/>
                    <w:snapToGrid w:val="0"/>
                    <w:spacing w:line="240" w:lineRule="auto"/>
                    <w:ind w:left="0" w:leftChars="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坐标/m</w:t>
                  </w:r>
                </w:p>
              </w:tc>
              <w:tc>
                <w:tcPr>
                  <w:tcW w:w="1011" w:type="dxa"/>
                  <w:vMerge w:val="restart"/>
                  <w:noWrap w:val="0"/>
                  <w:vAlign w:val="center"/>
                </w:tcPr>
                <w:p>
                  <w:pPr>
                    <w:pStyle w:val="138"/>
                    <w:wordWrap w:val="0"/>
                    <w:adjustRightInd w:val="0"/>
                    <w:snapToGrid w:val="0"/>
                    <w:spacing w:line="240" w:lineRule="auto"/>
                    <w:ind w:left="0" w:leftChars="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保护对象</w:t>
                  </w:r>
                </w:p>
              </w:tc>
              <w:tc>
                <w:tcPr>
                  <w:tcW w:w="1284" w:type="dxa"/>
                  <w:vMerge w:val="restart"/>
                  <w:noWrap w:val="0"/>
                  <w:vAlign w:val="center"/>
                </w:tcPr>
                <w:p>
                  <w:pPr>
                    <w:pStyle w:val="138"/>
                    <w:wordWrap w:val="0"/>
                    <w:adjustRightInd w:val="0"/>
                    <w:snapToGrid w:val="0"/>
                    <w:spacing w:line="240" w:lineRule="auto"/>
                    <w:ind w:left="0" w:leftChars="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保护内容</w:t>
                  </w:r>
                </w:p>
              </w:tc>
              <w:tc>
                <w:tcPr>
                  <w:tcW w:w="1438" w:type="dxa"/>
                  <w:vMerge w:val="restart"/>
                  <w:noWrap w:val="0"/>
                  <w:vAlign w:val="center"/>
                </w:tcPr>
                <w:p>
                  <w:pPr>
                    <w:pStyle w:val="138"/>
                    <w:wordWrap w:val="0"/>
                    <w:adjustRightInd w:val="0"/>
                    <w:snapToGrid w:val="0"/>
                    <w:spacing w:line="240" w:lineRule="auto"/>
                    <w:ind w:left="0" w:leftChars="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环境功能区</w:t>
                  </w:r>
                </w:p>
              </w:tc>
              <w:tc>
                <w:tcPr>
                  <w:tcW w:w="700" w:type="dxa"/>
                  <w:vMerge w:val="restart"/>
                  <w:noWrap w:val="0"/>
                  <w:vAlign w:val="center"/>
                </w:tcPr>
                <w:p>
                  <w:pPr>
                    <w:pStyle w:val="138"/>
                    <w:wordWrap w:val="0"/>
                    <w:adjustRightInd w:val="0"/>
                    <w:snapToGrid w:val="0"/>
                    <w:spacing w:line="240" w:lineRule="auto"/>
                    <w:ind w:left="0" w:leftChars="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相对厂址方位</w:t>
                  </w:r>
                </w:p>
              </w:tc>
              <w:tc>
                <w:tcPr>
                  <w:tcW w:w="827" w:type="dxa"/>
                  <w:vMerge w:val="restart"/>
                  <w:noWrap w:val="0"/>
                  <w:vAlign w:val="center"/>
                </w:tcPr>
                <w:p>
                  <w:pPr>
                    <w:pStyle w:val="138"/>
                    <w:wordWrap w:val="0"/>
                    <w:adjustRightInd w:val="0"/>
                    <w:snapToGrid w:val="0"/>
                    <w:spacing w:line="240" w:lineRule="auto"/>
                    <w:ind w:left="0" w:leftChars="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相对</w:t>
                  </w:r>
                  <w:r>
                    <w:rPr>
                      <w:rFonts w:hint="eastAsia" w:cs="Times New Roman"/>
                      <w:b w:val="0"/>
                      <w:bCs w:val="0"/>
                      <w:color w:val="auto"/>
                      <w:sz w:val="21"/>
                      <w:szCs w:val="21"/>
                      <w:highlight w:val="none"/>
                      <w:lang w:eastAsia="zh-CN"/>
                    </w:rPr>
                    <w:t>场界</w:t>
                  </w:r>
                  <w:r>
                    <w:rPr>
                      <w:rFonts w:hint="default" w:ascii="Times New Roman" w:hAnsi="Times New Roman" w:cs="Times New Roman"/>
                      <w:b w:val="0"/>
                      <w:bCs w:val="0"/>
                      <w:color w:val="auto"/>
                      <w:sz w:val="21"/>
                      <w:szCs w:val="21"/>
                      <w:highlight w:val="none"/>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98" w:type="dxa"/>
                  <w:vMerge w:val="continue"/>
                  <w:noWrap w:val="0"/>
                  <w:vAlign w:val="center"/>
                </w:tcPr>
                <w:p>
                  <w:pPr>
                    <w:pStyle w:val="138"/>
                    <w:wordWrap w:val="0"/>
                    <w:adjustRightInd w:val="0"/>
                    <w:snapToGrid w:val="0"/>
                    <w:spacing w:line="240" w:lineRule="auto"/>
                    <w:rPr>
                      <w:rFonts w:hint="default" w:ascii="Times New Roman" w:hAnsi="Times New Roman" w:cs="Times New Roman"/>
                      <w:b/>
                      <w:bCs/>
                      <w:color w:val="auto"/>
                      <w:sz w:val="21"/>
                      <w:szCs w:val="21"/>
                      <w:highlight w:val="none"/>
                    </w:rPr>
                  </w:pPr>
                </w:p>
              </w:tc>
              <w:tc>
                <w:tcPr>
                  <w:tcW w:w="1110" w:type="dxa"/>
                  <w:vMerge w:val="continue"/>
                  <w:noWrap w:val="0"/>
                  <w:vAlign w:val="center"/>
                </w:tcPr>
                <w:p>
                  <w:pPr>
                    <w:pStyle w:val="138"/>
                    <w:wordWrap w:val="0"/>
                    <w:adjustRightInd w:val="0"/>
                    <w:snapToGrid w:val="0"/>
                    <w:spacing w:line="240" w:lineRule="auto"/>
                    <w:rPr>
                      <w:rFonts w:hint="default" w:ascii="Times New Roman" w:hAnsi="Times New Roman" w:cs="Times New Roman"/>
                      <w:b/>
                      <w:bCs/>
                      <w:color w:val="auto"/>
                      <w:sz w:val="21"/>
                      <w:szCs w:val="21"/>
                      <w:highlight w:val="none"/>
                    </w:rPr>
                  </w:pPr>
                </w:p>
              </w:tc>
              <w:tc>
                <w:tcPr>
                  <w:tcW w:w="603" w:type="dxa"/>
                  <w:noWrap w:val="0"/>
                  <w:vAlign w:val="center"/>
                </w:tcPr>
                <w:p>
                  <w:pPr>
                    <w:pStyle w:val="138"/>
                    <w:wordWrap w:val="0"/>
                    <w:adjustRightInd w:val="0"/>
                    <w:snapToGrid w:val="0"/>
                    <w:spacing w:line="240" w:lineRule="auto"/>
                    <w:ind w:left="0" w:leftChars="0" w:firstLine="211" w:firstLineChars="100"/>
                    <w:jc w:val="both"/>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X</w:t>
                  </w:r>
                </w:p>
              </w:tc>
              <w:tc>
                <w:tcPr>
                  <w:tcW w:w="617" w:type="dxa"/>
                  <w:noWrap w:val="0"/>
                  <w:vAlign w:val="center"/>
                </w:tcPr>
                <w:p>
                  <w:pPr>
                    <w:pStyle w:val="138"/>
                    <w:wordWrap w:val="0"/>
                    <w:adjustRightInd w:val="0"/>
                    <w:snapToGrid w:val="0"/>
                    <w:spacing w:line="240" w:lineRule="auto"/>
                    <w:ind w:left="0" w:leftChars="0" w:firstLine="211" w:firstLineChars="100"/>
                    <w:jc w:val="both"/>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Y</w:t>
                  </w:r>
                </w:p>
              </w:tc>
              <w:tc>
                <w:tcPr>
                  <w:tcW w:w="1011" w:type="dxa"/>
                  <w:vMerge w:val="continue"/>
                  <w:noWrap w:val="0"/>
                  <w:vAlign w:val="center"/>
                </w:tcPr>
                <w:p>
                  <w:pPr>
                    <w:pStyle w:val="138"/>
                    <w:wordWrap w:val="0"/>
                    <w:adjustRightInd w:val="0"/>
                    <w:snapToGrid w:val="0"/>
                    <w:spacing w:line="240" w:lineRule="auto"/>
                    <w:rPr>
                      <w:rFonts w:hint="default" w:ascii="Times New Roman" w:hAnsi="Times New Roman" w:cs="Times New Roman"/>
                      <w:b/>
                      <w:bCs/>
                      <w:color w:val="auto"/>
                      <w:sz w:val="21"/>
                      <w:szCs w:val="21"/>
                      <w:highlight w:val="none"/>
                    </w:rPr>
                  </w:pPr>
                </w:p>
              </w:tc>
              <w:tc>
                <w:tcPr>
                  <w:tcW w:w="1284" w:type="dxa"/>
                  <w:vMerge w:val="continue"/>
                  <w:noWrap w:val="0"/>
                  <w:vAlign w:val="center"/>
                </w:tcPr>
                <w:p>
                  <w:pPr>
                    <w:pStyle w:val="138"/>
                    <w:wordWrap w:val="0"/>
                    <w:adjustRightInd w:val="0"/>
                    <w:snapToGrid w:val="0"/>
                    <w:spacing w:line="240" w:lineRule="auto"/>
                    <w:rPr>
                      <w:rFonts w:hint="default" w:ascii="Times New Roman" w:hAnsi="Times New Roman" w:cs="Times New Roman"/>
                      <w:b/>
                      <w:bCs/>
                      <w:color w:val="auto"/>
                      <w:sz w:val="21"/>
                      <w:szCs w:val="21"/>
                      <w:highlight w:val="none"/>
                    </w:rPr>
                  </w:pPr>
                </w:p>
              </w:tc>
              <w:tc>
                <w:tcPr>
                  <w:tcW w:w="1438" w:type="dxa"/>
                  <w:vMerge w:val="continue"/>
                  <w:noWrap w:val="0"/>
                  <w:vAlign w:val="center"/>
                </w:tcPr>
                <w:p>
                  <w:pPr>
                    <w:pStyle w:val="138"/>
                    <w:wordWrap w:val="0"/>
                    <w:adjustRightInd w:val="0"/>
                    <w:snapToGrid w:val="0"/>
                    <w:spacing w:line="240" w:lineRule="auto"/>
                    <w:rPr>
                      <w:rFonts w:hint="default" w:ascii="Times New Roman" w:hAnsi="Times New Roman" w:cs="Times New Roman"/>
                      <w:b/>
                      <w:bCs/>
                      <w:color w:val="auto"/>
                      <w:sz w:val="21"/>
                      <w:szCs w:val="21"/>
                      <w:highlight w:val="none"/>
                    </w:rPr>
                  </w:pPr>
                </w:p>
              </w:tc>
              <w:tc>
                <w:tcPr>
                  <w:tcW w:w="700" w:type="dxa"/>
                  <w:vMerge w:val="continue"/>
                  <w:noWrap w:val="0"/>
                  <w:vAlign w:val="center"/>
                </w:tcPr>
                <w:p>
                  <w:pPr>
                    <w:pStyle w:val="138"/>
                    <w:wordWrap w:val="0"/>
                    <w:adjustRightInd w:val="0"/>
                    <w:snapToGrid w:val="0"/>
                    <w:spacing w:line="240" w:lineRule="auto"/>
                    <w:rPr>
                      <w:rFonts w:hint="default" w:ascii="Times New Roman" w:hAnsi="Times New Roman" w:cs="Times New Roman"/>
                      <w:b/>
                      <w:bCs/>
                      <w:color w:val="auto"/>
                      <w:sz w:val="21"/>
                      <w:szCs w:val="21"/>
                      <w:highlight w:val="none"/>
                    </w:rPr>
                  </w:pPr>
                </w:p>
              </w:tc>
              <w:tc>
                <w:tcPr>
                  <w:tcW w:w="827" w:type="dxa"/>
                  <w:vMerge w:val="continue"/>
                  <w:noWrap w:val="0"/>
                  <w:vAlign w:val="center"/>
                </w:tcPr>
                <w:p>
                  <w:pPr>
                    <w:pStyle w:val="138"/>
                    <w:wordWrap w:val="0"/>
                    <w:adjustRightInd w:val="0"/>
                    <w:snapToGrid w:val="0"/>
                    <w:spacing w:line="240" w:lineRule="auto"/>
                    <w:rPr>
                      <w:rFonts w:hint="default" w:ascii="Times New Roman" w:hAnsi="Times New Roman" w:cs="Times New Roman"/>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98"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rPr>
                  </w:pPr>
                  <w:r>
                    <w:rPr>
                      <w:rFonts w:hint="default" w:ascii="宋体" w:hAnsi="宋体" w:eastAsia="宋体" w:cs="宋体"/>
                      <w:b w:val="0"/>
                      <w:bCs w:val="0"/>
                      <w:color w:val="auto"/>
                      <w:sz w:val="21"/>
                      <w:szCs w:val="21"/>
                      <w:highlight w:val="none"/>
                    </w:rPr>
                    <w:t>1</w:t>
                  </w:r>
                </w:p>
              </w:tc>
              <w:tc>
                <w:tcPr>
                  <w:tcW w:w="1110"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渔灯社区居民楼</w:t>
                  </w:r>
                </w:p>
              </w:tc>
              <w:tc>
                <w:tcPr>
                  <w:tcW w:w="603"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eastAsia="zh-CN"/>
                    </w:rPr>
                    <w:t>160</w:t>
                  </w:r>
                </w:p>
              </w:tc>
              <w:tc>
                <w:tcPr>
                  <w:tcW w:w="617"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120</w:t>
                  </w:r>
                </w:p>
              </w:tc>
              <w:tc>
                <w:tcPr>
                  <w:tcW w:w="1011"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rPr>
                  </w:pPr>
                  <w:r>
                    <w:rPr>
                      <w:rFonts w:hint="default" w:ascii="宋体" w:hAnsi="宋体" w:eastAsia="宋体" w:cs="宋体"/>
                      <w:b w:val="0"/>
                      <w:bCs w:val="0"/>
                      <w:color w:val="auto"/>
                      <w:sz w:val="21"/>
                      <w:szCs w:val="21"/>
                      <w:highlight w:val="none"/>
                    </w:rPr>
                    <w:t>居民区</w:t>
                  </w:r>
                </w:p>
              </w:tc>
              <w:tc>
                <w:tcPr>
                  <w:tcW w:w="1284"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rPr>
                  </w:pPr>
                  <w:r>
                    <w:rPr>
                      <w:rFonts w:hint="default" w:ascii="宋体" w:hAnsi="宋体" w:eastAsia="宋体" w:cs="宋体"/>
                      <w:b w:val="0"/>
                      <w:bCs w:val="0"/>
                      <w:color w:val="auto"/>
                      <w:sz w:val="21"/>
                      <w:szCs w:val="21"/>
                      <w:highlight w:val="none"/>
                    </w:rPr>
                    <w:t>约</w:t>
                  </w:r>
                  <w:r>
                    <w:rPr>
                      <w:rFonts w:hint="eastAsia" w:ascii="宋体" w:hAnsi="宋体" w:eastAsia="宋体" w:cs="宋体"/>
                      <w:b w:val="0"/>
                      <w:bCs w:val="0"/>
                      <w:color w:val="auto"/>
                      <w:sz w:val="21"/>
                      <w:szCs w:val="21"/>
                      <w:highlight w:val="none"/>
                      <w:lang w:val="en-US" w:eastAsia="zh-CN"/>
                    </w:rPr>
                    <w:t>150</w:t>
                  </w:r>
                  <w:r>
                    <w:rPr>
                      <w:rFonts w:hint="default" w:ascii="宋体" w:hAnsi="宋体" w:eastAsia="宋体" w:cs="宋体"/>
                      <w:b w:val="0"/>
                      <w:bCs w:val="0"/>
                      <w:color w:val="auto"/>
                      <w:sz w:val="21"/>
                      <w:szCs w:val="21"/>
                      <w:highlight w:val="none"/>
                    </w:rPr>
                    <w:t>人</w:t>
                  </w:r>
                </w:p>
              </w:tc>
              <w:tc>
                <w:tcPr>
                  <w:tcW w:w="1438" w:type="dxa"/>
                  <w:vMerge w:val="restart"/>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rPr>
                  </w:pPr>
                  <w:r>
                    <w:rPr>
                      <w:rFonts w:hint="default" w:ascii="宋体" w:hAnsi="宋体" w:eastAsia="宋体" w:cs="宋体"/>
                      <w:b w:val="0"/>
                      <w:bCs w:val="0"/>
                      <w:color w:val="auto"/>
                      <w:sz w:val="21"/>
                      <w:szCs w:val="21"/>
                      <w:highlight w:val="none"/>
                    </w:rPr>
                    <w:t>《环境空气质量标准》（GB3095-2012）二类功能区</w:t>
                  </w:r>
                </w:p>
              </w:tc>
              <w:tc>
                <w:tcPr>
                  <w:tcW w:w="700"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W</w:t>
                  </w:r>
                </w:p>
              </w:tc>
              <w:tc>
                <w:tcPr>
                  <w:tcW w:w="827"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98"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1110"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渔灯社区居民楼</w:t>
                  </w:r>
                </w:p>
              </w:tc>
              <w:tc>
                <w:tcPr>
                  <w:tcW w:w="603"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165</w:t>
                  </w:r>
                </w:p>
              </w:tc>
              <w:tc>
                <w:tcPr>
                  <w:tcW w:w="617"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130</w:t>
                  </w:r>
                </w:p>
              </w:tc>
              <w:tc>
                <w:tcPr>
                  <w:tcW w:w="1011"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rPr>
                  </w:pPr>
                  <w:r>
                    <w:rPr>
                      <w:rFonts w:hint="default" w:ascii="宋体" w:hAnsi="宋体" w:eastAsia="宋体" w:cs="宋体"/>
                      <w:b w:val="0"/>
                      <w:bCs w:val="0"/>
                      <w:color w:val="auto"/>
                      <w:sz w:val="21"/>
                      <w:szCs w:val="21"/>
                      <w:highlight w:val="none"/>
                    </w:rPr>
                    <w:t>居民区</w:t>
                  </w:r>
                </w:p>
              </w:tc>
              <w:tc>
                <w:tcPr>
                  <w:tcW w:w="1284"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default" w:ascii="宋体" w:hAnsi="宋体" w:eastAsia="宋体" w:cs="宋体"/>
                      <w:b w:val="0"/>
                      <w:bCs w:val="0"/>
                      <w:color w:val="auto"/>
                      <w:sz w:val="21"/>
                      <w:szCs w:val="21"/>
                      <w:highlight w:val="none"/>
                    </w:rPr>
                    <w:t>约</w:t>
                  </w:r>
                  <w:r>
                    <w:rPr>
                      <w:rFonts w:hint="eastAsia" w:ascii="宋体" w:hAnsi="宋体" w:eastAsia="宋体" w:cs="宋体"/>
                      <w:b w:val="0"/>
                      <w:bCs w:val="0"/>
                      <w:color w:val="auto"/>
                      <w:sz w:val="21"/>
                      <w:szCs w:val="21"/>
                      <w:highlight w:val="none"/>
                      <w:lang w:val="en-US" w:eastAsia="zh-CN"/>
                    </w:rPr>
                    <w:t>150</w:t>
                  </w:r>
                  <w:r>
                    <w:rPr>
                      <w:rFonts w:hint="default" w:ascii="宋体" w:hAnsi="宋体" w:eastAsia="宋体" w:cs="宋体"/>
                      <w:b w:val="0"/>
                      <w:bCs w:val="0"/>
                      <w:color w:val="auto"/>
                      <w:sz w:val="21"/>
                      <w:szCs w:val="21"/>
                      <w:highlight w:val="none"/>
                    </w:rPr>
                    <w:t>人</w:t>
                  </w:r>
                </w:p>
              </w:tc>
              <w:tc>
                <w:tcPr>
                  <w:tcW w:w="1438" w:type="dxa"/>
                  <w:vMerge w:val="continue"/>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rPr>
                  </w:pPr>
                </w:p>
              </w:tc>
              <w:tc>
                <w:tcPr>
                  <w:tcW w:w="700"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SW</w:t>
                  </w:r>
                </w:p>
              </w:tc>
              <w:tc>
                <w:tcPr>
                  <w:tcW w:w="827"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98"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c>
                <w:tcPr>
                  <w:tcW w:w="1110"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羊市镇居民</w:t>
                  </w:r>
                </w:p>
              </w:tc>
              <w:tc>
                <w:tcPr>
                  <w:tcW w:w="603"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w:t>
                  </w:r>
                </w:p>
              </w:tc>
              <w:tc>
                <w:tcPr>
                  <w:tcW w:w="617"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w:t>
                  </w:r>
                </w:p>
              </w:tc>
              <w:tc>
                <w:tcPr>
                  <w:tcW w:w="1011"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rPr>
                  </w:pPr>
                  <w:r>
                    <w:rPr>
                      <w:rFonts w:hint="default" w:ascii="宋体" w:hAnsi="宋体" w:eastAsia="宋体" w:cs="宋体"/>
                      <w:b w:val="0"/>
                      <w:bCs w:val="0"/>
                      <w:color w:val="auto"/>
                      <w:sz w:val="21"/>
                      <w:szCs w:val="21"/>
                      <w:highlight w:val="none"/>
                    </w:rPr>
                    <w:t>居民区</w:t>
                  </w:r>
                </w:p>
              </w:tc>
              <w:tc>
                <w:tcPr>
                  <w:tcW w:w="1284"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rPr>
                  </w:pPr>
                  <w:r>
                    <w:rPr>
                      <w:rFonts w:hint="default" w:ascii="宋体" w:hAnsi="宋体" w:eastAsia="宋体" w:cs="宋体"/>
                      <w:b w:val="0"/>
                      <w:bCs w:val="0"/>
                      <w:color w:val="auto"/>
                      <w:sz w:val="21"/>
                      <w:szCs w:val="21"/>
                      <w:highlight w:val="none"/>
                      <w:lang w:val="en-US" w:eastAsia="zh-CN"/>
                    </w:rPr>
                    <w:t>约</w:t>
                  </w:r>
                  <w:r>
                    <w:rPr>
                      <w:rFonts w:hint="eastAsia" w:ascii="宋体" w:hAnsi="宋体" w:eastAsia="宋体" w:cs="宋体"/>
                      <w:b w:val="0"/>
                      <w:bCs w:val="0"/>
                      <w:color w:val="auto"/>
                      <w:sz w:val="21"/>
                      <w:szCs w:val="21"/>
                      <w:highlight w:val="none"/>
                      <w:lang w:val="en-US" w:eastAsia="zh-CN"/>
                    </w:rPr>
                    <w:t>3700人</w:t>
                  </w:r>
                </w:p>
              </w:tc>
              <w:tc>
                <w:tcPr>
                  <w:tcW w:w="1438" w:type="dxa"/>
                  <w:vMerge w:val="continue"/>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rPr>
                  </w:pPr>
                </w:p>
              </w:tc>
              <w:tc>
                <w:tcPr>
                  <w:tcW w:w="700"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SW-S</w:t>
                  </w:r>
                </w:p>
              </w:tc>
              <w:tc>
                <w:tcPr>
                  <w:tcW w:w="827"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200-500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98"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p>
              </w:tc>
              <w:tc>
                <w:tcPr>
                  <w:tcW w:w="1110"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羊市镇中心小学</w:t>
                  </w:r>
                </w:p>
              </w:tc>
              <w:tc>
                <w:tcPr>
                  <w:tcW w:w="603"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-126</w:t>
                  </w:r>
                </w:p>
              </w:tc>
              <w:tc>
                <w:tcPr>
                  <w:tcW w:w="617"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240</w:t>
                  </w:r>
                </w:p>
              </w:tc>
              <w:tc>
                <w:tcPr>
                  <w:tcW w:w="1011"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学校</w:t>
                  </w:r>
                </w:p>
              </w:tc>
              <w:tc>
                <w:tcPr>
                  <w:tcW w:w="1284"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约500人</w:t>
                  </w:r>
                </w:p>
              </w:tc>
              <w:tc>
                <w:tcPr>
                  <w:tcW w:w="1438" w:type="dxa"/>
                  <w:vMerge w:val="continue"/>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rPr>
                  </w:pPr>
                </w:p>
              </w:tc>
              <w:tc>
                <w:tcPr>
                  <w:tcW w:w="700"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W</w:t>
                  </w:r>
                </w:p>
              </w:tc>
              <w:tc>
                <w:tcPr>
                  <w:tcW w:w="827"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98"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w:t>
                  </w:r>
                </w:p>
              </w:tc>
              <w:tc>
                <w:tcPr>
                  <w:tcW w:w="1110"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堰坪镇居民</w:t>
                  </w:r>
                </w:p>
              </w:tc>
              <w:tc>
                <w:tcPr>
                  <w:tcW w:w="603"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w:t>
                  </w:r>
                </w:p>
              </w:tc>
              <w:tc>
                <w:tcPr>
                  <w:tcW w:w="617"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w:t>
                  </w:r>
                </w:p>
              </w:tc>
              <w:tc>
                <w:tcPr>
                  <w:tcW w:w="1011"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default" w:ascii="宋体" w:hAnsi="宋体" w:eastAsia="宋体" w:cs="宋体"/>
                      <w:b w:val="0"/>
                      <w:bCs w:val="0"/>
                      <w:color w:val="auto"/>
                      <w:sz w:val="21"/>
                      <w:szCs w:val="21"/>
                      <w:highlight w:val="none"/>
                    </w:rPr>
                    <w:t>居民区</w:t>
                  </w:r>
                </w:p>
              </w:tc>
              <w:tc>
                <w:tcPr>
                  <w:tcW w:w="1284"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default" w:ascii="宋体" w:hAnsi="宋体" w:eastAsia="宋体" w:cs="宋体"/>
                      <w:b w:val="0"/>
                      <w:bCs w:val="0"/>
                      <w:color w:val="auto"/>
                      <w:sz w:val="21"/>
                      <w:szCs w:val="21"/>
                      <w:highlight w:val="none"/>
                      <w:lang w:val="en-US" w:eastAsia="zh-CN"/>
                    </w:rPr>
                    <w:t>约</w:t>
                  </w:r>
                  <w:r>
                    <w:rPr>
                      <w:rFonts w:hint="eastAsia" w:ascii="宋体" w:hAnsi="宋体" w:eastAsia="宋体" w:cs="宋体"/>
                      <w:b w:val="0"/>
                      <w:bCs w:val="0"/>
                      <w:color w:val="auto"/>
                      <w:sz w:val="21"/>
                      <w:szCs w:val="21"/>
                      <w:highlight w:val="none"/>
                      <w:lang w:val="en-US" w:eastAsia="zh-CN"/>
                    </w:rPr>
                    <w:t>3200人</w:t>
                  </w:r>
                </w:p>
              </w:tc>
              <w:tc>
                <w:tcPr>
                  <w:tcW w:w="1438" w:type="dxa"/>
                  <w:vMerge w:val="continue"/>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rPr>
                  </w:pPr>
                </w:p>
              </w:tc>
              <w:tc>
                <w:tcPr>
                  <w:tcW w:w="700"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NW</w:t>
                  </w:r>
                </w:p>
              </w:tc>
              <w:tc>
                <w:tcPr>
                  <w:tcW w:w="827"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260-500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98"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p>
              </w:tc>
              <w:tc>
                <w:tcPr>
                  <w:tcW w:w="1110"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堰坪小学</w:t>
                  </w:r>
                </w:p>
              </w:tc>
              <w:tc>
                <w:tcPr>
                  <w:tcW w:w="603"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85</w:t>
                  </w:r>
                </w:p>
              </w:tc>
              <w:tc>
                <w:tcPr>
                  <w:tcW w:w="617"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140</w:t>
                  </w:r>
                </w:p>
              </w:tc>
              <w:tc>
                <w:tcPr>
                  <w:tcW w:w="1011"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学校</w:t>
                  </w:r>
                </w:p>
              </w:tc>
              <w:tc>
                <w:tcPr>
                  <w:tcW w:w="1284"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约600人</w:t>
                  </w:r>
                </w:p>
              </w:tc>
              <w:tc>
                <w:tcPr>
                  <w:tcW w:w="1438" w:type="dxa"/>
                  <w:vMerge w:val="continue"/>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rPr>
                  </w:pPr>
                </w:p>
              </w:tc>
              <w:tc>
                <w:tcPr>
                  <w:tcW w:w="700"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N</w:t>
                  </w:r>
                </w:p>
              </w:tc>
              <w:tc>
                <w:tcPr>
                  <w:tcW w:w="827"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98"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7</w:t>
                  </w:r>
                </w:p>
              </w:tc>
              <w:tc>
                <w:tcPr>
                  <w:tcW w:w="1110"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长滩</w:t>
                  </w:r>
                  <w:r>
                    <w:rPr>
                      <w:rFonts w:hint="default" w:ascii="宋体" w:hAnsi="宋体" w:eastAsia="宋体" w:cs="宋体"/>
                      <w:b w:val="0"/>
                      <w:bCs w:val="0"/>
                      <w:color w:val="auto"/>
                      <w:sz w:val="21"/>
                      <w:szCs w:val="21"/>
                      <w:highlight w:val="none"/>
                    </w:rPr>
                    <w:t>河</w:t>
                  </w:r>
                </w:p>
              </w:tc>
              <w:tc>
                <w:tcPr>
                  <w:tcW w:w="603"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rPr>
                  </w:pPr>
                  <w:r>
                    <w:rPr>
                      <w:rFonts w:hint="default" w:ascii="宋体" w:hAnsi="宋体" w:eastAsia="宋体" w:cs="宋体"/>
                      <w:b w:val="0"/>
                      <w:bCs w:val="0"/>
                      <w:color w:val="auto"/>
                      <w:sz w:val="21"/>
                      <w:szCs w:val="21"/>
                      <w:highlight w:val="none"/>
                    </w:rPr>
                    <w:t>/</w:t>
                  </w:r>
                </w:p>
              </w:tc>
              <w:tc>
                <w:tcPr>
                  <w:tcW w:w="617"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rPr>
                  </w:pPr>
                  <w:r>
                    <w:rPr>
                      <w:rFonts w:hint="default" w:ascii="宋体" w:hAnsi="宋体" w:eastAsia="宋体" w:cs="宋体"/>
                      <w:b w:val="0"/>
                      <w:bCs w:val="0"/>
                      <w:color w:val="auto"/>
                      <w:sz w:val="21"/>
                      <w:szCs w:val="21"/>
                      <w:highlight w:val="none"/>
                    </w:rPr>
                    <w:t>/</w:t>
                  </w:r>
                </w:p>
              </w:tc>
              <w:tc>
                <w:tcPr>
                  <w:tcW w:w="1011"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rPr>
                  </w:pPr>
                  <w:r>
                    <w:rPr>
                      <w:rFonts w:hint="default" w:ascii="宋体" w:hAnsi="宋体" w:eastAsia="宋体" w:cs="宋体"/>
                      <w:b w:val="0"/>
                      <w:bCs w:val="0"/>
                      <w:color w:val="auto"/>
                      <w:sz w:val="21"/>
                      <w:szCs w:val="21"/>
                      <w:highlight w:val="none"/>
                    </w:rPr>
                    <w:t>地表水</w:t>
                  </w:r>
                </w:p>
              </w:tc>
              <w:tc>
                <w:tcPr>
                  <w:tcW w:w="1284"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rPr>
                  </w:pPr>
                  <w:r>
                    <w:rPr>
                      <w:rFonts w:hint="default" w:ascii="宋体" w:hAnsi="宋体" w:eastAsia="宋体" w:cs="宋体"/>
                      <w:b w:val="0"/>
                      <w:bCs w:val="0"/>
                      <w:color w:val="auto"/>
                      <w:sz w:val="21"/>
                      <w:szCs w:val="21"/>
                      <w:highlight w:val="none"/>
                    </w:rPr>
                    <w:t>受纳水体</w:t>
                  </w:r>
                </w:p>
              </w:tc>
              <w:tc>
                <w:tcPr>
                  <w:tcW w:w="1438"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rPr>
                  </w:pPr>
                  <w:r>
                    <w:rPr>
                      <w:rFonts w:hint="default" w:ascii="宋体" w:hAnsi="宋体" w:eastAsia="宋体" w:cs="宋体"/>
                      <w:b w:val="0"/>
                      <w:bCs w:val="0"/>
                      <w:color w:val="auto"/>
                      <w:sz w:val="21"/>
                      <w:szCs w:val="21"/>
                      <w:highlight w:val="none"/>
                    </w:rPr>
                    <w:t>《地表水环境质量标准》（GB3838-2002）中</w:t>
                  </w:r>
                  <w:r>
                    <w:rPr>
                      <w:rFonts w:hint="eastAsia" w:ascii="宋体" w:hAnsi="宋体" w:eastAsia="宋体" w:cs="宋体"/>
                      <w:b w:val="0"/>
                      <w:bCs w:val="0"/>
                      <w:color w:val="auto"/>
                      <w:sz w:val="21"/>
                      <w:szCs w:val="21"/>
                      <w:highlight w:val="none"/>
                      <w:lang w:val="en-US" w:eastAsia="zh-CN"/>
                    </w:rPr>
                    <w:t>II</w:t>
                  </w:r>
                  <w:r>
                    <w:rPr>
                      <w:rFonts w:hint="default" w:ascii="宋体" w:hAnsi="宋体" w:eastAsia="宋体" w:cs="宋体"/>
                      <w:b w:val="0"/>
                      <w:bCs w:val="0"/>
                      <w:color w:val="auto"/>
                      <w:sz w:val="21"/>
                      <w:szCs w:val="21"/>
                      <w:highlight w:val="none"/>
                    </w:rPr>
                    <w:t>类水域</w:t>
                  </w:r>
                </w:p>
              </w:tc>
              <w:tc>
                <w:tcPr>
                  <w:tcW w:w="700"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N</w:t>
                  </w:r>
                </w:p>
              </w:tc>
              <w:tc>
                <w:tcPr>
                  <w:tcW w:w="827" w:type="dxa"/>
                  <w:noWrap w:val="0"/>
                  <w:vAlign w:val="center"/>
                </w:tcPr>
                <w:p>
                  <w:pPr>
                    <w:pStyle w:val="4"/>
                    <w:keepLines w:val="0"/>
                    <w:adjustRightInd w:val="0"/>
                    <w:snapToGrid w:val="0"/>
                    <w:spacing w:before="0" w:beforeAutospacing="0" w:after="0" w:afterAutospacing="0" w:line="240" w:lineRule="auto"/>
                    <w:ind w:firstLine="0" w:firstLineChars="0"/>
                    <w:jc w:val="center"/>
                    <w:rPr>
                      <w:rFonts w:hint="default"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eastAsia="zh-CN"/>
                    </w:rPr>
                    <w:t>30</w:t>
                  </w:r>
                </w:p>
              </w:tc>
            </w:tr>
          </w:tbl>
          <w:p>
            <w:pPr>
              <w:pStyle w:val="86"/>
              <w:spacing w:line="360" w:lineRule="auto"/>
              <w:ind w:left="0" w:leftChars="0" w:firstLine="0" w:firstLineChars="0"/>
              <w:rPr>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75" w:hRule="atLeast"/>
          <w:jc w:val="center"/>
        </w:trPr>
        <w:tc>
          <w:tcPr>
            <w:tcW w:w="800" w:type="dxa"/>
            <w:tcMar>
              <w:left w:w="28" w:type="dxa"/>
              <w:right w:w="28" w:type="dxa"/>
            </w:tcMar>
            <w:vAlign w:val="center"/>
          </w:tcPr>
          <w:p>
            <w:pPr>
              <w:pageBreakBefore w:val="0"/>
              <w:kinsoku/>
              <w:wordWrap/>
              <w:overflowPunct/>
              <w:topLinePunct w:val="0"/>
              <w:autoSpaceDE/>
              <w:autoSpaceDN/>
              <w:bidi w:val="0"/>
              <w:spacing w:line="360" w:lineRule="auto"/>
              <w:ind w:left="0" w:leftChars="0" w:firstLine="0" w:firstLineChars="0"/>
              <w:textAlignment w:val="auto"/>
              <w:rPr>
                <w:color w:val="auto"/>
                <w:highlight w:val="none"/>
              </w:rPr>
            </w:pPr>
            <w:r>
              <w:rPr>
                <w:rFonts w:hint="eastAsia"/>
                <w:color w:val="auto"/>
                <w:highlight w:val="none"/>
                <w:lang w:val="en-US" w:eastAsia="zh-CN"/>
              </w:rPr>
              <w:t>污</w:t>
            </w:r>
            <w:r>
              <w:rPr>
                <w:color w:val="auto"/>
                <w:highlight w:val="none"/>
              </w:rPr>
              <w:t>染</w:t>
            </w:r>
          </w:p>
          <w:p>
            <w:pPr>
              <w:pageBreakBefore w:val="0"/>
              <w:kinsoku/>
              <w:wordWrap/>
              <w:overflowPunct/>
              <w:topLinePunct w:val="0"/>
              <w:autoSpaceDE/>
              <w:autoSpaceDN/>
              <w:bidi w:val="0"/>
              <w:spacing w:line="360" w:lineRule="auto"/>
              <w:ind w:left="0" w:leftChars="0" w:firstLine="0" w:firstLineChars="0"/>
              <w:textAlignment w:val="auto"/>
              <w:rPr>
                <w:color w:val="auto"/>
                <w:highlight w:val="none"/>
              </w:rPr>
            </w:pPr>
            <w:r>
              <w:rPr>
                <w:color w:val="auto"/>
                <w:highlight w:val="none"/>
              </w:rPr>
              <w:t>物</w:t>
            </w:r>
            <w:r>
              <w:rPr>
                <w:rFonts w:hint="eastAsia"/>
                <w:color w:val="auto"/>
                <w:highlight w:val="none"/>
                <w:lang w:val="en-US" w:eastAsia="zh-CN"/>
              </w:rPr>
              <w:t xml:space="preserve">  </w:t>
            </w:r>
            <w:r>
              <w:rPr>
                <w:color w:val="auto"/>
                <w:highlight w:val="none"/>
              </w:rPr>
              <w:t>排</w:t>
            </w:r>
          </w:p>
          <w:p>
            <w:pPr>
              <w:pageBreakBefore w:val="0"/>
              <w:kinsoku/>
              <w:wordWrap/>
              <w:overflowPunct/>
              <w:topLinePunct w:val="0"/>
              <w:autoSpaceDE/>
              <w:autoSpaceDN/>
              <w:bidi w:val="0"/>
              <w:spacing w:line="360" w:lineRule="auto"/>
              <w:ind w:left="0" w:leftChars="0" w:firstLine="0" w:firstLineChars="0"/>
              <w:textAlignment w:val="auto"/>
              <w:rPr>
                <w:color w:val="auto"/>
                <w:highlight w:val="none"/>
              </w:rPr>
            </w:pPr>
            <w:r>
              <w:rPr>
                <w:color w:val="auto"/>
                <w:highlight w:val="none"/>
              </w:rPr>
              <w:t>放</w:t>
            </w:r>
            <w:r>
              <w:rPr>
                <w:rFonts w:hint="eastAsia"/>
                <w:color w:val="auto"/>
                <w:highlight w:val="none"/>
                <w:lang w:val="en-US" w:eastAsia="zh-CN"/>
              </w:rPr>
              <w:t xml:space="preserve">  </w:t>
            </w:r>
            <w:r>
              <w:rPr>
                <w:color w:val="auto"/>
                <w:highlight w:val="none"/>
              </w:rPr>
              <w:t>控</w:t>
            </w:r>
          </w:p>
          <w:p>
            <w:pPr>
              <w:pageBreakBefore w:val="0"/>
              <w:kinsoku/>
              <w:wordWrap/>
              <w:overflowPunct/>
              <w:topLinePunct w:val="0"/>
              <w:autoSpaceDE/>
              <w:autoSpaceDN/>
              <w:bidi w:val="0"/>
              <w:spacing w:line="360" w:lineRule="auto"/>
              <w:ind w:left="0" w:leftChars="0" w:firstLine="0" w:firstLineChars="0"/>
              <w:textAlignment w:val="auto"/>
              <w:rPr>
                <w:color w:val="auto"/>
                <w:highlight w:val="none"/>
              </w:rPr>
            </w:pPr>
            <w:r>
              <w:rPr>
                <w:color w:val="auto"/>
                <w:highlight w:val="none"/>
              </w:rPr>
              <w:t>制</w:t>
            </w:r>
            <w:r>
              <w:rPr>
                <w:rFonts w:hint="eastAsia"/>
                <w:color w:val="auto"/>
                <w:highlight w:val="none"/>
                <w:lang w:val="en-US" w:eastAsia="zh-CN"/>
              </w:rPr>
              <w:t xml:space="preserve">  </w:t>
            </w:r>
            <w:r>
              <w:rPr>
                <w:color w:val="auto"/>
                <w:highlight w:val="none"/>
              </w:rPr>
              <w:t>标</w:t>
            </w:r>
          </w:p>
          <w:p>
            <w:pPr>
              <w:pageBreakBefore w:val="0"/>
              <w:kinsoku/>
              <w:wordWrap/>
              <w:overflowPunct/>
              <w:topLinePunct w:val="0"/>
              <w:autoSpaceDE/>
              <w:autoSpaceDN/>
              <w:bidi w:val="0"/>
              <w:spacing w:line="360" w:lineRule="auto"/>
              <w:ind w:left="0" w:leftChars="0" w:firstLine="0" w:firstLineChars="0"/>
              <w:textAlignment w:val="auto"/>
              <w:rPr>
                <w:color w:val="auto"/>
                <w:kern w:val="0"/>
                <w:szCs w:val="21"/>
                <w:highlight w:val="none"/>
              </w:rPr>
            </w:pPr>
            <w:r>
              <w:rPr>
                <w:color w:val="auto"/>
                <w:highlight w:val="none"/>
              </w:rPr>
              <w:t>准</w:t>
            </w:r>
          </w:p>
        </w:tc>
        <w:tc>
          <w:tcPr>
            <w:tcW w:w="8190" w:type="dxa"/>
            <w:vAlign w:val="center"/>
          </w:tcPr>
          <w:p>
            <w:pPr>
              <w:pStyle w:val="3"/>
              <w:keepNext/>
              <w:keepLines/>
              <w:pageBreakBefore w:val="0"/>
              <w:widowControl w:val="0"/>
              <w:kinsoku/>
              <w:wordWrap/>
              <w:overflowPunct/>
              <w:topLinePunct w:val="0"/>
              <w:autoSpaceDE/>
              <w:autoSpaceDN/>
              <w:bidi w:val="0"/>
              <w:adjustRightInd/>
              <w:snapToGrid/>
              <w:spacing w:before="0" w:after="0" w:line="5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r>
              <w:rPr>
                <w:rFonts w:hint="eastAsia" w:ascii="宋体" w:hAnsi="宋体" w:cs="宋体"/>
                <w:color w:val="auto"/>
                <w:highlight w:val="none"/>
                <w:lang w:val="en-US" w:eastAsia="zh-CN"/>
              </w:rPr>
              <w:t>8</w:t>
            </w:r>
            <w:r>
              <w:rPr>
                <w:rFonts w:hint="eastAsia" w:ascii="宋体" w:hAnsi="宋体" w:eastAsia="宋体" w:cs="宋体"/>
                <w:color w:val="auto"/>
                <w:highlight w:val="none"/>
                <w:lang w:val="en-US" w:eastAsia="zh-CN"/>
              </w:rPr>
              <w:t xml:space="preserve"> 污染物排放控制标准</w:t>
            </w:r>
          </w:p>
          <w:p>
            <w:pPr>
              <w:pStyle w:val="3"/>
              <w:keepNext/>
              <w:keepLines/>
              <w:pageBreakBefore w:val="0"/>
              <w:widowControl w:val="0"/>
              <w:kinsoku/>
              <w:wordWrap/>
              <w:overflowPunct/>
              <w:topLinePunct w:val="0"/>
              <w:autoSpaceDE/>
              <w:autoSpaceDN/>
              <w:bidi w:val="0"/>
              <w:adjustRightInd/>
              <w:snapToGrid/>
              <w:spacing w:before="0" w:after="0" w:line="5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.1大气污染物排放标准</w:t>
            </w:r>
          </w:p>
          <w:p>
            <w:pPr>
              <w:pStyle w:val="27"/>
              <w:keepNext w:val="0"/>
              <w:keepLines w:val="0"/>
              <w:pageBreakBefore w:val="0"/>
              <w:widowControl w:val="0"/>
              <w:kinsoku/>
              <w:wordWrap/>
              <w:overflowPunct/>
              <w:topLinePunct w:val="0"/>
              <w:autoSpaceDE/>
              <w:autoSpaceDN/>
              <w:bidi w:val="0"/>
              <w:spacing w:line="500" w:lineRule="exact"/>
              <w:ind w:left="0" w:lef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(1)施工期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color w:val="auto"/>
                <w:highlight w:val="none"/>
                <w:lang w:val="en-US" w:eastAsia="zh-CN"/>
              </w:rPr>
            </w:pPr>
            <w:r>
              <w:rPr>
                <w:rFonts w:hint="eastAsia"/>
                <w:color w:val="auto"/>
                <w:sz w:val="24"/>
                <w:szCs w:val="24"/>
                <w:highlight w:val="none"/>
                <w:lang w:val="en-US" w:eastAsia="zh-CN"/>
              </w:rPr>
              <w:t>拟建项目施工期产生的扬尘和燃油机械产生的废气执行重庆市地方标准《大气污染物综合排放标准》（DB50/418-2016），见下表3.4。</w:t>
            </w:r>
          </w:p>
          <w:p>
            <w:pPr>
              <w:pStyle w:val="137"/>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表3.4  大气污染物排放限值</w:t>
            </w:r>
          </w:p>
          <w:tbl>
            <w:tblPr>
              <w:tblStyle w:val="29"/>
              <w:tblW w:w="80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6"/>
              <w:gridCol w:w="2667"/>
              <w:gridCol w:w="2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2666" w:type="dxa"/>
                  <w:noWrap w:val="0"/>
                  <w:vAlign w:val="center"/>
                </w:tcPr>
                <w:p>
                  <w:pPr>
                    <w:pageBreakBefore w:val="0"/>
                    <w:kinsoku/>
                    <w:wordWrap/>
                    <w:overflowPunct/>
                    <w:topLinePunct w:val="0"/>
                    <w:autoSpaceDE/>
                    <w:autoSpaceDN/>
                    <w:bidi w:val="0"/>
                    <w:spacing w:line="360" w:lineRule="auto"/>
                    <w:ind w:left="-902" w:leftChars="-376" w:firstLine="854" w:firstLineChars="407"/>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2667" w:type="dxa"/>
                  <w:noWrap w:val="0"/>
                  <w:vAlign w:val="center"/>
                </w:tcPr>
                <w:p>
                  <w:pPr>
                    <w:pageBreakBefore w:val="0"/>
                    <w:kinsoku/>
                    <w:wordWrap/>
                    <w:overflowPunct/>
                    <w:topLinePunct w:val="0"/>
                    <w:autoSpaceDE/>
                    <w:autoSpaceDN/>
                    <w:bidi w:val="0"/>
                    <w:spacing w:line="360" w:lineRule="auto"/>
                    <w:ind w:left="-902" w:leftChars="-376" w:firstLine="854" w:firstLineChars="407"/>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污染物</w:t>
                  </w:r>
                </w:p>
              </w:tc>
              <w:tc>
                <w:tcPr>
                  <w:tcW w:w="2667" w:type="dxa"/>
                  <w:noWrap w:val="0"/>
                  <w:vAlign w:val="center"/>
                </w:tcPr>
                <w:p>
                  <w:pPr>
                    <w:pageBreakBefore w:val="0"/>
                    <w:kinsoku/>
                    <w:wordWrap/>
                    <w:overflowPunct/>
                    <w:topLinePunct w:val="0"/>
                    <w:autoSpaceDE/>
                    <w:autoSpaceDN/>
                    <w:bidi w:val="0"/>
                    <w:spacing w:line="360" w:lineRule="auto"/>
                    <w:ind w:left="-902" w:leftChars="-376" w:firstLine="854" w:firstLineChars="407"/>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无组织排放限值（mg/m</w:t>
                  </w:r>
                  <w:r>
                    <w:rPr>
                      <w:rFonts w:hint="eastAsia" w:ascii="宋体" w:hAnsi="宋体" w:eastAsia="宋体" w:cs="宋体"/>
                      <w:color w:val="auto"/>
                      <w:sz w:val="21"/>
                      <w:szCs w:val="21"/>
                      <w:highlight w:val="none"/>
                      <w:vertAlign w:val="superscript"/>
                      <w:lang w:val="en-US" w:eastAsia="zh-CN"/>
                    </w:rPr>
                    <w:t>3</w:t>
                  </w:r>
                  <w:r>
                    <w:rPr>
                      <w:rFonts w:hint="eastAsia" w:ascii="宋体" w:hAnsi="宋体" w:eastAsia="宋体" w:cs="宋体"/>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2666" w:type="dxa"/>
                  <w:noWrap w:val="0"/>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667" w:type="dxa"/>
                  <w:noWrap w:val="0"/>
                  <w:vAlign w:val="center"/>
                </w:tcPr>
                <w:p>
                  <w:pPr>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二氧化硫</w:t>
                  </w:r>
                </w:p>
              </w:tc>
              <w:tc>
                <w:tcPr>
                  <w:tcW w:w="2667" w:type="dxa"/>
                  <w:noWrap w:val="0"/>
                  <w:vAlign w:val="center"/>
                </w:tcPr>
                <w:p>
                  <w:pPr>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2666" w:type="dxa"/>
                  <w:noWrap w:val="0"/>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667" w:type="dxa"/>
                  <w:noWrap w:val="0"/>
                  <w:vAlign w:val="center"/>
                </w:tcPr>
                <w:p>
                  <w:pPr>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氮氧化物</w:t>
                  </w:r>
                </w:p>
              </w:tc>
              <w:tc>
                <w:tcPr>
                  <w:tcW w:w="2667" w:type="dxa"/>
                  <w:noWrap w:val="0"/>
                  <w:vAlign w:val="center"/>
                </w:tcPr>
                <w:p>
                  <w:pPr>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2666" w:type="dxa"/>
                  <w:noWrap w:val="0"/>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2667" w:type="dxa"/>
                  <w:noWrap w:val="0"/>
                  <w:vAlign w:val="center"/>
                </w:tcPr>
                <w:p>
                  <w:pPr>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颗粒物</w:t>
                  </w:r>
                </w:p>
              </w:tc>
              <w:tc>
                <w:tcPr>
                  <w:tcW w:w="2667" w:type="dxa"/>
                  <w:noWrap w:val="0"/>
                  <w:vAlign w:val="center"/>
                </w:tcPr>
                <w:p>
                  <w:pPr>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r>
          </w:tbl>
          <w:p>
            <w:pPr>
              <w:pStyle w:val="27"/>
              <w:keepNext w:val="0"/>
              <w:keepLines w:val="0"/>
              <w:pageBreakBefore w:val="0"/>
              <w:kinsoku/>
              <w:wordWrap/>
              <w:overflowPunct/>
              <w:topLinePunct w:val="0"/>
              <w:autoSpaceDE/>
              <w:autoSpaceDN/>
              <w:bidi w:val="0"/>
              <w:adjustRightInd/>
              <w:snapToGrid/>
              <w:spacing w:line="500" w:lineRule="exact"/>
              <w:ind w:left="0" w:lef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(2)服务期</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① 污水处理站臭气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拟建项目配套建设的污水处理站运行时排放的臭气应进行除臭除味处理，废气有组织排放执行《恶臭污染物排放标准》（</w:t>
            </w:r>
            <w:r>
              <w:rPr>
                <w:rFonts w:hint="default" w:ascii="Times New Roman" w:hAnsi="Times New Roman" w:eastAsia="宋体" w:cs="Times New Roman"/>
                <w:color w:val="auto"/>
                <w:kern w:val="0"/>
                <w:sz w:val="24"/>
                <w:szCs w:val="24"/>
                <w:highlight w:val="none"/>
                <w:lang w:val="en-US" w:eastAsia="zh-CN" w:bidi="ar"/>
              </w:rPr>
              <w:t>GB14554-1993</w:t>
            </w:r>
            <w:r>
              <w:rPr>
                <w:rFonts w:hint="eastAsia" w:ascii="宋体" w:hAnsi="宋体" w:eastAsia="宋体" w:cs="宋体"/>
                <w:color w:val="auto"/>
                <w:kern w:val="0"/>
                <w:sz w:val="24"/>
                <w:szCs w:val="24"/>
                <w:highlight w:val="none"/>
                <w:lang w:val="en-US" w:eastAsia="zh-CN" w:bidi="ar"/>
              </w:rPr>
              <w:t>）表</w:t>
            </w: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中标准要求，废气无组织排放执行《 医疗机构水污染物排放标准（</w:t>
            </w:r>
            <w:r>
              <w:rPr>
                <w:rFonts w:hint="default" w:ascii="Times New Roman" w:hAnsi="Times New Roman" w:eastAsia="宋体" w:cs="Times New Roman"/>
                <w:color w:val="auto"/>
                <w:kern w:val="0"/>
                <w:sz w:val="24"/>
                <w:szCs w:val="24"/>
                <w:highlight w:val="none"/>
                <w:lang w:val="en-US" w:eastAsia="zh-CN" w:bidi="ar"/>
              </w:rPr>
              <w:t>GB18466-2005</w:t>
            </w:r>
            <w:r>
              <w:rPr>
                <w:rFonts w:hint="eastAsia" w:ascii="宋体" w:hAnsi="宋体" w:eastAsia="宋体" w:cs="宋体"/>
                <w:color w:val="auto"/>
                <w:kern w:val="0"/>
                <w:sz w:val="24"/>
                <w:szCs w:val="24"/>
                <w:highlight w:val="none"/>
                <w:lang w:val="en-US" w:eastAsia="zh-CN" w:bidi="ar"/>
              </w:rPr>
              <w:t>）表</w:t>
            </w: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中标准要求，具体排放要求见下表</w:t>
            </w:r>
            <w:r>
              <w:rPr>
                <w:rFonts w:hint="default" w:ascii="Times New Roman" w:hAnsi="Times New Roman" w:eastAsia="宋体" w:cs="Times New Roman"/>
                <w:color w:val="auto"/>
                <w:kern w:val="0"/>
                <w:sz w:val="24"/>
                <w:szCs w:val="24"/>
                <w:highlight w:val="none"/>
                <w:lang w:val="en-US" w:eastAsia="zh-CN" w:bidi="ar"/>
              </w:rPr>
              <w:t>3</w:t>
            </w:r>
            <w:r>
              <w:rPr>
                <w:rFonts w:hint="eastAsia" w:ascii="Times New Roman" w:hAnsi="Times New Roman" w:eastAsia="宋体" w:cs="Times New Roman"/>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val="en-US" w:eastAsia="zh-CN" w:bidi="ar"/>
              </w:rPr>
              <w:t xml:space="preserve">、表 </w:t>
            </w:r>
            <w:r>
              <w:rPr>
                <w:rFonts w:hint="default" w:ascii="Times New Roman" w:hAnsi="Times New Roman" w:eastAsia="宋体" w:cs="Times New Roman"/>
                <w:color w:val="auto"/>
                <w:kern w:val="0"/>
                <w:sz w:val="24"/>
                <w:szCs w:val="24"/>
                <w:highlight w:val="none"/>
                <w:lang w:val="en-US" w:eastAsia="zh-CN" w:bidi="ar"/>
              </w:rPr>
              <w:t>3</w:t>
            </w:r>
            <w:r>
              <w:rPr>
                <w:rFonts w:hint="eastAsia" w:ascii="Times New Roman" w:hAnsi="Times New Roman" w:eastAsia="宋体" w:cs="Times New Roman"/>
                <w:color w:val="auto"/>
                <w:kern w:val="0"/>
                <w:sz w:val="24"/>
                <w:szCs w:val="24"/>
                <w:highlight w:val="none"/>
                <w:lang w:val="en-US" w:eastAsia="zh-CN" w:bidi="ar"/>
              </w:rPr>
              <w:t>.6。</w:t>
            </w:r>
          </w:p>
          <w:p>
            <w:pPr>
              <w:pStyle w:val="137"/>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表3.5  恶臭污染物排放标准</w:t>
            </w:r>
          </w:p>
          <w:tbl>
            <w:tblPr>
              <w:tblStyle w:val="29"/>
              <w:tblW w:w="73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2898"/>
              <w:gridCol w:w="3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983" w:type="dxa"/>
                  <w:noWrap w:val="0"/>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序号</w:t>
                  </w:r>
                </w:p>
              </w:tc>
              <w:tc>
                <w:tcPr>
                  <w:tcW w:w="2898" w:type="dxa"/>
                  <w:noWrap w:val="0"/>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控制项目</w:t>
                  </w:r>
                </w:p>
              </w:tc>
              <w:tc>
                <w:tcPr>
                  <w:tcW w:w="3489" w:type="dxa"/>
                  <w:noWrap w:val="0"/>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排放限值（排气筒高度15m）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983" w:type="dxa"/>
                  <w:noWrap w:val="0"/>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2898" w:type="dxa"/>
                  <w:noWrap w:val="0"/>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氨</w:t>
                  </w:r>
                </w:p>
              </w:tc>
              <w:tc>
                <w:tcPr>
                  <w:tcW w:w="3489" w:type="dxa"/>
                  <w:noWrap w:val="0"/>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4.9（kg/h）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983" w:type="dxa"/>
                  <w:noWrap w:val="0"/>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2898" w:type="dxa"/>
                  <w:noWrap w:val="0"/>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硫化氢</w:t>
                  </w:r>
                </w:p>
              </w:tc>
              <w:tc>
                <w:tcPr>
                  <w:tcW w:w="3489" w:type="dxa"/>
                  <w:noWrap w:val="0"/>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0.33（kg/h）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983" w:type="dxa"/>
                  <w:noWrap w:val="0"/>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2898" w:type="dxa"/>
                  <w:noWrap w:val="0"/>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臭气浓度</w:t>
                  </w:r>
                </w:p>
              </w:tc>
              <w:tc>
                <w:tcPr>
                  <w:tcW w:w="3489" w:type="dxa"/>
                  <w:noWrap w:val="0"/>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2000（无量纲）</w:t>
                  </w:r>
                </w:p>
              </w:tc>
            </w:tr>
          </w:tbl>
          <w:p>
            <w:pPr>
              <w:pStyle w:val="137"/>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表3.6  医疗机构污水处理站周边大气污染物最高允许浓度</w:t>
            </w:r>
          </w:p>
          <w:tbl>
            <w:tblPr>
              <w:tblStyle w:val="29"/>
              <w:tblW w:w="7370" w:type="dxa"/>
              <w:jc w:val="center"/>
              <w:tblInd w:w="0" w:type="dxa"/>
              <w:tblLayout w:type="fixed"/>
              <w:tblCellMar>
                <w:top w:w="0" w:type="dxa"/>
                <w:left w:w="108" w:type="dxa"/>
                <w:bottom w:w="0" w:type="dxa"/>
                <w:right w:w="108" w:type="dxa"/>
              </w:tblCellMar>
            </w:tblPr>
            <w:tblGrid>
              <w:gridCol w:w="983"/>
              <w:gridCol w:w="4355"/>
              <w:gridCol w:w="2032"/>
            </w:tblGrid>
            <w:tr>
              <w:tblPrEx>
                <w:tblLayout w:type="fixed"/>
                <w:tblCellMar>
                  <w:top w:w="0" w:type="dxa"/>
                  <w:left w:w="108" w:type="dxa"/>
                  <w:bottom w:w="0" w:type="dxa"/>
                  <w:right w:w="108" w:type="dxa"/>
                </w:tblCellMar>
              </w:tblPrEx>
              <w:trPr>
                <w:trHeight w:val="283" w:hRule="exact"/>
                <w:jc w:val="center"/>
              </w:trPr>
              <w:tc>
                <w:tcPr>
                  <w:tcW w:w="983"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eastAsia"/>
                      <w:color w:val="auto"/>
                      <w:sz w:val="21"/>
                      <w:szCs w:val="21"/>
                      <w:highlight w:val="none"/>
                    </w:rPr>
                  </w:pPr>
                  <w:r>
                    <w:rPr>
                      <w:rFonts w:hint="eastAsia"/>
                      <w:color w:val="auto"/>
                      <w:sz w:val="21"/>
                      <w:szCs w:val="21"/>
                      <w:highlight w:val="none"/>
                    </w:rPr>
                    <w:t>序号</w:t>
                  </w:r>
                </w:p>
              </w:tc>
              <w:tc>
                <w:tcPr>
                  <w:tcW w:w="4355" w:type="dxa"/>
                  <w:tcBorders>
                    <w:top w:val="single" w:color="auto" w:sz="4" w:space="0"/>
                    <w:left w:val="nil"/>
                    <w:bottom w:val="single" w:color="auto" w:sz="4" w:space="0"/>
                    <w:right w:val="single" w:color="auto" w:sz="4" w:space="0"/>
                  </w:tcBorders>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eastAsia"/>
                      <w:color w:val="auto"/>
                      <w:sz w:val="21"/>
                      <w:szCs w:val="21"/>
                      <w:highlight w:val="none"/>
                    </w:rPr>
                  </w:pPr>
                  <w:r>
                    <w:rPr>
                      <w:rFonts w:hint="eastAsia"/>
                      <w:color w:val="auto"/>
                      <w:sz w:val="21"/>
                      <w:szCs w:val="21"/>
                      <w:highlight w:val="none"/>
                    </w:rPr>
                    <w:t>控制项目</w:t>
                  </w:r>
                </w:p>
              </w:tc>
              <w:tc>
                <w:tcPr>
                  <w:tcW w:w="2032" w:type="dxa"/>
                  <w:tcBorders>
                    <w:top w:val="single" w:color="auto" w:sz="4" w:space="0"/>
                    <w:left w:val="nil"/>
                    <w:bottom w:val="single" w:color="auto" w:sz="4" w:space="0"/>
                    <w:right w:val="single" w:color="auto" w:sz="4" w:space="0"/>
                  </w:tcBorders>
                  <w:vAlign w:val="center"/>
                </w:tcPr>
                <w:p>
                  <w:pPr>
                    <w:pStyle w:val="22"/>
                    <w:pageBreakBefore w:val="0"/>
                    <w:kinsoku/>
                    <w:wordWrap/>
                    <w:overflowPunct/>
                    <w:topLinePunct w:val="0"/>
                    <w:autoSpaceDE/>
                    <w:autoSpaceDN/>
                    <w:bidi w:val="0"/>
                    <w:spacing w:line="360" w:lineRule="auto"/>
                    <w:ind w:left="0" w:leftChars="0" w:firstLine="0" w:firstLineChars="0"/>
                    <w:jc w:val="center"/>
                    <w:textAlignment w:val="auto"/>
                    <w:rPr>
                      <w:rFonts w:hint="eastAsia"/>
                      <w:color w:val="auto"/>
                      <w:sz w:val="21"/>
                      <w:szCs w:val="21"/>
                      <w:highlight w:val="none"/>
                    </w:rPr>
                  </w:pPr>
                  <w:r>
                    <w:rPr>
                      <w:rFonts w:hint="eastAsia"/>
                      <w:color w:val="auto"/>
                      <w:sz w:val="21"/>
                      <w:szCs w:val="21"/>
                      <w:highlight w:val="none"/>
                    </w:rPr>
                    <w:t>标准值</w:t>
                  </w:r>
                </w:p>
              </w:tc>
            </w:tr>
            <w:tr>
              <w:tblPrEx>
                <w:tblLayout w:type="fixed"/>
                <w:tblCellMar>
                  <w:top w:w="0" w:type="dxa"/>
                  <w:left w:w="108" w:type="dxa"/>
                  <w:bottom w:w="0" w:type="dxa"/>
                  <w:right w:w="108" w:type="dxa"/>
                </w:tblCellMar>
              </w:tblPrEx>
              <w:trPr>
                <w:trHeight w:val="283" w:hRule="exact"/>
                <w:jc w:val="center"/>
              </w:trPr>
              <w:tc>
                <w:tcPr>
                  <w:tcW w:w="983"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eastAsia"/>
                      <w:color w:val="auto"/>
                      <w:sz w:val="21"/>
                      <w:szCs w:val="21"/>
                      <w:highlight w:val="none"/>
                    </w:rPr>
                  </w:pPr>
                  <w:r>
                    <w:rPr>
                      <w:rFonts w:hint="eastAsia"/>
                      <w:color w:val="auto"/>
                      <w:sz w:val="21"/>
                      <w:szCs w:val="21"/>
                      <w:highlight w:val="none"/>
                    </w:rPr>
                    <w:t>1</w:t>
                  </w:r>
                </w:p>
              </w:tc>
              <w:tc>
                <w:tcPr>
                  <w:tcW w:w="4355" w:type="dxa"/>
                  <w:tcBorders>
                    <w:top w:val="single" w:color="auto" w:sz="4" w:space="0"/>
                    <w:left w:val="nil"/>
                    <w:bottom w:val="single" w:color="auto" w:sz="4" w:space="0"/>
                    <w:right w:val="single" w:color="auto" w:sz="4" w:space="0"/>
                  </w:tcBorders>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eastAsia"/>
                      <w:color w:val="auto"/>
                      <w:sz w:val="21"/>
                      <w:szCs w:val="21"/>
                      <w:highlight w:val="none"/>
                    </w:rPr>
                  </w:pPr>
                  <w:r>
                    <w:rPr>
                      <w:rFonts w:hint="eastAsia"/>
                      <w:color w:val="auto"/>
                      <w:sz w:val="21"/>
                      <w:szCs w:val="21"/>
                      <w:highlight w:val="none"/>
                    </w:rPr>
                    <w:t>氨（mg/m</w:t>
                  </w:r>
                  <w:r>
                    <w:rPr>
                      <w:rFonts w:hint="eastAsia"/>
                      <w:color w:val="auto"/>
                      <w:sz w:val="21"/>
                      <w:szCs w:val="21"/>
                      <w:highlight w:val="none"/>
                      <w:vertAlign w:val="superscript"/>
                    </w:rPr>
                    <w:t>3</w:t>
                  </w:r>
                  <w:r>
                    <w:rPr>
                      <w:rFonts w:hint="eastAsia"/>
                      <w:color w:val="auto"/>
                      <w:sz w:val="21"/>
                      <w:szCs w:val="21"/>
                      <w:highlight w:val="none"/>
                    </w:rPr>
                    <w:t>）</w:t>
                  </w:r>
                </w:p>
              </w:tc>
              <w:tc>
                <w:tcPr>
                  <w:tcW w:w="2032" w:type="dxa"/>
                  <w:tcBorders>
                    <w:top w:val="single" w:color="auto" w:sz="4" w:space="0"/>
                    <w:left w:val="nil"/>
                    <w:bottom w:val="single" w:color="auto" w:sz="4" w:space="0"/>
                    <w:right w:val="single" w:color="auto" w:sz="4" w:space="0"/>
                  </w:tcBorders>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eastAsia"/>
                      <w:color w:val="auto"/>
                      <w:sz w:val="21"/>
                      <w:szCs w:val="21"/>
                      <w:highlight w:val="none"/>
                    </w:rPr>
                  </w:pPr>
                  <w:r>
                    <w:rPr>
                      <w:rFonts w:hint="eastAsia"/>
                      <w:color w:val="auto"/>
                      <w:sz w:val="21"/>
                      <w:szCs w:val="21"/>
                      <w:highlight w:val="none"/>
                    </w:rPr>
                    <w:t>1.0</w:t>
                  </w:r>
                </w:p>
              </w:tc>
            </w:tr>
            <w:tr>
              <w:tblPrEx>
                <w:tblLayout w:type="fixed"/>
                <w:tblCellMar>
                  <w:top w:w="0" w:type="dxa"/>
                  <w:left w:w="108" w:type="dxa"/>
                  <w:bottom w:w="0" w:type="dxa"/>
                  <w:right w:w="108" w:type="dxa"/>
                </w:tblCellMar>
              </w:tblPrEx>
              <w:trPr>
                <w:trHeight w:val="283" w:hRule="exact"/>
                <w:jc w:val="center"/>
              </w:trPr>
              <w:tc>
                <w:tcPr>
                  <w:tcW w:w="983"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eastAsia"/>
                      <w:color w:val="auto"/>
                      <w:sz w:val="21"/>
                      <w:szCs w:val="21"/>
                      <w:highlight w:val="none"/>
                    </w:rPr>
                  </w:pPr>
                  <w:r>
                    <w:rPr>
                      <w:rFonts w:hint="eastAsia"/>
                      <w:color w:val="auto"/>
                      <w:sz w:val="21"/>
                      <w:szCs w:val="21"/>
                      <w:highlight w:val="none"/>
                    </w:rPr>
                    <w:t>2</w:t>
                  </w:r>
                </w:p>
              </w:tc>
              <w:tc>
                <w:tcPr>
                  <w:tcW w:w="4355" w:type="dxa"/>
                  <w:tcBorders>
                    <w:top w:val="single" w:color="auto" w:sz="4" w:space="0"/>
                    <w:left w:val="nil"/>
                    <w:bottom w:val="single" w:color="auto" w:sz="4" w:space="0"/>
                    <w:right w:val="single" w:color="auto" w:sz="4" w:space="0"/>
                  </w:tcBorders>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eastAsia"/>
                      <w:color w:val="auto"/>
                      <w:sz w:val="21"/>
                      <w:szCs w:val="21"/>
                      <w:highlight w:val="none"/>
                    </w:rPr>
                  </w:pPr>
                  <w:r>
                    <w:rPr>
                      <w:rFonts w:hint="eastAsia"/>
                      <w:color w:val="auto"/>
                      <w:sz w:val="21"/>
                      <w:szCs w:val="21"/>
                      <w:highlight w:val="none"/>
                    </w:rPr>
                    <w:t>硫化氢（mg/m</w:t>
                  </w:r>
                  <w:r>
                    <w:rPr>
                      <w:rFonts w:hint="eastAsia"/>
                      <w:color w:val="auto"/>
                      <w:sz w:val="21"/>
                      <w:szCs w:val="21"/>
                      <w:highlight w:val="none"/>
                      <w:vertAlign w:val="superscript"/>
                    </w:rPr>
                    <w:t>3</w:t>
                  </w:r>
                  <w:r>
                    <w:rPr>
                      <w:rFonts w:hint="eastAsia"/>
                      <w:color w:val="auto"/>
                      <w:sz w:val="21"/>
                      <w:szCs w:val="21"/>
                      <w:highlight w:val="none"/>
                    </w:rPr>
                    <w:t>）</w:t>
                  </w:r>
                </w:p>
              </w:tc>
              <w:tc>
                <w:tcPr>
                  <w:tcW w:w="2032" w:type="dxa"/>
                  <w:tcBorders>
                    <w:top w:val="single" w:color="auto" w:sz="4" w:space="0"/>
                    <w:left w:val="nil"/>
                    <w:bottom w:val="single" w:color="auto" w:sz="4" w:space="0"/>
                    <w:right w:val="single" w:color="auto" w:sz="4" w:space="0"/>
                  </w:tcBorders>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eastAsia"/>
                      <w:color w:val="auto"/>
                      <w:sz w:val="21"/>
                      <w:szCs w:val="21"/>
                      <w:highlight w:val="none"/>
                    </w:rPr>
                  </w:pPr>
                  <w:r>
                    <w:rPr>
                      <w:rFonts w:hint="eastAsia"/>
                      <w:color w:val="auto"/>
                      <w:sz w:val="21"/>
                      <w:szCs w:val="21"/>
                      <w:highlight w:val="none"/>
                    </w:rPr>
                    <w:t>0.03</w:t>
                  </w:r>
                </w:p>
              </w:tc>
            </w:tr>
            <w:tr>
              <w:tblPrEx>
                <w:tblLayout w:type="fixed"/>
                <w:tblCellMar>
                  <w:top w:w="0" w:type="dxa"/>
                  <w:left w:w="108" w:type="dxa"/>
                  <w:bottom w:w="0" w:type="dxa"/>
                  <w:right w:w="108" w:type="dxa"/>
                </w:tblCellMar>
              </w:tblPrEx>
              <w:trPr>
                <w:trHeight w:val="283" w:hRule="exact"/>
                <w:jc w:val="center"/>
              </w:trPr>
              <w:tc>
                <w:tcPr>
                  <w:tcW w:w="983"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eastAsia"/>
                      <w:color w:val="auto"/>
                      <w:sz w:val="21"/>
                      <w:szCs w:val="21"/>
                      <w:highlight w:val="none"/>
                    </w:rPr>
                  </w:pPr>
                  <w:r>
                    <w:rPr>
                      <w:rFonts w:hint="eastAsia"/>
                      <w:color w:val="auto"/>
                      <w:sz w:val="21"/>
                      <w:szCs w:val="21"/>
                      <w:highlight w:val="none"/>
                    </w:rPr>
                    <w:t>3</w:t>
                  </w:r>
                </w:p>
              </w:tc>
              <w:tc>
                <w:tcPr>
                  <w:tcW w:w="4355" w:type="dxa"/>
                  <w:tcBorders>
                    <w:top w:val="single" w:color="auto" w:sz="4" w:space="0"/>
                    <w:left w:val="nil"/>
                    <w:bottom w:val="single" w:color="auto" w:sz="4" w:space="0"/>
                    <w:right w:val="single" w:color="auto" w:sz="4" w:space="0"/>
                  </w:tcBorders>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eastAsia"/>
                      <w:color w:val="auto"/>
                      <w:sz w:val="21"/>
                      <w:szCs w:val="21"/>
                      <w:highlight w:val="none"/>
                    </w:rPr>
                  </w:pPr>
                  <w:r>
                    <w:rPr>
                      <w:rFonts w:hint="eastAsia"/>
                      <w:color w:val="auto"/>
                      <w:sz w:val="21"/>
                      <w:szCs w:val="21"/>
                      <w:highlight w:val="none"/>
                    </w:rPr>
                    <w:t>臭气浓度（无量纲）</w:t>
                  </w:r>
                </w:p>
              </w:tc>
              <w:tc>
                <w:tcPr>
                  <w:tcW w:w="2032" w:type="dxa"/>
                  <w:tcBorders>
                    <w:top w:val="single" w:color="auto" w:sz="4" w:space="0"/>
                    <w:left w:val="nil"/>
                    <w:bottom w:val="single" w:color="auto" w:sz="4" w:space="0"/>
                    <w:right w:val="single" w:color="auto" w:sz="4" w:space="0"/>
                  </w:tcBorders>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eastAsia"/>
                      <w:color w:val="auto"/>
                      <w:sz w:val="21"/>
                      <w:szCs w:val="21"/>
                      <w:highlight w:val="none"/>
                    </w:rPr>
                  </w:pPr>
                  <w:r>
                    <w:rPr>
                      <w:rFonts w:hint="eastAsia"/>
                      <w:color w:val="auto"/>
                      <w:sz w:val="21"/>
                      <w:szCs w:val="21"/>
                      <w:highlight w:val="none"/>
                    </w:rPr>
                    <w:t>10</w:t>
                  </w:r>
                </w:p>
              </w:tc>
            </w:tr>
            <w:tr>
              <w:tblPrEx>
                <w:tblLayout w:type="fixed"/>
                <w:tblCellMar>
                  <w:top w:w="0" w:type="dxa"/>
                  <w:left w:w="108" w:type="dxa"/>
                  <w:bottom w:w="0" w:type="dxa"/>
                  <w:right w:w="108" w:type="dxa"/>
                </w:tblCellMar>
              </w:tblPrEx>
              <w:trPr>
                <w:trHeight w:val="283" w:hRule="exact"/>
                <w:jc w:val="center"/>
              </w:trPr>
              <w:tc>
                <w:tcPr>
                  <w:tcW w:w="983"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eastAsia"/>
                      <w:color w:val="auto"/>
                      <w:sz w:val="21"/>
                      <w:szCs w:val="21"/>
                      <w:highlight w:val="none"/>
                    </w:rPr>
                  </w:pPr>
                  <w:r>
                    <w:rPr>
                      <w:rFonts w:hint="eastAsia"/>
                      <w:color w:val="auto"/>
                      <w:sz w:val="21"/>
                      <w:szCs w:val="21"/>
                      <w:highlight w:val="none"/>
                    </w:rPr>
                    <w:t>4</w:t>
                  </w:r>
                </w:p>
              </w:tc>
              <w:tc>
                <w:tcPr>
                  <w:tcW w:w="4355" w:type="dxa"/>
                  <w:tcBorders>
                    <w:top w:val="single" w:color="auto" w:sz="4" w:space="0"/>
                    <w:left w:val="nil"/>
                    <w:bottom w:val="single" w:color="auto" w:sz="4" w:space="0"/>
                    <w:right w:val="single" w:color="auto" w:sz="4" w:space="0"/>
                  </w:tcBorders>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eastAsia"/>
                      <w:color w:val="auto"/>
                      <w:sz w:val="21"/>
                      <w:szCs w:val="21"/>
                      <w:highlight w:val="none"/>
                    </w:rPr>
                  </w:pPr>
                  <w:r>
                    <w:rPr>
                      <w:rFonts w:hint="eastAsia"/>
                      <w:color w:val="auto"/>
                      <w:sz w:val="21"/>
                      <w:szCs w:val="21"/>
                      <w:highlight w:val="none"/>
                    </w:rPr>
                    <w:t>氯气（mg/m</w:t>
                  </w:r>
                  <w:r>
                    <w:rPr>
                      <w:rFonts w:hint="eastAsia"/>
                      <w:color w:val="auto"/>
                      <w:sz w:val="21"/>
                      <w:szCs w:val="21"/>
                      <w:highlight w:val="none"/>
                      <w:vertAlign w:val="superscript"/>
                    </w:rPr>
                    <w:t>3</w:t>
                  </w:r>
                  <w:r>
                    <w:rPr>
                      <w:rFonts w:hint="eastAsia"/>
                      <w:color w:val="auto"/>
                      <w:sz w:val="21"/>
                      <w:szCs w:val="21"/>
                      <w:highlight w:val="none"/>
                    </w:rPr>
                    <w:t>）</w:t>
                  </w:r>
                </w:p>
              </w:tc>
              <w:tc>
                <w:tcPr>
                  <w:tcW w:w="2032" w:type="dxa"/>
                  <w:tcBorders>
                    <w:top w:val="single" w:color="auto" w:sz="4" w:space="0"/>
                    <w:left w:val="nil"/>
                    <w:bottom w:val="single" w:color="auto" w:sz="4" w:space="0"/>
                    <w:right w:val="single" w:color="auto" w:sz="4" w:space="0"/>
                  </w:tcBorders>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eastAsia"/>
                      <w:color w:val="auto"/>
                      <w:sz w:val="21"/>
                      <w:szCs w:val="21"/>
                      <w:highlight w:val="none"/>
                    </w:rPr>
                  </w:pPr>
                  <w:r>
                    <w:rPr>
                      <w:rFonts w:hint="eastAsia"/>
                      <w:color w:val="auto"/>
                      <w:sz w:val="21"/>
                      <w:szCs w:val="21"/>
                      <w:highlight w:val="none"/>
                    </w:rPr>
                    <w:t>0.1</w:t>
                  </w:r>
                </w:p>
              </w:tc>
            </w:tr>
            <w:tr>
              <w:tblPrEx>
                <w:tblLayout w:type="fixed"/>
                <w:tblCellMar>
                  <w:top w:w="0" w:type="dxa"/>
                  <w:left w:w="108" w:type="dxa"/>
                  <w:bottom w:w="0" w:type="dxa"/>
                  <w:right w:w="108" w:type="dxa"/>
                </w:tblCellMar>
              </w:tblPrEx>
              <w:trPr>
                <w:trHeight w:val="283" w:hRule="exact"/>
                <w:jc w:val="center"/>
              </w:trPr>
              <w:tc>
                <w:tcPr>
                  <w:tcW w:w="983"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eastAsia"/>
                      <w:color w:val="auto"/>
                      <w:sz w:val="21"/>
                      <w:szCs w:val="21"/>
                      <w:highlight w:val="none"/>
                    </w:rPr>
                  </w:pPr>
                  <w:r>
                    <w:rPr>
                      <w:rFonts w:hint="eastAsia"/>
                      <w:color w:val="auto"/>
                      <w:sz w:val="21"/>
                      <w:szCs w:val="21"/>
                      <w:highlight w:val="none"/>
                    </w:rPr>
                    <w:t>5</w:t>
                  </w:r>
                </w:p>
              </w:tc>
              <w:tc>
                <w:tcPr>
                  <w:tcW w:w="4355" w:type="dxa"/>
                  <w:tcBorders>
                    <w:top w:val="single" w:color="auto" w:sz="4" w:space="0"/>
                    <w:left w:val="nil"/>
                    <w:bottom w:val="single" w:color="auto" w:sz="4" w:space="0"/>
                    <w:right w:val="single" w:color="auto" w:sz="4" w:space="0"/>
                  </w:tcBorders>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eastAsia"/>
                      <w:color w:val="auto"/>
                      <w:sz w:val="21"/>
                      <w:szCs w:val="21"/>
                      <w:highlight w:val="none"/>
                    </w:rPr>
                  </w:pPr>
                  <w:r>
                    <w:rPr>
                      <w:rFonts w:hint="eastAsia"/>
                      <w:color w:val="auto"/>
                      <w:sz w:val="21"/>
                      <w:szCs w:val="21"/>
                      <w:highlight w:val="none"/>
                    </w:rPr>
                    <w:t>甲烷（指处理站内最高体积百分数 %）</w:t>
                  </w:r>
                </w:p>
              </w:tc>
              <w:tc>
                <w:tcPr>
                  <w:tcW w:w="2032" w:type="dxa"/>
                  <w:tcBorders>
                    <w:top w:val="single" w:color="auto" w:sz="4" w:space="0"/>
                    <w:left w:val="nil"/>
                    <w:bottom w:val="single" w:color="auto" w:sz="4" w:space="0"/>
                    <w:right w:val="single" w:color="auto" w:sz="4" w:space="0"/>
                  </w:tcBorders>
                  <w:vAlign w:val="center"/>
                </w:tcPr>
                <w:p>
                  <w:pPr>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eastAsia"/>
                      <w:color w:val="auto"/>
                      <w:sz w:val="21"/>
                      <w:szCs w:val="21"/>
                      <w:highlight w:val="none"/>
                    </w:rPr>
                  </w:pPr>
                  <w:r>
                    <w:rPr>
                      <w:rFonts w:hint="eastAsia"/>
                      <w:color w:val="auto"/>
                      <w:sz w:val="21"/>
                      <w:szCs w:val="21"/>
                      <w:highlight w:val="none"/>
                    </w:rPr>
                    <w:t>1%</w:t>
                  </w:r>
                </w:p>
              </w:tc>
            </w:tr>
          </w:tbl>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.2 水污染物排放标准</w:t>
            </w:r>
          </w:p>
          <w:p>
            <w:pPr>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color w:val="auto"/>
                <w:highlight w:val="none"/>
                <w:lang w:eastAsia="zh-CN"/>
              </w:rPr>
              <w:t>拟建项目</w:t>
            </w:r>
            <w:r>
              <w:rPr>
                <w:rFonts w:hint="eastAsia"/>
                <w:color w:val="auto"/>
                <w:highlight w:val="none"/>
              </w:rPr>
              <w:t>产生的</w:t>
            </w:r>
            <w:r>
              <w:rPr>
                <w:rFonts w:hint="eastAsia"/>
                <w:color w:val="auto"/>
                <w:highlight w:val="none"/>
                <w:lang w:val="en-US" w:eastAsia="zh-CN"/>
              </w:rPr>
              <w:t>生活污水、医疗废水进入</w:t>
            </w:r>
            <w:r>
              <w:rPr>
                <w:rFonts w:hint="eastAsia"/>
                <w:color w:val="auto"/>
                <w:highlight w:val="none"/>
                <w:lang w:eastAsia="zh-CN"/>
              </w:rPr>
              <w:t>生化池</w:t>
            </w:r>
            <w:r>
              <w:rPr>
                <w:rFonts w:hint="eastAsia"/>
                <w:color w:val="auto"/>
                <w:highlight w:val="none"/>
                <w:lang w:val="en-US" w:eastAsia="zh-CN"/>
              </w:rPr>
              <w:t>后经废水处理设备（二级处理+消毒）达</w:t>
            </w:r>
            <w:r>
              <w:rPr>
                <w:rFonts w:hint="eastAsia"/>
                <w:color w:val="auto"/>
                <w:highlight w:val="none"/>
              </w:rPr>
              <w:t>《医疗机构水污染物排放标准》（GB18466-2005）表2预处理标准后排入市政污水管网，其中氨氮参照《污水排入城市下水道水质标准》（GB/T31962-2015），进入</w:t>
            </w:r>
            <w:r>
              <w:rPr>
                <w:rFonts w:hint="eastAsia"/>
                <w:color w:val="auto"/>
                <w:highlight w:val="none"/>
                <w:lang w:eastAsia="zh-CN"/>
              </w:rPr>
              <w:t>羊市镇污水处理厂</w:t>
            </w:r>
            <w:r>
              <w:rPr>
                <w:rFonts w:hint="eastAsia"/>
                <w:color w:val="auto"/>
                <w:highlight w:val="none"/>
              </w:rPr>
              <w:t>处理达到《城镇污水处理厂污染物排放标准》（GB18918-2002）一级</w:t>
            </w:r>
            <w:r>
              <w:rPr>
                <w:rFonts w:hint="eastAsia"/>
                <w:color w:val="auto"/>
                <w:highlight w:val="none"/>
                <w:lang w:val="en-US" w:eastAsia="zh-CN"/>
              </w:rPr>
              <w:t>B</w:t>
            </w:r>
            <w:r>
              <w:rPr>
                <w:rFonts w:hint="eastAsia"/>
                <w:color w:val="auto"/>
                <w:highlight w:val="none"/>
              </w:rPr>
              <w:t>标准后排入</w:t>
            </w:r>
            <w:r>
              <w:rPr>
                <w:rFonts w:hint="eastAsia"/>
                <w:color w:val="auto"/>
                <w:highlight w:val="none"/>
                <w:lang w:eastAsia="zh-CN"/>
              </w:rPr>
              <w:t>长滩河</w:t>
            </w:r>
            <w:r>
              <w:rPr>
                <w:color w:val="auto"/>
                <w:highlight w:val="none"/>
              </w:rPr>
              <w:t>。</w:t>
            </w:r>
          </w:p>
          <w:p>
            <w:pPr>
              <w:pageBreakBefore w:val="0"/>
              <w:kinsoku/>
              <w:wordWrap/>
              <w:overflowPunct/>
              <w:topLinePunct w:val="0"/>
              <w:autoSpaceDE/>
              <w:autoSpaceDN/>
              <w:bidi w:val="0"/>
              <w:spacing w:line="360" w:lineRule="auto"/>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表3</w:t>
            </w:r>
            <w:r>
              <w:rPr>
                <w:rFonts w:hint="eastAsia" w:ascii="宋体" w:hAnsi="宋体" w:eastAsia="宋体" w:cs="宋体"/>
                <w:b/>
                <w:bCs/>
                <w:color w:val="auto"/>
                <w:highlight w:val="none"/>
                <w:lang w:val="en-US" w:eastAsia="zh-CN"/>
              </w:rPr>
              <w:t>.</w:t>
            </w:r>
            <w:r>
              <w:rPr>
                <w:rFonts w:hint="eastAsia" w:ascii="宋体" w:hAnsi="宋体" w:cs="宋体"/>
                <w:b/>
                <w:bCs/>
                <w:color w:val="auto"/>
                <w:highlight w:val="none"/>
                <w:lang w:val="en-US" w:eastAsia="zh-CN"/>
              </w:rPr>
              <w:t>7</w:t>
            </w:r>
            <w:r>
              <w:rPr>
                <w:rFonts w:hint="eastAsia" w:ascii="宋体" w:hAnsi="宋体" w:eastAsia="宋体" w:cs="宋体"/>
                <w:b/>
                <w:bCs/>
                <w:color w:val="auto"/>
                <w:highlight w:val="none"/>
              </w:rPr>
              <w:t xml:space="preserve"> </w:t>
            </w:r>
            <w:r>
              <w:rPr>
                <w:rFonts w:hint="eastAsia" w:ascii="宋体" w:hAnsi="宋体" w:eastAsia="宋体" w:cs="宋体"/>
                <w:b/>
                <w:bCs/>
                <w:color w:val="auto"/>
                <w:highlight w:val="none"/>
                <w:lang w:val="en-US" w:eastAsia="zh-CN"/>
              </w:rPr>
              <w:t>《医疗机构水污染物排放标准》（GB18466-2005）</w:t>
            </w:r>
            <w:r>
              <w:rPr>
                <w:rFonts w:hint="eastAsia" w:ascii="宋体" w:hAnsi="宋体" w:eastAsia="宋体" w:cs="宋体"/>
                <w:b/>
                <w:bCs/>
                <w:color w:val="auto"/>
                <w:highlight w:val="none"/>
              </w:rPr>
              <w:t xml:space="preserve"> 单位：mg/L</w:t>
            </w:r>
          </w:p>
          <w:tbl>
            <w:tblPr>
              <w:tblStyle w:val="29"/>
              <w:tblW w:w="7370"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
            <w:tblGrid>
              <w:gridCol w:w="1565"/>
              <w:gridCol w:w="3713"/>
              <w:gridCol w:w="209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序号</w:t>
                  </w:r>
                </w:p>
              </w:tc>
              <w:tc>
                <w:tcPr>
                  <w:tcW w:w="3713"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控制项目</w:t>
                  </w:r>
                </w:p>
              </w:tc>
              <w:tc>
                <w:tcPr>
                  <w:tcW w:w="2092"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预处理标准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3713"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粪大肠菌群数（MPN/L）</w:t>
                  </w:r>
                </w:p>
              </w:tc>
              <w:tc>
                <w:tcPr>
                  <w:tcW w:w="2092"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5000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w:t>
                  </w:r>
                </w:p>
              </w:tc>
              <w:tc>
                <w:tcPr>
                  <w:tcW w:w="3713"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肠道致病菌</w:t>
                  </w:r>
                </w:p>
              </w:tc>
              <w:tc>
                <w:tcPr>
                  <w:tcW w:w="2092"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w:t>
                  </w:r>
                </w:p>
              </w:tc>
              <w:tc>
                <w:tcPr>
                  <w:tcW w:w="3713"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肠道病毒</w:t>
                  </w:r>
                </w:p>
              </w:tc>
              <w:tc>
                <w:tcPr>
                  <w:tcW w:w="2092"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w:t>
                  </w:r>
                </w:p>
              </w:tc>
              <w:tc>
                <w:tcPr>
                  <w:tcW w:w="3713"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pH</w:t>
                  </w:r>
                </w:p>
              </w:tc>
              <w:tc>
                <w:tcPr>
                  <w:tcW w:w="2092"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6~9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化学需氧量（</w:t>
                  </w:r>
                  <w:r>
                    <w:rPr>
                      <w:rFonts w:hint="default" w:ascii="Times New Roman" w:hAnsi="Times New Roman" w:eastAsia="宋体" w:cs="Times New Roman"/>
                      <w:color w:val="auto"/>
                      <w:sz w:val="21"/>
                      <w:szCs w:val="21"/>
                      <w:highlight w:val="none"/>
                      <w:lang w:val="en-US" w:eastAsia="zh-CN"/>
                    </w:rPr>
                    <w:t>COD</w:t>
                  </w:r>
                  <w:r>
                    <w:rPr>
                      <w:rFonts w:hint="eastAsia" w:ascii="Times New Roman" w:hAnsi="Times New Roman" w:eastAsia="宋体" w:cs="Times New Roman"/>
                      <w:color w:val="auto"/>
                      <w:sz w:val="21"/>
                      <w:szCs w:val="21"/>
                      <w:highlight w:val="none"/>
                      <w:lang w:val="en-US" w:eastAsia="zh-CN"/>
                    </w:rPr>
                    <w:t>）浓度（</w:t>
                  </w:r>
                  <w:r>
                    <w:rPr>
                      <w:rFonts w:hint="default" w:ascii="Times New Roman" w:hAnsi="Times New Roman" w:eastAsia="宋体" w:cs="Times New Roman"/>
                      <w:color w:val="auto"/>
                      <w:sz w:val="21"/>
                      <w:szCs w:val="21"/>
                      <w:highlight w:val="none"/>
                      <w:lang w:val="en-US" w:eastAsia="zh-CN"/>
                    </w:rPr>
                    <w:t>mg/L</w:t>
                  </w:r>
                  <w:r>
                    <w:rPr>
                      <w:rFonts w:hint="eastAsia" w:ascii="Times New Roman" w:hAnsi="Times New Roman" w:eastAsia="宋体" w:cs="Times New Roman"/>
                      <w:color w:val="auto"/>
                      <w:sz w:val="21"/>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最高允许排放负荷（</w:t>
                  </w:r>
                  <w:r>
                    <w:rPr>
                      <w:rFonts w:hint="default" w:ascii="Times New Roman" w:hAnsi="Times New Roman" w:eastAsia="宋体" w:cs="Times New Roman"/>
                      <w:color w:val="auto"/>
                      <w:sz w:val="21"/>
                      <w:szCs w:val="21"/>
                      <w:highlight w:val="none"/>
                      <w:lang w:val="en-US" w:eastAsia="zh-CN"/>
                    </w:rPr>
                    <w:t>g/</w:t>
                  </w:r>
                  <w:r>
                    <w:rPr>
                      <w:rFonts w:hint="eastAsia" w:ascii="Times New Roman" w:hAnsi="Times New Roman" w:eastAsia="宋体" w:cs="Times New Roman"/>
                      <w:color w:val="auto"/>
                      <w:sz w:val="21"/>
                      <w:szCs w:val="21"/>
                      <w:highlight w:val="none"/>
                      <w:lang w:val="en-US" w:eastAsia="zh-CN"/>
                    </w:rPr>
                    <w:t>床位）</w:t>
                  </w:r>
                </w:p>
              </w:tc>
              <w:tc>
                <w:tcPr>
                  <w:tcW w:w="20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250</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250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6</w:t>
                  </w:r>
                </w:p>
              </w:tc>
              <w:tc>
                <w:tcPr>
                  <w:tcW w:w="3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生化需氧量（B</w:t>
                  </w:r>
                  <w:r>
                    <w:rPr>
                      <w:rFonts w:hint="default" w:ascii="Times New Roman" w:hAnsi="Times New Roman" w:eastAsia="宋体" w:cs="Times New Roman"/>
                      <w:color w:val="auto"/>
                      <w:sz w:val="21"/>
                      <w:szCs w:val="21"/>
                      <w:highlight w:val="none"/>
                      <w:lang w:val="en-US" w:eastAsia="zh-CN"/>
                    </w:rPr>
                    <w:t>OD</w:t>
                  </w:r>
                  <w:r>
                    <w:rPr>
                      <w:rFonts w:hint="eastAsia" w:ascii="Times New Roman" w:hAnsi="Times New Roman" w:eastAsia="宋体" w:cs="Times New Roman"/>
                      <w:color w:val="auto"/>
                      <w:sz w:val="21"/>
                      <w:szCs w:val="21"/>
                      <w:highlight w:val="none"/>
                      <w:lang w:val="en-US" w:eastAsia="zh-CN"/>
                    </w:rPr>
                    <w:t>）浓度（</w:t>
                  </w:r>
                  <w:r>
                    <w:rPr>
                      <w:rFonts w:hint="default" w:ascii="Times New Roman" w:hAnsi="Times New Roman" w:eastAsia="宋体" w:cs="Times New Roman"/>
                      <w:color w:val="auto"/>
                      <w:sz w:val="21"/>
                      <w:szCs w:val="21"/>
                      <w:highlight w:val="none"/>
                      <w:lang w:val="en-US" w:eastAsia="zh-CN"/>
                    </w:rPr>
                    <w:t>mg/L</w:t>
                  </w:r>
                  <w:r>
                    <w:rPr>
                      <w:rFonts w:hint="eastAsia" w:ascii="Times New Roman" w:hAnsi="Times New Roman" w:eastAsia="宋体" w:cs="Times New Roman"/>
                      <w:color w:val="auto"/>
                      <w:sz w:val="21"/>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最高允许排放负荷（</w:t>
                  </w:r>
                  <w:r>
                    <w:rPr>
                      <w:rFonts w:hint="default" w:ascii="Times New Roman" w:hAnsi="Times New Roman" w:eastAsia="宋体" w:cs="Times New Roman"/>
                      <w:color w:val="auto"/>
                      <w:sz w:val="21"/>
                      <w:szCs w:val="21"/>
                      <w:highlight w:val="none"/>
                      <w:lang w:val="en-US" w:eastAsia="zh-CN"/>
                    </w:rPr>
                    <w:t>g/</w:t>
                  </w:r>
                  <w:r>
                    <w:rPr>
                      <w:rFonts w:hint="eastAsia" w:ascii="Times New Roman" w:hAnsi="Times New Roman" w:eastAsia="宋体" w:cs="Times New Roman"/>
                      <w:color w:val="auto"/>
                      <w:sz w:val="21"/>
                      <w:szCs w:val="21"/>
                      <w:highlight w:val="none"/>
                      <w:lang w:val="en-US" w:eastAsia="zh-CN"/>
                    </w:rPr>
                    <w:t>床位）</w:t>
                  </w:r>
                </w:p>
              </w:tc>
              <w:tc>
                <w:tcPr>
                  <w:tcW w:w="20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w:t>
                  </w:r>
                </w:p>
              </w:tc>
              <w:tc>
                <w:tcPr>
                  <w:tcW w:w="3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悬浮物（</w:t>
                  </w:r>
                  <w:r>
                    <w:rPr>
                      <w:rFonts w:hint="default" w:ascii="Times New Roman" w:hAnsi="Times New Roman" w:eastAsia="宋体" w:cs="Times New Roman"/>
                      <w:color w:val="auto"/>
                      <w:sz w:val="21"/>
                      <w:szCs w:val="21"/>
                      <w:highlight w:val="none"/>
                      <w:lang w:val="en-US" w:eastAsia="zh-CN"/>
                    </w:rPr>
                    <w:t>SS</w:t>
                  </w:r>
                  <w:r>
                    <w:rPr>
                      <w:rFonts w:hint="eastAsia" w:ascii="Times New Roman" w:hAnsi="Times New Roman" w:eastAsia="宋体" w:cs="Times New Roman"/>
                      <w:color w:val="auto"/>
                      <w:sz w:val="21"/>
                      <w:szCs w:val="21"/>
                      <w:highlight w:val="none"/>
                      <w:lang w:val="en-US" w:eastAsia="zh-CN"/>
                    </w:rPr>
                    <w:t>）浓度（</w:t>
                  </w:r>
                  <w:r>
                    <w:rPr>
                      <w:rFonts w:hint="default" w:ascii="Times New Roman" w:hAnsi="Times New Roman" w:eastAsia="宋体" w:cs="Times New Roman"/>
                      <w:color w:val="auto"/>
                      <w:sz w:val="21"/>
                      <w:szCs w:val="21"/>
                      <w:highlight w:val="none"/>
                      <w:lang w:val="en-US" w:eastAsia="zh-CN"/>
                    </w:rPr>
                    <w:t>mg/L</w:t>
                  </w:r>
                  <w:r>
                    <w:rPr>
                      <w:rFonts w:hint="eastAsia" w:ascii="Times New Roman" w:hAnsi="Times New Roman" w:eastAsia="宋体" w:cs="Times New Roman"/>
                      <w:color w:val="auto"/>
                      <w:sz w:val="21"/>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最高允许排放负荷（</w:t>
                  </w:r>
                  <w:r>
                    <w:rPr>
                      <w:rFonts w:hint="default" w:ascii="Times New Roman" w:hAnsi="Times New Roman" w:eastAsia="宋体" w:cs="Times New Roman"/>
                      <w:color w:val="auto"/>
                      <w:sz w:val="21"/>
                      <w:szCs w:val="21"/>
                      <w:highlight w:val="none"/>
                      <w:lang w:val="en-US" w:eastAsia="zh-CN"/>
                    </w:rPr>
                    <w:t>g/</w:t>
                  </w:r>
                  <w:r>
                    <w:rPr>
                      <w:rFonts w:hint="eastAsia" w:ascii="Times New Roman" w:hAnsi="Times New Roman" w:eastAsia="宋体" w:cs="Times New Roman"/>
                      <w:color w:val="auto"/>
                      <w:sz w:val="21"/>
                      <w:szCs w:val="21"/>
                      <w:highlight w:val="none"/>
                      <w:lang w:val="en-US" w:eastAsia="zh-CN"/>
                    </w:rPr>
                    <w:t>床位）</w:t>
                  </w:r>
                </w:p>
              </w:tc>
              <w:tc>
                <w:tcPr>
                  <w:tcW w:w="20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60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8</w:t>
                  </w:r>
                </w:p>
              </w:tc>
              <w:tc>
                <w:tcPr>
                  <w:tcW w:w="3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氨氮（</w:t>
                  </w:r>
                  <w:r>
                    <w:rPr>
                      <w:rFonts w:hint="default" w:ascii="Times New Roman" w:hAnsi="Times New Roman" w:eastAsia="宋体" w:cs="Times New Roman"/>
                      <w:color w:val="auto"/>
                      <w:sz w:val="21"/>
                      <w:szCs w:val="21"/>
                      <w:highlight w:val="none"/>
                      <w:lang w:val="en-US" w:eastAsia="zh-CN"/>
                    </w:rPr>
                    <w:t>mg/L</w:t>
                  </w:r>
                  <w:r>
                    <w:rPr>
                      <w:rFonts w:hint="eastAsia" w:ascii="Times New Roman" w:hAnsi="Times New Roman" w:eastAsia="宋体" w:cs="Times New Roman"/>
                      <w:color w:val="auto"/>
                      <w:sz w:val="21"/>
                      <w:szCs w:val="21"/>
                      <w:highlight w:val="none"/>
                      <w:lang w:val="en-US" w:eastAsia="zh-CN"/>
                    </w:rPr>
                    <w:t>）</w:t>
                  </w:r>
                </w:p>
              </w:tc>
              <w:tc>
                <w:tcPr>
                  <w:tcW w:w="2092"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45*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9</w:t>
                  </w:r>
                </w:p>
              </w:tc>
              <w:tc>
                <w:tcPr>
                  <w:tcW w:w="3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动植物油（</w:t>
                  </w:r>
                  <w:r>
                    <w:rPr>
                      <w:rFonts w:hint="default" w:ascii="Times New Roman" w:hAnsi="Times New Roman" w:eastAsia="宋体" w:cs="Times New Roman"/>
                      <w:color w:val="auto"/>
                      <w:sz w:val="21"/>
                      <w:szCs w:val="21"/>
                      <w:highlight w:val="none"/>
                      <w:lang w:val="en-US" w:eastAsia="zh-CN"/>
                    </w:rPr>
                    <w:t>mg/L</w:t>
                  </w:r>
                  <w:r>
                    <w:rPr>
                      <w:rFonts w:hint="eastAsia" w:ascii="Times New Roman" w:hAnsi="Times New Roman" w:eastAsia="宋体" w:cs="Times New Roman"/>
                      <w:color w:val="auto"/>
                      <w:sz w:val="21"/>
                      <w:szCs w:val="21"/>
                      <w:highlight w:val="none"/>
                      <w:lang w:val="en-US" w:eastAsia="zh-CN"/>
                    </w:rPr>
                    <w:t>）</w:t>
                  </w:r>
                </w:p>
              </w:tc>
              <w:tc>
                <w:tcPr>
                  <w:tcW w:w="20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10</w:t>
                  </w:r>
                </w:p>
              </w:tc>
              <w:tc>
                <w:tcPr>
                  <w:tcW w:w="3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石油类（</w:t>
                  </w:r>
                  <w:r>
                    <w:rPr>
                      <w:rFonts w:hint="default" w:ascii="Times New Roman" w:hAnsi="Times New Roman" w:eastAsia="宋体" w:cs="Times New Roman"/>
                      <w:color w:val="auto"/>
                      <w:sz w:val="21"/>
                      <w:szCs w:val="21"/>
                      <w:highlight w:val="none"/>
                      <w:lang w:val="en-US" w:eastAsia="zh-CN"/>
                    </w:rPr>
                    <w:t>mg/L</w:t>
                  </w:r>
                  <w:r>
                    <w:rPr>
                      <w:rFonts w:hint="eastAsia" w:ascii="Times New Roman" w:hAnsi="Times New Roman" w:eastAsia="宋体" w:cs="Times New Roman"/>
                      <w:color w:val="auto"/>
                      <w:sz w:val="21"/>
                      <w:szCs w:val="21"/>
                      <w:highlight w:val="none"/>
                      <w:lang w:val="en-US" w:eastAsia="zh-CN"/>
                    </w:rPr>
                    <w:t>）</w:t>
                  </w:r>
                </w:p>
              </w:tc>
              <w:tc>
                <w:tcPr>
                  <w:tcW w:w="20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11</w:t>
                  </w:r>
                </w:p>
              </w:tc>
              <w:tc>
                <w:tcPr>
                  <w:tcW w:w="3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阴离子表面活性剂（</w:t>
                  </w:r>
                  <w:r>
                    <w:rPr>
                      <w:rFonts w:hint="default" w:ascii="Times New Roman" w:hAnsi="Times New Roman" w:eastAsia="宋体" w:cs="Times New Roman"/>
                      <w:color w:val="auto"/>
                      <w:sz w:val="21"/>
                      <w:szCs w:val="21"/>
                      <w:highlight w:val="none"/>
                      <w:lang w:val="en-US" w:eastAsia="zh-CN"/>
                    </w:rPr>
                    <w:t>mg/L</w:t>
                  </w:r>
                  <w:r>
                    <w:rPr>
                      <w:rFonts w:hint="eastAsia" w:ascii="Times New Roman" w:hAnsi="Times New Roman" w:eastAsia="宋体" w:cs="Times New Roman"/>
                      <w:color w:val="auto"/>
                      <w:sz w:val="21"/>
                      <w:szCs w:val="21"/>
                      <w:highlight w:val="none"/>
                      <w:lang w:val="en-US" w:eastAsia="zh-CN"/>
                    </w:rPr>
                    <w:t>）</w:t>
                  </w:r>
                </w:p>
              </w:tc>
              <w:tc>
                <w:tcPr>
                  <w:tcW w:w="2092"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12</w:t>
                  </w:r>
                </w:p>
              </w:tc>
              <w:tc>
                <w:tcPr>
                  <w:tcW w:w="3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色度／（稀释倍数）</w:t>
                  </w:r>
                </w:p>
              </w:tc>
              <w:tc>
                <w:tcPr>
                  <w:tcW w:w="2092"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13</w:t>
                  </w:r>
                </w:p>
              </w:tc>
              <w:tc>
                <w:tcPr>
                  <w:tcW w:w="3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挥发酚／（</w:t>
                  </w:r>
                  <w:r>
                    <w:rPr>
                      <w:rFonts w:hint="default" w:ascii="Times New Roman" w:hAnsi="Times New Roman" w:eastAsia="宋体" w:cs="Times New Roman"/>
                      <w:color w:val="auto"/>
                      <w:sz w:val="21"/>
                      <w:szCs w:val="21"/>
                      <w:highlight w:val="none"/>
                      <w:lang w:val="en-US" w:eastAsia="zh-CN"/>
                    </w:rPr>
                    <w:t>mg/L</w:t>
                  </w:r>
                  <w:r>
                    <w:rPr>
                      <w:rFonts w:hint="eastAsia" w:ascii="Times New Roman" w:hAnsi="Times New Roman" w:eastAsia="宋体" w:cs="Times New Roman"/>
                      <w:color w:val="auto"/>
                      <w:sz w:val="21"/>
                      <w:szCs w:val="21"/>
                      <w:highlight w:val="none"/>
                      <w:lang w:val="en-US" w:eastAsia="zh-CN"/>
                    </w:rPr>
                    <w:t>）</w:t>
                  </w:r>
                </w:p>
              </w:tc>
              <w:tc>
                <w:tcPr>
                  <w:tcW w:w="2092"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14</w:t>
                  </w:r>
                </w:p>
              </w:tc>
              <w:tc>
                <w:tcPr>
                  <w:tcW w:w="3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总氰化物／（</w:t>
                  </w:r>
                  <w:r>
                    <w:rPr>
                      <w:rFonts w:hint="default" w:ascii="Times New Roman" w:hAnsi="Times New Roman" w:eastAsia="宋体" w:cs="Times New Roman"/>
                      <w:color w:val="auto"/>
                      <w:sz w:val="21"/>
                      <w:szCs w:val="21"/>
                      <w:highlight w:val="none"/>
                      <w:lang w:val="en-US" w:eastAsia="zh-CN"/>
                    </w:rPr>
                    <w:t>mg/L</w:t>
                  </w:r>
                  <w:r>
                    <w:rPr>
                      <w:rFonts w:hint="eastAsia" w:ascii="Times New Roman" w:hAnsi="Times New Roman" w:eastAsia="宋体" w:cs="Times New Roman"/>
                      <w:color w:val="auto"/>
                      <w:sz w:val="21"/>
                      <w:szCs w:val="21"/>
                      <w:highlight w:val="none"/>
                      <w:lang w:val="en-US" w:eastAsia="zh-CN"/>
                    </w:rPr>
                    <w:t>）</w:t>
                  </w:r>
                </w:p>
              </w:tc>
              <w:tc>
                <w:tcPr>
                  <w:tcW w:w="2092"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3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总汞／（</w:t>
                  </w:r>
                  <w:r>
                    <w:rPr>
                      <w:rFonts w:hint="default" w:ascii="Times New Roman" w:hAnsi="Times New Roman" w:eastAsia="宋体" w:cs="Times New Roman"/>
                      <w:color w:val="auto"/>
                      <w:sz w:val="21"/>
                      <w:szCs w:val="21"/>
                      <w:highlight w:val="none"/>
                      <w:lang w:val="en-US" w:eastAsia="zh-CN"/>
                    </w:rPr>
                    <w:t>mg/L</w:t>
                  </w:r>
                  <w:r>
                    <w:rPr>
                      <w:rFonts w:hint="eastAsia" w:ascii="Times New Roman" w:hAnsi="Times New Roman" w:eastAsia="宋体" w:cs="Times New Roman"/>
                      <w:color w:val="auto"/>
                      <w:sz w:val="21"/>
                      <w:szCs w:val="21"/>
                      <w:highlight w:val="none"/>
                      <w:lang w:val="en-US" w:eastAsia="zh-CN"/>
                    </w:rPr>
                    <w:t>）</w:t>
                  </w:r>
                </w:p>
              </w:tc>
              <w:tc>
                <w:tcPr>
                  <w:tcW w:w="2092"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16</w:t>
                  </w:r>
                </w:p>
              </w:tc>
              <w:tc>
                <w:tcPr>
                  <w:tcW w:w="3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总镉／（</w:t>
                  </w:r>
                  <w:r>
                    <w:rPr>
                      <w:rFonts w:hint="default" w:ascii="Times New Roman" w:hAnsi="Times New Roman" w:eastAsia="宋体" w:cs="Times New Roman"/>
                      <w:color w:val="auto"/>
                      <w:sz w:val="21"/>
                      <w:szCs w:val="21"/>
                      <w:highlight w:val="none"/>
                      <w:lang w:val="en-US" w:eastAsia="zh-CN"/>
                    </w:rPr>
                    <w:t>mg/L</w:t>
                  </w:r>
                  <w:r>
                    <w:rPr>
                      <w:rFonts w:hint="eastAsia" w:ascii="Times New Roman" w:hAnsi="Times New Roman" w:eastAsia="宋体" w:cs="Times New Roman"/>
                      <w:color w:val="auto"/>
                      <w:sz w:val="21"/>
                      <w:szCs w:val="21"/>
                      <w:highlight w:val="none"/>
                      <w:lang w:val="en-US" w:eastAsia="zh-CN"/>
                    </w:rPr>
                    <w:t>）</w:t>
                  </w:r>
                </w:p>
              </w:tc>
              <w:tc>
                <w:tcPr>
                  <w:tcW w:w="2092"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17</w:t>
                  </w:r>
                </w:p>
              </w:tc>
              <w:tc>
                <w:tcPr>
                  <w:tcW w:w="3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总铬／（</w:t>
                  </w:r>
                  <w:r>
                    <w:rPr>
                      <w:rFonts w:hint="default" w:ascii="Times New Roman" w:hAnsi="Times New Roman" w:eastAsia="宋体" w:cs="Times New Roman"/>
                      <w:color w:val="auto"/>
                      <w:sz w:val="21"/>
                      <w:szCs w:val="21"/>
                      <w:highlight w:val="none"/>
                      <w:lang w:val="en-US" w:eastAsia="zh-CN"/>
                    </w:rPr>
                    <w:t>mg/L</w:t>
                  </w:r>
                  <w:r>
                    <w:rPr>
                      <w:rFonts w:hint="eastAsia" w:ascii="Times New Roman" w:hAnsi="Times New Roman" w:eastAsia="宋体" w:cs="Times New Roman"/>
                      <w:color w:val="auto"/>
                      <w:sz w:val="21"/>
                      <w:szCs w:val="21"/>
                      <w:highlight w:val="none"/>
                      <w:lang w:val="en-US" w:eastAsia="zh-CN"/>
                    </w:rPr>
                    <w:t>）</w:t>
                  </w:r>
                </w:p>
              </w:tc>
              <w:tc>
                <w:tcPr>
                  <w:tcW w:w="2092"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18</w:t>
                  </w:r>
                </w:p>
              </w:tc>
              <w:tc>
                <w:tcPr>
                  <w:tcW w:w="3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六价铬／（</w:t>
                  </w:r>
                  <w:r>
                    <w:rPr>
                      <w:rFonts w:hint="default" w:ascii="Times New Roman" w:hAnsi="Times New Roman" w:eastAsia="宋体" w:cs="Times New Roman"/>
                      <w:color w:val="auto"/>
                      <w:sz w:val="21"/>
                      <w:szCs w:val="21"/>
                      <w:highlight w:val="none"/>
                      <w:lang w:val="en-US" w:eastAsia="zh-CN"/>
                    </w:rPr>
                    <w:t>mg/L</w:t>
                  </w:r>
                  <w:r>
                    <w:rPr>
                      <w:rFonts w:hint="eastAsia" w:ascii="Times New Roman" w:hAnsi="Times New Roman" w:eastAsia="宋体" w:cs="Times New Roman"/>
                      <w:color w:val="auto"/>
                      <w:sz w:val="21"/>
                      <w:szCs w:val="21"/>
                      <w:highlight w:val="none"/>
                      <w:lang w:val="en-US" w:eastAsia="zh-CN"/>
                    </w:rPr>
                    <w:t>）</w:t>
                  </w:r>
                </w:p>
              </w:tc>
              <w:tc>
                <w:tcPr>
                  <w:tcW w:w="2092"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19</w:t>
                  </w:r>
                </w:p>
              </w:tc>
              <w:tc>
                <w:tcPr>
                  <w:tcW w:w="3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总砷／（</w:t>
                  </w:r>
                  <w:r>
                    <w:rPr>
                      <w:rFonts w:hint="default" w:ascii="Times New Roman" w:hAnsi="Times New Roman" w:eastAsia="宋体" w:cs="Times New Roman"/>
                      <w:color w:val="auto"/>
                      <w:sz w:val="21"/>
                      <w:szCs w:val="21"/>
                      <w:highlight w:val="none"/>
                      <w:lang w:val="en-US" w:eastAsia="zh-CN"/>
                    </w:rPr>
                    <w:t>mg/L</w:t>
                  </w:r>
                  <w:r>
                    <w:rPr>
                      <w:rFonts w:hint="eastAsia" w:ascii="Times New Roman" w:hAnsi="Times New Roman" w:eastAsia="宋体" w:cs="Times New Roman"/>
                      <w:color w:val="auto"/>
                      <w:sz w:val="21"/>
                      <w:szCs w:val="21"/>
                      <w:highlight w:val="none"/>
                      <w:lang w:val="en-US" w:eastAsia="zh-CN"/>
                    </w:rPr>
                    <w:t>）</w:t>
                  </w:r>
                </w:p>
              </w:tc>
              <w:tc>
                <w:tcPr>
                  <w:tcW w:w="2092"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20</w:t>
                  </w:r>
                </w:p>
              </w:tc>
              <w:tc>
                <w:tcPr>
                  <w:tcW w:w="3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总铅／（</w:t>
                  </w:r>
                  <w:r>
                    <w:rPr>
                      <w:rFonts w:hint="default" w:ascii="Times New Roman" w:hAnsi="Times New Roman" w:eastAsia="宋体" w:cs="Times New Roman"/>
                      <w:color w:val="auto"/>
                      <w:sz w:val="21"/>
                      <w:szCs w:val="21"/>
                      <w:highlight w:val="none"/>
                      <w:lang w:val="en-US" w:eastAsia="zh-CN"/>
                    </w:rPr>
                    <w:t>mg/L</w:t>
                  </w:r>
                  <w:r>
                    <w:rPr>
                      <w:rFonts w:hint="eastAsia" w:ascii="Times New Roman" w:hAnsi="Times New Roman" w:eastAsia="宋体" w:cs="Times New Roman"/>
                      <w:color w:val="auto"/>
                      <w:sz w:val="21"/>
                      <w:szCs w:val="21"/>
                      <w:highlight w:val="none"/>
                      <w:lang w:val="en-US" w:eastAsia="zh-CN"/>
                    </w:rPr>
                    <w:t>）</w:t>
                  </w:r>
                </w:p>
              </w:tc>
              <w:tc>
                <w:tcPr>
                  <w:tcW w:w="2092"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21</w:t>
                  </w:r>
                </w:p>
              </w:tc>
              <w:tc>
                <w:tcPr>
                  <w:tcW w:w="3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总银／（</w:t>
                  </w:r>
                  <w:r>
                    <w:rPr>
                      <w:rFonts w:hint="default" w:ascii="Times New Roman" w:hAnsi="Times New Roman" w:eastAsia="宋体" w:cs="Times New Roman"/>
                      <w:color w:val="auto"/>
                      <w:sz w:val="21"/>
                      <w:szCs w:val="21"/>
                      <w:highlight w:val="none"/>
                      <w:lang w:val="en-US" w:eastAsia="zh-CN"/>
                    </w:rPr>
                    <w:t>mg/L</w:t>
                  </w:r>
                  <w:r>
                    <w:rPr>
                      <w:rFonts w:hint="eastAsia" w:ascii="Times New Roman" w:hAnsi="Times New Roman" w:eastAsia="宋体" w:cs="Times New Roman"/>
                      <w:color w:val="auto"/>
                      <w:sz w:val="21"/>
                      <w:szCs w:val="21"/>
                      <w:highlight w:val="none"/>
                      <w:lang w:val="en-US" w:eastAsia="zh-CN"/>
                    </w:rPr>
                    <w:t>）</w:t>
                  </w:r>
                </w:p>
              </w:tc>
              <w:tc>
                <w:tcPr>
                  <w:tcW w:w="2092"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22</w:t>
                  </w:r>
                </w:p>
              </w:tc>
              <w:tc>
                <w:tcPr>
                  <w:tcW w:w="3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总 </w:t>
                  </w:r>
                  <w:r>
                    <w:rPr>
                      <w:rFonts w:hint="default" w:ascii="Times New Roman" w:hAnsi="Times New Roman" w:eastAsia="宋体" w:cs="Times New Roman"/>
                      <w:color w:val="auto"/>
                      <w:sz w:val="21"/>
                      <w:szCs w:val="21"/>
                      <w:highlight w:val="none"/>
                      <w:lang w:val="en-US" w:eastAsia="zh-CN"/>
                    </w:rPr>
                    <w:t>α</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Bq</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L</w:t>
                  </w:r>
                  <w:r>
                    <w:rPr>
                      <w:rFonts w:hint="eastAsia" w:ascii="Times New Roman" w:hAnsi="Times New Roman" w:eastAsia="宋体" w:cs="Times New Roman"/>
                      <w:color w:val="auto"/>
                      <w:sz w:val="21"/>
                      <w:szCs w:val="21"/>
                      <w:highlight w:val="none"/>
                      <w:lang w:val="en-US" w:eastAsia="zh-CN"/>
                    </w:rPr>
                    <w:t>）</w:t>
                  </w:r>
                </w:p>
              </w:tc>
              <w:tc>
                <w:tcPr>
                  <w:tcW w:w="2092"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23</w:t>
                  </w:r>
                </w:p>
              </w:tc>
              <w:tc>
                <w:tcPr>
                  <w:tcW w:w="3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总 </w:t>
                  </w:r>
                  <w:r>
                    <w:rPr>
                      <w:rFonts w:hint="default" w:ascii="Times New Roman" w:hAnsi="Times New Roman" w:eastAsia="宋体" w:cs="Times New Roman"/>
                      <w:color w:val="auto"/>
                      <w:sz w:val="21"/>
                      <w:szCs w:val="21"/>
                      <w:highlight w:val="none"/>
                      <w:lang w:val="en-US" w:eastAsia="zh-CN"/>
                    </w:rPr>
                    <w:t>β</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Bq</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L</w:t>
                  </w:r>
                  <w:r>
                    <w:rPr>
                      <w:rFonts w:hint="eastAsia" w:ascii="Times New Roman" w:hAnsi="Times New Roman" w:eastAsia="宋体" w:cs="Times New Roman"/>
                      <w:color w:val="auto"/>
                      <w:sz w:val="21"/>
                      <w:szCs w:val="21"/>
                      <w:highlight w:val="none"/>
                      <w:lang w:val="en-US" w:eastAsia="zh-CN"/>
                    </w:rPr>
                    <w:t>）</w:t>
                  </w:r>
                </w:p>
              </w:tc>
              <w:tc>
                <w:tcPr>
                  <w:tcW w:w="2092"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156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24</w:t>
                  </w:r>
                </w:p>
              </w:tc>
              <w:tc>
                <w:tcPr>
                  <w:tcW w:w="3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总余氯1），2）（mg/L）</w:t>
                  </w:r>
                </w:p>
              </w:tc>
              <w:tc>
                <w:tcPr>
                  <w:tcW w:w="2092"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jc w:val="center"/>
              </w:trPr>
              <w:tc>
                <w:tcPr>
                  <w:tcW w:w="7370" w:type="dxa"/>
                  <w:gridSpan w:val="3"/>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注：1）采用含氯消毒剂消毒的工艺控制要求为：</w:t>
                  </w:r>
                </w:p>
                <w:p>
                  <w:pPr>
                    <w:pageBreakBefore w:val="0"/>
                    <w:kinsoku/>
                    <w:wordWrap/>
                    <w:overflowPunct/>
                    <w:topLinePunct w:val="0"/>
                    <w:autoSpaceDE/>
                    <w:autoSpaceDN/>
                    <w:bidi w:val="0"/>
                    <w:spacing w:line="360" w:lineRule="auto"/>
                    <w:ind w:left="0" w:leftChars="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排放标准：消毒接触池接触时间≥1h，接触池出口总余氯3-10mg/L，</w:t>
                  </w:r>
                </w:p>
                <w:p>
                  <w:pPr>
                    <w:pageBreakBefore w:val="0"/>
                    <w:kinsoku/>
                    <w:wordWrap/>
                    <w:overflowPunct/>
                    <w:topLinePunct w:val="0"/>
                    <w:autoSpaceDE/>
                    <w:autoSpaceDN/>
                    <w:bidi w:val="0"/>
                    <w:spacing w:line="360" w:lineRule="auto"/>
                    <w:ind w:left="0" w:leftChars="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预处理标准：消毒接触池接触时间≥1h，接触池出口总余氯2～8mg/L。</w:t>
                  </w:r>
                </w:p>
                <w:p>
                  <w:pPr>
                    <w:pageBreakBefore w:val="0"/>
                    <w:numPr>
                      <w:ilvl w:val="0"/>
                      <w:numId w:val="5"/>
                    </w:numPr>
                    <w:kinsoku/>
                    <w:wordWrap/>
                    <w:overflowPunct/>
                    <w:topLinePunct w:val="0"/>
                    <w:autoSpaceDE/>
                    <w:autoSpaceDN/>
                    <w:bidi w:val="0"/>
                    <w:spacing w:line="360" w:lineRule="auto"/>
                    <w:ind w:left="0" w:leftChars="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采用其他消毒剂对总余氯不做要求。</w:t>
                  </w:r>
                </w:p>
                <w:p>
                  <w:pPr>
                    <w:keepNext w:val="0"/>
                    <w:keepLines w:val="0"/>
                    <w:widowControl/>
                    <w:numPr>
                      <w:ilvl w:val="0"/>
                      <w:numId w:val="0"/>
                    </w:numPr>
                    <w:suppressLineNumbers w:val="0"/>
                    <w:ind w:leftChars="0"/>
                    <w:jc w:val="left"/>
                    <w:rPr>
                      <w:rFonts w:hint="default"/>
                      <w:color w:val="auto"/>
                      <w:highlight w:val="none"/>
                      <w:lang w:val="en-US" w:eastAsia="zh-CN"/>
                    </w:rPr>
                  </w:pPr>
                  <w:r>
                    <w:rPr>
                      <w:rFonts w:hint="eastAsia" w:ascii="宋体" w:hAnsi="宋体" w:eastAsia="宋体" w:cs="宋体"/>
                      <w:color w:val="auto"/>
                      <w:kern w:val="0"/>
                      <w:sz w:val="21"/>
                      <w:szCs w:val="21"/>
                      <w:highlight w:val="none"/>
                      <w:lang w:val="en-US" w:eastAsia="zh-CN" w:bidi="ar"/>
                    </w:rPr>
                    <w:t>3）*氨氮参照《污水排入城镇下水道水质标准》（GB/T31962-2015），即：45mg/L。</w:t>
                  </w:r>
                </w:p>
              </w:tc>
            </w:tr>
          </w:tbl>
          <w:p>
            <w:pPr>
              <w:pageBreakBefore w:val="0"/>
              <w:kinsoku/>
              <w:wordWrap/>
              <w:overflowPunct/>
              <w:topLinePunct w:val="0"/>
              <w:autoSpaceDE/>
              <w:autoSpaceDN/>
              <w:bidi w:val="0"/>
              <w:spacing w:line="360" w:lineRule="auto"/>
              <w:ind w:left="0" w:leftChars="0" w:firstLine="0" w:firstLineChars="0"/>
              <w:jc w:val="both"/>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表3.</w:t>
            </w:r>
            <w:r>
              <w:rPr>
                <w:rFonts w:hint="eastAsia" w:ascii="宋体" w:hAnsi="宋体" w:cs="宋体"/>
                <w:b/>
                <w:bCs/>
                <w:color w:val="auto"/>
                <w:highlight w:val="none"/>
                <w:lang w:val="en-US" w:eastAsia="zh-CN"/>
              </w:rPr>
              <w:t>8</w:t>
            </w:r>
            <w:r>
              <w:rPr>
                <w:rFonts w:hint="eastAsia" w:ascii="宋体" w:hAnsi="宋体" w:eastAsia="宋体" w:cs="宋体"/>
                <w:b/>
                <w:bCs/>
                <w:color w:val="auto"/>
                <w:highlight w:val="none"/>
                <w:lang w:val="en-US" w:eastAsia="zh-CN"/>
              </w:rPr>
              <w:t>《城镇污水处理厂污染物排放标准》(GB18918-2002) 单位：mg/L</w:t>
            </w:r>
          </w:p>
          <w:tbl>
            <w:tblPr>
              <w:tblStyle w:val="29"/>
              <w:tblW w:w="7966"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
            <w:tblGrid>
              <w:gridCol w:w="1375"/>
              <w:gridCol w:w="3760"/>
              <w:gridCol w:w="2831"/>
            </w:tblGrid>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c>
                <w:tcPr>
                  <w:tcW w:w="137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序号</w:t>
                  </w:r>
                </w:p>
              </w:tc>
              <w:tc>
                <w:tcPr>
                  <w:tcW w:w="3760"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控制项目</w:t>
                  </w:r>
                </w:p>
              </w:tc>
              <w:tc>
                <w:tcPr>
                  <w:tcW w:w="2831"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一级标准B标准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c>
                <w:tcPr>
                  <w:tcW w:w="137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w:t>
                  </w:r>
                </w:p>
              </w:tc>
              <w:tc>
                <w:tcPr>
                  <w:tcW w:w="3760"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COD</w:t>
                  </w:r>
                </w:p>
              </w:tc>
              <w:tc>
                <w:tcPr>
                  <w:tcW w:w="2831"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60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c>
                <w:tcPr>
                  <w:tcW w:w="137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w:t>
                  </w:r>
                </w:p>
              </w:tc>
              <w:tc>
                <w:tcPr>
                  <w:tcW w:w="3760"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BOD</w:t>
                  </w:r>
                  <w:r>
                    <w:rPr>
                      <w:rFonts w:hint="eastAsia"/>
                      <w:color w:val="auto"/>
                      <w:sz w:val="21"/>
                      <w:szCs w:val="21"/>
                      <w:highlight w:val="none"/>
                      <w:vertAlign w:val="subscript"/>
                      <w:lang w:val="en-US" w:eastAsia="zh-CN"/>
                    </w:rPr>
                    <w:t>5</w:t>
                  </w:r>
                </w:p>
              </w:tc>
              <w:tc>
                <w:tcPr>
                  <w:tcW w:w="2831"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c>
                <w:tcPr>
                  <w:tcW w:w="137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3760"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SS</w:t>
                  </w:r>
                </w:p>
              </w:tc>
              <w:tc>
                <w:tcPr>
                  <w:tcW w:w="2831"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c>
                <w:tcPr>
                  <w:tcW w:w="137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3760"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动植物油</w:t>
                  </w:r>
                </w:p>
              </w:tc>
              <w:tc>
                <w:tcPr>
                  <w:tcW w:w="2831"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c>
                <w:tcPr>
                  <w:tcW w:w="137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3760"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氨氮</w:t>
                  </w:r>
                </w:p>
              </w:tc>
              <w:tc>
                <w:tcPr>
                  <w:tcW w:w="2831"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8（15）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c>
                <w:tcPr>
                  <w:tcW w:w="137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6</w:t>
                  </w:r>
                </w:p>
              </w:tc>
              <w:tc>
                <w:tcPr>
                  <w:tcW w:w="3760"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pH</w:t>
                  </w:r>
                </w:p>
              </w:tc>
              <w:tc>
                <w:tcPr>
                  <w:tcW w:w="2831"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6~9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c>
                <w:tcPr>
                  <w:tcW w:w="137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7</w:t>
                  </w:r>
                </w:p>
              </w:tc>
              <w:tc>
                <w:tcPr>
                  <w:tcW w:w="3760"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粪大肠杆菌（个/L）</w:t>
                  </w:r>
                </w:p>
              </w:tc>
              <w:tc>
                <w:tcPr>
                  <w:tcW w:w="2831"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10000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c>
                <w:tcPr>
                  <w:tcW w:w="137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8</w:t>
                  </w:r>
                </w:p>
              </w:tc>
              <w:tc>
                <w:tcPr>
                  <w:tcW w:w="3760"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总余氯</w:t>
                  </w:r>
                </w:p>
              </w:tc>
              <w:tc>
                <w:tcPr>
                  <w:tcW w:w="2831"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c>
                <w:tcPr>
                  <w:tcW w:w="1375"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9</w:t>
                  </w:r>
                </w:p>
              </w:tc>
              <w:tc>
                <w:tcPr>
                  <w:tcW w:w="3760"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阴离子表面活性剂</w:t>
                  </w:r>
                </w:p>
              </w:tc>
              <w:tc>
                <w:tcPr>
                  <w:tcW w:w="2831" w:type="dxa"/>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c>
                <w:tcPr>
                  <w:tcW w:w="7966" w:type="dxa"/>
                  <w:gridSpan w:val="3"/>
                  <w:tcBorders>
                    <w:tl2br w:val="nil"/>
                    <w:tr2bl w:val="nil"/>
                  </w:tcBorders>
                  <w:vAlign w:val="center"/>
                </w:tcPr>
                <w:p>
                  <w:pPr>
                    <w:pageBreakBefore w:val="0"/>
                    <w:kinsoku/>
                    <w:wordWrap/>
                    <w:overflowPunct/>
                    <w:topLinePunct w:val="0"/>
                    <w:autoSpaceDE/>
                    <w:autoSpaceDN/>
                    <w:bidi w:val="0"/>
                    <w:spacing w:line="360" w:lineRule="auto"/>
                    <w:ind w:left="0" w:leftChars="0" w:firstLine="0" w:firstLineChars="0"/>
                    <w:jc w:val="left"/>
                    <w:textAlignment w:val="auto"/>
                    <w:rPr>
                      <w:rFonts w:hint="eastAsia"/>
                      <w:color w:val="auto"/>
                      <w:sz w:val="21"/>
                      <w:szCs w:val="21"/>
                      <w:highlight w:val="none"/>
                      <w:lang w:val="en-US" w:eastAsia="zh-CN"/>
                    </w:rPr>
                  </w:pPr>
                  <w:r>
                    <w:rPr>
                      <w:rFonts w:hint="eastAsia"/>
                      <w:color w:val="auto"/>
                      <w:sz w:val="21"/>
                      <w:szCs w:val="21"/>
                      <w:highlight w:val="none"/>
                      <w:lang w:val="en-US" w:eastAsia="zh-CN"/>
                    </w:rPr>
                    <w:t>注：①括号外数值为水温＞12℃时的控制指标，括号内数值为水温≤12℃时的控制指</w:t>
                  </w:r>
                </w:p>
                <w:p>
                  <w:pPr>
                    <w:pageBreakBefore w:val="0"/>
                    <w:kinsoku/>
                    <w:wordWrap/>
                    <w:overflowPunct/>
                    <w:topLinePunct w:val="0"/>
                    <w:autoSpaceDE/>
                    <w:autoSpaceDN/>
                    <w:bidi w:val="0"/>
                    <w:spacing w:line="360" w:lineRule="auto"/>
                    <w:ind w:left="0" w:leftChars="0" w:firstLine="0" w:firstLineChars="0"/>
                    <w:jc w:val="left"/>
                    <w:textAlignment w:val="auto"/>
                    <w:rPr>
                      <w:rFonts w:hint="default"/>
                      <w:color w:val="auto"/>
                      <w:sz w:val="21"/>
                      <w:szCs w:val="21"/>
                      <w:highlight w:val="none"/>
                      <w:lang w:val="en-US" w:eastAsia="zh-CN"/>
                    </w:rPr>
                  </w:pPr>
                  <w:r>
                    <w:rPr>
                      <w:rFonts w:hint="eastAsia"/>
                      <w:color w:val="auto"/>
                      <w:sz w:val="21"/>
                      <w:szCs w:val="21"/>
                      <w:highlight w:val="none"/>
                      <w:lang w:val="en-US" w:eastAsia="zh-CN"/>
                    </w:rPr>
                    <w:t>标。</w:t>
                  </w:r>
                </w:p>
              </w:tc>
            </w:tr>
          </w:tbl>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.3 噪声排放标准</w:t>
            </w:r>
          </w:p>
          <w:p>
            <w:pPr>
              <w:pageBreakBefore w:val="0"/>
              <w:kinsoku/>
              <w:wordWrap/>
              <w:overflowPunct/>
              <w:topLinePunct w:val="0"/>
              <w:autoSpaceDE/>
              <w:autoSpaceDN/>
              <w:bidi w:val="0"/>
              <w:spacing w:line="360" w:lineRule="auto"/>
              <w:textAlignment w:val="auto"/>
              <w:rPr>
                <w:color w:val="auto"/>
                <w:highlight w:val="none"/>
              </w:rPr>
            </w:pPr>
            <w:r>
              <w:rPr>
                <w:rFonts w:hint="eastAsia"/>
                <w:color w:val="auto"/>
                <w:highlight w:val="none"/>
              </w:rPr>
              <w:t>项目</w:t>
            </w:r>
            <w:r>
              <w:rPr>
                <w:rFonts w:hint="eastAsia"/>
                <w:color w:val="auto"/>
                <w:highlight w:val="none"/>
                <w:lang w:val="en-US" w:eastAsia="zh-CN"/>
              </w:rPr>
              <w:t>施工期</w:t>
            </w:r>
            <w:r>
              <w:rPr>
                <w:rFonts w:hint="eastAsia" w:ascii="Times New Roman"/>
                <w:bCs/>
                <w:color w:val="auto"/>
                <w:sz w:val="24"/>
                <w:szCs w:val="24"/>
                <w:highlight w:val="none"/>
                <w:lang w:val="en-US" w:eastAsia="zh-CN"/>
              </w:rPr>
              <w:t>噪声执行《建筑施工场界环境噪声排放标准》（GB12523-2011）中标准限值</w:t>
            </w:r>
            <w:r>
              <w:rPr>
                <w:rFonts w:hint="eastAsia"/>
                <w:bCs/>
                <w:color w:val="auto"/>
                <w:sz w:val="24"/>
                <w:szCs w:val="24"/>
                <w:highlight w:val="none"/>
                <w:lang w:val="en-US" w:eastAsia="zh-CN"/>
              </w:rPr>
              <w:t>，</w:t>
            </w:r>
            <w:r>
              <w:rPr>
                <w:rFonts w:hint="eastAsia"/>
                <w:color w:val="auto"/>
                <w:highlight w:val="none"/>
              </w:rPr>
              <w:t>运营期噪声执行《</w:t>
            </w:r>
            <w:r>
              <w:rPr>
                <w:rFonts w:hint="eastAsia"/>
                <w:color w:val="auto"/>
                <w:highlight w:val="none"/>
                <w:lang w:eastAsia="zh-CN"/>
              </w:rPr>
              <w:t>工业企业场界环境噪声排放标准</w:t>
            </w:r>
            <w:r>
              <w:rPr>
                <w:rFonts w:hint="eastAsia"/>
                <w:color w:val="auto"/>
                <w:highlight w:val="none"/>
              </w:rPr>
              <w:t>》（GB12348-2008）</w:t>
            </w:r>
            <w:r>
              <w:rPr>
                <w:rFonts w:hint="eastAsia"/>
                <w:color w:val="auto"/>
                <w:highlight w:val="none"/>
                <w:lang w:val="en-US" w:eastAsia="zh-CN"/>
              </w:rPr>
              <w:t>2</w:t>
            </w:r>
            <w:r>
              <w:rPr>
                <w:rFonts w:hint="eastAsia"/>
                <w:color w:val="auto"/>
                <w:highlight w:val="none"/>
              </w:rPr>
              <w:t>类标准</w:t>
            </w:r>
            <w:r>
              <w:rPr>
                <w:rFonts w:hint="eastAsia"/>
                <w:color w:val="auto"/>
                <w:highlight w:val="none"/>
                <w:lang w:eastAsia="zh-CN"/>
              </w:rPr>
              <w:t>。</w:t>
            </w:r>
            <w:r>
              <w:rPr>
                <w:rFonts w:hint="eastAsia"/>
                <w:color w:val="auto"/>
                <w:highlight w:val="none"/>
              </w:rPr>
              <w:t>详见表3.</w:t>
            </w:r>
            <w:r>
              <w:rPr>
                <w:rFonts w:hint="eastAsia"/>
                <w:color w:val="auto"/>
                <w:highlight w:val="none"/>
                <w:lang w:val="en-US" w:eastAsia="zh-CN"/>
              </w:rPr>
              <w:t>9、3.10</w:t>
            </w:r>
            <w:r>
              <w:rPr>
                <w:color w:val="auto"/>
                <w:highlight w:val="none"/>
              </w:rPr>
              <w:t>。</w:t>
            </w:r>
          </w:p>
          <w:p>
            <w:pPr>
              <w:pageBreakBefore w:val="0"/>
              <w:kinsoku/>
              <w:wordWrap/>
              <w:overflowPunct/>
              <w:topLinePunct w:val="0"/>
              <w:autoSpaceDE/>
              <w:autoSpaceDN/>
              <w:bidi w:val="0"/>
              <w:spacing w:line="360" w:lineRule="auto"/>
              <w:ind w:left="0" w:leftChars="0" w:firstLine="0" w:firstLineChars="0"/>
              <w:jc w:val="center"/>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表3.</w:t>
            </w:r>
            <w:r>
              <w:rPr>
                <w:rFonts w:hint="eastAsia" w:ascii="宋体" w:hAnsi="宋体" w:cs="宋体"/>
                <w:b/>
                <w:bCs/>
                <w:color w:val="auto"/>
                <w:highlight w:val="none"/>
                <w:lang w:val="en-US" w:eastAsia="zh-CN"/>
              </w:rPr>
              <w:t>9</w:t>
            </w:r>
            <w:r>
              <w:rPr>
                <w:rFonts w:hint="eastAsia" w:ascii="宋体" w:hAnsi="宋体" w:eastAsia="宋体" w:cs="宋体"/>
                <w:b/>
                <w:bCs/>
                <w:color w:val="auto"/>
                <w:highlight w:val="none"/>
                <w:lang w:val="en-US" w:eastAsia="zh-CN"/>
              </w:rPr>
              <w:t>建筑施工场界环境噪声排放标准  单位：dB(A)</w:t>
            </w:r>
          </w:p>
          <w:tbl>
            <w:tblPr>
              <w:tblStyle w:val="29"/>
              <w:tblW w:w="79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5"/>
              <w:gridCol w:w="2808"/>
              <w:gridCol w:w="2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5443" w:type="dxa"/>
                  <w:gridSpan w:val="2"/>
                  <w:tcBorders>
                    <w:tl2br w:val="nil"/>
                    <w:tr2bl w:val="nil"/>
                  </w:tcBorders>
                  <w:noWrap w:val="0"/>
                  <w:vAlign w:val="center"/>
                </w:tcPr>
                <w:p>
                  <w:pPr>
                    <w:pageBreakBefore w:val="0"/>
                    <w:kinsoku/>
                    <w:wordWrap/>
                    <w:overflowPunct/>
                    <w:topLinePunct w:val="0"/>
                    <w:autoSpaceDE/>
                    <w:autoSpaceDN/>
                    <w:bidi w:val="0"/>
                    <w:spacing w:before="78" w:beforeLines="25" w:line="360" w:lineRule="auto"/>
                    <w:jc w:val="center"/>
                    <w:textAlignment w:val="auto"/>
                    <w:rPr>
                      <w:rFonts w:ascii="Times New Roman"/>
                      <w:color w:val="auto"/>
                      <w:sz w:val="21"/>
                      <w:szCs w:val="21"/>
                      <w:highlight w:val="none"/>
                    </w:rPr>
                  </w:pPr>
                  <w:r>
                    <w:rPr>
                      <w:rFonts w:ascii="Times New Roman"/>
                      <w:color w:val="auto"/>
                      <w:sz w:val="21"/>
                      <w:szCs w:val="21"/>
                      <w:highlight w:val="none"/>
                    </w:rPr>
                    <w:t>标准值</w:t>
                  </w:r>
                </w:p>
              </w:tc>
              <w:tc>
                <w:tcPr>
                  <w:tcW w:w="2476" w:type="dxa"/>
                  <w:vMerge w:val="restart"/>
                  <w:tcBorders>
                    <w:tl2br w:val="nil"/>
                    <w:tr2bl w:val="nil"/>
                  </w:tcBorders>
                  <w:noWrap w:val="0"/>
                  <w:vAlign w:val="center"/>
                </w:tcPr>
                <w:p>
                  <w:pPr>
                    <w:pageBreakBefore w:val="0"/>
                    <w:kinsoku/>
                    <w:wordWrap/>
                    <w:overflowPunct/>
                    <w:topLinePunct w:val="0"/>
                    <w:autoSpaceDE/>
                    <w:autoSpaceDN/>
                    <w:bidi w:val="0"/>
                    <w:spacing w:before="78" w:beforeLines="25" w:line="360" w:lineRule="auto"/>
                    <w:jc w:val="center"/>
                    <w:textAlignment w:val="auto"/>
                    <w:rPr>
                      <w:rFonts w:ascii="Times New Roman"/>
                      <w:color w:val="auto"/>
                      <w:sz w:val="21"/>
                      <w:szCs w:val="21"/>
                      <w:highlight w:val="none"/>
                    </w:rPr>
                  </w:pPr>
                  <w:r>
                    <w:rPr>
                      <w:rFonts w:ascii="Times New Roman"/>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2635" w:type="dxa"/>
                  <w:tcBorders>
                    <w:tl2br w:val="nil"/>
                    <w:tr2bl w:val="nil"/>
                  </w:tcBorders>
                  <w:noWrap w:val="0"/>
                  <w:vAlign w:val="center"/>
                </w:tcPr>
                <w:p>
                  <w:pPr>
                    <w:pageBreakBefore w:val="0"/>
                    <w:kinsoku/>
                    <w:wordWrap/>
                    <w:overflowPunct/>
                    <w:topLinePunct w:val="0"/>
                    <w:autoSpaceDE/>
                    <w:autoSpaceDN/>
                    <w:bidi w:val="0"/>
                    <w:spacing w:before="78" w:beforeLines="25" w:line="360" w:lineRule="auto"/>
                    <w:jc w:val="center"/>
                    <w:textAlignment w:val="auto"/>
                    <w:rPr>
                      <w:rFonts w:ascii="Times New Roman"/>
                      <w:color w:val="auto"/>
                      <w:sz w:val="21"/>
                      <w:szCs w:val="21"/>
                      <w:highlight w:val="none"/>
                    </w:rPr>
                  </w:pPr>
                  <w:r>
                    <w:rPr>
                      <w:rFonts w:ascii="Times New Roman"/>
                      <w:color w:val="auto"/>
                      <w:sz w:val="21"/>
                      <w:szCs w:val="21"/>
                      <w:highlight w:val="none"/>
                    </w:rPr>
                    <w:t>昼间</w:t>
                  </w:r>
                </w:p>
              </w:tc>
              <w:tc>
                <w:tcPr>
                  <w:tcW w:w="2808" w:type="dxa"/>
                  <w:tcBorders>
                    <w:tl2br w:val="nil"/>
                    <w:tr2bl w:val="nil"/>
                  </w:tcBorders>
                  <w:noWrap w:val="0"/>
                  <w:vAlign w:val="center"/>
                </w:tcPr>
                <w:p>
                  <w:pPr>
                    <w:pageBreakBefore w:val="0"/>
                    <w:kinsoku/>
                    <w:wordWrap/>
                    <w:overflowPunct/>
                    <w:topLinePunct w:val="0"/>
                    <w:autoSpaceDE/>
                    <w:autoSpaceDN/>
                    <w:bidi w:val="0"/>
                    <w:spacing w:before="78" w:beforeLines="25" w:line="360" w:lineRule="auto"/>
                    <w:jc w:val="center"/>
                    <w:textAlignment w:val="auto"/>
                    <w:rPr>
                      <w:rFonts w:ascii="Times New Roman"/>
                      <w:color w:val="auto"/>
                      <w:sz w:val="21"/>
                      <w:szCs w:val="21"/>
                      <w:highlight w:val="none"/>
                    </w:rPr>
                  </w:pPr>
                  <w:r>
                    <w:rPr>
                      <w:rFonts w:ascii="Times New Roman"/>
                      <w:color w:val="auto"/>
                      <w:sz w:val="21"/>
                      <w:szCs w:val="21"/>
                      <w:highlight w:val="none"/>
                    </w:rPr>
                    <w:t>夜间</w:t>
                  </w:r>
                </w:p>
              </w:tc>
              <w:tc>
                <w:tcPr>
                  <w:tcW w:w="2476" w:type="dxa"/>
                  <w:vMerge w:val="continue"/>
                  <w:tcBorders>
                    <w:tl2br w:val="nil"/>
                    <w:tr2bl w:val="nil"/>
                  </w:tcBorders>
                  <w:noWrap w:val="0"/>
                  <w:vAlign w:val="top"/>
                </w:tcPr>
                <w:p>
                  <w:pPr>
                    <w:pageBreakBefore w:val="0"/>
                    <w:kinsoku/>
                    <w:wordWrap/>
                    <w:overflowPunct/>
                    <w:topLinePunct w:val="0"/>
                    <w:autoSpaceDE/>
                    <w:autoSpaceDN/>
                    <w:bidi w:val="0"/>
                    <w:spacing w:before="78" w:beforeLines="25" w:line="360" w:lineRule="auto"/>
                    <w:jc w:val="center"/>
                    <w:textAlignment w:val="auto"/>
                    <w:rPr>
                      <w:rFonts w:ascii="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2635" w:type="dxa"/>
                  <w:tcBorders>
                    <w:tl2br w:val="nil"/>
                    <w:tr2bl w:val="nil"/>
                  </w:tcBorders>
                  <w:noWrap w:val="0"/>
                  <w:vAlign w:val="center"/>
                </w:tcPr>
                <w:p>
                  <w:pPr>
                    <w:pageBreakBefore w:val="0"/>
                    <w:kinsoku/>
                    <w:wordWrap/>
                    <w:overflowPunct/>
                    <w:topLinePunct w:val="0"/>
                    <w:autoSpaceDE/>
                    <w:autoSpaceDN/>
                    <w:bidi w:val="0"/>
                    <w:spacing w:before="78" w:beforeLines="25" w:line="360" w:lineRule="auto"/>
                    <w:jc w:val="center"/>
                    <w:textAlignment w:val="auto"/>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70</w:t>
                  </w:r>
                </w:p>
              </w:tc>
              <w:tc>
                <w:tcPr>
                  <w:tcW w:w="2808" w:type="dxa"/>
                  <w:tcBorders>
                    <w:tl2br w:val="nil"/>
                    <w:tr2bl w:val="nil"/>
                  </w:tcBorders>
                  <w:noWrap w:val="0"/>
                  <w:vAlign w:val="center"/>
                </w:tcPr>
                <w:p>
                  <w:pPr>
                    <w:pageBreakBefore w:val="0"/>
                    <w:kinsoku/>
                    <w:wordWrap/>
                    <w:overflowPunct/>
                    <w:topLinePunct w:val="0"/>
                    <w:autoSpaceDE/>
                    <w:autoSpaceDN/>
                    <w:bidi w:val="0"/>
                    <w:spacing w:before="78" w:beforeLines="25" w:line="360" w:lineRule="auto"/>
                    <w:jc w:val="center"/>
                    <w:textAlignment w:val="auto"/>
                    <w:rPr>
                      <w:rFonts w:ascii="Times New Roman"/>
                      <w:color w:val="auto"/>
                      <w:sz w:val="21"/>
                      <w:szCs w:val="21"/>
                      <w:highlight w:val="none"/>
                    </w:rPr>
                  </w:pPr>
                  <w:r>
                    <w:rPr>
                      <w:rFonts w:ascii="Times New Roman"/>
                      <w:color w:val="auto"/>
                      <w:sz w:val="21"/>
                      <w:szCs w:val="21"/>
                      <w:highlight w:val="none"/>
                    </w:rPr>
                    <w:t>55</w:t>
                  </w:r>
                </w:p>
              </w:tc>
              <w:tc>
                <w:tcPr>
                  <w:tcW w:w="2476" w:type="dxa"/>
                  <w:tcBorders>
                    <w:tl2br w:val="nil"/>
                    <w:tr2bl w:val="nil"/>
                  </w:tcBorders>
                  <w:noWrap w:val="0"/>
                  <w:vAlign w:val="top"/>
                </w:tcPr>
                <w:p>
                  <w:pPr>
                    <w:pageBreakBefore w:val="0"/>
                    <w:kinsoku/>
                    <w:wordWrap/>
                    <w:overflowPunct/>
                    <w:topLinePunct w:val="0"/>
                    <w:autoSpaceDE/>
                    <w:autoSpaceDN/>
                    <w:bidi w:val="0"/>
                    <w:spacing w:before="78" w:beforeLines="25" w:line="360" w:lineRule="auto"/>
                    <w:jc w:val="center"/>
                    <w:textAlignment w:val="auto"/>
                    <w:rPr>
                      <w:rFonts w:hint="eastAsia" w:ascii="Times New Roman" w:eastAsia="宋体"/>
                      <w:color w:val="auto"/>
                      <w:sz w:val="21"/>
                      <w:szCs w:val="21"/>
                      <w:highlight w:val="none"/>
                      <w:lang w:eastAsia="zh-CN"/>
                    </w:rPr>
                  </w:pPr>
                  <w:r>
                    <w:rPr>
                      <w:rFonts w:hint="eastAsia"/>
                      <w:color w:val="auto"/>
                      <w:sz w:val="21"/>
                      <w:szCs w:val="21"/>
                      <w:highlight w:val="none"/>
                      <w:lang w:eastAsia="zh-CN"/>
                    </w:rPr>
                    <w:t>场界</w:t>
                  </w:r>
                </w:p>
              </w:tc>
            </w:tr>
          </w:tbl>
          <w:p>
            <w:pPr>
              <w:pStyle w:val="41"/>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center"/>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表3.1</w:t>
            </w:r>
            <w:r>
              <w:rPr>
                <w:rFonts w:hint="eastAsia" w:ascii="宋体" w:hAnsi="宋体" w:cs="宋体"/>
                <w:b/>
                <w:bCs w:val="0"/>
                <w:color w:val="auto"/>
                <w:sz w:val="24"/>
                <w:szCs w:val="24"/>
                <w:highlight w:val="none"/>
                <w:lang w:val="en-US" w:eastAsia="zh-CN"/>
              </w:rPr>
              <w:t>0</w:t>
            </w:r>
            <w:r>
              <w:rPr>
                <w:rFonts w:hint="eastAsia" w:ascii="宋体" w:hAnsi="宋体" w:eastAsia="宋体" w:cs="宋体"/>
                <w:b/>
                <w:bCs w:val="0"/>
                <w:color w:val="auto"/>
                <w:sz w:val="24"/>
                <w:szCs w:val="24"/>
                <w:highlight w:val="none"/>
                <w:lang w:val="en-US" w:eastAsia="zh-CN"/>
              </w:rPr>
              <w:t>工业企业</w:t>
            </w:r>
            <w:r>
              <w:rPr>
                <w:rFonts w:hint="eastAsia" w:ascii="宋体" w:hAnsi="宋体" w:cs="宋体"/>
                <w:b/>
                <w:bCs w:val="0"/>
                <w:color w:val="auto"/>
                <w:sz w:val="24"/>
                <w:szCs w:val="24"/>
                <w:highlight w:val="none"/>
                <w:lang w:val="en-US" w:eastAsia="zh-CN"/>
              </w:rPr>
              <w:t>场界</w:t>
            </w:r>
            <w:r>
              <w:rPr>
                <w:rFonts w:hint="eastAsia" w:ascii="宋体" w:hAnsi="宋体" w:eastAsia="宋体" w:cs="宋体"/>
                <w:b/>
                <w:bCs w:val="0"/>
                <w:color w:val="auto"/>
                <w:sz w:val="24"/>
                <w:szCs w:val="24"/>
                <w:highlight w:val="none"/>
                <w:lang w:val="en-US" w:eastAsia="zh-CN"/>
              </w:rPr>
              <w:t>环境噪声排放标准  单位：LeqdB(A)</w:t>
            </w:r>
          </w:p>
          <w:tbl>
            <w:tblPr>
              <w:tblStyle w:val="29"/>
              <w:tblW w:w="7966"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
            <w:tblGrid>
              <w:gridCol w:w="2811"/>
              <w:gridCol w:w="2811"/>
              <w:gridCol w:w="2344"/>
            </w:tblGrid>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PrEx>
              <w:trPr>
                <w:trHeight w:val="369" w:hRule="atLeast"/>
                <w:jc w:val="center"/>
              </w:trPr>
              <w:tc>
                <w:tcPr>
                  <w:tcW w:w="2811" w:type="dxa"/>
                  <w:tcBorders>
                    <w:tl2br w:val="nil"/>
                    <w:tr2bl w:val="nil"/>
                  </w:tcBorders>
                  <w:vAlign w:val="center"/>
                </w:tcPr>
                <w:p>
                  <w:pPr>
                    <w:pageBreakBefore w:val="0"/>
                    <w:tabs>
                      <w:tab w:val="left" w:pos="3915"/>
                      <w:tab w:val="left" w:pos="4200"/>
                      <w:tab w:val="left" w:pos="4620"/>
                      <w:tab w:val="left" w:pos="5445"/>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执行标准</w:t>
                  </w:r>
                </w:p>
              </w:tc>
              <w:tc>
                <w:tcPr>
                  <w:tcW w:w="2811" w:type="dxa"/>
                  <w:tcBorders>
                    <w:tl2br w:val="nil"/>
                    <w:tr2bl w:val="nil"/>
                  </w:tcBorders>
                  <w:vAlign w:val="center"/>
                </w:tcPr>
                <w:p>
                  <w:pPr>
                    <w:pageBreakBefore w:val="0"/>
                    <w:tabs>
                      <w:tab w:val="left" w:pos="3915"/>
                      <w:tab w:val="left" w:pos="4200"/>
                      <w:tab w:val="left" w:pos="4620"/>
                      <w:tab w:val="left" w:pos="5445"/>
                    </w:tabs>
                    <w:kinsoku/>
                    <w:wordWrap/>
                    <w:overflowPunct/>
                    <w:topLinePunct w:val="0"/>
                    <w:autoSpaceDE/>
                    <w:autoSpaceDN/>
                    <w:bidi w:val="0"/>
                    <w:adjustRightInd w:val="0"/>
                    <w:snapToGrid w:val="0"/>
                    <w:spacing w:line="360" w:lineRule="auto"/>
                    <w:ind w:left="0" w:leftChars="0" w:firstLine="0" w:firstLineChars="0"/>
                    <w:jc w:val="center"/>
                    <w:textAlignment w:val="auto"/>
                    <w:rPr>
                      <w:b w:val="0"/>
                      <w:bCs w:val="0"/>
                      <w:color w:val="auto"/>
                      <w:sz w:val="21"/>
                      <w:szCs w:val="21"/>
                      <w:highlight w:val="none"/>
                    </w:rPr>
                  </w:pPr>
                  <w:r>
                    <w:rPr>
                      <w:b w:val="0"/>
                      <w:bCs w:val="0"/>
                      <w:color w:val="auto"/>
                      <w:sz w:val="21"/>
                      <w:szCs w:val="21"/>
                      <w:highlight w:val="none"/>
                    </w:rPr>
                    <w:t>昼间</w:t>
                  </w:r>
                </w:p>
              </w:tc>
              <w:tc>
                <w:tcPr>
                  <w:tcW w:w="2344" w:type="dxa"/>
                  <w:tcBorders>
                    <w:tl2br w:val="nil"/>
                    <w:tr2bl w:val="nil"/>
                  </w:tcBorders>
                  <w:vAlign w:val="center"/>
                </w:tcPr>
                <w:p>
                  <w:pPr>
                    <w:pageBreakBefore w:val="0"/>
                    <w:tabs>
                      <w:tab w:val="left" w:pos="3915"/>
                      <w:tab w:val="left" w:pos="4200"/>
                      <w:tab w:val="left" w:pos="4620"/>
                      <w:tab w:val="left" w:pos="5445"/>
                    </w:tabs>
                    <w:kinsoku/>
                    <w:wordWrap/>
                    <w:overflowPunct/>
                    <w:topLinePunct w:val="0"/>
                    <w:autoSpaceDE/>
                    <w:autoSpaceDN/>
                    <w:bidi w:val="0"/>
                    <w:adjustRightInd w:val="0"/>
                    <w:snapToGrid w:val="0"/>
                    <w:spacing w:line="360" w:lineRule="auto"/>
                    <w:ind w:left="0" w:leftChars="0" w:firstLine="0" w:firstLineChars="0"/>
                    <w:jc w:val="center"/>
                    <w:textAlignment w:val="auto"/>
                    <w:rPr>
                      <w:b w:val="0"/>
                      <w:bCs w:val="0"/>
                      <w:color w:val="auto"/>
                      <w:sz w:val="21"/>
                      <w:szCs w:val="21"/>
                      <w:highlight w:val="none"/>
                    </w:rPr>
                  </w:pPr>
                  <w:r>
                    <w:rPr>
                      <w:b w:val="0"/>
                      <w:bCs w:val="0"/>
                      <w:color w:val="auto"/>
                      <w:sz w:val="21"/>
                      <w:szCs w:val="21"/>
                      <w:highlight w:val="none"/>
                    </w:rPr>
                    <w:t>夜间</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PrEx>
              <w:trPr>
                <w:trHeight w:val="369" w:hRule="atLeast"/>
                <w:jc w:val="center"/>
              </w:trPr>
              <w:tc>
                <w:tcPr>
                  <w:tcW w:w="2811" w:type="dxa"/>
                  <w:tcBorders>
                    <w:tl2br w:val="nil"/>
                    <w:tr2bl w:val="nil"/>
                  </w:tcBorders>
                  <w:vAlign w:val="center"/>
                </w:tcPr>
                <w:p>
                  <w:pPr>
                    <w:pageBreakBefore w:val="0"/>
                    <w:tabs>
                      <w:tab w:val="left" w:pos="3915"/>
                      <w:tab w:val="left" w:pos="4200"/>
                      <w:tab w:val="left" w:pos="4620"/>
                      <w:tab w:val="left" w:pos="5445"/>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2类</w:t>
                  </w:r>
                </w:p>
              </w:tc>
              <w:tc>
                <w:tcPr>
                  <w:tcW w:w="2811" w:type="dxa"/>
                  <w:tcBorders>
                    <w:tl2br w:val="nil"/>
                    <w:tr2bl w:val="nil"/>
                  </w:tcBorders>
                  <w:vAlign w:val="center"/>
                </w:tcPr>
                <w:p>
                  <w:pPr>
                    <w:pageBreakBefore w:val="0"/>
                    <w:tabs>
                      <w:tab w:val="left" w:pos="3915"/>
                      <w:tab w:val="left" w:pos="4200"/>
                      <w:tab w:val="left" w:pos="4620"/>
                      <w:tab w:val="left" w:pos="5445"/>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60</w:t>
                  </w:r>
                </w:p>
              </w:tc>
              <w:tc>
                <w:tcPr>
                  <w:tcW w:w="2344" w:type="dxa"/>
                  <w:tcBorders>
                    <w:tl2br w:val="nil"/>
                    <w:tr2bl w:val="nil"/>
                  </w:tcBorders>
                  <w:vAlign w:val="center"/>
                </w:tcPr>
                <w:p>
                  <w:pPr>
                    <w:pageBreakBefore w:val="0"/>
                    <w:tabs>
                      <w:tab w:val="left" w:pos="3915"/>
                      <w:tab w:val="left" w:pos="4200"/>
                      <w:tab w:val="left" w:pos="4620"/>
                      <w:tab w:val="left" w:pos="5445"/>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50</w:t>
                  </w:r>
                </w:p>
              </w:tc>
            </w:tr>
          </w:tbl>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.4 固体废物</w:t>
            </w:r>
          </w:p>
          <w:p>
            <w:pPr>
              <w:pageBreakBefore w:val="0"/>
              <w:kinsoku/>
              <w:wordWrap/>
              <w:overflowPunct/>
              <w:topLinePunct w:val="0"/>
              <w:autoSpaceDE/>
              <w:autoSpaceDN/>
              <w:bidi w:val="0"/>
              <w:spacing w:line="360" w:lineRule="auto"/>
              <w:ind w:firstLine="482"/>
              <w:textAlignment w:val="auto"/>
              <w:rPr>
                <w:rFonts w:hint="default"/>
                <w:color w:val="auto"/>
                <w:highlight w:val="none"/>
                <w:lang w:val="en-US" w:eastAsia="zh-CN"/>
              </w:rPr>
            </w:pPr>
            <w:r>
              <w:rPr>
                <w:rFonts w:hint="default"/>
                <w:color w:val="auto"/>
                <w:highlight w:val="none"/>
                <w:lang w:val="en-US" w:eastAsia="zh-CN"/>
              </w:rPr>
              <w:t>1、医疗废物</w:t>
            </w:r>
          </w:p>
          <w:p>
            <w:pPr>
              <w:pageBreakBefore w:val="0"/>
              <w:kinsoku/>
              <w:wordWrap/>
              <w:overflowPunct/>
              <w:topLinePunct w:val="0"/>
              <w:autoSpaceDE/>
              <w:autoSpaceDN/>
              <w:bidi w:val="0"/>
              <w:spacing w:line="360" w:lineRule="auto"/>
              <w:ind w:firstLine="482"/>
              <w:textAlignment w:val="auto"/>
              <w:rPr>
                <w:rFonts w:hint="default"/>
                <w:color w:val="auto"/>
                <w:highlight w:val="none"/>
                <w:lang w:val="en-US" w:eastAsia="zh-CN"/>
              </w:rPr>
            </w:pPr>
            <w:r>
              <w:rPr>
                <w:rFonts w:hint="eastAsia"/>
                <w:color w:val="auto"/>
                <w:highlight w:val="none"/>
                <w:lang w:val="en-US" w:eastAsia="zh-CN"/>
              </w:rPr>
              <w:t xml:space="preserve">医疗废物按《医疗废物管理条例》、《医疗卫生机构医疗废物管理办法》 </w:t>
            </w:r>
          </w:p>
          <w:p>
            <w:pPr>
              <w:pageBreakBefore w:val="0"/>
              <w:kinsoku/>
              <w:wordWrap/>
              <w:overflowPunct/>
              <w:topLinePunct w:val="0"/>
              <w:autoSpaceDE/>
              <w:autoSpaceDN/>
              <w:bidi w:val="0"/>
              <w:spacing w:line="360" w:lineRule="auto"/>
              <w:ind w:left="0" w:leftChars="0" w:firstLine="0" w:firstLineChars="0"/>
              <w:textAlignment w:val="auto"/>
              <w:rPr>
                <w:rFonts w:hint="default"/>
                <w:color w:val="auto"/>
                <w:highlight w:val="none"/>
                <w:lang w:val="en-US" w:eastAsia="zh-CN"/>
              </w:rPr>
            </w:pPr>
            <w:r>
              <w:rPr>
                <w:rFonts w:hint="eastAsia"/>
                <w:color w:val="auto"/>
                <w:highlight w:val="none"/>
                <w:lang w:val="en-US" w:eastAsia="zh-CN"/>
              </w:rPr>
              <w:t>和《重庆市人民政府关于进一步加强医疗废物管理的通告》（渝府发〔</w:t>
            </w:r>
            <w:r>
              <w:rPr>
                <w:rFonts w:hint="default"/>
                <w:color w:val="auto"/>
                <w:highlight w:val="none"/>
                <w:lang w:val="en-US" w:eastAsia="zh-CN"/>
              </w:rPr>
              <w:t>2007</w:t>
            </w:r>
            <w:r>
              <w:rPr>
                <w:rFonts w:hint="eastAsia"/>
                <w:color w:val="auto"/>
                <w:highlight w:val="none"/>
                <w:lang w:val="en-US" w:eastAsia="zh-CN"/>
              </w:rPr>
              <w:t xml:space="preserve">〕 </w:t>
            </w:r>
          </w:p>
          <w:p>
            <w:pPr>
              <w:pageBreakBefore w:val="0"/>
              <w:kinsoku/>
              <w:wordWrap/>
              <w:overflowPunct/>
              <w:topLinePunct w:val="0"/>
              <w:autoSpaceDE/>
              <w:autoSpaceDN/>
              <w:bidi w:val="0"/>
              <w:spacing w:line="360" w:lineRule="auto"/>
              <w:ind w:left="0" w:leftChars="0" w:firstLine="0" w:firstLineChars="0"/>
              <w:textAlignment w:val="auto"/>
              <w:rPr>
                <w:rFonts w:hint="default"/>
                <w:color w:val="auto"/>
                <w:highlight w:val="none"/>
                <w:lang w:val="en-US" w:eastAsia="zh-CN"/>
              </w:rPr>
            </w:pPr>
            <w:r>
              <w:rPr>
                <w:rFonts w:hint="default"/>
                <w:color w:val="auto"/>
                <w:highlight w:val="none"/>
                <w:lang w:val="en-US" w:eastAsia="zh-CN"/>
              </w:rPr>
              <w:t xml:space="preserve">71 </w:t>
            </w:r>
            <w:r>
              <w:rPr>
                <w:rFonts w:hint="eastAsia"/>
                <w:color w:val="auto"/>
                <w:highlight w:val="none"/>
                <w:lang w:val="en-US" w:eastAsia="zh-CN"/>
              </w:rPr>
              <w:t xml:space="preserve">号）要求进行收集处置；其贮存按《医疗废物集中处置技术规范（试行）》 </w:t>
            </w:r>
          </w:p>
          <w:p>
            <w:pPr>
              <w:pageBreakBefore w:val="0"/>
              <w:kinsoku/>
              <w:wordWrap/>
              <w:overflowPunct/>
              <w:topLinePunct w:val="0"/>
              <w:autoSpaceDE/>
              <w:autoSpaceDN/>
              <w:bidi w:val="0"/>
              <w:spacing w:line="360" w:lineRule="auto"/>
              <w:ind w:left="0" w:leftChars="0" w:firstLine="0" w:firstLineChars="0"/>
              <w:textAlignment w:val="auto"/>
              <w:rPr>
                <w:rFonts w:hint="default"/>
                <w:color w:val="auto"/>
                <w:highlight w:val="none"/>
                <w:lang w:val="en-US" w:eastAsia="zh-CN"/>
              </w:rPr>
            </w:pPr>
            <w:r>
              <w:rPr>
                <w:rFonts w:hint="eastAsia"/>
                <w:color w:val="auto"/>
                <w:highlight w:val="none"/>
                <w:lang w:val="en-US" w:eastAsia="zh-CN"/>
              </w:rPr>
              <w:t>（环发〔</w:t>
            </w:r>
            <w:r>
              <w:rPr>
                <w:rFonts w:hint="default"/>
                <w:color w:val="auto"/>
                <w:highlight w:val="none"/>
                <w:lang w:val="en-US" w:eastAsia="zh-CN"/>
              </w:rPr>
              <w:t>2003</w:t>
            </w:r>
            <w:r>
              <w:rPr>
                <w:rFonts w:hint="eastAsia"/>
                <w:color w:val="auto"/>
                <w:highlight w:val="none"/>
                <w:lang w:val="en-US" w:eastAsia="zh-CN"/>
              </w:rPr>
              <w:t>〕</w:t>
            </w:r>
            <w:r>
              <w:rPr>
                <w:rFonts w:hint="default"/>
                <w:color w:val="auto"/>
                <w:highlight w:val="none"/>
                <w:lang w:val="en-US" w:eastAsia="zh-CN"/>
              </w:rPr>
              <w:t xml:space="preserve">206 </w:t>
            </w:r>
            <w:r>
              <w:rPr>
                <w:rFonts w:hint="eastAsia"/>
                <w:color w:val="auto"/>
                <w:highlight w:val="none"/>
                <w:lang w:val="en-US" w:eastAsia="zh-CN"/>
              </w:rPr>
              <w:t>号）、《危险废物贮存污染控制标准》（</w:t>
            </w:r>
            <w:r>
              <w:rPr>
                <w:rFonts w:hint="default"/>
                <w:color w:val="auto"/>
                <w:highlight w:val="none"/>
                <w:lang w:val="en-US" w:eastAsia="zh-CN"/>
              </w:rPr>
              <w:t>GB18597-2023</w:t>
            </w:r>
            <w:r>
              <w:rPr>
                <w:rFonts w:hint="eastAsia"/>
                <w:color w:val="auto"/>
                <w:highlight w:val="none"/>
                <w:lang w:val="en-US" w:eastAsia="zh-CN"/>
              </w:rPr>
              <w:t xml:space="preserve">） </w:t>
            </w:r>
          </w:p>
          <w:p>
            <w:pPr>
              <w:pageBreakBefore w:val="0"/>
              <w:kinsoku/>
              <w:wordWrap/>
              <w:overflowPunct/>
              <w:topLinePunct w:val="0"/>
              <w:autoSpaceDE/>
              <w:autoSpaceDN/>
              <w:bidi w:val="0"/>
              <w:spacing w:line="360" w:lineRule="auto"/>
              <w:ind w:left="0" w:leftChars="0" w:firstLine="0" w:firstLineChars="0"/>
              <w:textAlignment w:val="auto"/>
              <w:rPr>
                <w:rFonts w:hint="default"/>
                <w:color w:val="auto"/>
                <w:highlight w:val="none"/>
                <w:lang w:val="en-US" w:eastAsia="zh-CN"/>
              </w:rPr>
            </w:pPr>
            <w:r>
              <w:rPr>
                <w:rFonts w:hint="eastAsia"/>
                <w:color w:val="auto"/>
                <w:highlight w:val="none"/>
                <w:lang w:val="en-US" w:eastAsia="zh-CN"/>
              </w:rPr>
              <w:t xml:space="preserve">执行。 </w:t>
            </w:r>
          </w:p>
          <w:p>
            <w:pPr>
              <w:pageBreakBefore w:val="0"/>
              <w:kinsoku/>
              <w:wordWrap/>
              <w:overflowPunct/>
              <w:topLinePunct w:val="0"/>
              <w:autoSpaceDE/>
              <w:autoSpaceDN/>
              <w:bidi w:val="0"/>
              <w:spacing w:line="360" w:lineRule="auto"/>
              <w:ind w:firstLine="482"/>
              <w:textAlignment w:val="auto"/>
              <w:rPr>
                <w:rFonts w:hint="default"/>
                <w:color w:val="auto"/>
                <w:highlight w:val="none"/>
                <w:lang w:val="en-US" w:eastAsia="zh-CN"/>
              </w:rPr>
            </w:pPr>
            <w:r>
              <w:rPr>
                <w:rFonts w:hint="eastAsia"/>
                <w:color w:val="auto"/>
                <w:highlight w:val="none"/>
                <w:lang w:val="en-US" w:eastAsia="zh-CN"/>
              </w:rPr>
              <w:t>污水处理站污泥执行《医院机构水污染排放标准》（</w:t>
            </w:r>
            <w:r>
              <w:rPr>
                <w:rFonts w:hint="default"/>
                <w:color w:val="auto"/>
                <w:highlight w:val="none"/>
                <w:lang w:val="en-US" w:eastAsia="zh-CN"/>
              </w:rPr>
              <w:t>GB18466</w:t>
            </w:r>
            <w:r>
              <w:rPr>
                <w:rFonts w:hint="eastAsia"/>
                <w:color w:val="auto"/>
                <w:highlight w:val="none"/>
                <w:lang w:val="en-US" w:eastAsia="zh-CN"/>
              </w:rPr>
              <w:t>－</w:t>
            </w:r>
            <w:r>
              <w:rPr>
                <w:rFonts w:hint="default"/>
                <w:color w:val="auto"/>
                <w:highlight w:val="none"/>
                <w:lang w:val="en-US" w:eastAsia="zh-CN"/>
              </w:rPr>
              <w:t>2005</w:t>
            </w:r>
            <w:r>
              <w:rPr>
                <w:rFonts w:hint="eastAsia"/>
                <w:color w:val="auto"/>
                <w:highlight w:val="none"/>
                <w:lang w:val="en-US" w:eastAsia="zh-CN"/>
              </w:rPr>
              <w:t xml:space="preserve">） </w:t>
            </w:r>
          </w:p>
          <w:p>
            <w:pPr>
              <w:pageBreakBefore w:val="0"/>
              <w:kinsoku/>
              <w:wordWrap/>
              <w:overflowPunct/>
              <w:topLinePunct w:val="0"/>
              <w:autoSpaceDE/>
              <w:autoSpaceDN/>
              <w:bidi w:val="0"/>
              <w:spacing w:line="360" w:lineRule="auto"/>
              <w:ind w:left="0" w:leftChars="0" w:firstLine="0" w:firstLineChars="0"/>
              <w:textAlignment w:val="auto"/>
              <w:rPr>
                <w:rFonts w:hint="default"/>
                <w:color w:val="auto"/>
                <w:highlight w:val="none"/>
                <w:lang w:val="en-US" w:eastAsia="zh-CN"/>
              </w:rPr>
            </w:pPr>
            <w:r>
              <w:rPr>
                <w:rFonts w:hint="eastAsia"/>
                <w:color w:val="auto"/>
                <w:highlight w:val="none"/>
                <w:lang w:val="en-US" w:eastAsia="zh-CN"/>
              </w:rPr>
              <w:t xml:space="preserve">中表 </w:t>
            </w:r>
            <w:r>
              <w:rPr>
                <w:rFonts w:hint="default"/>
                <w:color w:val="auto"/>
                <w:highlight w:val="none"/>
                <w:lang w:val="en-US" w:eastAsia="zh-CN"/>
              </w:rPr>
              <w:t xml:space="preserve">4 </w:t>
            </w:r>
            <w:r>
              <w:rPr>
                <w:rFonts w:hint="eastAsia"/>
                <w:color w:val="auto"/>
                <w:highlight w:val="none"/>
                <w:lang w:val="en-US" w:eastAsia="zh-CN"/>
              </w:rPr>
              <w:t>医疗机构污泥控制排放标准要求，具体标准值详见表</w:t>
            </w:r>
            <w:r>
              <w:rPr>
                <w:rFonts w:hint="default"/>
                <w:color w:val="auto"/>
                <w:highlight w:val="none"/>
                <w:lang w:val="en-US" w:eastAsia="zh-CN"/>
              </w:rPr>
              <w:t>3</w:t>
            </w:r>
            <w:r>
              <w:rPr>
                <w:rFonts w:hint="eastAsia"/>
                <w:color w:val="auto"/>
                <w:highlight w:val="none"/>
                <w:lang w:val="en-US" w:eastAsia="zh-CN"/>
              </w:rPr>
              <w:t>.11。</w:t>
            </w:r>
          </w:p>
          <w:p>
            <w:pPr>
              <w:pStyle w:val="41"/>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center"/>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表3.1</w:t>
            </w:r>
            <w:r>
              <w:rPr>
                <w:rFonts w:hint="eastAsia" w:ascii="宋体" w:hAnsi="宋体" w:cs="宋体"/>
                <w:b/>
                <w:bCs w:val="0"/>
                <w:color w:val="auto"/>
                <w:sz w:val="24"/>
                <w:szCs w:val="24"/>
                <w:highlight w:val="none"/>
                <w:lang w:val="en-US" w:eastAsia="zh-CN"/>
              </w:rPr>
              <w:t>1</w:t>
            </w:r>
            <w:r>
              <w:rPr>
                <w:rFonts w:hint="eastAsia" w:ascii="宋体" w:hAnsi="宋体" w:eastAsia="宋体" w:cs="宋体"/>
                <w:b/>
                <w:bCs w:val="0"/>
                <w:color w:val="auto"/>
                <w:sz w:val="24"/>
                <w:szCs w:val="24"/>
                <w:highlight w:val="none"/>
                <w:lang w:val="en-US" w:eastAsia="zh-CN"/>
              </w:rPr>
              <w:t xml:space="preserve">  医疗机构污泥控制标准</w:t>
            </w:r>
          </w:p>
          <w:tbl>
            <w:tblPr>
              <w:tblStyle w:val="29"/>
              <w:tblW w:w="79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1583"/>
              <w:gridCol w:w="1333"/>
              <w:gridCol w:w="1134"/>
              <w:gridCol w:w="1083"/>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jc w:val="center"/>
              </w:trPr>
              <w:tc>
                <w:tcPr>
                  <w:tcW w:w="1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医疗机构类别</w:t>
                  </w:r>
                </w:p>
              </w:tc>
              <w:tc>
                <w:tcPr>
                  <w:tcW w:w="1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粪大肠菌群数MPN/g</w:t>
                  </w:r>
                </w:p>
              </w:tc>
              <w:tc>
                <w:tcPr>
                  <w:tcW w:w="13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肠道致病菌</w:t>
                  </w:r>
                </w:p>
              </w:tc>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肠道病毒</w:t>
                  </w:r>
                </w:p>
              </w:tc>
              <w:tc>
                <w:tcPr>
                  <w:tcW w:w="10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结核杆菌</w:t>
                  </w:r>
                </w:p>
              </w:tc>
              <w:tc>
                <w:tcPr>
                  <w:tcW w:w="1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蛔虫卵死亡率%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综合医疗机构和其他医疗机构</w:t>
                  </w:r>
                </w:p>
              </w:tc>
              <w:tc>
                <w:tcPr>
                  <w:tcW w:w="1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w:t>
                  </w:r>
                </w:p>
              </w:tc>
              <w:tc>
                <w:tcPr>
                  <w:tcW w:w="13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0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＞95</w:t>
                  </w:r>
                </w:p>
              </w:tc>
            </w:tr>
          </w:tbl>
          <w:p>
            <w:pPr>
              <w:keepNext w:val="0"/>
              <w:keepLines w:val="0"/>
              <w:widowControl/>
              <w:suppressLineNumbers w:val="0"/>
              <w:jc w:val="left"/>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bidi="ar"/>
              </w:rPr>
              <w:t xml:space="preserve">按照《重庆市环境保护局重庆市卫生和计划生育委员会关于印发〈医疗 </w:t>
            </w:r>
          </w:p>
          <w:p>
            <w:pPr>
              <w:keepNext w:val="0"/>
              <w:keepLines w:val="0"/>
              <w:widowControl/>
              <w:suppressLineNumbers w:val="0"/>
              <w:ind w:left="0" w:leftChars="0" w:firstLine="0" w:firstLineChars="0"/>
              <w:jc w:val="left"/>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bidi="ar"/>
              </w:rPr>
              <w:t>废物分类处置指南（试行）〉的通知》（渝环〔2016〕453号）要求：“医疗废水处理污泥属于感染性废物，应首先在产生地点进行化学消毒处理后可参 照市政污泥进行处置。”本项目污水处理设施污泥委托专业资质单位定期清掏和处置，并采用石灰消毒处理。</w:t>
            </w:r>
          </w:p>
          <w:p>
            <w:pPr>
              <w:pageBreakBefore w:val="0"/>
              <w:kinsoku/>
              <w:wordWrap/>
              <w:overflowPunct/>
              <w:topLinePunct w:val="0"/>
              <w:autoSpaceDE/>
              <w:autoSpaceDN/>
              <w:bidi w:val="0"/>
              <w:spacing w:line="360" w:lineRule="auto"/>
              <w:ind w:firstLine="482"/>
              <w:textAlignment w:val="auto"/>
              <w:rPr>
                <w:rFonts w:hint="default"/>
                <w:color w:val="auto"/>
                <w:highlight w:val="none"/>
                <w:lang w:val="en-US" w:eastAsia="zh-CN"/>
              </w:rPr>
            </w:pPr>
            <w:r>
              <w:rPr>
                <w:rFonts w:hint="default"/>
                <w:color w:val="auto"/>
                <w:highlight w:val="none"/>
                <w:lang w:val="en-US" w:eastAsia="zh-CN"/>
              </w:rPr>
              <w:t>2、危险废物</w:t>
            </w:r>
          </w:p>
          <w:p>
            <w:pPr>
              <w:pageBreakBefore w:val="0"/>
              <w:kinsoku/>
              <w:wordWrap/>
              <w:overflowPunct/>
              <w:topLinePunct w:val="0"/>
              <w:autoSpaceDE/>
              <w:autoSpaceDN/>
              <w:bidi w:val="0"/>
              <w:spacing w:line="360" w:lineRule="auto"/>
              <w:ind w:firstLine="482"/>
              <w:textAlignment w:val="auto"/>
              <w:rPr>
                <w:rFonts w:hint="default"/>
                <w:color w:val="auto"/>
                <w:highlight w:val="none"/>
                <w:lang w:val="en-US" w:eastAsia="zh-CN"/>
              </w:rPr>
            </w:pPr>
            <w:r>
              <w:rPr>
                <w:rFonts w:hint="default"/>
                <w:color w:val="auto"/>
                <w:highlight w:val="none"/>
                <w:lang w:val="en-US" w:eastAsia="zh-CN"/>
              </w:rPr>
              <w:t>严格按照《危险废物贮存污染控制标准》（GB18597-20</w:t>
            </w:r>
            <w:r>
              <w:rPr>
                <w:rFonts w:hint="eastAsia"/>
                <w:color w:val="auto"/>
                <w:highlight w:val="none"/>
                <w:lang w:val="en-US" w:eastAsia="zh-CN"/>
              </w:rPr>
              <w:t>23</w:t>
            </w:r>
            <w:r>
              <w:rPr>
                <w:rFonts w:hint="default"/>
                <w:color w:val="auto"/>
                <w:highlight w:val="none"/>
                <w:lang w:val="en-US" w:eastAsia="zh-CN"/>
              </w:rPr>
              <w:t>）</w:t>
            </w:r>
            <w:r>
              <w:rPr>
                <w:rFonts w:hint="eastAsia"/>
                <w:color w:val="auto"/>
                <w:highlight w:val="none"/>
                <w:lang w:val="en-US" w:eastAsia="zh-CN"/>
              </w:rPr>
              <w:t>执行</w:t>
            </w:r>
            <w:r>
              <w:rPr>
                <w:rFonts w:hint="default"/>
                <w:color w:val="auto"/>
                <w:highlight w:val="none"/>
                <w:lang w:val="en-US" w:eastAsia="zh-CN"/>
              </w:rPr>
              <w:t>。</w:t>
            </w:r>
          </w:p>
          <w:p>
            <w:pPr>
              <w:pageBreakBefore w:val="0"/>
              <w:kinsoku/>
              <w:wordWrap/>
              <w:overflowPunct/>
              <w:topLinePunct w:val="0"/>
              <w:autoSpaceDE/>
              <w:autoSpaceDN/>
              <w:bidi w:val="0"/>
              <w:spacing w:line="360" w:lineRule="auto"/>
              <w:ind w:firstLine="482"/>
              <w:textAlignment w:val="auto"/>
              <w:rPr>
                <w:rFonts w:hint="default"/>
                <w:color w:val="auto"/>
                <w:highlight w:val="none"/>
                <w:lang w:val="en-US" w:eastAsia="zh-CN"/>
              </w:rPr>
            </w:pPr>
            <w:r>
              <w:rPr>
                <w:rFonts w:hint="default"/>
                <w:color w:val="auto"/>
                <w:highlight w:val="none"/>
                <w:lang w:val="en-US" w:eastAsia="zh-CN"/>
              </w:rPr>
              <w:t>3、一般固废</w:t>
            </w:r>
          </w:p>
          <w:p>
            <w:pPr>
              <w:pageBreakBefore w:val="0"/>
              <w:kinsoku/>
              <w:wordWrap/>
              <w:overflowPunct/>
              <w:topLinePunct w:val="0"/>
              <w:autoSpaceDE/>
              <w:autoSpaceDN/>
              <w:bidi w:val="0"/>
              <w:spacing w:line="360" w:lineRule="auto"/>
              <w:ind w:firstLine="482"/>
              <w:textAlignment w:val="auto"/>
              <w:rPr>
                <w:rFonts w:hint="default"/>
                <w:color w:val="auto"/>
                <w:highlight w:val="none"/>
                <w:lang w:val="en-US" w:eastAsia="zh-CN"/>
              </w:rPr>
            </w:pPr>
            <w:r>
              <w:rPr>
                <w:rFonts w:hint="default"/>
                <w:color w:val="auto"/>
                <w:highlight w:val="none"/>
                <w:lang w:val="en-US" w:eastAsia="zh-CN"/>
              </w:rPr>
              <w:t>本项目设置一般固体废物暂存间，其贮存过程应满足相应防渗漏、防雨淋、防扬尘等环境保护要求</w:t>
            </w:r>
            <w:r>
              <w:rPr>
                <w:rFonts w:hint="eastAsia"/>
                <w:color w:val="auto"/>
                <w:highlight w:val="none"/>
                <w:lang w:val="en-US" w:eastAsia="zh-CN"/>
              </w:rPr>
              <w:t>。</w:t>
            </w:r>
          </w:p>
          <w:p>
            <w:pPr>
              <w:pageBreakBefore w:val="0"/>
              <w:kinsoku/>
              <w:wordWrap/>
              <w:overflowPunct/>
              <w:topLinePunct w:val="0"/>
              <w:autoSpaceDE/>
              <w:autoSpaceDN/>
              <w:bidi w:val="0"/>
              <w:spacing w:line="360" w:lineRule="auto"/>
              <w:ind w:firstLine="482"/>
              <w:textAlignment w:val="auto"/>
              <w:rPr>
                <w:rFonts w:hint="default"/>
                <w:color w:val="auto"/>
                <w:highlight w:val="none"/>
                <w:lang w:val="en-US" w:eastAsia="zh-CN"/>
              </w:rPr>
            </w:pPr>
            <w:r>
              <w:rPr>
                <w:rFonts w:hint="eastAsia"/>
                <w:color w:val="auto"/>
                <w:highlight w:val="none"/>
                <w:lang w:val="en-US" w:eastAsia="zh-CN"/>
              </w:rPr>
              <w:t>4、废水处理设施污泥</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color w:val="auto"/>
                <w:highlight w:val="none"/>
              </w:rPr>
            </w:pPr>
            <w:r>
              <w:rPr>
                <w:rFonts w:hint="default"/>
                <w:color w:val="auto"/>
                <w:highlight w:val="none"/>
                <w:lang w:val="en-US" w:eastAsia="zh-CN"/>
              </w:rPr>
              <w:t>污水处理站的污泥执行《医疗机构水污染物排放标准》（GB18466-2005）中医疗机构污泥控制标准。生活垃圾实行分类收集，</w:t>
            </w:r>
            <w:r>
              <w:rPr>
                <w:rFonts w:hint="eastAsia"/>
                <w:color w:val="auto"/>
                <w:highlight w:val="none"/>
                <w:lang w:val="en-US" w:eastAsia="zh-CN"/>
              </w:rPr>
              <w:t>由</w:t>
            </w:r>
            <w:r>
              <w:rPr>
                <w:rFonts w:hint="default"/>
                <w:color w:val="auto"/>
                <w:highlight w:val="none"/>
                <w:lang w:val="en-US" w:eastAsia="zh-CN"/>
              </w:rPr>
              <w:t>市政环卫部门统一清运处置</w:t>
            </w:r>
            <w:r>
              <w:rPr>
                <w:rFonts w:hint="eastAsia"/>
                <w:color w:val="auto"/>
                <w:highlight w:val="none"/>
              </w:rPr>
              <w:t>。</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电离辐射</w:t>
            </w:r>
          </w:p>
          <w:p>
            <w:pPr>
              <w:keepNext w:val="0"/>
              <w:keepLines w:val="0"/>
              <w:widowControl/>
              <w:suppressLineNumbers w:val="0"/>
              <w:ind w:firstLine="720" w:firstLineChars="300"/>
              <w:jc w:val="left"/>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bidi="ar"/>
              </w:rPr>
              <w:t>本评价综合参照执行《电离辐射防护与辐射源安全基本标准》（GB18871-2002）、《医用X射线诊断放射防护要求》（GBZ130－2013）等确定本项目放射工作人员、公众人员的年有效剂量管理目标值、年有效剂量约束值、机房防护体表面的周围剂量当量率控制值等见表3.12。</w:t>
            </w:r>
          </w:p>
          <w:p>
            <w:pPr>
              <w:pStyle w:val="10"/>
              <w:keepNext w:val="0"/>
              <w:keepLines w:val="0"/>
              <w:pageBreakBefore w:val="0"/>
              <w:widowControl/>
              <w:tabs>
                <w:tab w:val="left" w:pos="1759"/>
              </w:tabs>
              <w:kinsoku/>
              <w:wordWrap/>
              <w:overflowPunct/>
              <w:topLinePunct w:val="0"/>
              <w:autoSpaceDE/>
              <w:autoSpaceDN/>
              <w:bidi w:val="0"/>
              <w:adjustRightInd/>
              <w:snapToGrid w:val="0"/>
              <w:spacing w:after="26" w:line="240" w:lineRule="auto"/>
              <w:ind w:left="482" w:right="113"/>
              <w:jc w:val="center"/>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b/>
                <w:bCs w:val="0"/>
                <w:color w:val="auto"/>
                <w:kern w:val="2"/>
                <w:sz w:val="24"/>
                <w:szCs w:val="24"/>
                <w:highlight w:val="none"/>
                <w:lang w:val="en-US" w:eastAsia="zh-CN" w:bidi="ar-SA"/>
              </w:rPr>
              <w:t>表</w:t>
            </w:r>
            <w:r>
              <w:rPr>
                <w:rFonts w:hint="default" w:ascii="Times New Roman" w:hAnsi="Times New Roman" w:eastAsia="宋体" w:cs="Times New Roman"/>
                <w:b/>
                <w:bCs w:val="0"/>
                <w:color w:val="auto"/>
                <w:kern w:val="2"/>
                <w:sz w:val="24"/>
                <w:szCs w:val="24"/>
                <w:highlight w:val="none"/>
                <w:lang w:val="en-US" w:eastAsia="zh-CN" w:bidi="ar-SA"/>
              </w:rPr>
              <w:t xml:space="preserve">3.12 </w:t>
            </w:r>
            <w:r>
              <w:rPr>
                <w:rFonts w:hint="eastAsia" w:ascii="Times New Roman" w:hAnsi="Times New Roman" w:eastAsia="宋体" w:cs="Times New Roman"/>
                <w:b/>
                <w:bCs w:val="0"/>
                <w:color w:val="auto"/>
                <w:kern w:val="2"/>
                <w:sz w:val="24"/>
                <w:szCs w:val="24"/>
                <w:highlight w:val="none"/>
                <w:lang w:val="en-US" w:eastAsia="zh-CN" w:bidi="ar-SA"/>
              </w:rPr>
              <w:t>辐射剂量控制限值及污染物排放指标表</w:t>
            </w:r>
          </w:p>
          <w:tbl>
            <w:tblPr>
              <w:tblStyle w:val="30"/>
              <w:tblW w:w="8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592"/>
              <w:gridCol w:w="2793"/>
              <w:gridCol w:w="1490"/>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8" w:type="dxa"/>
                </w:tcPr>
                <w:p>
                  <w:pPr>
                    <w:pStyle w:val="27"/>
                    <w:ind w:left="0" w:leftChars="0" w:firstLine="0" w:firstLineChars="0"/>
                    <w:jc w:val="center"/>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序号</w:t>
                  </w:r>
                </w:p>
              </w:tc>
              <w:tc>
                <w:tcPr>
                  <w:tcW w:w="1592" w:type="dxa"/>
                </w:tcPr>
                <w:p>
                  <w:pPr>
                    <w:pStyle w:val="27"/>
                    <w:ind w:left="0" w:leftChars="0" w:firstLine="0" w:firstLineChars="0"/>
                    <w:jc w:val="center"/>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项目</w:t>
                  </w:r>
                </w:p>
              </w:tc>
              <w:tc>
                <w:tcPr>
                  <w:tcW w:w="2793" w:type="dxa"/>
                </w:tcPr>
                <w:p>
                  <w:pPr>
                    <w:pStyle w:val="27"/>
                    <w:ind w:left="0" w:leftChars="0" w:firstLine="0" w:firstLineChars="0"/>
                    <w:jc w:val="center"/>
                    <w:rPr>
                      <w:rFonts w:hint="default"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项目名称</w:t>
                  </w:r>
                </w:p>
              </w:tc>
              <w:tc>
                <w:tcPr>
                  <w:tcW w:w="1490" w:type="dxa"/>
                </w:tcPr>
                <w:p>
                  <w:pPr>
                    <w:pStyle w:val="27"/>
                    <w:ind w:left="0" w:leftChars="0" w:firstLine="0" w:firstLineChars="0"/>
                    <w:jc w:val="center"/>
                    <w:rPr>
                      <w:rFonts w:hint="default"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评价指标</w:t>
                  </w:r>
                </w:p>
              </w:tc>
              <w:tc>
                <w:tcPr>
                  <w:tcW w:w="1367" w:type="dxa"/>
                </w:tcPr>
                <w:p>
                  <w:pPr>
                    <w:pStyle w:val="27"/>
                    <w:ind w:left="0" w:leftChars="0" w:firstLine="0" w:firstLineChars="0"/>
                    <w:jc w:val="center"/>
                    <w:rPr>
                      <w:rFonts w:hint="default"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758" w:type="dxa"/>
                  <w:vMerge w:val="restart"/>
                </w:tcPr>
                <w:p>
                  <w:pPr>
                    <w:pStyle w:val="27"/>
                    <w:ind w:left="0" w:leftChars="0" w:firstLine="0" w:firstLineChars="0"/>
                    <w:jc w:val="center"/>
                    <w:rPr>
                      <w:rFonts w:hint="eastAsia" w:ascii="宋体" w:hAnsi="宋体" w:eastAsia="宋体" w:cs="宋体"/>
                      <w:color w:val="auto"/>
                      <w:highlight w:val="none"/>
                      <w:vertAlign w:val="baseline"/>
                      <w:lang w:val="en-US" w:eastAsia="zh-CN"/>
                    </w:rPr>
                  </w:pPr>
                </w:p>
                <w:p>
                  <w:pPr>
                    <w:pStyle w:val="27"/>
                    <w:ind w:left="0" w:leftChars="0" w:firstLine="0" w:firstLineChars="0"/>
                    <w:jc w:val="center"/>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1</w:t>
                  </w:r>
                </w:p>
              </w:tc>
              <w:tc>
                <w:tcPr>
                  <w:tcW w:w="1592" w:type="dxa"/>
                </w:tcPr>
                <w:p>
                  <w:pPr>
                    <w:pStyle w:val="27"/>
                    <w:ind w:left="0" w:leftChars="0" w:firstLine="0" w:firstLineChars="0"/>
                    <w:jc w:val="center"/>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放射工作人员</w:t>
                  </w:r>
                </w:p>
                <w:p>
                  <w:pPr>
                    <w:pStyle w:val="27"/>
                    <w:ind w:left="0" w:leftChars="0" w:firstLine="0" w:firstLineChars="0"/>
                    <w:jc w:val="center"/>
                    <w:rPr>
                      <w:rFonts w:hint="eastAsia" w:ascii="宋体" w:hAnsi="宋体" w:eastAsia="宋体" w:cs="宋体"/>
                      <w:color w:val="auto"/>
                      <w:highlight w:val="none"/>
                      <w:vertAlign w:val="baseline"/>
                      <w:lang w:val="en-US" w:eastAsia="zh-CN"/>
                    </w:rPr>
                  </w:pPr>
                </w:p>
              </w:tc>
              <w:tc>
                <w:tcPr>
                  <w:tcW w:w="2793" w:type="dxa"/>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放射工作人员年有效剂量管理目标</w:t>
                  </w:r>
                </w:p>
              </w:tc>
              <w:tc>
                <w:tcPr>
                  <w:tcW w:w="1490" w:type="dxa"/>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highlight w:val="none"/>
                      <w:vertAlign w:val="baseline"/>
                      <w:lang w:val="en-US" w:eastAsia="zh-CN"/>
                    </w:rPr>
                  </w:pPr>
                  <w:r>
                    <w:rPr>
                      <w:rFonts w:hint="default" w:ascii="宋体" w:hAnsi="宋体" w:eastAsia="宋体" w:cs="宋体"/>
                      <w:color w:val="auto"/>
                      <w:highlight w:val="none"/>
                      <w:vertAlign w:val="baseline"/>
                      <w:lang w:val="en-US" w:eastAsia="zh-CN"/>
                    </w:rPr>
                    <w:t>≤5mSv/a</w:t>
                  </w:r>
                </w:p>
              </w:tc>
              <w:tc>
                <w:tcPr>
                  <w:tcW w:w="1367" w:type="dxa"/>
                  <w:vMerge w:val="restart"/>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highlight w:val="none"/>
                      <w:vertAlign w:val="baseline"/>
                      <w:lang w:val="en-US" w:eastAsia="zh-CN"/>
                    </w:rPr>
                  </w:pPr>
                  <w:r>
                    <w:rPr>
                      <w:rFonts w:hint="default" w:ascii="宋体" w:hAnsi="宋体" w:eastAsia="宋体" w:cs="宋体"/>
                      <w:color w:val="auto"/>
                      <w:highlight w:val="none"/>
                      <w:vertAlign w:val="baseline"/>
                      <w:lang w:val="en-US" w:eastAsia="zh-CN"/>
                    </w:rPr>
                    <w:t xml:space="preserve">GB18871-2002 </w:t>
                  </w:r>
                </w:p>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highlight w:val="none"/>
                      <w:vertAlign w:val="baseline"/>
                      <w:lang w:val="en-US" w:eastAsia="zh-CN"/>
                    </w:rPr>
                  </w:pPr>
                  <w:r>
                    <w:rPr>
                      <w:rFonts w:hint="default" w:ascii="宋体" w:hAnsi="宋体" w:eastAsia="宋体" w:cs="宋体"/>
                      <w:color w:val="auto"/>
                      <w:highlight w:val="none"/>
                      <w:vertAlign w:val="baseline"/>
                      <w:lang w:val="en-US" w:eastAsia="zh-CN"/>
                    </w:rPr>
                    <w:t>GBZ130</w:t>
                  </w:r>
                  <w:r>
                    <w:rPr>
                      <w:rFonts w:hint="eastAsia" w:ascii="宋体" w:hAnsi="宋体" w:eastAsia="宋体" w:cs="宋体"/>
                      <w:color w:val="auto"/>
                      <w:highlight w:val="none"/>
                      <w:vertAlign w:val="baseline"/>
                      <w:lang w:val="en-US" w:eastAsia="zh-CN"/>
                    </w:rPr>
                    <w:t>－</w:t>
                  </w:r>
                  <w:r>
                    <w:rPr>
                      <w:rFonts w:hint="default" w:ascii="宋体" w:hAnsi="宋体" w:eastAsia="宋体" w:cs="宋体"/>
                      <w:color w:val="auto"/>
                      <w:highlight w:val="none"/>
                      <w:vertAlign w:val="baseline"/>
                      <w:lang w:val="en-US" w:eastAsia="zh-CN"/>
                    </w:rPr>
                    <w:t>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758" w:type="dxa"/>
                  <w:vMerge w:val="continue"/>
                </w:tcPr>
                <w:p>
                  <w:pPr>
                    <w:pStyle w:val="27"/>
                    <w:rPr>
                      <w:rFonts w:hint="eastAsia" w:ascii="宋体" w:hAnsi="宋体" w:eastAsia="宋体" w:cs="宋体"/>
                      <w:color w:val="auto"/>
                      <w:highlight w:val="none"/>
                      <w:vertAlign w:val="baseline"/>
                    </w:rPr>
                  </w:pPr>
                </w:p>
              </w:tc>
              <w:tc>
                <w:tcPr>
                  <w:tcW w:w="1592" w:type="dxa"/>
                </w:tcPr>
                <w:p>
                  <w:pPr>
                    <w:pStyle w:val="27"/>
                    <w:ind w:left="0" w:leftChars="0" w:firstLine="0" w:firstLineChars="0"/>
                    <w:jc w:val="center"/>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公众成员</w:t>
                  </w:r>
                </w:p>
              </w:tc>
              <w:tc>
                <w:tcPr>
                  <w:tcW w:w="2793" w:type="dxa"/>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单台摄影机房外放射工作人员年有效剂量管理目标</w:t>
                  </w:r>
                </w:p>
              </w:tc>
              <w:tc>
                <w:tcPr>
                  <w:tcW w:w="1490" w:type="dxa"/>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highlight w:val="none"/>
                      <w:vertAlign w:val="baseline"/>
                    </w:rPr>
                  </w:pPr>
                  <w:r>
                    <w:rPr>
                      <w:rFonts w:hint="default" w:ascii="宋体" w:hAnsi="宋体" w:eastAsia="宋体" w:cs="宋体"/>
                      <w:color w:val="auto"/>
                      <w:highlight w:val="none"/>
                      <w:vertAlign w:val="baseline"/>
                      <w:lang w:val="en-US" w:eastAsia="zh-CN"/>
                    </w:rPr>
                    <w:t>≤0.25mSv/a</w:t>
                  </w:r>
                </w:p>
              </w:tc>
              <w:tc>
                <w:tcPr>
                  <w:tcW w:w="1367" w:type="dxa"/>
                  <w:vMerge w:val="continue"/>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trPr>
              <w:tc>
                <w:tcPr>
                  <w:tcW w:w="758" w:type="dxa"/>
                </w:tcPr>
                <w:p>
                  <w:pPr>
                    <w:pStyle w:val="27"/>
                    <w:ind w:left="0" w:leftChars="0" w:firstLine="0" w:firstLineChars="0"/>
                    <w:jc w:val="center"/>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2</w:t>
                  </w:r>
                </w:p>
              </w:tc>
              <w:tc>
                <w:tcPr>
                  <w:tcW w:w="1592" w:type="dxa"/>
                </w:tcPr>
                <w:p>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 xml:space="preserve">周围剂量 </w:t>
                  </w:r>
                </w:p>
                <w:p>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当量率</w:t>
                  </w:r>
                </w:p>
              </w:tc>
              <w:tc>
                <w:tcPr>
                  <w:tcW w:w="2793" w:type="dxa"/>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机房墙体、防护门、观察窗外</w:t>
                  </w:r>
                  <w:r>
                    <w:rPr>
                      <w:rFonts w:hint="default" w:ascii="宋体" w:hAnsi="宋体" w:eastAsia="宋体" w:cs="宋体"/>
                      <w:color w:val="auto"/>
                      <w:highlight w:val="none"/>
                      <w:vertAlign w:val="baseline"/>
                      <w:lang w:val="en-US" w:eastAsia="zh-CN"/>
                    </w:rPr>
                    <w:t>30cm</w:t>
                  </w:r>
                  <w:r>
                    <w:rPr>
                      <w:rFonts w:hint="eastAsia" w:ascii="宋体" w:hAnsi="宋体" w:eastAsia="宋体" w:cs="宋体"/>
                      <w:color w:val="auto"/>
                      <w:highlight w:val="none"/>
                      <w:vertAlign w:val="baseline"/>
                      <w:lang w:val="en-US" w:eastAsia="zh-CN"/>
                    </w:rPr>
                    <w:t>处</w:t>
                  </w:r>
                </w:p>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highlight w:val="none"/>
                      <w:vertAlign w:val="baseline"/>
                      <w:lang w:val="en-US" w:eastAsia="zh-CN"/>
                    </w:rPr>
                  </w:pPr>
                </w:p>
              </w:tc>
              <w:tc>
                <w:tcPr>
                  <w:tcW w:w="1490" w:type="dxa"/>
                </w:tcPr>
                <w:p>
                  <w:pPr>
                    <w:keepNext w:val="0"/>
                    <w:keepLines w:val="0"/>
                    <w:widowControl/>
                    <w:suppressLineNumbers w:val="0"/>
                    <w:ind w:left="0" w:leftChars="0" w:firstLine="0" w:firstLineChars="0"/>
                    <w:jc w:val="center"/>
                    <w:rPr>
                      <w:rFonts w:hint="eastAsia" w:ascii="宋体" w:hAnsi="宋体" w:eastAsia="宋体" w:cs="宋体"/>
                      <w:color w:val="auto"/>
                      <w:kern w:val="2"/>
                      <w:sz w:val="21"/>
                      <w:szCs w:val="24"/>
                      <w:highlight w:val="none"/>
                      <w:vertAlign w:val="baseline"/>
                      <w:lang w:val="en-US" w:eastAsia="zh-CN" w:bidi="ar-SA"/>
                    </w:rPr>
                  </w:pPr>
                  <w:r>
                    <w:rPr>
                      <w:rFonts w:hint="default" w:ascii="宋体" w:hAnsi="宋体" w:eastAsia="宋体" w:cs="宋体"/>
                      <w:color w:val="auto"/>
                      <w:kern w:val="2"/>
                      <w:sz w:val="21"/>
                      <w:szCs w:val="24"/>
                      <w:highlight w:val="none"/>
                      <w:vertAlign w:val="baseline"/>
                      <w:lang w:val="en-US" w:eastAsia="zh-CN" w:bidi="ar-SA"/>
                    </w:rPr>
                    <w:t>≤2.5μSv/h</w:t>
                  </w:r>
                </w:p>
              </w:tc>
              <w:tc>
                <w:tcPr>
                  <w:tcW w:w="1367" w:type="dxa"/>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highlight w:val="none"/>
                      <w:vertAlign w:val="baseline"/>
                      <w:lang w:val="en-US" w:eastAsia="zh-CN"/>
                    </w:rPr>
                  </w:pPr>
                  <w:r>
                    <w:rPr>
                      <w:rFonts w:hint="default" w:ascii="宋体" w:hAnsi="宋体" w:eastAsia="宋体" w:cs="宋体"/>
                      <w:color w:val="auto"/>
                      <w:highlight w:val="none"/>
                      <w:vertAlign w:val="baseline"/>
                      <w:lang w:val="en-US" w:eastAsia="zh-CN"/>
                    </w:rPr>
                    <w:t>GBZ130</w:t>
                  </w:r>
                  <w:r>
                    <w:rPr>
                      <w:rFonts w:hint="eastAsia" w:ascii="宋体" w:hAnsi="宋体" w:eastAsia="宋体" w:cs="宋体"/>
                      <w:color w:val="auto"/>
                      <w:highlight w:val="none"/>
                      <w:vertAlign w:val="baseline"/>
                      <w:lang w:val="en-US" w:eastAsia="zh-CN"/>
                    </w:rPr>
                    <w:t>－</w:t>
                  </w:r>
                  <w:r>
                    <w:rPr>
                      <w:rFonts w:hint="default" w:ascii="宋体" w:hAnsi="宋体" w:eastAsia="宋体" w:cs="宋体"/>
                      <w:color w:val="auto"/>
                      <w:highlight w:val="none"/>
                      <w:vertAlign w:val="baseline"/>
                      <w:lang w:val="en-US" w:eastAsia="zh-CN"/>
                    </w:rPr>
                    <w:t>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8" w:type="dxa"/>
                </w:tcPr>
                <w:p>
                  <w:pPr>
                    <w:pStyle w:val="27"/>
                    <w:ind w:left="0" w:leftChars="0" w:firstLine="0" w:firstLineChars="0"/>
                    <w:jc w:val="center"/>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3</w:t>
                  </w:r>
                </w:p>
              </w:tc>
              <w:tc>
                <w:tcPr>
                  <w:tcW w:w="1592" w:type="dxa"/>
                </w:tcPr>
                <w:p>
                  <w:pPr>
                    <w:pStyle w:val="27"/>
                    <w:ind w:left="0" w:leftChars="0" w:firstLine="0" w:firstLineChars="0"/>
                    <w:jc w:val="center"/>
                    <w:rPr>
                      <w:rFonts w:hint="default" w:ascii="宋体" w:hAnsi="宋体" w:eastAsia="宋体" w:cs="宋体"/>
                      <w:color w:val="auto"/>
                      <w:highlight w:val="none"/>
                      <w:vertAlign w:val="baseline"/>
                      <w:lang w:val="en-US" w:eastAsia="zh-CN"/>
                    </w:rPr>
                  </w:pPr>
                  <w:r>
                    <w:rPr>
                      <w:rFonts w:hint="eastAsia" w:ascii="宋体" w:hAnsi="宋体" w:cs="宋体"/>
                      <w:color w:val="auto"/>
                      <w:highlight w:val="none"/>
                      <w:vertAlign w:val="baseline"/>
                      <w:lang w:val="en-US" w:eastAsia="zh-CN"/>
                    </w:rPr>
                    <w:t>机房</w:t>
                  </w:r>
                </w:p>
              </w:tc>
              <w:tc>
                <w:tcPr>
                  <w:tcW w:w="2793" w:type="dxa"/>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highlight w:val="none"/>
                      <w:vertAlign w:val="baseline"/>
                      <w:lang w:val="en-US" w:eastAsia="zh-CN"/>
                    </w:rPr>
                  </w:pPr>
                  <w:r>
                    <w:rPr>
                      <w:rFonts w:hint="default" w:ascii="宋体" w:hAnsi="宋体" w:eastAsia="宋体" w:cs="宋体"/>
                      <w:color w:val="auto"/>
                      <w:highlight w:val="none"/>
                      <w:vertAlign w:val="baseline"/>
                      <w:lang w:val="en-US" w:eastAsia="zh-CN"/>
                    </w:rPr>
                    <w:t>DR</w:t>
                  </w:r>
                  <w:r>
                    <w:rPr>
                      <w:rFonts w:hint="eastAsia" w:ascii="宋体" w:hAnsi="宋体" w:eastAsia="宋体" w:cs="宋体"/>
                      <w:color w:val="auto"/>
                      <w:highlight w:val="none"/>
                      <w:vertAlign w:val="baseline"/>
                      <w:lang w:val="en-US" w:eastAsia="zh-CN"/>
                    </w:rPr>
                    <w:t>机</w:t>
                  </w:r>
                </w:p>
              </w:tc>
              <w:tc>
                <w:tcPr>
                  <w:tcW w:w="1490" w:type="dxa"/>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面积</w:t>
                  </w:r>
                  <w:r>
                    <w:rPr>
                      <w:rFonts w:hint="default" w:ascii="宋体" w:hAnsi="宋体" w:eastAsia="宋体" w:cs="宋体"/>
                      <w:color w:val="auto"/>
                      <w:highlight w:val="none"/>
                      <w:vertAlign w:val="baseline"/>
                      <w:lang w:val="en-US" w:eastAsia="zh-CN"/>
                    </w:rPr>
                    <w:t>≥20m</w:t>
                  </w:r>
                  <w:r>
                    <w:rPr>
                      <w:rFonts w:hint="default" w:ascii="宋体" w:hAnsi="宋体" w:eastAsia="宋体" w:cs="宋体"/>
                      <w:color w:val="auto"/>
                      <w:sz w:val="21"/>
                      <w:highlight w:val="none"/>
                      <w:vertAlign w:val="superscript"/>
                      <w:lang w:val="en-US" w:eastAsia="zh-CN"/>
                    </w:rPr>
                    <w:t>2</w:t>
                  </w:r>
                  <w:r>
                    <w:rPr>
                      <w:rFonts w:hint="default" w:ascii="宋体" w:hAnsi="宋体" w:eastAsia="宋体" w:cs="宋体"/>
                      <w:color w:val="auto"/>
                      <w:highlight w:val="none"/>
                      <w:vertAlign w:val="baseline"/>
                      <w:lang w:val="en-US" w:eastAsia="zh-CN"/>
                    </w:rPr>
                    <w:t xml:space="preserve"> </w:t>
                  </w:r>
                </w:p>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单边长</w:t>
                  </w:r>
                  <w:r>
                    <w:rPr>
                      <w:rFonts w:hint="default" w:ascii="宋体" w:hAnsi="宋体" w:eastAsia="宋体" w:cs="宋体"/>
                      <w:color w:val="auto"/>
                      <w:highlight w:val="none"/>
                      <w:vertAlign w:val="baseline"/>
                      <w:lang w:val="en-US" w:eastAsia="zh-CN"/>
                    </w:rPr>
                    <w:t>≥3.5m</w:t>
                  </w:r>
                </w:p>
              </w:tc>
              <w:tc>
                <w:tcPr>
                  <w:tcW w:w="1367" w:type="dxa"/>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highlight w:val="none"/>
                      <w:vertAlign w:val="baseline"/>
                      <w:lang w:val="en-US" w:eastAsia="zh-CN"/>
                    </w:rPr>
                  </w:pPr>
                  <w:r>
                    <w:rPr>
                      <w:rFonts w:hint="default" w:ascii="宋体" w:hAnsi="宋体" w:eastAsia="宋体" w:cs="宋体"/>
                      <w:color w:val="auto"/>
                      <w:highlight w:val="none"/>
                      <w:vertAlign w:val="baseline"/>
                      <w:lang w:val="en-US" w:eastAsia="zh-CN"/>
                    </w:rPr>
                    <w:t>GBZ130</w:t>
                  </w:r>
                  <w:r>
                    <w:rPr>
                      <w:rFonts w:hint="eastAsia" w:ascii="宋体" w:hAnsi="宋体" w:eastAsia="宋体" w:cs="宋体"/>
                      <w:color w:val="auto"/>
                      <w:highlight w:val="none"/>
                      <w:vertAlign w:val="baseline"/>
                      <w:lang w:val="en-US" w:eastAsia="zh-CN"/>
                    </w:rPr>
                    <w:t>－</w:t>
                  </w:r>
                  <w:r>
                    <w:rPr>
                      <w:rFonts w:hint="default" w:ascii="宋体" w:hAnsi="宋体" w:eastAsia="宋体" w:cs="宋体"/>
                      <w:color w:val="auto"/>
                      <w:highlight w:val="none"/>
                      <w:vertAlign w:val="baseline"/>
                      <w:lang w:val="en-US" w:eastAsia="zh-CN"/>
                    </w:rPr>
                    <w:t>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8" w:type="dxa"/>
                </w:tcPr>
                <w:p>
                  <w:pPr>
                    <w:pStyle w:val="27"/>
                    <w:ind w:left="0" w:leftChars="0" w:firstLine="0" w:firstLineChars="0"/>
                    <w:jc w:val="center"/>
                    <w:rPr>
                      <w:rFonts w:hint="default"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注</w:t>
                  </w:r>
                </w:p>
              </w:tc>
              <w:tc>
                <w:tcPr>
                  <w:tcW w:w="7242" w:type="dxa"/>
                  <w:gridSpan w:val="4"/>
                </w:tcPr>
                <w:p>
                  <w:pPr>
                    <w:keepNext w:val="0"/>
                    <w:keepLines w:val="0"/>
                    <w:widowControl/>
                    <w:suppressLineNumbers w:val="0"/>
                    <w:jc w:val="left"/>
                    <w:rPr>
                      <w:rFonts w:hint="eastAsia" w:ascii="宋体" w:hAnsi="宋体" w:eastAsia="宋体" w:cs="宋体"/>
                      <w:color w:val="auto"/>
                      <w:highlight w:val="none"/>
                      <w:vertAlign w:val="baseline"/>
                    </w:rPr>
                  </w:pPr>
                  <w:r>
                    <w:rPr>
                      <w:rFonts w:hint="default" w:ascii="宋体" w:hAnsi="宋体" w:eastAsia="宋体" w:cs="宋体"/>
                      <w:color w:val="auto"/>
                      <w:kern w:val="2"/>
                      <w:sz w:val="21"/>
                      <w:szCs w:val="24"/>
                      <w:highlight w:val="none"/>
                      <w:vertAlign w:val="baseline"/>
                      <w:lang w:val="en-US" w:eastAsia="zh-CN" w:bidi="ar-SA"/>
                    </w:rPr>
                    <w:t xml:space="preserve">DR </w:t>
                  </w:r>
                  <w:r>
                    <w:rPr>
                      <w:rFonts w:hint="eastAsia" w:ascii="宋体" w:hAnsi="宋体" w:eastAsia="宋体" w:cs="宋体"/>
                      <w:color w:val="auto"/>
                      <w:kern w:val="2"/>
                      <w:sz w:val="21"/>
                      <w:szCs w:val="24"/>
                      <w:highlight w:val="none"/>
                      <w:vertAlign w:val="baseline"/>
                      <w:lang w:val="en-US" w:eastAsia="zh-CN" w:bidi="ar-SA"/>
                    </w:rPr>
                    <w:t>为 Ⅲ类设备</w:t>
                  </w:r>
                </w:p>
              </w:tc>
            </w:tr>
          </w:tbl>
          <w:p>
            <w:pPr>
              <w:pStyle w:val="27"/>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89" w:hRule="atLeast"/>
          <w:jc w:val="center"/>
        </w:trPr>
        <w:tc>
          <w:tcPr>
            <w:tcW w:w="800" w:type="dxa"/>
            <w:vAlign w:val="center"/>
          </w:tcPr>
          <w:p>
            <w:pPr>
              <w:adjustRightInd w:val="0"/>
              <w:snapToGrid w:val="0"/>
              <w:ind w:left="0" w:leftChars="0" w:firstLine="0" w:firstLineChars="0"/>
              <w:jc w:val="both"/>
              <w:rPr>
                <w:color w:val="auto"/>
                <w:kern w:val="0"/>
                <w:szCs w:val="21"/>
                <w:highlight w:val="none"/>
              </w:rPr>
            </w:pPr>
            <w:r>
              <w:rPr>
                <w:color w:val="auto"/>
                <w:kern w:val="0"/>
                <w:szCs w:val="21"/>
                <w:highlight w:val="none"/>
              </w:rPr>
              <w:t>总量</w:t>
            </w:r>
          </w:p>
          <w:p>
            <w:pPr>
              <w:adjustRightInd w:val="0"/>
              <w:snapToGrid w:val="0"/>
              <w:ind w:left="0" w:leftChars="0" w:firstLine="0" w:firstLineChars="0"/>
              <w:jc w:val="both"/>
              <w:rPr>
                <w:color w:val="auto"/>
                <w:kern w:val="0"/>
                <w:szCs w:val="21"/>
                <w:highlight w:val="none"/>
              </w:rPr>
            </w:pPr>
            <w:r>
              <w:rPr>
                <w:color w:val="auto"/>
                <w:kern w:val="0"/>
                <w:szCs w:val="21"/>
                <w:highlight w:val="none"/>
              </w:rPr>
              <w:t>控制</w:t>
            </w:r>
          </w:p>
          <w:p>
            <w:pPr>
              <w:adjustRightInd w:val="0"/>
              <w:snapToGrid w:val="0"/>
              <w:ind w:left="0" w:leftChars="0" w:firstLine="0" w:firstLineChars="0"/>
              <w:jc w:val="both"/>
              <w:rPr>
                <w:color w:val="auto"/>
                <w:kern w:val="0"/>
                <w:szCs w:val="21"/>
                <w:highlight w:val="none"/>
              </w:rPr>
            </w:pPr>
            <w:r>
              <w:rPr>
                <w:color w:val="auto"/>
                <w:kern w:val="0"/>
                <w:szCs w:val="21"/>
                <w:highlight w:val="none"/>
              </w:rPr>
              <w:t>指标</w:t>
            </w:r>
          </w:p>
        </w:tc>
        <w:tc>
          <w:tcPr>
            <w:tcW w:w="8190" w:type="dxa"/>
            <w:vAlign w:val="top"/>
          </w:tcPr>
          <w:p>
            <w:pPr>
              <w:keepNext w:val="0"/>
              <w:keepLines w:val="0"/>
              <w:widowControl/>
              <w:suppressLineNumbers w:val="0"/>
              <w:ind w:left="0" w:leftChars="0"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拟建项目产生的各类污水不直接排入地表水体，最终进入</w:t>
            </w:r>
            <w:r>
              <w:rPr>
                <w:rFonts w:hint="eastAsia" w:cs="Times New Roman"/>
                <w:b w:val="0"/>
                <w:bCs w:val="0"/>
                <w:color w:val="auto"/>
                <w:kern w:val="2"/>
                <w:sz w:val="24"/>
                <w:szCs w:val="24"/>
                <w:highlight w:val="none"/>
                <w:lang w:val="en-US" w:eastAsia="zh-CN" w:bidi="ar-SA"/>
              </w:rPr>
              <w:t>羊市</w:t>
            </w:r>
            <w:r>
              <w:rPr>
                <w:rFonts w:hint="eastAsia" w:ascii="Times New Roman" w:hAnsi="Times New Roman" w:eastAsia="宋体" w:cs="Times New Roman"/>
                <w:b w:val="0"/>
                <w:bCs w:val="0"/>
                <w:color w:val="auto"/>
                <w:kern w:val="2"/>
                <w:sz w:val="24"/>
                <w:szCs w:val="24"/>
                <w:highlight w:val="none"/>
                <w:lang w:val="en-US" w:eastAsia="zh-CN" w:bidi="ar-SA"/>
              </w:rPr>
              <w:t>处理厂处理达标排放，其总量不纳入总量控制范畴。本次评价仅核算项目污水处理设施处理后的污染物总量，作为管理部门管理的依据。经计算，拟建项目污染物总量控制建议指标如下：</w:t>
            </w:r>
          </w:p>
          <w:p>
            <w:pPr>
              <w:pStyle w:val="10"/>
              <w:keepNext w:val="0"/>
              <w:keepLines w:val="0"/>
              <w:pageBreakBefore w:val="0"/>
              <w:widowControl/>
              <w:tabs>
                <w:tab w:val="left" w:pos="1759"/>
              </w:tabs>
              <w:kinsoku/>
              <w:wordWrap/>
              <w:overflowPunct/>
              <w:topLinePunct w:val="0"/>
              <w:autoSpaceDE/>
              <w:autoSpaceDN/>
              <w:bidi w:val="0"/>
              <w:adjustRightInd/>
              <w:snapToGrid w:val="0"/>
              <w:spacing w:after="26" w:line="240" w:lineRule="auto"/>
              <w:ind w:left="482" w:right="113"/>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表</w:t>
            </w:r>
            <w:r>
              <w:rPr>
                <w:rFonts w:hint="eastAsia" w:ascii="Times New Roman" w:hAnsi="Times New Roman" w:eastAsia="宋体" w:cs="Times New Roman"/>
                <w:b/>
                <w:bCs w:val="0"/>
                <w:color w:val="auto"/>
                <w:kern w:val="2"/>
                <w:sz w:val="24"/>
                <w:szCs w:val="24"/>
                <w:highlight w:val="none"/>
                <w:lang w:val="en-US" w:eastAsia="zh-CN" w:bidi="ar-SA"/>
              </w:rPr>
              <w:t>3.1</w:t>
            </w:r>
            <w:r>
              <w:rPr>
                <w:rFonts w:hint="eastAsia" w:cs="Times New Roman"/>
                <w:b/>
                <w:bCs w:val="0"/>
                <w:color w:val="auto"/>
                <w:kern w:val="2"/>
                <w:sz w:val="24"/>
                <w:szCs w:val="24"/>
                <w:highlight w:val="none"/>
                <w:lang w:val="en-US" w:eastAsia="zh-CN" w:bidi="ar-SA"/>
              </w:rPr>
              <w:t>3</w:t>
            </w:r>
            <w:r>
              <w:rPr>
                <w:rFonts w:hint="default" w:ascii="Times New Roman" w:hAnsi="Times New Roman" w:eastAsia="宋体" w:cs="Times New Roman"/>
                <w:b/>
                <w:bCs w:val="0"/>
                <w:color w:val="auto"/>
                <w:kern w:val="2"/>
                <w:sz w:val="24"/>
                <w:szCs w:val="24"/>
                <w:highlight w:val="none"/>
                <w:lang w:val="en-US" w:eastAsia="zh-CN" w:bidi="ar-SA"/>
              </w:rPr>
              <w:t xml:space="preserve">  </w:t>
            </w:r>
            <w:r>
              <w:rPr>
                <w:rFonts w:hint="eastAsia" w:ascii="Times New Roman" w:hAnsi="Times New Roman" w:eastAsia="宋体" w:cs="Times New Roman"/>
                <w:b/>
                <w:bCs w:val="0"/>
                <w:color w:val="auto"/>
                <w:kern w:val="2"/>
                <w:sz w:val="24"/>
                <w:szCs w:val="24"/>
                <w:highlight w:val="none"/>
                <w:lang w:val="en-US" w:eastAsia="zh-CN" w:bidi="ar-SA"/>
              </w:rPr>
              <w:t>污染物排放总量控制建议指标单位t/a</w:t>
            </w:r>
          </w:p>
          <w:tbl>
            <w:tblPr>
              <w:tblStyle w:val="30"/>
              <w:tblW w:w="74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3"/>
              <w:gridCol w:w="2010"/>
              <w:gridCol w:w="2176"/>
              <w:gridCol w:w="1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3" w:type="dxa"/>
                  <w:vMerge w:val="restart"/>
                  <w:noWrap w:val="0"/>
                  <w:vAlign w:val="center"/>
                </w:tcPr>
                <w:p>
                  <w:pPr>
                    <w:adjustRightInd w:val="0"/>
                    <w:snapToGrid w:val="0"/>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类别</w:t>
                  </w:r>
                </w:p>
              </w:tc>
              <w:tc>
                <w:tcPr>
                  <w:tcW w:w="2010" w:type="dxa"/>
                  <w:vMerge w:val="restart"/>
                  <w:noWrap w:val="0"/>
                  <w:vAlign w:val="center"/>
                </w:tcPr>
                <w:p>
                  <w:pPr>
                    <w:adjustRightInd w:val="0"/>
                    <w:snapToGrid w:val="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控制指标</w:t>
                  </w:r>
                </w:p>
              </w:tc>
              <w:tc>
                <w:tcPr>
                  <w:tcW w:w="3737" w:type="dxa"/>
                  <w:gridSpan w:val="2"/>
                  <w:noWrap w:val="0"/>
                  <w:vAlign w:val="center"/>
                </w:tcPr>
                <w:p>
                  <w:pPr>
                    <w:adjustRightInd w:val="0"/>
                    <w:snapToGrid w:val="0"/>
                    <w:jc w:val="center"/>
                    <w:rPr>
                      <w:rFonts w:hint="default"/>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总量控制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3" w:type="dxa"/>
                  <w:vMerge w:val="continue"/>
                  <w:noWrap w:val="0"/>
                  <w:vAlign w:val="center"/>
                </w:tcPr>
                <w:p>
                  <w:pPr>
                    <w:adjustRightInd w:val="0"/>
                    <w:snapToGrid w:val="0"/>
                    <w:ind w:left="0" w:leftChars="0" w:firstLine="0" w:firstLineChars="0"/>
                    <w:jc w:val="center"/>
                    <w:rPr>
                      <w:rFonts w:hint="default"/>
                      <w:color w:val="auto"/>
                      <w:sz w:val="21"/>
                      <w:szCs w:val="21"/>
                      <w:highlight w:val="none"/>
                      <w:lang w:val="en-US" w:eastAsia="zh-CN"/>
                    </w:rPr>
                  </w:pPr>
                </w:p>
              </w:tc>
              <w:tc>
                <w:tcPr>
                  <w:tcW w:w="2010" w:type="dxa"/>
                  <w:vMerge w:val="continue"/>
                  <w:noWrap w:val="0"/>
                  <w:vAlign w:val="center"/>
                </w:tcPr>
                <w:p>
                  <w:pPr>
                    <w:adjustRightInd w:val="0"/>
                    <w:snapToGrid w:val="0"/>
                    <w:ind w:left="0" w:lef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2176" w:type="dxa"/>
                  <w:noWrap w:val="0"/>
                  <w:vAlign w:val="center"/>
                </w:tcPr>
                <w:p>
                  <w:pPr>
                    <w:adjustRightInd w:val="0"/>
                    <w:snapToGrid w:val="0"/>
                    <w:ind w:left="0" w:leftChars="0" w:firstLine="0" w:firstLineChars="0"/>
                    <w:jc w:val="left"/>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排入羊市污水处理厂</w:t>
                  </w:r>
                </w:p>
              </w:tc>
              <w:tc>
                <w:tcPr>
                  <w:tcW w:w="1561" w:type="dxa"/>
                  <w:noWrap w:val="0"/>
                  <w:vAlign w:val="center"/>
                </w:tcPr>
                <w:p>
                  <w:pPr>
                    <w:adjustRightInd w:val="0"/>
                    <w:snapToGrid w:val="0"/>
                    <w:ind w:left="0" w:leftChars="0" w:firstLine="210" w:firstLineChars="100"/>
                    <w:jc w:val="left"/>
                    <w:rPr>
                      <w:rFonts w:hint="default"/>
                      <w:color w:val="auto"/>
                      <w:kern w:val="2"/>
                      <w:sz w:val="21"/>
                      <w:szCs w:val="24"/>
                      <w:highlight w:val="none"/>
                      <w:lang w:val="en-US" w:eastAsia="zh-CN" w:bidi="ar-SA"/>
                    </w:rPr>
                  </w:pPr>
                  <w:r>
                    <w:rPr>
                      <w:rFonts w:hint="eastAsia"/>
                      <w:color w:val="auto"/>
                      <w:kern w:val="2"/>
                      <w:sz w:val="21"/>
                      <w:szCs w:val="24"/>
                      <w:highlight w:val="none"/>
                      <w:lang w:val="en-US" w:eastAsia="zh-CN" w:bidi="ar-SA"/>
                    </w:rPr>
                    <w:t>排入长滩河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3" w:type="dxa"/>
                  <w:vMerge w:val="restart"/>
                  <w:noWrap w:val="0"/>
                  <w:vAlign w:val="center"/>
                </w:tcPr>
                <w:p>
                  <w:pPr>
                    <w:adjustRightInd w:val="0"/>
                    <w:snapToGrid w:val="0"/>
                    <w:ind w:left="0" w:leftChars="0" w:firstLine="420" w:firstLineChars="200"/>
                    <w:jc w:val="left"/>
                    <w:rPr>
                      <w:rFonts w:hint="default"/>
                      <w:color w:val="auto"/>
                      <w:sz w:val="21"/>
                      <w:szCs w:val="21"/>
                      <w:highlight w:val="none"/>
                      <w:lang w:val="en-US" w:eastAsia="zh-CN"/>
                    </w:rPr>
                  </w:pPr>
                  <w:r>
                    <w:rPr>
                      <w:rFonts w:hint="eastAsia"/>
                      <w:color w:val="auto"/>
                      <w:sz w:val="21"/>
                      <w:szCs w:val="21"/>
                      <w:highlight w:val="none"/>
                      <w:lang w:val="en-US" w:eastAsia="zh-CN"/>
                    </w:rPr>
                    <w:t>水污染物</w:t>
                  </w:r>
                </w:p>
              </w:tc>
              <w:tc>
                <w:tcPr>
                  <w:tcW w:w="2010" w:type="dxa"/>
                  <w:noWrap w:val="0"/>
                  <w:vAlign w:val="center"/>
                </w:tcPr>
                <w:p>
                  <w:pPr>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COD</w:t>
                  </w:r>
                </w:p>
              </w:tc>
              <w:tc>
                <w:tcPr>
                  <w:tcW w:w="2176" w:type="dxa"/>
                  <w:noWrap w:val="0"/>
                  <w:vAlign w:val="center"/>
                </w:tcPr>
                <w:p>
                  <w:pPr>
                    <w:adjustRightInd w:val="0"/>
                    <w:snapToGrid w:val="0"/>
                    <w:jc w:val="left"/>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1.880</w:t>
                  </w:r>
                </w:p>
              </w:tc>
              <w:tc>
                <w:tcPr>
                  <w:tcW w:w="1561" w:type="dxa"/>
                  <w:noWrap w:val="0"/>
                  <w:vAlign w:val="center"/>
                </w:tcPr>
                <w:p>
                  <w:pPr>
                    <w:adjustRightInd w:val="0"/>
                    <w:snapToGrid w:val="0"/>
                    <w:jc w:val="left"/>
                    <w:rPr>
                      <w:rFonts w:hint="default"/>
                      <w:color w:val="auto"/>
                      <w:kern w:val="2"/>
                      <w:sz w:val="21"/>
                      <w:szCs w:val="24"/>
                      <w:highlight w:val="none"/>
                      <w:lang w:val="en-US" w:eastAsia="zh-CN" w:bidi="ar-SA"/>
                    </w:rPr>
                  </w:pPr>
                  <w:r>
                    <w:rPr>
                      <w:rFonts w:hint="eastAsia" w:cs="Times New Roman"/>
                      <w:b w:val="0"/>
                      <w:bCs w:val="0"/>
                      <w:color w:val="auto"/>
                      <w:kern w:val="2"/>
                      <w:sz w:val="21"/>
                      <w:szCs w:val="21"/>
                      <w:highlight w:val="none"/>
                      <w:lang w:val="en-US" w:eastAsia="zh-CN" w:bidi="ar-SA"/>
                    </w:rPr>
                    <w:t>0.451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3" w:type="dxa"/>
                  <w:vMerge w:val="continue"/>
                  <w:noWrap w:val="0"/>
                  <w:vAlign w:val="center"/>
                </w:tcPr>
                <w:p>
                  <w:pPr>
                    <w:adjustRightInd w:val="0"/>
                    <w:snapToGrid w:val="0"/>
                    <w:jc w:val="left"/>
                    <w:rPr>
                      <w:rFonts w:hint="eastAsia"/>
                      <w:color w:val="auto"/>
                      <w:sz w:val="21"/>
                      <w:szCs w:val="21"/>
                      <w:highlight w:val="none"/>
                      <w:lang w:val="en-US" w:eastAsia="zh-CN"/>
                    </w:rPr>
                  </w:pPr>
                </w:p>
              </w:tc>
              <w:tc>
                <w:tcPr>
                  <w:tcW w:w="2010" w:type="dxa"/>
                  <w:noWrap w:val="0"/>
                  <w:vAlign w:val="center"/>
                </w:tcPr>
                <w:p>
                  <w:pPr>
                    <w:adjustRightInd w:val="0"/>
                    <w:snapToGrid w:val="0"/>
                    <w:ind w:firstLine="630" w:firstLineChars="300"/>
                    <w:jc w:val="both"/>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NH</w:t>
                  </w:r>
                  <w:r>
                    <w:rPr>
                      <w:rFonts w:hint="eastAsia"/>
                      <w:color w:val="auto"/>
                      <w:sz w:val="21"/>
                      <w:szCs w:val="21"/>
                      <w:highlight w:val="none"/>
                      <w:vertAlign w:val="subscript"/>
                      <w:lang w:val="en-US" w:eastAsia="zh-CN"/>
                    </w:rPr>
                    <w:t>3</w:t>
                  </w:r>
                  <w:r>
                    <w:rPr>
                      <w:rFonts w:hint="eastAsia"/>
                      <w:color w:val="auto"/>
                      <w:sz w:val="21"/>
                      <w:szCs w:val="21"/>
                      <w:highlight w:val="none"/>
                      <w:lang w:val="en-US" w:eastAsia="zh-CN"/>
                    </w:rPr>
                    <w:t>-N</w:t>
                  </w:r>
                </w:p>
              </w:tc>
              <w:tc>
                <w:tcPr>
                  <w:tcW w:w="2176" w:type="dxa"/>
                  <w:noWrap w:val="0"/>
                  <w:vAlign w:val="center"/>
                </w:tcPr>
                <w:p>
                  <w:pPr>
                    <w:adjustRightInd w:val="0"/>
                    <w:snapToGrid w:val="0"/>
                    <w:jc w:val="left"/>
                    <w:rPr>
                      <w:rFonts w:hint="default"/>
                      <w:color w:val="auto"/>
                      <w:sz w:val="21"/>
                      <w:szCs w:val="21"/>
                      <w:highlight w:val="none"/>
                      <w:lang w:val="en-US" w:eastAsia="zh-CN"/>
                    </w:rPr>
                  </w:pPr>
                  <w:r>
                    <w:rPr>
                      <w:rFonts w:hint="eastAsia"/>
                      <w:color w:val="auto"/>
                      <w:sz w:val="21"/>
                      <w:szCs w:val="21"/>
                      <w:highlight w:val="none"/>
                      <w:lang w:val="en-US" w:eastAsia="zh-CN"/>
                    </w:rPr>
                    <w:t>0.338</w:t>
                  </w:r>
                </w:p>
              </w:tc>
              <w:tc>
                <w:tcPr>
                  <w:tcW w:w="1561" w:type="dxa"/>
                  <w:noWrap w:val="0"/>
                  <w:vAlign w:val="center"/>
                </w:tcPr>
                <w:p>
                  <w:pPr>
                    <w:adjustRightInd w:val="0"/>
                    <w:snapToGrid w:val="0"/>
                    <w:jc w:val="left"/>
                    <w:rPr>
                      <w:rFonts w:hint="eastAsia"/>
                      <w:color w:val="auto"/>
                      <w:highlight w:val="none"/>
                      <w:lang w:val="en-US" w:eastAsia="zh-CN"/>
                    </w:rPr>
                  </w:pPr>
                  <w:r>
                    <w:rPr>
                      <w:rFonts w:hint="eastAsia" w:cs="Times New Roman"/>
                      <w:b w:val="0"/>
                      <w:bCs w:val="0"/>
                      <w:color w:val="auto"/>
                      <w:kern w:val="2"/>
                      <w:sz w:val="21"/>
                      <w:szCs w:val="21"/>
                      <w:highlight w:val="none"/>
                      <w:lang w:val="en-US" w:eastAsia="zh-CN" w:bidi="ar-SA"/>
                    </w:rPr>
                    <w:t>0.060</w:t>
                  </w:r>
                </w:p>
              </w:tc>
            </w:tr>
          </w:tbl>
          <w:p>
            <w:pPr>
              <w:pStyle w:val="41"/>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textAlignment w:val="auto"/>
              <w:rPr>
                <w:color w:val="auto"/>
                <w:highlight w:val="none"/>
              </w:rPr>
            </w:pPr>
          </w:p>
        </w:tc>
      </w:tr>
    </w:tbl>
    <w:p>
      <w:pPr>
        <w:pStyle w:val="24"/>
        <w:jc w:val="center"/>
        <w:outlineLvl w:val="0"/>
        <w:rPr>
          <w:rFonts w:ascii="Times New Roman" w:hAnsi="Times New Roman" w:eastAsia="黑体"/>
          <w:snapToGrid w:val="0"/>
          <w:color w:val="auto"/>
          <w:sz w:val="36"/>
          <w:szCs w:val="36"/>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ascii="Times New Roman" w:hAnsi="Times New Roman" w:eastAsia="黑体"/>
          <w:snapToGrid w:val="0"/>
          <w:color w:val="auto"/>
          <w:sz w:val="36"/>
          <w:szCs w:val="36"/>
          <w:highlight w:val="none"/>
        </w:rPr>
        <w:br w:type="page"/>
      </w:r>
    </w:p>
    <w:p>
      <w:pPr>
        <w:pStyle w:val="24"/>
        <w:jc w:val="center"/>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0"/>
          <w:szCs w:val="30"/>
          <w:highlight w:val="none"/>
        </w:rPr>
        <w:t>四、主要环境影响和保护措施</w:t>
      </w:r>
    </w:p>
    <w:tbl>
      <w:tblPr>
        <w:tblStyle w:val="30"/>
        <w:tblW w:w="8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7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pStyle w:val="24"/>
              <w:adjustRightInd w:val="0"/>
              <w:snapToGrid w:val="0"/>
              <w:spacing w:before="0" w:beforeAutospacing="0" w:after="0" w:afterAutospacing="0"/>
              <w:ind w:left="0" w:leftChars="0" w:firstLine="0" w:firstLineChars="0"/>
              <w:jc w:val="both"/>
              <w:rPr>
                <w:rFonts w:ascii="Times New Roman" w:hAnsi="Times New Roman"/>
                <w:color w:val="auto"/>
                <w:kern w:val="2"/>
                <w:szCs w:val="24"/>
                <w:highlight w:val="none"/>
              </w:rPr>
            </w:pPr>
            <w:r>
              <w:rPr>
                <w:rFonts w:ascii="Times New Roman" w:hAnsi="Times New Roman"/>
                <w:color w:val="auto"/>
                <w:kern w:val="2"/>
                <w:szCs w:val="24"/>
                <w:highlight w:val="none"/>
              </w:rPr>
              <w:t>施</w:t>
            </w:r>
            <w:r>
              <w:rPr>
                <w:rFonts w:hint="eastAsia" w:ascii="Times New Roman" w:hAnsi="Times New Roman"/>
                <w:color w:val="auto"/>
                <w:kern w:val="2"/>
                <w:szCs w:val="24"/>
                <w:highlight w:val="none"/>
                <w:lang w:val="en-US" w:eastAsia="zh-CN"/>
              </w:rPr>
              <w:t xml:space="preserve"> </w:t>
            </w:r>
            <w:r>
              <w:rPr>
                <w:rFonts w:ascii="Times New Roman" w:hAnsi="Times New Roman"/>
                <w:color w:val="auto"/>
                <w:kern w:val="2"/>
                <w:szCs w:val="24"/>
                <w:highlight w:val="none"/>
              </w:rPr>
              <w:t>工</w:t>
            </w:r>
          </w:p>
          <w:p>
            <w:pPr>
              <w:pStyle w:val="24"/>
              <w:adjustRightInd w:val="0"/>
              <w:snapToGrid w:val="0"/>
              <w:spacing w:before="0" w:beforeAutospacing="0" w:after="0" w:afterAutospacing="0"/>
              <w:ind w:left="0" w:leftChars="0" w:firstLine="0" w:firstLineChars="0"/>
              <w:jc w:val="both"/>
              <w:rPr>
                <w:rFonts w:ascii="Times New Roman" w:hAnsi="Times New Roman"/>
                <w:color w:val="auto"/>
                <w:kern w:val="2"/>
                <w:szCs w:val="24"/>
                <w:highlight w:val="none"/>
              </w:rPr>
            </w:pPr>
            <w:r>
              <w:rPr>
                <w:rFonts w:ascii="Times New Roman" w:hAnsi="Times New Roman"/>
                <w:color w:val="auto"/>
                <w:kern w:val="2"/>
                <w:szCs w:val="24"/>
                <w:highlight w:val="none"/>
              </w:rPr>
              <w:t>期</w:t>
            </w:r>
            <w:r>
              <w:rPr>
                <w:rFonts w:hint="eastAsia" w:ascii="Times New Roman" w:hAnsi="Times New Roman"/>
                <w:color w:val="auto"/>
                <w:kern w:val="2"/>
                <w:szCs w:val="24"/>
                <w:highlight w:val="none"/>
                <w:lang w:val="en-US" w:eastAsia="zh-CN"/>
              </w:rPr>
              <w:t xml:space="preserve"> </w:t>
            </w:r>
            <w:r>
              <w:rPr>
                <w:rFonts w:ascii="Times New Roman" w:hAnsi="Times New Roman"/>
                <w:color w:val="auto"/>
                <w:kern w:val="2"/>
                <w:szCs w:val="24"/>
                <w:highlight w:val="none"/>
              </w:rPr>
              <w:t>环</w:t>
            </w:r>
          </w:p>
          <w:p>
            <w:pPr>
              <w:pStyle w:val="24"/>
              <w:adjustRightInd w:val="0"/>
              <w:snapToGrid w:val="0"/>
              <w:spacing w:before="0" w:beforeAutospacing="0" w:after="0" w:afterAutospacing="0"/>
              <w:ind w:left="0" w:leftChars="0" w:firstLine="0" w:firstLineChars="0"/>
              <w:jc w:val="both"/>
              <w:rPr>
                <w:rFonts w:ascii="Times New Roman" w:hAnsi="Times New Roman"/>
                <w:color w:val="auto"/>
                <w:kern w:val="2"/>
                <w:szCs w:val="24"/>
                <w:highlight w:val="none"/>
              </w:rPr>
            </w:pPr>
            <w:r>
              <w:rPr>
                <w:rFonts w:ascii="Times New Roman" w:hAnsi="Times New Roman"/>
                <w:color w:val="auto"/>
                <w:kern w:val="2"/>
                <w:szCs w:val="24"/>
                <w:highlight w:val="none"/>
              </w:rPr>
              <w:t>境</w:t>
            </w:r>
            <w:r>
              <w:rPr>
                <w:rFonts w:hint="eastAsia" w:ascii="Times New Roman" w:hAnsi="Times New Roman"/>
                <w:color w:val="auto"/>
                <w:kern w:val="2"/>
                <w:szCs w:val="24"/>
                <w:highlight w:val="none"/>
                <w:lang w:val="en-US" w:eastAsia="zh-CN"/>
              </w:rPr>
              <w:t xml:space="preserve"> </w:t>
            </w:r>
            <w:r>
              <w:rPr>
                <w:rFonts w:ascii="Times New Roman" w:hAnsi="Times New Roman"/>
                <w:color w:val="auto"/>
                <w:kern w:val="2"/>
                <w:szCs w:val="24"/>
                <w:highlight w:val="none"/>
              </w:rPr>
              <w:t>保</w:t>
            </w:r>
          </w:p>
          <w:p>
            <w:pPr>
              <w:pStyle w:val="24"/>
              <w:adjustRightInd w:val="0"/>
              <w:snapToGrid w:val="0"/>
              <w:spacing w:before="0" w:beforeAutospacing="0" w:after="0" w:afterAutospacing="0"/>
              <w:ind w:left="0" w:leftChars="0" w:firstLine="0" w:firstLineChars="0"/>
              <w:jc w:val="both"/>
              <w:rPr>
                <w:rFonts w:ascii="Times New Roman" w:hAnsi="Times New Roman"/>
                <w:color w:val="auto"/>
                <w:kern w:val="2"/>
                <w:szCs w:val="24"/>
                <w:highlight w:val="none"/>
              </w:rPr>
            </w:pPr>
            <w:r>
              <w:rPr>
                <w:rFonts w:ascii="Times New Roman" w:hAnsi="Times New Roman"/>
                <w:color w:val="auto"/>
                <w:kern w:val="2"/>
                <w:szCs w:val="24"/>
                <w:highlight w:val="none"/>
              </w:rPr>
              <w:t>护措施</w:t>
            </w:r>
          </w:p>
        </w:tc>
        <w:tc>
          <w:tcPr>
            <w:tcW w:w="7989" w:type="dxa"/>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bCs/>
                <w:color w:val="auto"/>
                <w:highlight w:val="none"/>
                <w:lang w:val="en-US" w:eastAsia="zh-CN"/>
              </w:rPr>
            </w:pPr>
            <w:r>
              <w:rPr>
                <w:rFonts w:hint="eastAsia" w:ascii="Times New Roman" w:hAnsi="Times New Roman" w:eastAsia="宋体" w:cs="Times New Roman"/>
                <w:b/>
                <w:bCs/>
                <w:color w:val="auto"/>
                <w:highlight w:val="none"/>
                <w:lang w:val="en-US" w:eastAsia="zh-CN"/>
              </w:rPr>
              <w:t>4.1</w:t>
            </w:r>
            <w:r>
              <w:rPr>
                <w:rFonts w:hint="eastAsia" w:ascii="宋体" w:hAnsi="宋体" w:eastAsia="宋体" w:cs="宋体"/>
                <w:b/>
                <w:bCs/>
                <w:color w:val="auto"/>
                <w:highlight w:val="none"/>
                <w:lang w:val="en-US" w:eastAsia="zh-CN"/>
              </w:rPr>
              <w:t>施工期间影响及防治措施分析</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新建项目在</w:t>
            </w:r>
            <w:r>
              <w:rPr>
                <w:rFonts w:hint="eastAsia"/>
                <w:color w:val="auto"/>
                <w:sz w:val="24"/>
                <w:highlight w:val="none"/>
                <w:u w:val="none"/>
                <w:lang w:eastAsia="zh-CN"/>
              </w:rPr>
              <w:t>奉节县羊市镇渔灯社区</w:t>
            </w:r>
            <w:r>
              <w:rPr>
                <w:rFonts w:hint="eastAsia"/>
                <w:color w:val="auto"/>
                <w:sz w:val="24"/>
                <w:highlight w:val="none"/>
                <w:u w:val="none"/>
                <w:lang w:val="en-US" w:eastAsia="zh-CN"/>
              </w:rPr>
              <w:t>15社</w:t>
            </w:r>
            <w:r>
              <w:rPr>
                <w:rFonts w:hint="eastAsia" w:ascii="宋体" w:hAnsi="宋体" w:eastAsia="宋体" w:cs="宋体"/>
                <w:color w:val="auto"/>
                <w:kern w:val="0"/>
                <w:sz w:val="24"/>
                <w:szCs w:val="24"/>
                <w:highlight w:val="none"/>
                <w:lang w:val="en-US" w:eastAsia="zh-CN" w:bidi="ar"/>
              </w:rPr>
              <w:t>进行建设，场地总体相对平坦，整体西高东低，场地多为耕地，无山地及河流。建设前期主要为场地平整、基础及结构施工等建设活动，后期为医院内部管网改造、装修、医疗设备安装活动和新建污水处理设施。因此，本项目施工期对周边环境影响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color w:val="auto"/>
                <w:highlight w:val="none"/>
                <w:lang w:val="en-US" w:eastAsia="zh-CN"/>
              </w:rPr>
            </w:pPr>
            <w:r>
              <w:rPr>
                <w:rFonts w:hint="eastAsia" w:ascii="Times New Roman" w:hAnsi="Times New Roman" w:eastAsia="宋体" w:cs="Times New Roman"/>
                <w:b/>
                <w:bCs/>
                <w:color w:val="auto"/>
                <w:highlight w:val="none"/>
                <w:lang w:val="en-US" w:eastAsia="zh-CN"/>
              </w:rPr>
              <w:t>4.1.1</w:t>
            </w:r>
            <w:r>
              <w:rPr>
                <w:rFonts w:hint="default" w:ascii="Times New Roman" w:hAnsi="Times New Roman" w:eastAsia="宋体" w:cs="Times New Roman"/>
                <w:b/>
                <w:bCs/>
                <w:color w:val="auto"/>
                <w:highlight w:val="none"/>
                <w:lang w:val="en-US" w:eastAsia="zh-CN"/>
              </w:rPr>
              <w:t>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en-US" w:eastAsia="zh-CN"/>
              </w:rPr>
              <w:t>大气环境影响分析</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施工期大气污染源主要为场地平整、地基开挖、物料装卸、运输及堆放等施工活动及车辆运输过程中产生的扬尘和各种燃油动力机械在施工作业时产生的燃油废气。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拟建项目周边现状为耕地，北侧约</w:t>
            </w:r>
            <w:r>
              <w:rPr>
                <w:rFonts w:hint="eastAsia" w:ascii="Times New Roman" w:hAnsi="Times New Roman" w:eastAsia="宋体" w:cs="Times New Roman"/>
                <w:color w:val="auto"/>
                <w:kern w:val="0"/>
                <w:sz w:val="24"/>
                <w:szCs w:val="24"/>
                <w:highlight w:val="none"/>
                <w:lang w:val="en-US" w:eastAsia="zh-CN" w:bidi="ar"/>
              </w:rPr>
              <w:t>30</w:t>
            </w:r>
            <w:r>
              <w:rPr>
                <w:rFonts w:hint="eastAsia" w:ascii="宋体" w:hAnsi="宋体" w:eastAsia="宋体" w:cs="宋体"/>
                <w:color w:val="auto"/>
                <w:kern w:val="0"/>
                <w:sz w:val="24"/>
                <w:szCs w:val="24"/>
                <w:highlight w:val="none"/>
                <w:lang w:val="en-US" w:eastAsia="zh-CN" w:bidi="ar"/>
              </w:rPr>
              <w:t>米为长滩河，环境敏感目标主要为</w:t>
            </w:r>
            <w:r>
              <w:rPr>
                <w:rFonts w:hint="eastAsia" w:ascii="宋体" w:hAnsi="宋体" w:cs="宋体"/>
                <w:color w:val="auto"/>
                <w:kern w:val="0"/>
                <w:sz w:val="24"/>
                <w:szCs w:val="24"/>
                <w:highlight w:val="none"/>
                <w:lang w:val="en-US" w:eastAsia="zh-CN" w:bidi="ar"/>
              </w:rPr>
              <w:t>南侧、西南侧</w:t>
            </w:r>
            <w:r>
              <w:rPr>
                <w:rFonts w:hint="eastAsia" w:ascii="宋体" w:hAnsi="宋体" w:eastAsia="宋体" w:cs="宋体"/>
                <w:color w:val="auto"/>
                <w:kern w:val="0"/>
                <w:sz w:val="24"/>
                <w:szCs w:val="24"/>
                <w:highlight w:val="none"/>
                <w:lang w:val="en-US" w:eastAsia="zh-CN" w:bidi="ar"/>
              </w:rPr>
              <w:t>零散居民点，施工扬尘可能造成近距离范围内的环境敏感目标</w:t>
            </w:r>
            <w:r>
              <w:rPr>
                <w:rFonts w:hint="default" w:ascii="Times New Roman" w:hAnsi="Times New Roman" w:eastAsia="宋体" w:cs="Times New Roman"/>
                <w:color w:val="auto"/>
                <w:kern w:val="0"/>
                <w:sz w:val="24"/>
                <w:szCs w:val="24"/>
                <w:highlight w:val="none"/>
                <w:lang w:val="en-US" w:eastAsia="zh-CN" w:bidi="ar"/>
              </w:rPr>
              <w:t>TSP</w:t>
            </w:r>
            <w:r>
              <w:rPr>
                <w:rFonts w:hint="eastAsia" w:ascii="宋体" w:hAnsi="宋体" w:eastAsia="宋体" w:cs="宋体"/>
                <w:color w:val="auto"/>
                <w:kern w:val="0"/>
                <w:sz w:val="24"/>
                <w:szCs w:val="24"/>
                <w:highlight w:val="none"/>
                <w:lang w:val="en-US" w:eastAsia="zh-CN" w:bidi="ar"/>
              </w:rPr>
              <w:t xml:space="preserve">超标。因此，项目施工期间应加强施工管理，合理施工布局；尽量避免在大风或干燥天气下施工作业，适时洒水抑尘；实行围挡封闭、硬地坪施工；弃土弃渣及时清运，物料密闭运输，严禁车辆带泥上路等，减少施工扬尘对大气环境的不利影响。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燃油废气的主要污染物为</w:t>
            </w:r>
            <w:r>
              <w:rPr>
                <w:rFonts w:hint="default" w:ascii="Times New Roman" w:hAnsi="Times New Roman" w:eastAsia="宋体" w:cs="Times New Roman"/>
                <w:color w:val="auto"/>
                <w:kern w:val="0"/>
                <w:sz w:val="24"/>
                <w:szCs w:val="24"/>
                <w:highlight w:val="none"/>
                <w:lang w:val="en-US" w:eastAsia="zh-CN" w:bidi="ar"/>
              </w:rPr>
              <w:t>CO</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NOx</w:t>
            </w:r>
            <w:r>
              <w:rPr>
                <w:rFonts w:hint="eastAsia" w:ascii="宋体" w:hAnsi="宋体" w:eastAsia="宋体" w:cs="宋体"/>
                <w:color w:val="auto"/>
                <w:kern w:val="0"/>
                <w:sz w:val="24"/>
                <w:szCs w:val="24"/>
                <w:highlight w:val="none"/>
                <w:lang w:val="en-US" w:eastAsia="zh-CN" w:bidi="ar"/>
              </w:rPr>
              <w:t xml:space="preserve">和碳氢化合物，燃气动力机械为间断作业，排污时间有限，且数量不大，仅对施工区域近距离的环境空气质量产生影响。施工期间应加强施工机械和运输车辆的使用管理和养护维修，提高机械使用效率，减少废气排放，以减轻其对周边环境的影响。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室内装修阶段采取的防治措施为：文明施工；选用质量合格、国家质量检验的低污染环保型油漆和涂料；加快施工进度，缩短工期，减少影响时间；定期清扫地面，减少扬尘产生量；电钻作业时，关闭门窗，尽量封闭作业；对运输建筑材料的车辆加遮盖物，减少粉尘排放量。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总结来说，施工期环境空气的影响的主要是施工扬尘的影响，尽管随施工结束而消失，但该影响倍受关注，因此，施工中必须按相关规定和要求，完善和落实扬尘污染控制措施。</w:t>
            </w:r>
          </w:p>
          <w:p>
            <w:pPr>
              <w:pStyle w:val="4"/>
              <w:bidi w:val="0"/>
              <w:rPr>
                <w:rFonts w:hint="eastAsia"/>
                <w:color w:val="auto"/>
                <w:highlight w:val="none"/>
                <w:lang w:val="en-US" w:eastAsia="zh-CN"/>
              </w:rPr>
            </w:pPr>
            <w:r>
              <w:rPr>
                <w:rFonts w:hint="eastAsia"/>
                <w:color w:val="auto"/>
                <w:highlight w:val="none"/>
                <w:lang w:val="en-US" w:eastAsia="zh-CN"/>
              </w:rPr>
              <w:t>4.1.2 废水</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施工生产废水主要包括混凝土养护废水、施工设备及车辆冲洗废水。燃油动力机械是施工作业的主要工具，在维护和冲洗时，将产生少量含</w:t>
            </w:r>
            <w:r>
              <w:rPr>
                <w:rFonts w:hint="default" w:ascii="Times New Roman" w:hAnsi="Times New Roman" w:eastAsia="宋体" w:cs="Times New Roman"/>
                <w:color w:val="auto"/>
                <w:kern w:val="0"/>
                <w:sz w:val="24"/>
                <w:szCs w:val="24"/>
                <w:highlight w:val="none"/>
                <w:lang w:val="en-US" w:eastAsia="zh-CN" w:bidi="ar"/>
              </w:rPr>
              <w:t>SS</w:t>
            </w:r>
            <w:r>
              <w:rPr>
                <w:rFonts w:hint="eastAsia" w:ascii="宋体" w:hAnsi="宋体" w:eastAsia="宋体" w:cs="宋体"/>
                <w:color w:val="auto"/>
                <w:kern w:val="0"/>
                <w:sz w:val="24"/>
                <w:szCs w:val="24"/>
                <w:highlight w:val="none"/>
                <w:lang w:val="en-US" w:eastAsia="zh-CN" w:bidi="ar"/>
              </w:rPr>
              <w:t>和石油类的废水；运输车辆的冲洗也会产生含</w:t>
            </w:r>
            <w:r>
              <w:rPr>
                <w:rFonts w:hint="default" w:ascii="Times New Roman" w:hAnsi="Times New Roman" w:eastAsia="宋体" w:cs="Times New Roman"/>
                <w:color w:val="auto"/>
                <w:kern w:val="0"/>
                <w:sz w:val="24"/>
                <w:szCs w:val="24"/>
                <w:highlight w:val="none"/>
                <w:lang w:val="en-US" w:eastAsia="zh-CN" w:bidi="ar"/>
              </w:rPr>
              <w:t>SS</w:t>
            </w:r>
            <w:r>
              <w:rPr>
                <w:rFonts w:hint="eastAsia" w:ascii="宋体" w:hAnsi="宋体" w:eastAsia="宋体" w:cs="宋体"/>
                <w:color w:val="auto"/>
                <w:kern w:val="0"/>
                <w:sz w:val="24"/>
                <w:szCs w:val="24"/>
                <w:highlight w:val="none"/>
                <w:lang w:val="en-US" w:eastAsia="zh-CN" w:bidi="ar"/>
              </w:rPr>
              <w:t xml:space="preserve">和石油类的废水，拟在施工场区出入口附近设固定冲洗场。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经估算施工高峰期施工人员约</w:t>
            </w:r>
            <w:r>
              <w:rPr>
                <w:rFonts w:hint="default" w:ascii="Times New Roman" w:hAnsi="Times New Roman" w:eastAsia="宋体" w:cs="Times New Roman"/>
                <w:color w:val="auto"/>
                <w:kern w:val="0"/>
                <w:sz w:val="24"/>
                <w:szCs w:val="24"/>
                <w:highlight w:val="none"/>
                <w:lang w:val="en-US" w:eastAsia="zh-CN" w:bidi="ar"/>
              </w:rPr>
              <w:t>50</w:t>
            </w:r>
            <w:r>
              <w:rPr>
                <w:rFonts w:hint="eastAsia" w:ascii="宋体" w:hAnsi="宋体" w:eastAsia="宋体" w:cs="宋体"/>
                <w:color w:val="auto"/>
                <w:kern w:val="0"/>
                <w:sz w:val="24"/>
                <w:szCs w:val="24"/>
                <w:highlight w:val="none"/>
                <w:lang w:val="en-US" w:eastAsia="zh-CN" w:bidi="ar"/>
              </w:rPr>
              <w:t>人，其生活用水量按</w:t>
            </w:r>
            <w:r>
              <w:rPr>
                <w:rFonts w:hint="default" w:ascii="Times New Roman" w:hAnsi="Times New Roman" w:eastAsia="宋体" w:cs="Times New Roman"/>
                <w:color w:val="auto"/>
                <w:kern w:val="0"/>
                <w:sz w:val="24"/>
                <w:szCs w:val="24"/>
                <w:highlight w:val="none"/>
                <w:lang w:val="en-US" w:eastAsia="zh-CN" w:bidi="ar"/>
              </w:rPr>
              <w:t>0.10m</w:t>
            </w:r>
            <w:r>
              <w:rPr>
                <w:rFonts w:hint="eastAsia"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人</w:t>
            </w:r>
            <w:r>
              <w:rPr>
                <w:rFonts w:hint="default" w:ascii="Times New Roman" w:hAnsi="Times New Roman" w:eastAsia="宋体" w:cs="Times New Roman"/>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val="en-US" w:eastAsia="zh-CN" w:bidi="ar"/>
              </w:rPr>
              <w:t>计，则施工人员生活污水排放量约为</w:t>
            </w:r>
            <w:r>
              <w:rPr>
                <w:rFonts w:hint="default" w:ascii="Times New Roman" w:hAnsi="Times New Roman" w:eastAsia="宋体" w:cs="Times New Roman"/>
                <w:color w:val="auto"/>
                <w:kern w:val="0"/>
                <w:sz w:val="24"/>
                <w:szCs w:val="24"/>
                <w:highlight w:val="none"/>
                <w:lang w:val="en-US" w:eastAsia="zh-CN" w:bidi="ar"/>
              </w:rPr>
              <w:t>4.5m</w:t>
            </w:r>
            <w:r>
              <w:rPr>
                <w:rFonts w:hint="eastAsia"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16"/>
                <w:szCs w:val="16"/>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val="en-US" w:eastAsia="zh-CN" w:bidi="ar"/>
              </w:rPr>
              <w:t xml:space="preserve">。由于施工人员生活排污依托周边场镇，生活废水经周边场镇房屋生化池处理后排入市政污水管网，对水环境影响小。 </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本项目距离长滩河约</w:t>
            </w:r>
            <w:r>
              <w:rPr>
                <w:rFonts w:hint="eastAsia" w:ascii="Times New Roman" w:hAnsi="Times New Roman" w:eastAsia="宋体" w:cs="Times New Roman"/>
                <w:color w:val="auto"/>
                <w:kern w:val="0"/>
                <w:sz w:val="24"/>
                <w:szCs w:val="24"/>
                <w:highlight w:val="none"/>
                <w:lang w:val="en-US" w:eastAsia="zh-CN" w:bidi="ar"/>
              </w:rPr>
              <w:t>30</w:t>
            </w:r>
            <w:r>
              <w:rPr>
                <w:rFonts w:hint="eastAsia" w:ascii="宋体" w:hAnsi="宋体" w:eastAsia="宋体" w:cs="宋体"/>
                <w:color w:val="auto"/>
                <w:kern w:val="0"/>
                <w:sz w:val="24"/>
                <w:szCs w:val="24"/>
                <w:highlight w:val="none"/>
                <w:lang w:val="en-US" w:eastAsia="zh-CN" w:bidi="ar"/>
              </w:rPr>
              <w:t>米，对于施工废水，需在施工场地内设置临时沉砂池，其四周及底部采用防渗混凝土。施工废水经沉砂池处理后回用于混凝土搅拌和养护、或用于场地抑尘洒水。严禁废水排入长滩河，同时需禁止施工人员在河道内清洗施工工具。</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在雨季，雨水对施工场地冲刷后汇入附近河流，将产生一定的污染，主要污染物为</w:t>
            </w:r>
            <w:r>
              <w:rPr>
                <w:rFonts w:hint="default" w:ascii="Times New Roman" w:hAnsi="Times New Roman" w:eastAsia="宋体" w:cs="Times New Roman"/>
                <w:color w:val="auto"/>
                <w:kern w:val="0"/>
                <w:sz w:val="24"/>
                <w:szCs w:val="24"/>
                <w:highlight w:val="none"/>
                <w:lang w:val="en-US" w:eastAsia="zh-CN" w:bidi="ar"/>
              </w:rPr>
              <w:t>SS</w:t>
            </w:r>
            <w:r>
              <w:rPr>
                <w:rFonts w:hint="eastAsia" w:ascii="宋体" w:hAnsi="宋体" w:eastAsia="宋体" w:cs="宋体"/>
                <w:color w:val="auto"/>
                <w:kern w:val="0"/>
                <w:sz w:val="24"/>
                <w:szCs w:val="24"/>
                <w:highlight w:val="none"/>
                <w:lang w:val="en-US" w:eastAsia="zh-CN" w:bidi="ar"/>
              </w:rPr>
              <w:t xml:space="preserve">。针对场地的冲刷雨水，环评要求施工过程中在施工场地四周设置排水沟，拦截场地外雨水，并设置沉砂池，对冲刷雨水进行简单沉淀后排入附近的雨水管网；在降水来临前用防雨布遮盖散装建筑材料，减少材料冲刷雨水的产生量。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采取以上措施后，能有效地控制对水体的污染，预计施工期对水环境的影响较小。随着施工期的结束，该类污染将随之不复存在。</w:t>
            </w:r>
          </w:p>
          <w:p>
            <w:pPr>
              <w:pStyle w:val="4"/>
              <w:pageBreakBefore w:val="0"/>
              <w:widowControl w:val="0"/>
              <w:kinsoku/>
              <w:wordWrap/>
              <w:overflowPunct/>
              <w:topLinePunct w:val="0"/>
              <w:autoSpaceDE/>
              <w:autoSpaceDN/>
              <w:bidi w:val="0"/>
              <w:adjustRightInd/>
              <w:snapToGrid/>
              <w:spacing w:line="420" w:lineRule="exact"/>
              <w:textAlignment w:val="auto"/>
              <w:rPr>
                <w:rFonts w:hint="eastAsia"/>
                <w:color w:val="auto"/>
                <w:highlight w:val="none"/>
                <w:lang w:val="en-US" w:eastAsia="zh-CN"/>
              </w:rPr>
            </w:pPr>
            <w:r>
              <w:rPr>
                <w:rFonts w:hint="eastAsia"/>
                <w:color w:val="auto"/>
                <w:highlight w:val="none"/>
                <w:lang w:val="en-US" w:eastAsia="zh-CN"/>
              </w:rPr>
              <w:t>4.1.3 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color w:val="auto"/>
                <w:highlight w:val="none"/>
                <w:lang w:val="en-US" w:eastAsia="zh-CN"/>
              </w:rPr>
            </w:pPr>
            <w:r>
              <w:rPr>
                <w:rFonts w:hint="eastAsia" w:ascii="Times New Roman" w:hAnsi="Times New Roman" w:eastAsia="宋体" w:cs="Times New Roman"/>
                <w:color w:val="auto"/>
                <w:highlight w:val="none"/>
                <w:lang w:val="en-US" w:eastAsia="zh-CN"/>
              </w:rPr>
              <w:t>（</w:t>
            </w:r>
            <w:r>
              <w:rPr>
                <w:rFonts w:hint="eastAsia" w:ascii="宋体" w:hAnsi="宋体" w:eastAsia="宋体" w:cs="宋体"/>
                <w:color w:val="auto"/>
                <w:highlight w:val="none"/>
                <w:lang w:val="en-US" w:eastAsia="zh-CN"/>
              </w:rPr>
              <w:t>1）噪声污染影响分析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施工中使用了各种不同性能的动力机械和高噪声设备，如推土机、挖掘机、振捣机、装载机、载重汽车等，除施工机械外，敲打也将产生短时间的强大噪声。表4.1是常见的施工机械产生的噪声值。</w:t>
            </w:r>
          </w:p>
          <w:p>
            <w:pPr>
              <w:keepNext w:val="0"/>
              <w:keepLines w:val="0"/>
              <w:pageBreakBefore w:val="0"/>
              <w:kinsoku/>
              <w:wordWrap/>
              <w:overflowPunct/>
              <w:topLinePunct w:val="0"/>
              <w:autoSpaceDE/>
              <w:autoSpaceDN/>
              <w:bidi w:val="0"/>
              <w:spacing w:line="400" w:lineRule="exact"/>
              <w:ind w:right="238" w:firstLine="482" w:firstLineChars="200"/>
              <w:jc w:val="center"/>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表4.1   常见施工机械噪声    dB（A）</w:t>
            </w:r>
          </w:p>
          <w:tbl>
            <w:tblPr>
              <w:tblStyle w:val="29"/>
              <w:tblW w:w="7523"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0"/>
              <w:gridCol w:w="909"/>
              <w:gridCol w:w="947"/>
              <w:gridCol w:w="931"/>
              <w:gridCol w:w="906"/>
              <w:gridCol w:w="952"/>
              <w:gridCol w:w="942"/>
              <w:gridCol w:w="93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95" w:hRule="atLeast"/>
                <w:jc w:val="center"/>
              </w:trPr>
              <w:tc>
                <w:tcPr>
                  <w:tcW w:w="10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ascii="Times New Roman" w:hAnsi="宋体" w:cs="Times New Roman"/>
                      <w:color w:val="auto"/>
                      <w:sz w:val="21"/>
                      <w:szCs w:val="21"/>
                      <w:highlight w:val="none"/>
                    </w:rPr>
                  </w:pPr>
                  <w:r>
                    <w:rPr>
                      <w:rFonts w:ascii="Times New Roman" w:hAnsi="宋体" w:cs="Times New Roman"/>
                      <w:color w:val="auto"/>
                      <w:sz w:val="21"/>
                      <w:szCs w:val="21"/>
                      <w:highlight w:val="none"/>
                    </w:rPr>
                    <w:t>施工</w:t>
                  </w:r>
                </w:p>
                <w:p>
                  <w:pPr>
                    <w:spacing w:line="400" w:lineRule="exact"/>
                    <w:ind w:left="0" w:leftChars="0" w:firstLine="0" w:firstLineChars="0"/>
                    <w:jc w:val="center"/>
                    <w:rPr>
                      <w:rFonts w:ascii="Times New Roman" w:hAnsi="Times New Roman" w:cs="Times New Roman"/>
                      <w:color w:val="auto"/>
                      <w:sz w:val="21"/>
                      <w:szCs w:val="21"/>
                      <w:highlight w:val="none"/>
                    </w:rPr>
                  </w:pPr>
                  <w:r>
                    <w:rPr>
                      <w:rFonts w:ascii="Times New Roman" w:hAnsi="宋体" w:cs="Times New Roman"/>
                      <w:color w:val="auto"/>
                      <w:sz w:val="21"/>
                      <w:szCs w:val="21"/>
                      <w:highlight w:val="none"/>
                    </w:rPr>
                    <w:t>机械</w:t>
                  </w:r>
                </w:p>
              </w:tc>
              <w:tc>
                <w:tcPr>
                  <w:tcW w:w="9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ascii="Times New Roman" w:hAnsi="Times New Roman" w:cs="Times New Roman"/>
                      <w:color w:val="auto"/>
                      <w:sz w:val="21"/>
                      <w:szCs w:val="21"/>
                      <w:highlight w:val="none"/>
                    </w:rPr>
                  </w:pPr>
                  <w:r>
                    <w:rPr>
                      <w:rFonts w:ascii="Times New Roman" w:hAnsi="宋体" w:cs="Times New Roman"/>
                      <w:color w:val="auto"/>
                      <w:sz w:val="21"/>
                      <w:szCs w:val="21"/>
                      <w:highlight w:val="none"/>
                    </w:rPr>
                    <w:t>装载机</w:t>
                  </w:r>
                </w:p>
              </w:tc>
              <w:tc>
                <w:tcPr>
                  <w:tcW w:w="94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ascii="Times New Roman" w:hAnsi="Times New Roman" w:cs="Times New Roman"/>
                      <w:color w:val="auto"/>
                      <w:sz w:val="21"/>
                      <w:szCs w:val="21"/>
                      <w:highlight w:val="none"/>
                    </w:rPr>
                  </w:pPr>
                  <w:r>
                    <w:rPr>
                      <w:rFonts w:ascii="Times New Roman" w:hAnsi="宋体" w:cs="Times New Roman"/>
                      <w:color w:val="auto"/>
                      <w:sz w:val="21"/>
                      <w:szCs w:val="21"/>
                      <w:highlight w:val="none"/>
                    </w:rPr>
                    <w:t>挖掘机</w:t>
                  </w:r>
                </w:p>
              </w:tc>
              <w:tc>
                <w:tcPr>
                  <w:tcW w:w="93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ascii="Times New Roman" w:hAnsi="Times New Roman" w:cs="Times New Roman"/>
                      <w:color w:val="auto"/>
                      <w:sz w:val="21"/>
                      <w:szCs w:val="21"/>
                      <w:highlight w:val="none"/>
                    </w:rPr>
                  </w:pPr>
                  <w:r>
                    <w:rPr>
                      <w:rFonts w:ascii="Times New Roman" w:hAnsi="宋体" w:cs="Times New Roman"/>
                      <w:color w:val="auto"/>
                      <w:sz w:val="21"/>
                      <w:szCs w:val="21"/>
                      <w:highlight w:val="none"/>
                    </w:rPr>
                    <w:t>推土机</w:t>
                  </w:r>
                </w:p>
              </w:tc>
              <w:tc>
                <w:tcPr>
                  <w:tcW w:w="90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ascii="Times New Roman" w:hAnsi="Times New Roman" w:cs="Times New Roman"/>
                      <w:color w:val="auto"/>
                      <w:sz w:val="21"/>
                      <w:szCs w:val="21"/>
                      <w:highlight w:val="none"/>
                    </w:rPr>
                  </w:pPr>
                  <w:r>
                    <w:rPr>
                      <w:rFonts w:ascii="Times New Roman" w:hAnsi="宋体" w:cs="Times New Roman"/>
                      <w:color w:val="auto"/>
                      <w:sz w:val="21"/>
                      <w:szCs w:val="21"/>
                      <w:highlight w:val="none"/>
                    </w:rPr>
                    <w:t>塔吊</w:t>
                  </w:r>
                </w:p>
              </w:tc>
              <w:tc>
                <w:tcPr>
                  <w:tcW w:w="9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宋体" w:cs="Times New Roman"/>
                      <w:color w:val="auto"/>
                      <w:sz w:val="21"/>
                      <w:szCs w:val="21"/>
                      <w:highlight w:val="none"/>
                    </w:rPr>
                  </w:pPr>
                  <w:r>
                    <w:rPr>
                      <w:rFonts w:ascii="Times New Roman" w:hAnsi="宋体" w:cs="Times New Roman"/>
                      <w:color w:val="auto"/>
                      <w:sz w:val="21"/>
                      <w:szCs w:val="21"/>
                      <w:highlight w:val="none"/>
                    </w:rPr>
                    <w:t>载重</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宋体" w:cs="Times New Roman"/>
                      <w:color w:val="auto"/>
                      <w:sz w:val="21"/>
                      <w:szCs w:val="21"/>
                      <w:highlight w:val="none"/>
                    </w:rPr>
                    <w:t>汽车</w:t>
                  </w:r>
                </w:p>
              </w:tc>
              <w:tc>
                <w:tcPr>
                  <w:tcW w:w="94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ascii="Times New Roman" w:hAnsi="Times New Roman" w:cs="Times New Roman"/>
                      <w:color w:val="auto"/>
                      <w:sz w:val="21"/>
                      <w:szCs w:val="21"/>
                      <w:highlight w:val="none"/>
                    </w:rPr>
                  </w:pPr>
                  <w:r>
                    <w:rPr>
                      <w:rFonts w:ascii="Times New Roman" w:hAnsi="宋体" w:cs="Times New Roman"/>
                      <w:color w:val="auto"/>
                      <w:sz w:val="21"/>
                      <w:szCs w:val="21"/>
                      <w:highlight w:val="none"/>
                    </w:rPr>
                    <w:t>圆盘锯</w:t>
                  </w: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ascii="Times New Roman" w:hAnsi="Times New Roman" w:cs="Times New Roman"/>
                      <w:color w:val="auto"/>
                      <w:sz w:val="21"/>
                      <w:szCs w:val="21"/>
                      <w:highlight w:val="none"/>
                    </w:rPr>
                  </w:pPr>
                  <w:r>
                    <w:rPr>
                      <w:rFonts w:ascii="Times New Roman" w:hAnsi="宋体" w:cs="Times New Roman"/>
                      <w:color w:val="auto"/>
                      <w:sz w:val="21"/>
                      <w:szCs w:val="21"/>
                      <w:highlight w:val="none"/>
                    </w:rPr>
                    <w:t>砂轮机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10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ascii="Times New Roman" w:hAnsi="Times New Roman" w:cs="Times New Roman"/>
                      <w:color w:val="auto"/>
                      <w:sz w:val="21"/>
                      <w:szCs w:val="21"/>
                      <w:highlight w:val="none"/>
                    </w:rPr>
                  </w:pPr>
                  <w:r>
                    <w:rPr>
                      <w:rFonts w:ascii="Times New Roman" w:hAnsi="宋体" w:cs="Times New Roman"/>
                      <w:color w:val="auto"/>
                      <w:sz w:val="21"/>
                      <w:szCs w:val="21"/>
                      <w:highlight w:val="none"/>
                    </w:rPr>
                    <w:t>噪声</w:t>
                  </w:r>
                  <w:r>
                    <w:rPr>
                      <w:rFonts w:ascii="Times New Roman" w:hAnsi="Times New Roman" w:cs="Times New Roman"/>
                      <w:color w:val="auto"/>
                      <w:sz w:val="21"/>
                      <w:szCs w:val="21"/>
                      <w:highlight w:val="none"/>
                    </w:rPr>
                    <w:t>dB(A)</w:t>
                  </w:r>
                </w:p>
              </w:tc>
              <w:tc>
                <w:tcPr>
                  <w:tcW w:w="9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90</w:t>
                  </w:r>
                </w:p>
              </w:tc>
              <w:tc>
                <w:tcPr>
                  <w:tcW w:w="94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85</w:t>
                  </w:r>
                </w:p>
              </w:tc>
              <w:tc>
                <w:tcPr>
                  <w:tcW w:w="93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86</w:t>
                  </w:r>
                </w:p>
              </w:tc>
              <w:tc>
                <w:tcPr>
                  <w:tcW w:w="90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85</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82</w:t>
                  </w:r>
                </w:p>
              </w:tc>
              <w:tc>
                <w:tcPr>
                  <w:tcW w:w="94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85</w:t>
                  </w: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ascii="Times New Roman" w:hAnsi="Tahoma" w:cs="Times New Roman"/>
                <w:bCs/>
                <w:color w:val="auto"/>
                <w:sz w:val="24"/>
                <w:szCs w:val="24"/>
                <w:highlight w:val="none"/>
              </w:rPr>
              <w:t>声传播衰减按下述模式计算，结果列于下表中</w:t>
            </w:r>
            <w:r>
              <w:rPr>
                <w:rFonts w:ascii="Times New Roman" w:hAnsi="Tahoma"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1440" w:firstLineChars="600"/>
              <w:textAlignment w:val="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L</w:t>
            </w:r>
            <w:r>
              <w:rPr>
                <w:rFonts w:ascii="Times New Roman" w:hAnsi="Tahoma" w:cs="Times New Roman"/>
                <w:color w:val="auto"/>
                <w:sz w:val="24"/>
                <w:szCs w:val="24"/>
                <w:highlight w:val="none"/>
                <w:vertAlign w:val="subscript"/>
              </w:rPr>
              <w:t>（</w:t>
            </w:r>
            <w:r>
              <w:rPr>
                <w:rFonts w:ascii="Times New Roman" w:hAnsi="Times New Roman" w:cs="Times New Roman"/>
                <w:color w:val="auto"/>
                <w:sz w:val="24"/>
                <w:szCs w:val="24"/>
                <w:highlight w:val="none"/>
              </w:rPr>
              <w:t>r</w:t>
            </w:r>
            <w:r>
              <w:rPr>
                <w:rFonts w:ascii="Times New Roman" w:hAnsi="Tahoma" w:cs="Times New Roman"/>
                <w:color w:val="auto"/>
                <w:sz w:val="24"/>
                <w:szCs w:val="24"/>
                <w:highlight w:val="none"/>
                <w:vertAlign w:val="subscript"/>
              </w:rPr>
              <w:t>）</w:t>
            </w:r>
            <w:r>
              <w:rPr>
                <w:rFonts w:ascii="Times New Roman" w:hAnsi="Tahoma" w:cs="Times New Roman"/>
                <w:color w:val="auto"/>
                <w:sz w:val="24"/>
                <w:szCs w:val="24"/>
                <w:highlight w:val="none"/>
              </w:rPr>
              <w:t>＝</w:t>
            </w:r>
            <w:r>
              <w:rPr>
                <w:rFonts w:ascii="Times New Roman" w:hAnsi="Times New Roman" w:cs="Times New Roman"/>
                <w:color w:val="auto"/>
                <w:sz w:val="24"/>
                <w:szCs w:val="24"/>
                <w:highlight w:val="none"/>
              </w:rPr>
              <w:t xml:space="preserve"> L</w:t>
            </w:r>
            <w:r>
              <w:rPr>
                <w:rFonts w:ascii="Times New Roman" w:hAnsi="Tahoma" w:cs="Times New Roman"/>
                <w:color w:val="auto"/>
                <w:sz w:val="24"/>
                <w:szCs w:val="24"/>
                <w:highlight w:val="none"/>
                <w:vertAlign w:val="subscript"/>
              </w:rPr>
              <w:t>（</w:t>
            </w:r>
            <w:r>
              <w:rPr>
                <w:rFonts w:ascii="Times New Roman" w:hAnsi="Times New Roman" w:cs="Times New Roman"/>
                <w:color w:val="auto"/>
                <w:sz w:val="24"/>
                <w:szCs w:val="24"/>
                <w:highlight w:val="none"/>
              </w:rPr>
              <w:t>r</w:t>
            </w:r>
            <w:r>
              <w:rPr>
                <w:rFonts w:ascii="Times New Roman" w:hAnsi="Times New Roman" w:cs="Times New Roman"/>
                <w:color w:val="auto"/>
                <w:sz w:val="24"/>
                <w:szCs w:val="24"/>
                <w:highlight w:val="none"/>
                <w:vertAlign w:val="subscript"/>
              </w:rPr>
              <w:t>0</w:t>
            </w:r>
            <w:r>
              <w:rPr>
                <w:rFonts w:ascii="Times New Roman" w:hAnsi="Tahoma" w:cs="Times New Roman"/>
                <w:color w:val="auto"/>
                <w:sz w:val="24"/>
                <w:szCs w:val="24"/>
                <w:highlight w:val="none"/>
                <w:vertAlign w:val="subscript"/>
              </w:rPr>
              <w:t>）</w:t>
            </w:r>
            <w:r>
              <w:rPr>
                <w:rFonts w:ascii="Times New Roman" w:hAnsi="Times New Roman" w:cs="Times New Roman"/>
                <w:color w:val="auto"/>
                <w:sz w:val="24"/>
                <w:szCs w:val="24"/>
                <w:highlight w:val="none"/>
              </w:rPr>
              <w:t>- 20lg</w:t>
            </w:r>
            <w:r>
              <w:rPr>
                <w:rFonts w:ascii="Times New Roman" w:hAnsi="Tahoma" w:cs="Times New Roman"/>
                <w:color w:val="auto"/>
                <w:sz w:val="24"/>
                <w:szCs w:val="24"/>
                <w:highlight w:val="none"/>
              </w:rPr>
              <w:t>（</w:t>
            </w:r>
            <w:r>
              <w:rPr>
                <w:rFonts w:ascii="Times New Roman" w:hAnsi="Times New Roman" w:cs="Times New Roman"/>
                <w:color w:val="auto"/>
                <w:sz w:val="24"/>
                <w:szCs w:val="24"/>
                <w:highlight w:val="none"/>
              </w:rPr>
              <w:t>r/r</w:t>
            </w:r>
            <w:r>
              <w:rPr>
                <w:rFonts w:ascii="Times New Roman" w:hAnsi="Times New Roman" w:cs="Times New Roman"/>
                <w:color w:val="auto"/>
                <w:sz w:val="24"/>
                <w:szCs w:val="24"/>
                <w:highlight w:val="none"/>
                <w:vertAlign w:val="subscript"/>
              </w:rPr>
              <w:t>0</w:t>
            </w:r>
            <w:r>
              <w:rPr>
                <w:rFonts w:ascii="Times New Roman" w:hAnsi="Tahoma" w:cs="Times New Roman"/>
                <w:color w:val="auto"/>
                <w:sz w:val="24"/>
                <w:szCs w:val="24"/>
                <w:highlight w:val="none"/>
              </w:rPr>
              <w:t>）</w:t>
            </w:r>
            <w:r>
              <w:rPr>
                <w:rFonts w:ascii="Times New Roman" w:hAnsi="Times New Roman" w:cs="Times New Roman"/>
                <w:color w:val="auto"/>
                <w:sz w:val="24"/>
                <w:szCs w:val="24"/>
                <w:highlight w:val="none"/>
              </w:rPr>
              <w:t xml:space="preserve">- </w:t>
            </w:r>
            <w:r>
              <w:rPr>
                <w:rFonts w:ascii="Cambria Math" w:hAnsi="Cambria Math" w:cs="Times New Roman"/>
                <w:color w:val="auto"/>
                <w:sz w:val="24"/>
                <w:szCs w:val="24"/>
                <w:highlight w:val="none"/>
              </w:rPr>
              <w:t>△</w:t>
            </w:r>
            <w:r>
              <w:rPr>
                <w:rFonts w:ascii="Times New Roman" w:hAnsi="Times New Roman" w:cs="Times New Roman"/>
                <w:color w:val="auto"/>
                <w:sz w:val="24"/>
                <w:szCs w:val="24"/>
                <w:highlight w:val="none"/>
              </w:rPr>
              <w:t>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ascii="Times New Roman" w:hAnsi="Tahoma" w:cs="Times New Roman"/>
                <w:color w:val="auto"/>
                <w:sz w:val="24"/>
                <w:szCs w:val="24"/>
                <w:highlight w:val="none"/>
              </w:rPr>
              <w:t>式中：</w:t>
            </w:r>
            <w:r>
              <w:rPr>
                <w:rFonts w:ascii="Times New Roman" w:hAnsi="Times New Roman" w:cs="Times New Roman"/>
                <w:color w:val="auto"/>
                <w:sz w:val="24"/>
                <w:szCs w:val="24"/>
                <w:highlight w:val="none"/>
              </w:rPr>
              <w:t>L</w:t>
            </w:r>
            <w:r>
              <w:rPr>
                <w:rFonts w:ascii="Times New Roman" w:hAnsi="Tahoma" w:cs="Times New Roman"/>
                <w:color w:val="auto"/>
                <w:sz w:val="24"/>
                <w:szCs w:val="24"/>
                <w:highlight w:val="none"/>
                <w:vertAlign w:val="subscript"/>
              </w:rPr>
              <w:t>（</w:t>
            </w:r>
            <w:r>
              <w:rPr>
                <w:rFonts w:ascii="Times New Roman" w:hAnsi="Times New Roman" w:cs="Times New Roman"/>
                <w:color w:val="auto"/>
                <w:sz w:val="24"/>
                <w:szCs w:val="24"/>
                <w:highlight w:val="none"/>
              </w:rPr>
              <w:t>r</w:t>
            </w:r>
            <w:r>
              <w:rPr>
                <w:rFonts w:ascii="Times New Roman" w:hAnsi="Tahoma" w:cs="Times New Roman"/>
                <w:color w:val="auto"/>
                <w:sz w:val="24"/>
                <w:szCs w:val="24"/>
                <w:highlight w:val="none"/>
                <w:vertAlign w:val="subscript"/>
              </w:rPr>
              <w:t>）</w:t>
            </w:r>
            <w:r>
              <w:rPr>
                <w:rFonts w:ascii="Times New Roman" w:hAnsi="Times New Roman" w:cs="Times New Roman"/>
                <w:color w:val="auto"/>
                <w:sz w:val="24"/>
                <w:szCs w:val="24"/>
                <w:highlight w:val="none"/>
              </w:rPr>
              <w:t>——</w:t>
            </w:r>
            <w:r>
              <w:rPr>
                <w:rFonts w:ascii="Times New Roman" w:hAnsi="Tahoma" w:cs="Times New Roman"/>
                <w:color w:val="auto"/>
                <w:sz w:val="24"/>
                <w:szCs w:val="24"/>
                <w:highlight w:val="none"/>
              </w:rPr>
              <w:t>噪声受声点</w:t>
            </w:r>
            <w:r>
              <w:rPr>
                <w:rFonts w:ascii="Times New Roman" w:hAnsi="Times New Roman" w:cs="Times New Roman"/>
                <w:color w:val="auto"/>
                <w:sz w:val="24"/>
                <w:szCs w:val="24"/>
                <w:highlight w:val="none"/>
              </w:rPr>
              <w:t>r</w:t>
            </w:r>
            <w:r>
              <w:rPr>
                <w:rFonts w:ascii="Times New Roman" w:hAnsi="Tahoma" w:cs="Times New Roman"/>
                <w:color w:val="auto"/>
                <w:sz w:val="24"/>
                <w:szCs w:val="24"/>
                <w:highlight w:val="none"/>
              </w:rPr>
              <w:t>处的等效声级，</w:t>
            </w:r>
            <w:r>
              <w:rPr>
                <w:rFonts w:ascii="Times New Roman" w:hAnsi="Times New Roman" w:cs="Times New Roman"/>
                <w:color w:val="auto"/>
                <w:sz w:val="24"/>
                <w:szCs w:val="24"/>
                <w:highlight w:val="none"/>
              </w:rPr>
              <w:t>dB</w:t>
            </w:r>
            <w:r>
              <w:rPr>
                <w:rFonts w:ascii="Times New Roman" w:hAnsi="Tahoma" w:cs="Times New Roman"/>
                <w:color w:val="auto"/>
                <w:sz w:val="24"/>
                <w:szCs w:val="24"/>
                <w:highlight w:val="none"/>
              </w:rPr>
              <w:t>（</w:t>
            </w:r>
            <w:r>
              <w:rPr>
                <w:rFonts w:ascii="Times New Roman" w:hAnsi="Times New Roman" w:cs="Times New Roman"/>
                <w:color w:val="auto"/>
                <w:sz w:val="24"/>
                <w:szCs w:val="24"/>
                <w:highlight w:val="none"/>
              </w:rPr>
              <w:t>A</w:t>
            </w:r>
            <w:r>
              <w:rPr>
                <w:rFonts w:ascii="Times New Roman" w:hAnsi="Tahoma"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cs="Times New Roman"/>
                <w:b/>
                <w:color w:val="auto"/>
                <w:sz w:val="24"/>
                <w:szCs w:val="24"/>
                <w:highlight w:val="none"/>
              </w:rPr>
            </w:pPr>
            <w:r>
              <w:rPr>
                <w:rFonts w:ascii="Times New Roman" w:hAnsi="Times New Roman" w:cs="Times New Roman"/>
                <w:color w:val="auto"/>
                <w:sz w:val="24"/>
                <w:szCs w:val="24"/>
                <w:highlight w:val="none"/>
              </w:rPr>
              <w:t>L</w:t>
            </w:r>
            <w:r>
              <w:rPr>
                <w:rFonts w:ascii="Times New Roman" w:hAnsi="Tahoma" w:cs="Times New Roman"/>
                <w:color w:val="auto"/>
                <w:sz w:val="24"/>
                <w:szCs w:val="24"/>
                <w:highlight w:val="none"/>
                <w:vertAlign w:val="subscript"/>
              </w:rPr>
              <w:t>（</w:t>
            </w:r>
            <w:r>
              <w:rPr>
                <w:rFonts w:ascii="Times New Roman" w:hAnsi="Times New Roman" w:cs="Times New Roman"/>
                <w:color w:val="auto"/>
                <w:sz w:val="24"/>
                <w:szCs w:val="24"/>
                <w:highlight w:val="none"/>
              </w:rPr>
              <w:t>r</w:t>
            </w:r>
            <w:r>
              <w:rPr>
                <w:rFonts w:ascii="Times New Roman" w:hAnsi="Times New Roman" w:cs="Times New Roman"/>
                <w:color w:val="auto"/>
                <w:sz w:val="24"/>
                <w:szCs w:val="24"/>
                <w:highlight w:val="none"/>
                <w:vertAlign w:val="subscript"/>
              </w:rPr>
              <w:t>0</w:t>
            </w:r>
            <w:r>
              <w:rPr>
                <w:rFonts w:ascii="Times New Roman" w:hAnsi="Tahoma" w:cs="Times New Roman"/>
                <w:color w:val="auto"/>
                <w:sz w:val="24"/>
                <w:szCs w:val="24"/>
                <w:highlight w:val="none"/>
                <w:vertAlign w:val="subscript"/>
              </w:rPr>
              <w:t>）</w:t>
            </w:r>
            <w:r>
              <w:rPr>
                <w:rFonts w:ascii="Times New Roman" w:hAnsi="Times New Roman" w:cs="Times New Roman"/>
                <w:color w:val="auto"/>
                <w:sz w:val="24"/>
                <w:szCs w:val="24"/>
                <w:highlight w:val="none"/>
              </w:rPr>
              <w:t>——</w:t>
            </w:r>
            <w:r>
              <w:rPr>
                <w:rFonts w:ascii="Times New Roman" w:hAnsi="Tahoma" w:cs="Times New Roman"/>
                <w:color w:val="auto"/>
                <w:sz w:val="24"/>
                <w:szCs w:val="24"/>
                <w:highlight w:val="none"/>
              </w:rPr>
              <w:t>噪声受声点</w:t>
            </w:r>
            <w:r>
              <w:rPr>
                <w:rFonts w:ascii="Times New Roman" w:hAnsi="Times New Roman" w:cs="Times New Roman"/>
                <w:color w:val="auto"/>
                <w:sz w:val="24"/>
                <w:szCs w:val="24"/>
                <w:highlight w:val="none"/>
              </w:rPr>
              <w:t>r</w:t>
            </w:r>
            <w:r>
              <w:rPr>
                <w:rFonts w:ascii="Times New Roman" w:hAnsi="Times New Roman" w:cs="Times New Roman"/>
                <w:color w:val="auto"/>
                <w:sz w:val="24"/>
                <w:szCs w:val="24"/>
                <w:highlight w:val="none"/>
                <w:vertAlign w:val="subscript"/>
              </w:rPr>
              <w:t>0</w:t>
            </w:r>
            <w:r>
              <w:rPr>
                <w:rFonts w:ascii="Times New Roman" w:hAnsi="Tahoma" w:cs="Times New Roman"/>
                <w:color w:val="auto"/>
                <w:sz w:val="24"/>
                <w:szCs w:val="24"/>
                <w:highlight w:val="none"/>
              </w:rPr>
              <w:t>处的等效声级，</w:t>
            </w:r>
            <w:r>
              <w:rPr>
                <w:rFonts w:ascii="Times New Roman" w:hAnsi="Times New Roman" w:cs="Times New Roman"/>
                <w:color w:val="auto"/>
                <w:sz w:val="24"/>
                <w:szCs w:val="24"/>
                <w:highlight w:val="none"/>
              </w:rPr>
              <w:t>dB</w:t>
            </w:r>
            <w:r>
              <w:rPr>
                <w:rFonts w:ascii="Times New Roman" w:hAnsi="Tahoma" w:cs="Times New Roman"/>
                <w:color w:val="auto"/>
                <w:sz w:val="24"/>
                <w:szCs w:val="24"/>
                <w:highlight w:val="none"/>
              </w:rPr>
              <w:t>（</w:t>
            </w:r>
            <w:r>
              <w:rPr>
                <w:rFonts w:ascii="Times New Roman" w:hAnsi="Times New Roman" w:cs="Times New Roman"/>
                <w:color w:val="auto"/>
                <w:sz w:val="24"/>
                <w:szCs w:val="24"/>
                <w:highlight w:val="none"/>
              </w:rPr>
              <w:t>A</w:t>
            </w:r>
            <w:r>
              <w:rPr>
                <w:rFonts w:ascii="Times New Roman" w:hAnsi="Tahoma"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r ——</w:t>
            </w:r>
            <w:r>
              <w:rPr>
                <w:rFonts w:ascii="Times New Roman" w:hAnsi="Tahoma" w:cs="Times New Roman"/>
                <w:color w:val="auto"/>
                <w:sz w:val="24"/>
                <w:szCs w:val="24"/>
                <w:highlight w:val="none"/>
              </w:rPr>
              <w:t>噪声源至受声点</w:t>
            </w:r>
            <w:r>
              <w:rPr>
                <w:rFonts w:ascii="Times New Roman" w:hAnsi="Times New Roman" w:cs="Times New Roman"/>
                <w:color w:val="auto"/>
                <w:sz w:val="24"/>
                <w:szCs w:val="24"/>
                <w:highlight w:val="none"/>
              </w:rPr>
              <w:t>r</w:t>
            </w:r>
            <w:r>
              <w:rPr>
                <w:rFonts w:ascii="Times New Roman" w:hAnsi="Tahoma" w:cs="Times New Roman"/>
                <w:color w:val="auto"/>
                <w:sz w:val="24"/>
                <w:szCs w:val="24"/>
                <w:highlight w:val="none"/>
              </w:rPr>
              <w:t>处的距离，</w:t>
            </w:r>
            <w:r>
              <w:rPr>
                <w:rFonts w:ascii="Times New Roman" w:hAnsi="Times New Roman" w:cs="Times New Roman"/>
                <w:color w:val="auto"/>
                <w:sz w:val="24"/>
                <w:szCs w:val="24"/>
                <w:highlight w:val="none"/>
              </w:rPr>
              <w:t>m</w:t>
            </w:r>
            <w:r>
              <w:rPr>
                <w:rFonts w:ascii="Times New Roman" w:hAnsi="Tahoma"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r0 ——</w:t>
            </w:r>
            <w:r>
              <w:rPr>
                <w:rFonts w:ascii="Times New Roman" w:hAnsi="Tahoma" w:cs="Times New Roman"/>
                <w:color w:val="auto"/>
                <w:sz w:val="24"/>
                <w:szCs w:val="24"/>
                <w:highlight w:val="none"/>
              </w:rPr>
              <w:t>噪声源至受声点</w:t>
            </w:r>
            <w:r>
              <w:rPr>
                <w:rFonts w:ascii="Times New Roman" w:hAnsi="Times New Roman" w:cs="Times New Roman"/>
                <w:color w:val="auto"/>
                <w:sz w:val="24"/>
                <w:szCs w:val="24"/>
                <w:highlight w:val="none"/>
              </w:rPr>
              <w:t>r0</w:t>
            </w:r>
            <w:r>
              <w:rPr>
                <w:rFonts w:ascii="Times New Roman" w:hAnsi="Tahoma" w:cs="Times New Roman"/>
                <w:color w:val="auto"/>
                <w:sz w:val="24"/>
                <w:szCs w:val="24"/>
                <w:highlight w:val="none"/>
              </w:rPr>
              <w:t>处的距离，</w:t>
            </w:r>
            <w:r>
              <w:rPr>
                <w:rFonts w:ascii="Times New Roman" w:hAnsi="Times New Roman" w:cs="Times New Roman"/>
                <w:color w:val="auto"/>
                <w:sz w:val="24"/>
                <w:szCs w:val="24"/>
                <w:highlight w:val="none"/>
              </w:rPr>
              <w:t>m</w:t>
            </w:r>
            <w:r>
              <w:rPr>
                <w:rFonts w:ascii="Times New Roman" w:hAnsi="Tahoma"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cs="Times New Roman"/>
                <w:color w:val="auto"/>
                <w:sz w:val="24"/>
                <w:szCs w:val="24"/>
                <w:highlight w:val="none"/>
              </w:rPr>
            </w:pPr>
            <w:r>
              <w:rPr>
                <w:rFonts w:ascii="Times New Roman" w:hAnsi="Tahoma" w:cs="Times New Roman"/>
                <w:color w:val="auto"/>
                <w:sz w:val="24"/>
                <w:szCs w:val="24"/>
                <w:highlight w:val="none"/>
              </w:rPr>
              <w:t>△</w:t>
            </w:r>
            <w:r>
              <w:rPr>
                <w:rFonts w:ascii="Times New Roman" w:hAnsi="Times New Roman" w:cs="Times New Roman"/>
                <w:color w:val="auto"/>
                <w:sz w:val="24"/>
                <w:szCs w:val="24"/>
                <w:highlight w:val="none"/>
              </w:rPr>
              <w:t>L---</w:t>
            </w:r>
            <w:r>
              <w:rPr>
                <w:rFonts w:hint="eastAsia" w:ascii="Times New Roman" w:hAnsi="Times New Roman" w:cs="Times New Roman"/>
                <w:color w:val="auto"/>
                <w:sz w:val="24"/>
                <w:szCs w:val="24"/>
                <w:highlight w:val="none"/>
                <w:lang w:eastAsia="zh-CN"/>
              </w:rPr>
              <w:t>－</w:t>
            </w:r>
            <w:r>
              <w:rPr>
                <w:rFonts w:ascii="Times New Roman" w:hAnsi="Tahoma" w:cs="Times New Roman"/>
                <w:color w:val="auto"/>
                <w:sz w:val="24"/>
                <w:szCs w:val="24"/>
                <w:highlight w:val="none"/>
              </w:rPr>
              <w:t>各种因素引起的噪声衰减量，</w:t>
            </w:r>
            <w:r>
              <w:rPr>
                <w:rFonts w:ascii="Times New Roman" w:hAnsi="Times New Roman" w:cs="Times New Roman"/>
                <w:color w:val="auto"/>
                <w:sz w:val="24"/>
                <w:szCs w:val="24"/>
                <w:highlight w:val="none"/>
              </w:rPr>
              <w:t>dB</w:t>
            </w:r>
            <w:r>
              <w:rPr>
                <w:rFonts w:ascii="Times New Roman" w:hAnsi="Tahoma" w:cs="Times New Roman"/>
                <w:color w:val="auto"/>
                <w:sz w:val="24"/>
                <w:szCs w:val="24"/>
                <w:highlight w:val="none"/>
              </w:rPr>
              <w:t>（</w:t>
            </w:r>
            <w:r>
              <w:rPr>
                <w:rFonts w:ascii="Times New Roman" w:hAnsi="Times New Roman" w:cs="Times New Roman"/>
                <w:color w:val="auto"/>
                <w:sz w:val="24"/>
                <w:szCs w:val="24"/>
                <w:highlight w:val="none"/>
              </w:rPr>
              <w:t>A</w:t>
            </w:r>
            <w:r>
              <w:rPr>
                <w:rFonts w:ascii="Times New Roman" w:hAnsi="Tahoma"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color w:val="auto"/>
                <w:sz w:val="24"/>
                <w:szCs w:val="24"/>
                <w:highlight w:val="none"/>
              </w:rPr>
            </w:pPr>
            <w:r>
              <w:rPr>
                <w:rFonts w:ascii="Times New Roman" w:cs="Times New Roman"/>
                <w:color w:val="auto"/>
                <w:sz w:val="24"/>
                <w:szCs w:val="24"/>
                <w:highlight w:val="none"/>
              </w:rPr>
              <w:t>根据重庆市环境监测中心多年对各类建筑施工场地的噪声监测结果统计，施工</w:t>
            </w:r>
            <w:r>
              <w:rPr>
                <w:rFonts w:hint="eastAsia" w:ascii="Times New Roman" w:cs="Times New Roman"/>
                <w:color w:val="auto"/>
                <w:sz w:val="24"/>
                <w:szCs w:val="24"/>
                <w:highlight w:val="none"/>
                <w:lang w:eastAsia="zh-CN"/>
              </w:rPr>
              <w:t>场地</w:t>
            </w:r>
            <w:r>
              <w:rPr>
                <w:rFonts w:ascii="Times New Roman" w:cs="Times New Roman"/>
                <w:color w:val="auto"/>
                <w:sz w:val="24"/>
                <w:szCs w:val="24"/>
                <w:highlight w:val="none"/>
              </w:rPr>
              <w:t>的噪声声级峰值约</w:t>
            </w:r>
            <w:r>
              <w:rPr>
                <w:rFonts w:ascii="Times New Roman" w:hAnsi="Times New Roman" w:cs="Times New Roman"/>
                <w:color w:val="auto"/>
                <w:sz w:val="24"/>
                <w:szCs w:val="24"/>
                <w:highlight w:val="none"/>
              </w:rPr>
              <w:t>90dB</w:t>
            </w:r>
            <w:r>
              <w:rPr>
                <w:rFonts w:ascii="Times New Roman" w:cs="Times New Roman"/>
                <w:color w:val="auto"/>
                <w:sz w:val="24"/>
                <w:szCs w:val="24"/>
                <w:highlight w:val="none"/>
              </w:rPr>
              <w:t>（</w:t>
            </w:r>
            <w:r>
              <w:rPr>
                <w:rFonts w:ascii="Times New Roman" w:hAnsi="Times New Roman" w:cs="Times New Roman"/>
                <w:color w:val="auto"/>
                <w:sz w:val="24"/>
                <w:szCs w:val="24"/>
                <w:highlight w:val="none"/>
              </w:rPr>
              <w:t>A</w:t>
            </w:r>
            <w:r>
              <w:rPr>
                <w:rFonts w:ascii="Times New Roman" w:cs="Times New Roman"/>
                <w:color w:val="auto"/>
                <w:sz w:val="24"/>
                <w:szCs w:val="24"/>
                <w:highlight w:val="none"/>
              </w:rPr>
              <w:t>），一般情况声级约</w:t>
            </w:r>
            <w:r>
              <w:rPr>
                <w:rFonts w:ascii="Times New Roman" w:hAnsi="Times New Roman" w:cs="Times New Roman"/>
                <w:color w:val="auto"/>
                <w:sz w:val="24"/>
                <w:szCs w:val="24"/>
                <w:highlight w:val="none"/>
              </w:rPr>
              <w:t>81dB</w:t>
            </w:r>
            <w:r>
              <w:rPr>
                <w:rFonts w:ascii="Times New Roman" w:cs="Times New Roman"/>
                <w:color w:val="auto"/>
                <w:sz w:val="24"/>
                <w:szCs w:val="24"/>
                <w:highlight w:val="none"/>
              </w:rPr>
              <w:t>（</w:t>
            </w:r>
            <w:r>
              <w:rPr>
                <w:rFonts w:ascii="Times New Roman" w:hAnsi="Times New Roman" w:cs="Times New Roman"/>
                <w:color w:val="auto"/>
                <w:sz w:val="24"/>
                <w:szCs w:val="24"/>
                <w:highlight w:val="none"/>
              </w:rPr>
              <w:t>A</w:t>
            </w:r>
            <w:r>
              <w:rPr>
                <w:rFonts w:ascii="Times New Roman" w:cs="Times New Roman"/>
                <w:color w:val="auto"/>
                <w:sz w:val="24"/>
                <w:szCs w:val="24"/>
                <w:highlight w:val="none"/>
              </w:rPr>
              <w:t>）。施工噪声影响预测见表</w:t>
            </w:r>
            <w:r>
              <w:rPr>
                <w:rFonts w:hint="eastAsia" w:ascii="Times New Roman" w:hAnsi="Times New Roman" w:cs="Times New Roman"/>
                <w:color w:val="auto"/>
                <w:sz w:val="24"/>
                <w:szCs w:val="24"/>
                <w:highlight w:val="none"/>
                <w:lang w:val="en-US" w:eastAsia="zh-CN"/>
              </w:rPr>
              <w:t>4.2</w:t>
            </w:r>
            <w:r>
              <w:rPr>
                <w:rFonts w:ascii="Times New Roman" w:cs="Times New Roman"/>
                <w:color w:val="auto"/>
                <w:sz w:val="24"/>
                <w:szCs w:val="24"/>
                <w:highlight w:val="none"/>
              </w:rPr>
              <w:t>。</w:t>
            </w:r>
          </w:p>
          <w:p>
            <w:pPr>
              <w:keepNext w:val="0"/>
              <w:keepLines w:val="0"/>
              <w:pageBreakBefore w:val="0"/>
              <w:kinsoku/>
              <w:wordWrap/>
              <w:overflowPunct/>
              <w:topLinePunct w:val="0"/>
              <w:autoSpaceDE/>
              <w:autoSpaceDN/>
              <w:bidi w:val="0"/>
              <w:spacing w:line="400" w:lineRule="exact"/>
              <w:ind w:right="238" w:firstLine="482" w:firstLineChars="200"/>
              <w:jc w:val="center"/>
              <w:textAlignment w:val="auto"/>
              <w:rPr>
                <w:rFonts w:hint="default" w:ascii="宋体" w:hAnsi="宋体" w:eastAsia="宋体" w:cs="宋体"/>
                <w:b/>
                <w:bCs/>
                <w:color w:val="auto"/>
                <w:highlight w:val="none"/>
                <w:lang w:val="en-US" w:eastAsia="zh-CN"/>
              </w:rPr>
            </w:pPr>
            <w:r>
              <w:rPr>
                <w:rFonts w:hint="default" w:ascii="宋体" w:hAnsi="宋体" w:eastAsia="宋体" w:cs="宋体"/>
                <w:b/>
                <w:bCs/>
                <w:color w:val="auto"/>
                <w:highlight w:val="none"/>
                <w:lang w:val="en-US" w:eastAsia="zh-CN"/>
              </w:rPr>
              <w:t>表</w:t>
            </w:r>
            <w:r>
              <w:rPr>
                <w:rFonts w:hint="eastAsia" w:ascii="宋体" w:hAnsi="宋体" w:eastAsia="宋体" w:cs="宋体"/>
                <w:b/>
                <w:bCs/>
                <w:color w:val="auto"/>
                <w:highlight w:val="none"/>
                <w:lang w:val="en-US" w:eastAsia="zh-CN"/>
              </w:rPr>
              <w:t>4.2</w:t>
            </w:r>
            <w:r>
              <w:rPr>
                <w:rFonts w:hint="default" w:ascii="宋体" w:hAnsi="宋体" w:eastAsia="宋体" w:cs="宋体"/>
                <w:b/>
                <w:bCs/>
                <w:color w:val="auto"/>
                <w:highlight w:val="none"/>
                <w:lang w:val="en-US" w:eastAsia="zh-CN"/>
              </w:rPr>
              <w:t xml:space="preserve">     主要机械在不同距离的噪声值    dB（A）</w:t>
            </w:r>
          </w:p>
          <w:tbl>
            <w:tblPr>
              <w:tblStyle w:val="30"/>
              <w:tblW w:w="74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434"/>
              <w:gridCol w:w="434"/>
              <w:gridCol w:w="434"/>
              <w:gridCol w:w="434"/>
              <w:gridCol w:w="434"/>
              <w:gridCol w:w="434"/>
              <w:gridCol w:w="434"/>
              <w:gridCol w:w="434"/>
              <w:gridCol w:w="434"/>
              <w:gridCol w:w="531"/>
              <w:gridCol w:w="531"/>
              <w:gridCol w:w="531"/>
              <w:gridCol w:w="531"/>
              <w:gridCol w:w="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8" w:type="dxa"/>
                  <w:noWrap w:val="0"/>
                  <w:vAlign w:val="center"/>
                </w:tcPr>
                <w:p>
                  <w:pPr>
                    <w:pStyle w:val="6"/>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距离（m）</w:t>
                  </w:r>
                </w:p>
              </w:tc>
              <w:tc>
                <w:tcPr>
                  <w:tcW w:w="434" w:type="dxa"/>
                  <w:noWrap w:val="0"/>
                  <w:vAlign w:val="center"/>
                </w:tcPr>
                <w:p>
                  <w:pPr>
                    <w:pStyle w:val="6"/>
                    <w:ind w:left="0" w:leftChars="0"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10</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15</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20</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30</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40</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50</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60</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80</w:t>
                  </w:r>
                </w:p>
              </w:tc>
              <w:tc>
                <w:tcPr>
                  <w:tcW w:w="531" w:type="dxa"/>
                  <w:noWrap w:val="0"/>
                  <w:vAlign w:val="center"/>
                </w:tcPr>
                <w:p>
                  <w:pPr>
                    <w:pStyle w:val="6"/>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100</w:t>
                  </w:r>
                </w:p>
              </w:tc>
              <w:tc>
                <w:tcPr>
                  <w:tcW w:w="531" w:type="dxa"/>
                  <w:noWrap w:val="0"/>
                  <w:vAlign w:val="center"/>
                </w:tcPr>
                <w:p>
                  <w:pPr>
                    <w:pStyle w:val="6"/>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110</w:t>
                  </w:r>
                </w:p>
              </w:tc>
              <w:tc>
                <w:tcPr>
                  <w:tcW w:w="531" w:type="dxa"/>
                  <w:noWrap w:val="0"/>
                  <w:vAlign w:val="center"/>
                </w:tcPr>
                <w:p>
                  <w:pPr>
                    <w:pStyle w:val="6"/>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130</w:t>
                  </w:r>
                </w:p>
              </w:tc>
              <w:tc>
                <w:tcPr>
                  <w:tcW w:w="531" w:type="dxa"/>
                  <w:noWrap w:val="0"/>
                  <w:vAlign w:val="center"/>
                </w:tcPr>
                <w:p>
                  <w:pPr>
                    <w:pStyle w:val="6"/>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150</w:t>
                  </w:r>
                </w:p>
              </w:tc>
              <w:tc>
                <w:tcPr>
                  <w:tcW w:w="532" w:type="dxa"/>
                  <w:noWrap w:val="0"/>
                  <w:vAlign w:val="center"/>
                </w:tcPr>
                <w:p>
                  <w:pPr>
                    <w:pStyle w:val="6"/>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8" w:type="dxa"/>
                  <w:noWrap w:val="0"/>
                  <w:vAlign w:val="center"/>
                </w:tcPr>
                <w:p>
                  <w:pPr>
                    <w:pStyle w:val="6"/>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峰值声级</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90</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81</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77</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75</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71</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69</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67</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65</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63</w:t>
                  </w:r>
                </w:p>
              </w:tc>
              <w:tc>
                <w:tcPr>
                  <w:tcW w:w="531" w:type="dxa"/>
                  <w:noWrap w:val="0"/>
                  <w:vAlign w:val="center"/>
                </w:tcPr>
                <w:p>
                  <w:pPr>
                    <w:pStyle w:val="6"/>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61</w:t>
                  </w:r>
                </w:p>
              </w:tc>
              <w:tc>
                <w:tcPr>
                  <w:tcW w:w="531" w:type="dxa"/>
                  <w:noWrap w:val="0"/>
                  <w:vAlign w:val="center"/>
                </w:tcPr>
                <w:p>
                  <w:pPr>
                    <w:pStyle w:val="6"/>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60</w:t>
                  </w:r>
                </w:p>
              </w:tc>
              <w:tc>
                <w:tcPr>
                  <w:tcW w:w="531" w:type="dxa"/>
                  <w:noWrap w:val="0"/>
                  <w:vAlign w:val="center"/>
                </w:tcPr>
                <w:p>
                  <w:pPr>
                    <w:pStyle w:val="6"/>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59</w:t>
                  </w:r>
                </w:p>
              </w:tc>
              <w:tc>
                <w:tcPr>
                  <w:tcW w:w="531" w:type="dxa"/>
                  <w:noWrap w:val="0"/>
                  <w:vAlign w:val="center"/>
                </w:tcPr>
                <w:p>
                  <w:pPr>
                    <w:pStyle w:val="6"/>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57</w:t>
                  </w:r>
                </w:p>
              </w:tc>
              <w:tc>
                <w:tcPr>
                  <w:tcW w:w="532" w:type="dxa"/>
                  <w:noWrap w:val="0"/>
                  <w:vAlign w:val="center"/>
                </w:tcPr>
                <w:p>
                  <w:pPr>
                    <w:pStyle w:val="6"/>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8" w:type="dxa"/>
                  <w:noWrap w:val="0"/>
                  <w:vAlign w:val="center"/>
                </w:tcPr>
                <w:p>
                  <w:pPr>
                    <w:pStyle w:val="6"/>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一般情况声级</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81</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72</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68</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66</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62</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60</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58</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56</w:t>
                  </w:r>
                </w:p>
              </w:tc>
              <w:tc>
                <w:tcPr>
                  <w:tcW w:w="434"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54</w:t>
                  </w:r>
                </w:p>
              </w:tc>
              <w:tc>
                <w:tcPr>
                  <w:tcW w:w="531"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52</w:t>
                  </w:r>
                </w:p>
              </w:tc>
              <w:tc>
                <w:tcPr>
                  <w:tcW w:w="531"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51</w:t>
                  </w:r>
                </w:p>
              </w:tc>
              <w:tc>
                <w:tcPr>
                  <w:tcW w:w="531"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50</w:t>
                  </w:r>
                </w:p>
              </w:tc>
              <w:tc>
                <w:tcPr>
                  <w:tcW w:w="531"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48</w:t>
                  </w:r>
                </w:p>
              </w:tc>
              <w:tc>
                <w:tcPr>
                  <w:tcW w:w="532" w:type="dxa"/>
                  <w:noWrap w:val="0"/>
                  <w:vAlign w:val="center"/>
                </w:tcPr>
                <w:p>
                  <w:pPr>
                    <w:pStyle w:val="6"/>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46</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由上表可以看出，在拟建项目施工期间，噪声可能对周边居民居住环境有一定影响。项目周边敏感点均在</w:t>
            </w:r>
            <w:r>
              <w:rPr>
                <w:rFonts w:hint="default" w:ascii="Times New Roman" w:hAnsi="Times New Roman" w:eastAsia="宋体" w:cs="Times New Roman"/>
                <w:color w:val="auto"/>
                <w:sz w:val="24"/>
                <w:szCs w:val="24"/>
                <w:highlight w:val="none"/>
                <w:lang w:val="en-US" w:eastAsia="zh-CN"/>
              </w:rPr>
              <w:t>200m</w:t>
            </w:r>
            <w:r>
              <w:rPr>
                <w:rFonts w:hint="eastAsia" w:ascii="Times New Roman" w:hAnsi="Times New Roman" w:eastAsia="宋体" w:cs="Times New Roman"/>
                <w:color w:val="auto"/>
                <w:sz w:val="24"/>
                <w:szCs w:val="24"/>
                <w:highlight w:val="none"/>
                <w:lang w:val="en-US" w:eastAsia="zh-CN"/>
              </w:rPr>
              <w:t>开外，项目施工期间采取相应的降噪措施后，噪声源强可减缓</w:t>
            </w:r>
            <w:r>
              <w:rPr>
                <w:rFonts w:hint="default" w:ascii="Times New Roman" w:hAnsi="Times New Roman" w:eastAsia="宋体" w:cs="Times New Roman"/>
                <w:color w:val="auto"/>
                <w:sz w:val="24"/>
                <w:szCs w:val="24"/>
                <w:highlight w:val="none"/>
                <w:lang w:val="en-US" w:eastAsia="zh-CN"/>
              </w:rPr>
              <w:t>15~20dB</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 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 参照重庆市人民政府令第270号《重庆市环境噪声污染防治办法》（2013年3月）和“宁静行动”等明确规定建筑施工场地的噪声污染控制应采取相应措施。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挖掘机、翻斗车、吊车、升降机、电锯、载重汽车和水泵等施工机械声强一般在89~110dB（A）之间，施工过程对周围声环境的影响较大，建设单位应尽量使噪声强度大的设备远离声环境敏感区，减轻施工噪声的不利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施工单位应到相关部门办理施工噪声许可证，使用低噪声设备，加强施工管理，并且合理安排高噪声设备施工作业时间，禁止在夜间（22:00至次日6:00）施工，昼间运行机械的时间也应避开人们的休息时间；建筑施工浇筑大梁等确需夜间连续施工的，应向当地环境保护行政主管部门申请并办理相关的手续，同时应向项目所在地周围住户提前告知后方可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④施工单位应加强设备维护，保证车辆和施工设备处于良好的工作状况；尽量使用低噪声的施工机械，对强噪声施工机械采取临时性的噪声隔挡措施。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⑤按劳动卫生标准，控制高噪声机械施工人员的工作时间；对机械操作者及有关人员采取个体防护措施，如戴耳塞、头盔等。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fldChar w:fldCharType="begin"/>
            </w:r>
            <w:r>
              <w:rPr>
                <w:rFonts w:hint="eastAsia" w:ascii="Times New Roman" w:hAnsi="Times New Roman" w:eastAsia="宋体" w:cs="Times New Roman"/>
                <w:color w:val="auto"/>
                <w:sz w:val="24"/>
                <w:szCs w:val="24"/>
                <w:highlight w:val="none"/>
                <w:lang w:val="en-US" w:eastAsia="zh-CN"/>
              </w:rPr>
              <w:instrText xml:space="preserve"> = 6 \* GB3 \* MERGEFORMAT </w:instrText>
            </w:r>
            <w:r>
              <w:rPr>
                <w:rFonts w:hint="eastAsia" w:ascii="Times New Roman" w:hAnsi="Times New Roman" w:eastAsia="宋体" w:cs="Times New Roman"/>
                <w:color w:val="auto"/>
                <w:sz w:val="24"/>
                <w:szCs w:val="24"/>
                <w:highlight w:val="none"/>
                <w:lang w:val="en-US" w:eastAsia="zh-CN"/>
              </w:rPr>
              <w:fldChar w:fldCharType="separate"/>
            </w:r>
            <w:r>
              <w:rPr>
                <w:rFonts w:hint="eastAsia" w:ascii="Times New Roman" w:hAnsi="Times New Roman" w:eastAsia="宋体" w:cs="Times New Roman"/>
                <w:color w:val="auto"/>
                <w:sz w:val="24"/>
                <w:szCs w:val="24"/>
                <w:highlight w:val="none"/>
                <w:lang w:val="en-US" w:eastAsia="zh-CN"/>
              </w:rPr>
              <w:t>⑥</w:t>
            </w:r>
            <w:r>
              <w:rPr>
                <w:rFonts w:hint="eastAsia" w:ascii="Times New Roman" w:hAnsi="Times New Roman" w:eastAsia="宋体" w:cs="Times New Roman"/>
                <w:color w:val="auto"/>
                <w:sz w:val="24"/>
                <w:szCs w:val="24"/>
                <w:highlight w:val="none"/>
                <w:lang w:val="en-US" w:eastAsia="zh-CN"/>
              </w:rPr>
              <w:fldChar w:fldCharType="end"/>
            </w:r>
            <w:r>
              <w:rPr>
                <w:rFonts w:hint="eastAsia" w:ascii="Times New Roman" w:hAnsi="Times New Roman" w:eastAsia="宋体" w:cs="Times New Roman"/>
                <w:color w:val="auto"/>
                <w:sz w:val="24"/>
                <w:szCs w:val="24"/>
                <w:highlight w:val="none"/>
                <w:lang w:val="en-US" w:eastAsia="zh-CN"/>
              </w:rPr>
              <w:t>合理布局高噪声设备。尽管施工噪声对环境产生一定的不利影响，但是施工期噪声影响是短暂的，一旦施工活动结束，施工噪声也就随之结束。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综上所述，建设项目在建设期间，对周围环境会产生一定影响，建设单位应该要求施工单位通过加强管理、禁止夜间施工、文明施工的手段来减少建设期间施工对周围环境的影响，从其他工地的经验来看，只要做好上述建议措施，是可以把建设期间对周围环境的影响减少到较低的限度。</w:t>
            </w:r>
          </w:p>
          <w:p>
            <w:pPr>
              <w:pStyle w:val="4"/>
              <w:pageBreakBefore w:val="0"/>
              <w:widowControl w:val="0"/>
              <w:kinsoku/>
              <w:wordWrap/>
              <w:overflowPunct/>
              <w:topLinePunct w:val="0"/>
              <w:autoSpaceDE/>
              <w:autoSpaceDN/>
              <w:bidi w:val="0"/>
              <w:adjustRightInd/>
              <w:snapToGrid/>
              <w:spacing w:line="420" w:lineRule="exact"/>
              <w:textAlignment w:val="auto"/>
              <w:rPr>
                <w:rFonts w:hint="eastAsia"/>
                <w:color w:val="auto"/>
                <w:highlight w:val="none"/>
                <w:lang w:val="en-US" w:eastAsia="zh-CN"/>
              </w:rPr>
            </w:pPr>
            <w:r>
              <w:rPr>
                <w:rFonts w:hint="eastAsia"/>
                <w:color w:val="auto"/>
                <w:highlight w:val="none"/>
                <w:lang w:val="en-US" w:eastAsia="zh-CN"/>
              </w:rPr>
              <w:t>4.1.4 固体废物</w:t>
            </w:r>
          </w:p>
          <w:p>
            <w:pPr>
              <w:pStyle w:val="42"/>
              <w:keepNext w:val="0"/>
              <w:keepLines w:val="0"/>
              <w:pageBreakBefore w:val="0"/>
              <w:widowControl w:val="0"/>
              <w:kinsoku/>
              <w:wordWrap/>
              <w:overflowPunct/>
              <w:topLinePunct/>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b w:val="0"/>
                <w:bCs w:val="0"/>
                <w:color w:val="auto"/>
                <w:kern w:val="0"/>
                <w:sz w:val="24"/>
                <w:szCs w:val="24"/>
                <w:highlight w:val="none"/>
                <w:lang w:val="en-US" w:eastAsia="zh-CN" w:bidi="ar-SA"/>
              </w:rPr>
              <w:t>施工期的固体废物主要是</w:t>
            </w:r>
            <w:r>
              <w:rPr>
                <w:rFonts w:hint="eastAsia" w:ascii="Times New Roman" w:hAnsi="Times New Roman" w:eastAsia="宋体" w:cs="Times New Roman"/>
                <w:color w:val="auto"/>
                <w:sz w:val="24"/>
                <w:szCs w:val="24"/>
                <w:highlight w:val="none"/>
                <w:lang w:eastAsia="zh-CN"/>
              </w:rPr>
              <w:t>建筑垃圾和施工人员的生活垃圾。</w:t>
            </w:r>
          </w:p>
          <w:p>
            <w:pPr>
              <w:pStyle w:val="42"/>
              <w:keepNext w:val="0"/>
              <w:keepLines w:val="0"/>
              <w:pageBreakBefore w:val="0"/>
              <w:widowControl w:val="0"/>
              <w:kinsoku/>
              <w:wordWrap/>
              <w:overflowPunct/>
              <w:topLinePunct/>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eastAsia" w:ascii="Times New Roman" w:hAnsi="Times New Roman" w:eastAsia="宋体" w:cs="Times New Roman"/>
                <w:b w:val="0"/>
                <w:bCs w:val="0"/>
                <w:color w:val="auto"/>
                <w:kern w:val="0"/>
                <w:sz w:val="24"/>
                <w:szCs w:val="24"/>
                <w:highlight w:val="none"/>
                <w:lang w:val="en-US" w:eastAsia="zh-CN" w:bidi="ar-SA"/>
              </w:rPr>
              <w:t>拟建项目的固体废弃物，如果不进行适当的处理和处理，在降雨作用下，不仅容易造成水土流失，还会给行人带来不便。因此，在项目施工期间应采取有效的防治措施，包括：</w:t>
            </w:r>
          </w:p>
          <w:p>
            <w:pPr>
              <w:pStyle w:val="42"/>
              <w:keepNext w:val="0"/>
              <w:keepLines w:val="0"/>
              <w:pageBreakBefore w:val="0"/>
              <w:widowControl w:val="0"/>
              <w:numPr>
                <w:ilvl w:val="0"/>
                <w:numId w:val="0"/>
              </w:numPr>
              <w:kinsoku/>
              <w:wordWrap/>
              <w:overflowPunct/>
              <w:topLinePunct/>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eastAsia" w:ascii="Times New Roman" w:hAnsi="Times New Roman" w:eastAsia="宋体" w:cs="Times New Roman"/>
                <w:b w:val="0"/>
                <w:bCs w:val="0"/>
                <w:color w:val="auto"/>
                <w:kern w:val="0"/>
                <w:sz w:val="24"/>
                <w:szCs w:val="24"/>
                <w:highlight w:val="none"/>
                <w:lang w:val="en-US" w:eastAsia="zh-CN" w:bidi="ar-SA"/>
              </w:rPr>
              <w:t>①工程弃渣土来自拟建项目场地平整产生少量挖方，工程挖方共3000m</w:t>
            </w:r>
            <w:r>
              <w:rPr>
                <w:rFonts w:hint="eastAsia" w:ascii="Times New Roman" w:hAnsi="Times New Roman" w:eastAsia="宋体" w:cs="Times New Roman"/>
                <w:b w:val="0"/>
                <w:bCs w:val="0"/>
                <w:color w:val="auto"/>
                <w:kern w:val="0"/>
                <w:sz w:val="24"/>
                <w:szCs w:val="24"/>
                <w:highlight w:val="none"/>
                <w:vertAlign w:val="superscript"/>
                <w:lang w:val="en-US" w:eastAsia="zh-CN" w:bidi="ar-SA"/>
              </w:rPr>
              <w:t>3</w:t>
            </w:r>
            <w:r>
              <w:rPr>
                <w:rFonts w:hint="eastAsia" w:ascii="Times New Roman" w:hAnsi="Times New Roman" w:eastAsia="宋体" w:cs="Times New Roman"/>
                <w:b w:val="0"/>
                <w:bCs w:val="0"/>
                <w:color w:val="auto"/>
                <w:kern w:val="0"/>
                <w:sz w:val="24"/>
                <w:szCs w:val="24"/>
                <w:highlight w:val="none"/>
                <w:lang w:val="en-US" w:eastAsia="zh-CN" w:bidi="ar-SA"/>
              </w:rPr>
              <w:t>，填方共3000m</w:t>
            </w:r>
            <w:r>
              <w:rPr>
                <w:rFonts w:hint="eastAsia" w:ascii="Times New Roman" w:hAnsi="Times New Roman" w:eastAsia="宋体" w:cs="Times New Roman"/>
                <w:b w:val="0"/>
                <w:bCs w:val="0"/>
                <w:color w:val="auto"/>
                <w:kern w:val="0"/>
                <w:sz w:val="24"/>
                <w:szCs w:val="24"/>
                <w:highlight w:val="none"/>
                <w:vertAlign w:val="superscript"/>
                <w:lang w:val="en-US" w:eastAsia="zh-CN" w:bidi="ar-SA"/>
              </w:rPr>
              <w:t>3</w:t>
            </w:r>
            <w:r>
              <w:rPr>
                <w:rFonts w:hint="eastAsia" w:ascii="Times New Roman" w:hAnsi="Times New Roman" w:eastAsia="宋体" w:cs="Times New Roman"/>
                <w:b w:val="0"/>
                <w:bCs w:val="0"/>
                <w:color w:val="auto"/>
                <w:kern w:val="0"/>
                <w:sz w:val="24"/>
                <w:szCs w:val="24"/>
                <w:highlight w:val="none"/>
                <w:lang w:val="en-US" w:eastAsia="zh-CN" w:bidi="ar-SA"/>
              </w:rPr>
              <w:t>，场区土石方能做到平衡。施工完成后表土及时用于绿化回填。合理安排施工进度，基础开挖应避免暴雨季节，防治水土流失。</w:t>
            </w:r>
          </w:p>
          <w:p>
            <w:pPr>
              <w:pStyle w:val="42"/>
              <w:keepNext w:val="0"/>
              <w:keepLines w:val="0"/>
              <w:pageBreakBefore w:val="0"/>
              <w:widowControl w:val="0"/>
              <w:kinsoku/>
              <w:wordWrap/>
              <w:overflowPunct/>
              <w:topLinePunct/>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eastAsia" w:ascii="Times New Roman" w:cs="Times New Roman"/>
                <w:b w:val="0"/>
                <w:bCs w:val="0"/>
                <w:color w:val="auto"/>
                <w:kern w:val="0"/>
                <w:sz w:val="24"/>
                <w:szCs w:val="24"/>
                <w:highlight w:val="none"/>
                <w:lang w:val="en-US" w:eastAsia="zh-CN" w:bidi="ar-SA"/>
              </w:rPr>
              <w:t>②</w:t>
            </w:r>
            <w:r>
              <w:rPr>
                <w:rFonts w:hint="eastAsia" w:ascii="Times New Roman" w:hAnsi="Times New Roman" w:eastAsia="宋体" w:cs="Times New Roman"/>
                <w:b w:val="0"/>
                <w:bCs w:val="0"/>
                <w:color w:val="auto"/>
                <w:kern w:val="0"/>
                <w:sz w:val="24"/>
                <w:szCs w:val="24"/>
                <w:highlight w:val="none"/>
                <w:lang w:val="en-US" w:eastAsia="zh-CN" w:bidi="ar-SA"/>
              </w:rPr>
              <w:t>建筑垃圾来自建筑物结构施工及装修过程，</w:t>
            </w:r>
            <w:r>
              <w:rPr>
                <w:rFonts w:hint="default" w:ascii="Times New Roman" w:hAnsi="Times New Roman" w:eastAsia="宋体" w:cs="Times New Roman"/>
                <w:b w:val="0"/>
                <w:bCs w:val="0"/>
                <w:color w:val="auto"/>
                <w:sz w:val="24"/>
                <w:szCs w:val="24"/>
                <w:highlight w:val="none"/>
                <w:lang w:val="en-US" w:eastAsia="zh-CN"/>
              </w:rPr>
              <w:t>包括</w:t>
            </w:r>
            <w:r>
              <w:rPr>
                <w:rFonts w:hint="eastAsia" w:ascii="Times New Roman" w:hAnsi="Times New Roman" w:eastAsia="宋体" w:cs="Times New Roman"/>
                <w:b w:val="0"/>
                <w:bCs w:val="0"/>
                <w:color w:val="auto"/>
                <w:sz w:val="24"/>
                <w:szCs w:val="24"/>
                <w:highlight w:val="none"/>
                <w:lang w:val="en-US" w:eastAsia="zh-CN"/>
              </w:rPr>
              <w:t>建筑弃渣、</w:t>
            </w:r>
            <w:r>
              <w:rPr>
                <w:rFonts w:hint="default" w:ascii="Times New Roman" w:hAnsi="Times New Roman" w:eastAsia="宋体" w:cs="Times New Roman"/>
                <w:b w:val="0"/>
                <w:bCs w:val="0"/>
                <w:color w:val="auto"/>
                <w:sz w:val="24"/>
                <w:szCs w:val="24"/>
                <w:highlight w:val="none"/>
                <w:lang w:val="en-US" w:eastAsia="zh-CN"/>
              </w:rPr>
              <w:t>砂石、石块、碎砖瓦、废木料、废金属、废钢筋等</w:t>
            </w:r>
            <w:r>
              <w:rPr>
                <w:rFonts w:hint="eastAsia" w:ascii="Times New Roman" w:hAnsi="Times New Roman" w:eastAsia="宋体" w:cs="Times New Roman"/>
                <w:b w:val="0"/>
                <w:bCs w:val="0"/>
                <w:color w:val="auto"/>
                <w:sz w:val="24"/>
                <w:szCs w:val="24"/>
                <w:highlight w:val="none"/>
                <w:lang w:val="en-US" w:eastAsia="zh-CN"/>
              </w:rPr>
              <w:t>，类比同类项目，施工过程产生的建筑垃圾约为12吨，</w:t>
            </w:r>
            <w:r>
              <w:rPr>
                <w:rFonts w:hint="default" w:ascii="Times New Roman" w:hAnsi="Times New Roman" w:eastAsia="宋体" w:cs="Times New Roman"/>
                <w:b w:val="0"/>
                <w:bCs w:val="0"/>
                <w:color w:val="auto"/>
                <w:sz w:val="24"/>
                <w:szCs w:val="24"/>
                <w:highlight w:val="none"/>
                <w:lang w:val="en-US" w:eastAsia="zh-CN"/>
              </w:rPr>
              <w:t>建筑废料部分回收利用，部分运至</w:t>
            </w:r>
            <w:r>
              <w:rPr>
                <w:rFonts w:hint="eastAsia" w:ascii="Times New Roman" w:hAnsi="Times New Roman" w:eastAsia="宋体" w:cs="Times New Roman"/>
                <w:b w:val="0"/>
                <w:bCs w:val="0"/>
                <w:color w:val="auto"/>
                <w:kern w:val="0"/>
                <w:sz w:val="24"/>
                <w:szCs w:val="24"/>
                <w:highlight w:val="none"/>
                <w:lang w:val="en-US" w:eastAsia="zh-CN" w:bidi="ar-SA"/>
              </w:rPr>
              <w:t>政府部门指定的合法渣场处置。临时未能运走的建筑垃圾应妥善处理，降雨时用塑料布覆盖，防止水体环境受到污染。</w:t>
            </w:r>
          </w:p>
          <w:p>
            <w:pPr>
              <w:pStyle w:val="42"/>
              <w:keepNext w:val="0"/>
              <w:keepLines w:val="0"/>
              <w:pageBreakBefore w:val="0"/>
              <w:widowControl w:val="0"/>
              <w:kinsoku/>
              <w:wordWrap/>
              <w:overflowPunct/>
              <w:topLinePunct/>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eastAsia" w:ascii="Times New Roman" w:cs="Times New Roman"/>
                <w:b w:val="0"/>
                <w:bCs w:val="0"/>
                <w:color w:val="auto"/>
                <w:kern w:val="0"/>
                <w:sz w:val="24"/>
                <w:szCs w:val="24"/>
                <w:highlight w:val="none"/>
                <w:lang w:val="en-US" w:eastAsia="zh-CN" w:bidi="ar-SA"/>
              </w:rPr>
              <w:t>③</w:t>
            </w:r>
            <w:r>
              <w:rPr>
                <w:rFonts w:hint="eastAsia" w:ascii="Times New Roman" w:hAnsi="Times New Roman" w:eastAsia="宋体" w:cs="Times New Roman"/>
                <w:b w:val="0"/>
                <w:bCs w:val="0"/>
                <w:color w:val="auto"/>
                <w:kern w:val="0"/>
                <w:sz w:val="24"/>
                <w:szCs w:val="24"/>
                <w:highlight w:val="none"/>
                <w:lang w:val="en-US" w:eastAsia="zh-CN" w:bidi="ar-SA"/>
              </w:rPr>
              <w:t>生活垃圾袋装后送至附近垃圾收集点，由环卫部门统一处理，严禁随意堆放和倾倒。</w:t>
            </w:r>
          </w:p>
          <w:p>
            <w:pPr>
              <w:pStyle w:val="42"/>
              <w:keepNext w:val="0"/>
              <w:keepLines w:val="0"/>
              <w:pageBreakBefore w:val="0"/>
              <w:widowControl w:val="0"/>
              <w:kinsoku/>
              <w:wordWrap/>
              <w:overflowPunct/>
              <w:topLinePunct/>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eastAsia" w:ascii="Times New Roman" w:hAnsi="Times New Roman" w:eastAsia="宋体" w:cs="Times New Roman"/>
                <w:b w:val="0"/>
                <w:bCs w:val="0"/>
                <w:color w:val="auto"/>
                <w:kern w:val="0"/>
                <w:sz w:val="24"/>
                <w:szCs w:val="24"/>
                <w:highlight w:val="none"/>
                <w:lang w:val="en-US" w:eastAsia="zh-CN" w:bidi="ar-SA"/>
              </w:rPr>
              <w:t>项目施工期固体废物经上述资源化、减量化收集处理后，工程施工的环境影响问题可以得到消除或</w:t>
            </w:r>
            <w:r>
              <w:rPr>
                <w:rFonts w:hint="eastAsia" w:ascii="Times New Roman" w:cs="Times New Roman"/>
                <w:b w:val="0"/>
                <w:bCs w:val="0"/>
                <w:color w:val="auto"/>
                <w:kern w:val="0"/>
                <w:sz w:val="24"/>
                <w:szCs w:val="24"/>
                <w:highlight w:val="none"/>
                <w:lang w:val="en-US" w:eastAsia="zh-CN" w:bidi="ar-SA"/>
              </w:rPr>
              <w:t>有效的控制</w:t>
            </w:r>
            <w:r>
              <w:rPr>
                <w:rFonts w:hint="eastAsia" w:ascii="Times New Roman" w:hAnsi="Times New Roman" w:eastAsia="宋体" w:cs="Times New Roman"/>
                <w:b w:val="0"/>
                <w:bCs w:val="0"/>
                <w:color w:val="auto"/>
                <w:kern w:val="0"/>
                <w:sz w:val="24"/>
                <w:szCs w:val="24"/>
                <w:highlight w:val="none"/>
                <w:lang w:val="en-US" w:eastAsia="zh-CN" w:bidi="ar-SA"/>
              </w:rPr>
              <w:t>，可以使其对环境的影响降至</w:t>
            </w:r>
            <w:r>
              <w:rPr>
                <w:rFonts w:hint="eastAsia" w:ascii="Times New Roman" w:cs="Times New Roman"/>
                <w:b w:val="0"/>
                <w:bCs w:val="0"/>
                <w:color w:val="auto"/>
                <w:kern w:val="0"/>
                <w:sz w:val="24"/>
                <w:szCs w:val="24"/>
                <w:highlight w:val="none"/>
                <w:lang w:val="en-US" w:eastAsia="zh-CN" w:bidi="ar-SA"/>
              </w:rPr>
              <w:t>最低程度</w:t>
            </w:r>
            <w:r>
              <w:rPr>
                <w:rFonts w:hint="eastAsia" w:ascii="Times New Roman" w:hAnsi="Times New Roman" w:eastAsia="宋体" w:cs="Times New Roman"/>
                <w:b w:val="0"/>
                <w:bCs w:val="0"/>
                <w:color w:val="auto"/>
                <w:kern w:val="0"/>
                <w:sz w:val="24"/>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jc w:val="left"/>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4.1.5生态环境保护措施</w:t>
            </w:r>
          </w:p>
          <w:p>
            <w:pPr>
              <w:pStyle w:val="42"/>
              <w:keepNext w:val="0"/>
              <w:keepLines w:val="0"/>
              <w:pageBreakBefore w:val="0"/>
              <w:widowControl w:val="0"/>
              <w:kinsoku/>
              <w:wordWrap/>
              <w:overflowPunct/>
              <w:topLinePunct/>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eastAsia" w:ascii="Times New Roman" w:hAnsi="Times New Roman" w:eastAsia="宋体" w:cs="Times New Roman"/>
                <w:b w:val="0"/>
                <w:bCs w:val="0"/>
                <w:color w:val="auto"/>
                <w:kern w:val="0"/>
                <w:sz w:val="24"/>
                <w:szCs w:val="24"/>
                <w:highlight w:val="none"/>
                <w:lang w:val="en-US" w:eastAsia="zh-CN" w:bidi="ar-SA"/>
              </w:rPr>
              <w:t xml:space="preserve">对于整个工程区域而言，场地开挖、回填等施工作业活动将使土地被侵占，地表裸露，从而使项目周边局部生态结构发生一定变化，裸露的地面被雨水冲刷后将造成水土流失，进而降低土壤的肥力。施工过程中产生的水土流失，可能导致附近水体的沉积物淤积和河水浑浊。开挖土方、建筑材料和建渣在施工红线内临时堆存、施工扬尘飘散等均会对城市景观产生一定影响。 </w:t>
            </w:r>
          </w:p>
          <w:p>
            <w:pPr>
              <w:pStyle w:val="42"/>
              <w:keepNext w:val="0"/>
              <w:keepLines w:val="0"/>
              <w:pageBreakBefore w:val="0"/>
              <w:widowControl w:val="0"/>
              <w:kinsoku/>
              <w:wordWrap/>
              <w:overflowPunct/>
              <w:topLinePunct/>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eastAsia" w:ascii="Times New Roman" w:hAnsi="Times New Roman" w:eastAsia="宋体" w:cs="Times New Roman"/>
                <w:b w:val="0"/>
                <w:bCs w:val="0"/>
                <w:color w:val="auto"/>
                <w:kern w:val="0"/>
                <w:sz w:val="24"/>
                <w:szCs w:val="24"/>
                <w:highlight w:val="none"/>
                <w:lang w:val="en-US" w:eastAsia="zh-CN" w:bidi="ar-SA"/>
              </w:rPr>
              <w:t xml:space="preserve">为此，评价要求建设单位应加强建设过程中的文明施工管理，禁止野蛮施工，施工场地四周修建围护结构，施工采用硬化路面，合理安排施工进度，以最高效率保证最优的工程质量，缩短施工时间段；加强施工现场废弃物收集、处置，及时回填开挖土方，做好施工现场的防尘和水土保持措施，减轻施工活动对区域环境的影响程度。并做好施工现场生活垃圾、施工废弃物（如废弃包装物等）收集工作，禁止焚烧和随意丢弃，统一收集后交由环卫部门处理；对建筑工地及周边道路洒漏的渣土及时进行湿法清扫。 </w:t>
            </w:r>
          </w:p>
          <w:p>
            <w:pPr>
              <w:rPr>
                <w:rFonts w:hint="eastAsia"/>
                <w:color w:val="auto"/>
                <w:highlight w:val="none"/>
                <w:lang w:val="en-US" w:eastAsia="zh-CN"/>
              </w:rPr>
            </w:pPr>
          </w:p>
        </w:tc>
      </w:tr>
    </w:tbl>
    <w:p>
      <w:pPr>
        <w:pStyle w:val="24"/>
        <w:jc w:val="center"/>
        <w:outlineLvl w:val="0"/>
        <w:rPr>
          <w:rFonts w:ascii="Times New Roman" w:hAnsi="Times New Roman" w:eastAsia="黑体"/>
          <w:snapToGrid w:val="0"/>
          <w:color w:val="auto"/>
          <w:sz w:val="30"/>
          <w:szCs w:val="30"/>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8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7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12" w:hRule="atLeast"/>
        </w:trPr>
        <w:tc>
          <w:tcPr>
            <w:tcW w:w="846" w:type="dxa"/>
            <w:vAlign w:val="center"/>
          </w:tcPr>
          <w:p>
            <w:pPr>
              <w:adjustRightInd w:val="0"/>
              <w:snapToGrid w:val="0"/>
              <w:ind w:left="0" w:leftChars="0" w:firstLine="0" w:firstLineChars="0"/>
              <w:jc w:val="both"/>
              <w:rPr>
                <w:bCs/>
                <w:color w:val="auto"/>
                <w:sz w:val="24"/>
                <w:highlight w:val="none"/>
              </w:rPr>
            </w:pPr>
            <w:r>
              <w:rPr>
                <w:bCs/>
                <w:color w:val="auto"/>
                <w:sz w:val="24"/>
                <w:highlight w:val="none"/>
              </w:rPr>
              <w:t>运</w:t>
            </w:r>
            <w:r>
              <w:rPr>
                <w:rFonts w:hint="eastAsia"/>
                <w:bCs/>
                <w:color w:val="auto"/>
                <w:sz w:val="24"/>
                <w:highlight w:val="none"/>
                <w:lang w:val="en-US" w:eastAsia="zh-CN"/>
              </w:rPr>
              <w:t xml:space="preserve"> </w:t>
            </w:r>
            <w:r>
              <w:rPr>
                <w:bCs/>
                <w:color w:val="auto"/>
                <w:sz w:val="24"/>
                <w:highlight w:val="none"/>
              </w:rPr>
              <w:t>营</w:t>
            </w:r>
          </w:p>
          <w:p>
            <w:pPr>
              <w:adjustRightInd w:val="0"/>
              <w:snapToGrid w:val="0"/>
              <w:ind w:left="0" w:leftChars="0" w:firstLine="0" w:firstLineChars="0"/>
              <w:jc w:val="both"/>
              <w:rPr>
                <w:bCs/>
                <w:color w:val="auto"/>
                <w:sz w:val="24"/>
                <w:highlight w:val="none"/>
              </w:rPr>
            </w:pPr>
            <w:r>
              <w:rPr>
                <w:bCs/>
                <w:color w:val="auto"/>
                <w:sz w:val="24"/>
                <w:highlight w:val="none"/>
              </w:rPr>
              <w:t>期</w:t>
            </w:r>
            <w:r>
              <w:rPr>
                <w:rFonts w:hint="eastAsia"/>
                <w:bCs/>
                <w:color w:val="auto"/>
                <w:sz w:val="24"/>
                <w:highlight w:val="none"/>
                <w:lang w:val="en-US" w:eastAsia="zh-CN"/>
              </w:rPr>
              <w:t xml:space="preserve"> </w:t>
            </w:r>
            <w:r>
              <w:rPr>
                <w:bCs/>
                <w:color w:val="auto"/>
                <w:sz w:val="24"/>
                <w:highlight w:val="none"/>
              </w:rPr>
              <w:t>环</w:t>
            </w:r>
          </w:p>
          <w:p>
            <w:pPr>
              <w:adjustRightInd w:val="0"/>
              <w:snapToGrid w:val="0"/>
              <w:ind w:left="0" w:leftChars="0" w:firstLine="0" w:firstLineChars="0"/>
              <w:jc w:val="both"/>
              <w:rPr>
                <w:bCs/>
                <w:color w:val="auto"/>
                <w:sz w:val="24"/>
                <w:highlight w:val="none"/>
              </w:rPr>
            </w:pPr>
            <w:r>
              <w:rPr>
                <w:bCs/>
                <w:color w:val="auto"/>
                <w:sz w:val="24"/>
                <w:highlight w:val="none"/>
              </w:rPr>
              <w:t>境</w:t>
            </w:r>
            <w:r>
              <w:rPr>
                <w:rFonts w:hint="eastAsia"/>
                <w:bCs/>
                <w:color w:val="auto"/>
                <w:sz w:val="24"/>
                <w:highlight w:val="none"/>
                <w:lang w:val="en-US" w:eastAsia="zh-CN"/>
              </w:rPr>
              <w:t xml:space="preserve"> </w:t>
            </w:r>
            <w:r>
              <w:rPr>
                <w:bCs/>
                <w:color w:val="auto"/>
                <w:sz w:val="24"/>
                <w:highlight w:val="none"/>
              </w:rPr>
              <w:t>影</w:t>
            </w:r>
          </w:p>
          <w:p>
            <w:pPr>
              <w:adjustRightInd w:val="0"/>
              <w:snapToGrid w:val="0"/>
              <w:ind w:left="0" w:leftChars="0" w:firstLine="0" w:firstLineChars="0"/>
              <w:jc w:val="both"/>
              <w:rPr>
                <w:bCs/>
                <w:color w:val="auto"/>
                <w:sz w:val="24"/>
                <w:highlight w:val="none"/>
              </w:rPr>
            </w:pPr>
            <w:r>
              <w:rPr>
                <w:bCs/>
                <w:color w:val="auto"/>
                <w:sz w:val="24"/>
                <w:highlight w:val="none"/>
              </w:rPr>
              <w:t>响</w:t>
            </w:r>
            <w:r>
              <w:rPr>
                <w:rFonts w:hint="eastAsia"/>
                <w:bCs/>
                <w:color w:val="auto"/>
                <w:sz w:val="24"/>
                <w:highlight w:val="none"/>
                <w:lang w:val="en-US" w:eastAsia="zh-CN"/>
              </w:rPr>
              <w:t xml:space="preserve"> </w:t>
            </w:r>
            <w:r>
              <w:rPr>
                <w:bCs/>
                <w:color w:val="auto"/>
                <w:sz w:val="24"/>
                <w:highlight w:val="none"/>
              </w:rPr>
              <w:t>和</w:t>
            </w:r>
          </w:p>
          <w:p>
            <w:pPr>
              <w:adjustRightInd w:val="0"/>
              <w:snapToGrid w:val="0"/>
              <w:ind w:left="0" w:leftChars="0" w:firstLine="0" w:firstLineChars="0"/>
              <w:jc w:val="both"/>
              <w:rPr>
                <w:bCs/>
                <w:color w:val="auto"/>
                <w:sz w:val="24"/>
                <w:highlight w:val="none"/>
              </w:rPr>
            </w:pPr>
            <w:r>
              <w:rPr>
                <w:bCs/>
                <w:color w:val="auto"/>
                <w:sz w:val="24"/>
                <w:highlight w:val="none"/>
              </w:rPr>
              <w:t>保</w:t>
            </w:r>
            <w:r>
              <w:rPr>
                <w:rFonts w:hint="eastAsia"/>
                <w:bCs/>
                <w:color w:val="auto"/>
                <w:sz w:val="24"/>
                <w:highlight w:val="none"/>
                <w:lang w:val="en-US" w:eastAsia="zh-CN"/>
              </w:rPr>
              <w:t xml:space="preserve"> </w:t>
            </w:r>
            <w:r>
              <w:rPr>
                <w:bCs/>
                <w:color w:val="auto"/>
                <w:sz w:val="24"/>
                <w:highlight w:val="none"/>
              </w:rPr>
              <w:t>护</w:t>
            </w:r>
          </w:p>
          <w:p>
            <w:pPr>
              <w:adjustRightInd w:val="0"/>
              <w:snapToGrid w:val="0"/>
              <w:ind w:left="0" w:leftChars="0" w:firstLine="0" w:firstLineChars="0"/>
              <w:jc w:val="both"/>
              <w:rPr>
                <w:bCs/>
                <w:color w:val="auto"/>
                <w:sz w:val="24"/>
                <w:highlight w:val="none"/>
              </w:rPr>
            </w:pPr>
            <w:r>
              <w:rPr>
                <w:bCs/>
                <w:color w:val="auto"/>
                <w:sz w:val="24"/>
                <w:szCs w:val="32"/>
                <w:highlight w:val="none"/>
              </w:rPr>
              <w:t>措</w:t>
            </w:r>
            <w:r>
              <w:rPr>
                <w:rFonts w:hint="eastAsia"/>
                <w:bCs/>
                <w:color w:val="auto"/>
                <w:sz w:val="24"/>
                <w:szCs w:val="32"/>
                <w:highlight w:val="none"/>
                <w:lang w:val="en-US" w:eastAsia="zh-CN"/>
              </w:rPr>
              <w:t xml:space="preserve"> </w:t>
            </w:r>
            <w:r>
              <w:rPr>
                <w:bCs/>
                <w:color w:val="auto"/>
                <w:sz w:val="24"/>
                <w:szCs w:val="32"/>
                <w:highlight w:val="none"/>
              </w:rPr>
              <w:t>施</w:t>
            </w:r>
          </w:p>
        </w:tc>
        <w:tc>
          <w:tcPr>
            <w:tcW w:w="7989" w:type="dxa"/>
          </w:tcPr>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jc w:val="left"/>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4.2 废气环境影响分析</w:t>
            </w:r>
          </w:p>
          <w:p>
            <w:pPr>
              <w:pStyle w:val="4"/>
              <w:bidi w:val="0"/>
              <w:rPr>
                <w:rFonts w:hint="default"/>
                <w:color w:val="auto"/>
                <w:highlight w:val="none"/>
                <w:lang w:val="en-US" w:eastAsia="zh-CN"/>
              </w:rPr>
            </w:pPr>
            <w:r>
              <w:rPr>
                <w:rFonts w:hint="eastAsia"/>
                <w:color w:val="auto"/>
                <w:highlight w:val="none"/>
                <w:lang w:val="en-US" w:eastAsia="zh-CN"/>
              </w:rPr>
              <w:t>4.2.1 废气产排污环节及措施</w:t>
            </w:r>
          </w:p>
          <w:p>
            <w:pPr>
              <w:bidi w:val="0"/>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1、废气源强核算</w:t>
            </w:r>
          </w:p>
          <w:p>
            <w:pPr>
              <w:bidi w:val="0"/>
              <w:rPr>
                <w:rFonts w:hint="eastAsia"/>
                <w:color w:val="auto"/>
                <w:highlight w:val="none"/>
                <w:lang w:val="en-US" w:eastAsia="zh-CN"/>
              </w:rPr>
            </w:pPr>
            <w:r>
              <w:rPr>
                <w:rFonts w:hint="eastAsia"/>
                <w:color w:val="auto"/>
                <w:highlight w:val="none"/>
                <w:lang w:val="en-US" w:eastAsia="zh-CN"/>
              </w:rPr>
              <w:t>本项目主要大气污染物为废水处理设施废气（G1）、医疗废物暂存间废气（G2）、煎药臭气（G3）、柴油发电机废气（G4）。</w:t>
            </w:r>
          </w:p>
          <w:p>
            <w:pPr>
              <w:bidi w:val="0"/>
              <w:rPr>
                <w:rFonts w:hint="default"/>
                <w:color w:val="auto"/>
                <w:highlight w:val="none"/>
                <w:lang w:val="en-US" w:eastAsia="zh-CN"/>
              </w:rPr>
            </w:pPr>
            <w:r>
              <w:rPr>
                <w:rFonts w:hint="eastAsia"/>
                <w:color w:val="auto"/>
                <w:highlight w:val="none"/>
                <w:lang w:val="en-US" w:eastAsia="zh-CN"/>
              </w:rPr>
              <w:t>（1）废水处理设施处理臭气G1</w:t>
            </w:r>
          </w:p>
          <w:p>
            <w:pPr>
              <w:bidi w:val="0"/>
              <w:rPr>
                <w:rFonts w:hint="eastAsia"/>
                <w:color w:val="auto"/>
                <w:highlight w:val="none"/>
                <w:lang w:val="en-US" w:eastAsia="zh-CN"/>
              </w:rPr>
            </w:pPr>
            <w:r>
              <w:rPr>
                <w:rFonts w:hint="eastAsia"/>
                <w:color w:val="auto"/>
                <w:highlight w:val="none"/>
                <w:lang w:val="en-US" w:eastAsia="zh-CN"/>
              </w:rPr>
              <w:t>拟建项目对大楼产生的污废水自建</w:t>
            </w:r>
            <w:r>
              <w:rPr>
                <w:rFonts w:hint="default"/>
                <w:color w:val="auto"/>
                <w:highlight w:val="none"/>
                <w:lang w:val="en-US" w:eastAsia="zh-CN"/>
              </w:rPr>
              <w:t>1</w:t>
            </w:r>
            <w:r>
              <w:rPr>
                <w:rFonts w:hint="eastAsia"/>
                <w:color w:val="auto"/>
                <w:highlight w:val="none"/>
                <w:lang w:val="en-US" w:eastAsia="zh-CN"/>
              </w:rPr>
              <w:t xml:space="preserve">座污水处理站，污水处理站采用全地埋式结构，污水处理站各个污水处理单元及污泥消毒池等均会产生少量臭气，主要成分包括氨、硫化氢等恶臭物质，该恶臭气体刺激人的嗅觉器官，影响卫生院周边环境空气质量，降低周围居民的生活环境质量。 </w:t>
            </w:r>
          </w:p>
          <w:p>
            <w:pPr>
              <w:bidi w:val="0"/>
              <w:rPr>
                <w:rFonts w:hint="eastAsia"/>
                <w:color w:val="auto"/>
                <w:highlight w:val="none"/>
                <w:lang w:val="en-US" w:eastAsia="zh-CN"/>
              </w:rPr>
            </w:pPr>
            <w:r>
              <w:rPr>
                <w:rFonts w:hint="eastAsia"/>
                <w:color w:val="auto"/>
                <w:highlight w:val="none"/>
                <w:lang w:val="en-US" w:eastAsia="zh-CN"/>
              </w:rPr>
              <w:t xml:space="preserve">拟建项目污水处理站臭气 </w:t>
            </w:r>
            <w:r>
              <w:rPr>
                <w:rFonts w:hint="default"/>
                <w:color w:val="auto"/>
                <w:highlight w:val="none"/>
                <w:lang w:val="en-US" w:eastAsia="zh-CN"/>
              </w:rPr>
              <w:t>NH</w:t>
            </w:r>
            <w:r>
              <w:rPr>
                <w:rFonts w:hint="default"/>
                <w:color w:val="auto"/>
                <w:sz w:val="24"/>
                <w:highlight w:val="none"/>
                <w:vertAlign w:val="subscript"/>
                <w:lang w:val="en-US" w:eastAsia="zh-CN"/>
              </w:rPr>
              <w:t>3</w:t>
            </w:r>
            <w:r>
              <w:rPr>
                <w:rFonts w:hint="eastAsia"/>
                <w:color w:val="auto"/>
                <w:highlight w:val="none"/>
                <w:lang w:val="en-US" w:eastAsia="zh-CN"/>
              </w:rPr>
              <w:t>、</w:t>
            </w:r>
            <w:r>
              <w:rPr>
                <w:rFonts w:hint="default"/>
                <w:color w:val="auto"/>
                <w:highlight w:val="none"/>
                <w:lang w:val="en-US" w:eastAsia="zh-CN"/>
              </w:rPr>
              <w:t>H</w:t>
            </w:r>
            <w:r>
              <w:rPr>
                <w:rFonts w:hint="default"/>
                <w:color w:val="auto"/>
                <w:sz w:val="24"/>
                <w:highlight w:val="none"/>
                <w:vertAlign w:val="subscript"/>
                <w:lang w:val="en-US" w:eastAsia="zh-CN"/>
              </w:rPr>
              <w:t>2</w:t>
            </w:r>
            <w:r>
              <w:rPr>
                <w:rFonts w:hint="default"/>
                <w:color w:val="auto"/>
                <w:highlight w:val="none"/>
                <w:lang w:val="en-US" w:eastAsia="zh-CN"/>
              </w:rPr>
              <w:t xml:space="preserve">S </w:t>
            </w:r>
            <w:r>
              <w:rPr>
                <w:rFonts w:hint="eastAsia"/>
                <w:color w:val="auto"/>
                <w:highlight w:val="none"/>
                <w:lang w:val="en-US" w:eastAsia="zh-CN"/>
              </w:rPr>
              <w:t xml:space="preserve">产生源强参照《城市污水典型处理工艺气态无机硫化物与臭气的排放特征研究》中污水处理厂 </w:t>
            </w:r>
            <w:r>
              <w:rPr>
                <w:rFonts w:hint="default"/>
                <w:color w:val="auto"/>
                <w:highlight w:val="none"/>
                <w:lang w:val="en-US" w:eastAsia="zh-CN"/>
              </w:rPr>
              <w:t>NH</w:t>
            </w:r>
            <w:r>
              <w:rPr>
                <w:rFonts w:hint="default"/>
                <w:color w:val="auto"/>
                <w:sz w:val="24"/>
                <w:highlight w:val="none"/>
                <w:vertAlign w:val="subscript"/>
                <w:lang w:val="en-US" w:eastAsia="zh-CN"/>
              </w:rPr>
              <w:t>3</w:t>
            </w:r>
            <w:r>
              <w:rPr>
                <w:rFonts w:hint="eastAsia"/>
                <w:color w:val="auto"/>
                <w:highlight w:val="none"/>
                <w:lang w:val="en-US" w:eastAsia="zh-CN"/>
              </w:rPr>
              <w:t>、</w:t>
            </w:r>
            <w:r>
              <w:rPr>
                <w:rFonts w:hint="default"/>
                <w:color w:val="auto"/>
                <w:highlight w:val="none"/>
                <w:lang w:val="en-US" w:eastAsia="zh-CN"/>
              </w:rPr>
              <w:t>H</w:t>
            </w:r>
            <w:r>
              <w:rPr>
                <w:rFonts w:hint="default"/>
                <w:color w:val="auto"/>
                <w:sz w:val="24"/>
                <w:highlight w:val="none"/>
                <w:vertAlign w:val="subscript"/>
                <w:lang w:val="en-US" w:eastAsia="zh-CN"/>
              </w:rPr>
              <w:t>2</w:t>
            </w:r>
            <w:r>
              <w:rPr>
                <w:rFonts w:hint="default"/>
                <w:color w:val="auto"/>
                <w:highlight w:val="none"/>
                <w:lang w:val="en-US" w:eastAsia="zh-CN"/>
              </w:rPr>
              <w:t xml:space="preserve">S </w:t>
            </w:r>
            <w:r>
              <w:rPr>
                <w:rFonts w:hint="eastAsia"/>
                <w:color w:val="auto"/>
                <w:highlight w:val="none"/>
                <w:lang w:val="en-US" w:eastAsia="zh-CN"/>
              </w:rPr>
              <w:t>排放系数，分别为</w:t>
            </w:r>
            <w:r>
              <w:rPr>
                <w:rFonts w:hint="default"/>
                <w:color w:val="auto"/>
                <w:highlight w:val="none"/>
                <w:lang w:val="en-US" w:eastAsia="zh-CN"/>
              </w:rPr>
              <w:t>0.003g/m</w:t>
            </w:r>
            <w:r>
              <w:rPr>
                <w:rFonts w:hint="default"/>
                <w:color w:val="auto"/>
                <w:sz w:val="24"/>
                <w:highlight w:val="none"/>
                <w:vertAlign w:val="superscript"/>
                <w:lang w:val="en-US" w:eastAsia="zh-CN"/>
              </w:rPr>
              <w:t>3</w:t>
            </w:r>
            <w:r>
              <w:rPr>
                <w:rFonts w:hint="eastAsia"/>
                <w:color w:val="auto"/>
                <w:highlight w:val="none"/>
                <w:lang w:val="en-US" w:eastAsia="zh-CN"/>
              </w:rPr>
              <w:t>污水、</w:t>
            </w:r>
            <w:r>
              <w:rPr>
                <w:rFonts w:hint="default"/>
                <w:color w:val="auto"/>
                <w:highlight w:val="none"/>
                <w:lang w:val="en-US" w:eastAsia="zh-CN"/>
              </w:rPr>
              <w:t>0.001g/m</w:t>
            </w:r>
            <w:r>
              <w:rPr>
                <w:rFonts w:hint="default"/>
                <w:color w:val="auto"/>
                <w:sz w:val="24"/>
                <w:highlight w:val="none"/>
                <w:vertAlign w:val="superscript"/>
                <w:lang w:val="en-US" w:eastAsia="zh-CN"/>
              </w:rPr>
              <w:t>3</w:t>
            </w:r>
            <w:r>
              <w:rPr>
                <w:rFonts w:hint="eastAsia"/>
                <w:color w:val="auto"/>
                <w:highlight w:val="none"/>
                <w:lang w:val="en-US" w:eastAsia="zh-CN"/>
              </w:rPr>
              <w:t>污水。项目污水处理站收集处理污水量为</w:t>
            </w:r>
            <w:r>
              <w:rPr>
                <w:rFonts w:hint="default"/>
                <w:color w:val="auto"/>
                <w:highlight w:val="none"/>
                <w:lang w:val="en-US" w:eastAsia="zh-CN"/>
              </w:rPr>
              <w:t>20.</w:t>
            </w:r>
            <w:r>
              <w:rPr>
                <w:rFonts w:hint="eastAsia"/>
                <w:color w:val="auto"/>
                <w:highlight w:val="none"/>
                <w:lang w:val="en-US" w:eastAsia="zh-CN"/>
              </w:rPr>
              <w:t>462</w:t>
            </w:r>
            <w:r>
              <w:rPr>
                <w:rFonts w:hint="default"/>
                <w:color w:val="auto"/>
                <w:highlight w:val="none"/>
                <w:lang w:val="en-US" w:eastAsia="zh-CN"/>
              </w:rPr>
              <w:t>m</w:t>
            </w:r>
            <w:r>
              <w:rPr>
                <w:rFonts w:hint="default"/>
                <w:color w:val="auto"/>
                <w:sz w:val="24"/>
                <w:highlight w:val="none"/>
                <w:vertAlign w:val="superscript"/>
                <w:lang w:val="en-US" w:eastAsia="zh-CN"/>
              </w:rPr>
              <w:t>3</w:t>
            </w:r>
            <w:r>
              <w:rPr>
                <w:rFonts w:hint="default"/>
                <w:color w:val="auto"/>
                <w:highlight w:val="none"/>
                <w:lang w:val="en-US" w:eastAsia="zh-CN"/>
              </w:rPr>
              <w:t>/d</w:t>
            </w:r>
            <w:r>
              <w:rPr>
                <w:rFonts w:hint="eastAsia"/>
                <w:color w:val="auto"/>
                <w:highlight w:val="none"/>
                <w:lang w:val="en-US" w:eastAsia="zh-CN"/>
              </w:rPr>
              <w:t>（8475.62</w:t>
            </w:r>
            <w:r>
              <w:rPr>
                <w:rFonts w:hint="default"/>
                <w:color w:val="auto"/>
                <w:highlight w:val="none"/>
                <w:lang w:val="en-US" w:eastAsia="zh-CN"/>
              </w:rPr>
              <w:t>m</w:t>
            </w:r>
            <w:r>
              <w:rPr>
                <w:rFonts w:hint="default"/>
                <w:color w:val="auto"/>
                <w:sz w:val="24"/>
                <w:highlight w:val="none"/>
                <w:vertAlign w:val="superscript"/>
                <w:lang w:val="en-US" w:eastAsia="zh-CN"/>
              </w:rPr>
              <w:t>3</w:t>
            </w:r>
            <w:r>
              <w:rPr>
                <w:rFonts w:hint="default"/>
                <w:color w:val="auto"/>
                <w:highlight w:val="none"/>
                <w:lang w:val="en-US" w:eastAsia="zh-CN"/>
              </w:rPr>
              <w:t>/a</w:t>
            </w:r>
            <w:r>
              <w:rPr>
                <w:rFonts w:hint="eastAsia"/>
                <w:color w:val="auto"/>
                <w:highlight w:val="none"/>
                <w:lang w:val="en-US" w:eastAsia="zh-CN"/>
              </w:rPr>
              <w:t>），则</w:t>
            </w:r>
            <w:r>
              <w:rPr>
                <w:rFonts w:hint="default"/>
                <w:color w:val="auto"/>
                <w:highlight w:val="none"/>
                <w:lang w:val="en-US" w:eastAsia="zh-CN"/>
              </w:rPr>
              <w:t>NH</w:t>
            </w:r>
            <w:r>
              <w:rPr>
                <w:rFonts w:hint="default"/>
                <w:color w:val="auto"/>
                <w:sz w:val="24"/>
                <w:highlight w:val="none"/>
                <w:vertAlign w:val="subscript"/>
                <w:lang w:val="en-US" w:eastAsia="zh-CN"/>
              </w:rPr>
              <w:t>3</w:t>
            </w:r>
            <w:r>
              <w:rPr>
                <w:rFonts w:hint="eastAsia"/>
                <w:color w:val="auto"/>
                <w:highlight w:val="none"/>
                <w:lang w:val="en-US" w:eastAsia="zh-CN"/>
              </w:rPr>
              <w:t>、</w:t>
            </w:r>
            <w:r>
              <w:rPr>
                <w:rFonts w:hint="default"/>
                <w:color w:val="auto"/>
                <w:highlight w:val="none"/>
                <w:lang w:val="en-US" w:eastAsia="zh-CN"/>
              </w:rPr>
              <w:t>H</w:t>
            </w:r>
            <w:r>
              <w:rPr>
                <w:rFonts w:hint="default"/>
                <w:color w:val="auto"/>
                <w:sz w:val="24"/>
                <w:highlight w:val="none"/>
                <w:vertAlign w:val="subscript"/>
                <w:lang w:val="en-US" w:eastAsia="zh-CN"/>
              </w:rPr>
              <w:t>2</w:t>
            </w:r>
            <w:r>
              <w:rPr>
                <w:rFonts w:hint="default"/>
                <w:color w:val="auto"/>
                <w:highlight w:val="none"/>
                <w:lang w:val="en-US" w:eastAsia="zh-CN"/>
              </w:rPr>
              <w:t>S</w:t>
            </w:r>
            <w:r>
              <w:rPr>
                <w:rFonts w:hint="eastAsia"/>
                <w:color w:val="auto"/>
                <w:highlight w:val="none"/>
                <w:lang w:val="en-US" w:eastAsia="zh-CN"/>
              </w:rPr>
              <w:t xml:space="preserve">产生量为 </w:t>
            </w:r>
            <w:r>
              <w:rPr>
                <w:rFonts w:hint="default"/>
                <w:color w:val="auto"/>
                <w:highlight w:val="none"/>
                <w:lang w:val="en-US" w:eastAsia="zh-CN"/>
              </w:rPr>
              <w:t>0.02</w:t>
            </w:r>
            <w:r>
              <w:rPr>
                <w:rFonts w:hint="eastAsia"/>
                <w:color w:val="auto"/>
                <w:highlight w:val="none"/>
                <w:lang w:val="en-US" w:eastAsia="zh-CN"/>
              </w:rPr>
              <w:t>54</w:t>
            </w:r>
            <w:r>
              <w:rPr>
                <w:rFonts w:hint="default"/>
                <w:color w:val="auto"/>
                <w:highlight w:val="none"/>
                <w:lang w:val="en-US" w:eastAsia="zh-CN"/>
              </w:rPr>
              <w:t>kg/a</w:t>
            </w:r>
            <w:r>
              <w:rPr>
                <w:rFonts w:hint="eastAsia"/>
                <w:color w:val="auto"/>
                <w:highlight w:val="none"/>
                <w:lang w:val="en-US" w:eastAsia="zh-CN"/>
              </w:rPr>
              <w:t>、</w:t>
            </w:r>
            <w:r>
              <w:rPr>
                <w:rFonts w:hint="default"/>
                <w:color w:val="auto"/>
                <w:highlight w:val="none"/>
                <w:lang w:val="en-US" w:eastAsia="zh-CN"/>
              </w:rPr>
              <w:t>0.00</w:t>
            </w:r>
            <w:r>
              <w:rPr>
                <w:rFonts w:hint="eastAsia"/>
                <w:color w:val="auto"/>
                <w:highlight w:val="none"/>
                <w:lang w:val="en-US" w:eastAsia="zh-CN"/>
              </w:rPr>
              <w:t>85</w:t>
            </w:r>
            <w:r>
              <w:rPr>
                <w:rFonts w:hint="default"/>
                <w:color w:val="auto"/>
                <w:highlight w:val="none"/>
                <w:lang w:val="en-US" w:eastAsia="zh-CN"/>
              </w:rPr>
              <w:t>kg/a</w:t>
            </w:r>
            <w:r>
              <w:rPr>
                <w:rFonts w:hint="eastAsia"/>
                <w:color w:val="auto"/>
                <w:highlight w:val="none"/>
                <w:lang w:val="en-US" w:eastAsia="zh-CN"/>
              </w:rPr>
              <w:t>，</w:t>
            </w:r>
            <w:r>
              <w:rPr>
                <w:rFonts w:hint="eastAsia"/>
                <w:color w:val="auto"/>
                <w:sz w:val="24"/>
                <w:szCs w:val="24"/>
                <w:highlight w:val="none"/>
                <w:lang w:val="en-US" w:eastAsia="zh-CN"/>
              </w:rPr>
              <w:t>臭气管道收集后经活性炭吸附除臭除味处理，由</w:t>
            </w:r>
            <w:r>
              <w:rPr>
                <w:rFonts w:hint="default"/>
                <w:color w:val="auto"/>
                <w:sz w:val="24"/>
                <w:szCs w:val="24"/>
                <w:highlight w:val="none"/>
                <w:lang w:val="en-US" w:eastAsia="zh-CN"/>
              </w:rPr>
              <w:t>2000m</w:t>
            </w:r>
            <w:r>
              <w:rPr>
                <w:rFonts w:hint="default"/>
                <w:color w:val="auto"/>
                <w:sz w:val="24"/>
                <w:szCs w:val="24"/>
                <w:highlight w:val="none"/>
                <w:vertAlign w:val="superscript"/>
                <w:lang w:val="en-US" w:eastAsia="zh-CN"/>
              </w:rPr>
              <w:t>3</w:t>
            </w:r>
            <w:r>
              <w:rPr>
                <w:rFonts w:hint="default"/>
                <w:color w:val="auto"/>
                <w:sz w:val="24"/>
                <w:szCs w:val="24"/>
                <w:highlight w:val="none"/>
                <w:lang w:val="en-US" w:eastAsia="zh-CN"/>
              </w:rPr>
              <w:t xml:space="preserve"> /h </w:t>
            </w:r>
            <w:r>
              <w:rPr>
                <w:rFonts w:hint="eastAsia"/>
                <w:color w:val="auto"/>
                <w:sz w:val="24"/>
                <w:szCs w:val="24"/>
                <w:highlight w:val="none"/>
                <w:lang w:val="en-US" w:eastAsia="zh-CN"/>
              </w:rPr>
              <w:t>风机引至医疗废水处理站污</w:t>
            </w:r>
            <w:r>
              <w:rPr>
                <w:rFonts w:hint="eastAsia" w:ascii="宋体" w:hAnsi="宋体" w:eastAsia="宋体" w:cs="宋体"/>
                <w:color w:val="auto"/>
                <w:kern w:val="0"/>
                <w:sz w:val="24"/>
                <w:szCs w:val="24"/>
                <w:highlight w:val="none"/>
                <w:lang w:val="en-US" w:eastAsia="zh-CN" w:bidi="ar"/>
              </w:rPr>
              <w:t>水处理站业务用房屋顶，</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米高排气筒有组织排放</w:t>
            </w:r>
            <w:r>
              <w:rPr>
                <w:rFonts w:hint="eastAsia"/>
                <w:color w:val="auto"/>
                <w:highlight w:val="none"/>
                <w:lang w:val="en-US" w:eastAsia="zh-CN"/>
              </w:rPr>
              <w:t>，处理效率约</w:t>
            </w:r>
            <w:r>
              <w:rPr>
                <w:rFonts w:hint="default"/>
                <w:color w:val="auto"/>
                <w:highlight w:val="none"/>
                <w:lang w:val="en-US" w:eastAsia="zh-CN"/>
              </w:rPr>
              <w:t>60%</w:t>
            </w:r>
            <w:r>
              <w:rPr>
                <w:rFonts w:hint="eastAsia"/>
                <w:color w:val="auto"/>
                <w:highlight w:val="none"/>
                <w:lang w:val="en-US" w:eastAsia="zh-CN"/>
              </w:rPr>
              <w:t>，则</w:t>
            </w:r>
            <w:r>
              <w:rPr>
                <w:rFonts w:hint="default"/>
                <w:color w:val="auto"/>
                <w:highlight w:val="none"/>
                <w:lang w:val="en-US" w:eastAsia="zh-CN"/>
              </w:rPr>
              <w:t>NH</w:t>
            </w:r>
            <w:r>
              <w:rPr>
                <w:rFonts w:hint="default"/>
                <w:color w:val="auto"/>
                <w:sz w:val="24"/>
                <w:highlight w:val="none"/>
                <w:vertAlign w:val="subscript"/>
                <w:lang w:val="en-US" w:eastAsia="zh-CN"/>
              </w:rPr>
              <w:t>3</w:t>
            </w:r>
            <w:r>
              <w:rPr>
                <w:rFonts w:hint="eastAsia"/>
                <w:color w:val="auto"/>
                <w:highlight w:val="none"/>
                <w:lang w:val="en-US" w:eastAsia="zh-CN"/>
              </w:rPr>
              <w:t>、</w:t>
            </w:r>
            <w:r>
              <w:rPr>
                <w:rFonts w:hint="default"/>
                <w:color w:val="auto"/>
                <w:highlight w:val="none"/>
                <w:lang w:val="en-US" w:eastAsia="zh-CN"/>
              </w:rPr>
              <w:t>H</w:t>
            </w:r>
            <w:r>
              <w:rPr>
                <w:rFonts w:hint="default"/>
                <w:color w:val="auto"/>
                <w:sz w:val="24"/>
                <w:highlight w:val="none"/>
                <w:vertAlign w:val="subscript"/>
                <w:lang w:val="en-US" w:eastAsia="zh-CN"/>
              </w:rPr>
              <w:t>2</w:t>
            </w:r>
            <w:r>
              <w:rPr>
                <w:rFonts w:hint="default"/>
                <w:color w:val="auto"/>
                <w:highlight w:val="none"/>
                <w:lang w:val="en-US" w:eastAsia="zh-CN"/>
              </w:rPr>
              <w:t>S</w:t>
            </w:r>
            <w:r>
              <w:rPr>
                <w:rFonts w:hint="eastAsia"/>
                <w:color w:val="auto"/>
                <w:highlight w:val="none"/>
                <w:lang w:val="en-US" w:eastAsia="zh-CN"/>
              </w:rPr>
              <w:t>排放量为</w:t>
            </w:r>
            <w:r>
              <w:rPr>
                <w:rFonts w:hint="default"/>
                <w:color w:val="auto"/>
                <w:highlight w:val="none"/>
                <w:lang w:val="en-US" w:eastAsia="zh-CN"/>
              </w:rPr>
              <w:t>0.0</w:t>
            </w:r>
            <w:r>
              <w:rPr>
                <w:rFonts w:hint="eastAsia"/>
                <w:color w:val="auto"/>
                <w:highlight w:val="none"/>
                <w:lang w:val="en-US" w:eastAsia="zh-CN"/>
              </w:rPr>
              <w:t>10</w:t>
            </w:r>
            <w:r>
              <w:rPr>
                <w:rFonts w:hint="default"/>
                <w:color w:val="auto"/>
                <w:highlight w:val="none"/>
                <w:lang w:val="en-US" w:eastAsia="zh-CN"/>
              </w:rPr>
              <w:t>kg/a</w:t>
            </w:r>
            <w:r>
              <w:rPr>
                <w:rFonts w:hint="eastAsia"/>
                <w:color w:val="auto"/>
                <w:highlight w:val="none"/>
                <w:lang w:val="en-US" w:eastAsia="zh-CN"/>
              </w:rPr>
              <w:t>、</w:t>
            </w:r>
            <w:r>
              <w:rPr>
                <w:rFonts w:hint="default"/>
                <w:color w:val="auto"/>
                <w:highlight w:val="none"/>
                <w:lang w:val="en-US" w:eastAsia="zh-CN"/>
              </w:rPr>
              <w:t>0.003</w:t>
            </w:r>
            <w:r>
              <w:rPr>
                <w:rFonts w:hint="eastAsia"/>
                <w:color w:val="auto"/>
                <w:highlight w:val="none"/>
                <w:lang w:val="en-US" w:eastAsia="zh-CN"/>
              </w:rPr>
              <w:t>4</w:t>
            </w:r>
            <w:r>
              <w:rPr>
                <w:rFonts w:hint="default"/>
                <w:color w:val="auto"/>
                <w:highlight w:val="none"/>
                <w:lang w:val="en-US" w:eastAsia="zh-CN"/>
              </w:rPr>
              <w:t>kg/a</w:t>
            </w:r>
            <w:r>
              <w:rPr>
                <w:rFonts w:hint="eastAsia"/>
                <w:color w:val="auto"/>
                <w:highlight w:val="none"/>
                <w:lang w:val="en-US" w:eastAsia="zh-CN"/>
              </w:rPr>
              <w:t xml:space="preserve">。 </w:t>
            </w:r>
          </w:p>
          <w:p>
            <w:pPr>
              <w:bidi w:val="0"/>
              <w:rPr>
                <w:rFonts w:hint="default"/>
                <w:color w:val="auto"/>
                <w:highlight w:val="none"/>
                <w:lang w:val="en-US" w:eastAsia="zh-CN"/>
              </w:rPr>
            </w:pPr>
            <w:r>
              <w:rPr>
                <w:rFonts w:hint="eastAsia"/>
                <w:color w:val="auto"/>
                <w:highlight w:val="none"/>
                <w:lang w:val="en-US" w:eastAsia="zh-CN"/>
              </w:rPr>
              <w:t>（2）医疗废物暂存间臭气G2</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color w:val="auto"/>
                <w:highlight w:val="none"/>
                <w:lang w:val="en-US" w:eastAsia="zh-CN"/>
              </w:rPr>
            </w:pPr>
            <w:r>
              <w:rPr>
                <w:rFonts w:hint="eastAsia"/>
                <w:color w:val="auto"/>
                <w:highlight w:val="none"/>
                <w:lang w:val="en-US" w:eastAsia="zh-CN"/>
              </w:rPr>
              <w:t xml:space="preserve">   </w:t>
            </w:r>
            <w:r>
              <w:rPr>
                <w:rFonts w:hint="eastAsia"/>
                <w:color w:val="auto"/>
                <w:sz w:val="24"/>
                <w:szCs w:val="24"/>
                <w:highlight w:val="none"/>
                <w:lang w:val="en-US" w:eastAsia="zh-CN"/>
              </w:rPr>
              <w:t>本项目医疗废物暂存间的感染性废物、药物性废物、化学性废物、损运营伤性废物、病理性废物产生少量的臭气，项目医疗垃圾暂存间按国家有关医疗垃圾的规定进行建设和管理，医疗废物暂存间内悬挂紫外灯管，并对医疗废物暂存间定时进行定时清运，以降低空气中的含菌量。医疗废物暂存间设置空调系统保持室内恒定温度，减少病菌滋生，并配备紫外灯进行消毒。臭气集中收集后经活性炭吸附除臭除味处理，引风机引至该医废暂存间屋顶排放，</w:t>
            </w:r>
            <w:r>
              <w:rPr>
                <w:rFonts w:hint="eastAsia"/>
                <w:color w:val="auto"/>
                <w:highlight w:val="none"/>
                <w:lang w:val="en-US" w:eastAsia="zh-CN"/>
              </w:rPr>
              <w:t>对周围环境影响小。</w:t>
            </w:r>
          </w:p>
          <w:p>
            <w:pPr>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w:t>
            </w:r>
            <w:r>
              <w:rPr>
                <w:rFonts w:hint="eastAsia" w:cs="Times New Roman"/>
                <w:color w:val="auto"/>
                <w:highlight w:val="none"/>
                <w:lang w:val="en-US" w:eastAsia="zh-CN"/>
              </w:rPr>
              <w:t>煎药臭气G3</w:t>
            </w:r>
          </w:p>
          <w:p>
            <w:pPr>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项目设有一间煎药房，用于为运营过程中需要煎药的患者进行服务，煎药频次及时间较短。煎药过程中会产生臭气，通过排风扇加强通风。对环境影响小。每次煎药时都应打开抽风系统，</w:t>
            </w:r>
            <w:r>
              <w:rPr>
                <w:rFonts w:hint="eastAsia"/>
                <w:color w:val="auto"/>
                <w:sz w:val="24"/>
                <w:szCs w:val="24"/>
                <w:highlight w:val="none"/>
                <w:lang w:val="en-US" w:eastAsia="zh-CN"/>
              </w:rPr>
              <w:t>由专用烟道综合楼屋顶排放。</w:t>
            </w:r>
          </w:p>
          <w:p>
            <w:pPr>
              <w:numPr>
                <w:ilvl w:val="0"/>
                <w:numId w:val="0"/>
              </w:numPr>
              <w:spacing w:line="360" w:lineRule="auto"/>
              <w:ind w:leftChars="200"/>
              <w:rPr>
                <w:rFonts w:hint="default" w:eastAsia="宋体"/>
                <w:color w:val="auto"/>
                <w:sz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4</w:t>
            </w:r>
            <w:r>
              <w:rPr>
                <w:rFonts w:hint="eastAsia"/>
                <w:color w:val="auto"/>
                <w:sz w:val="24"/>
                <w:highlight w:val="none"/>
                <w:lang w:eastAsia="zh-CN"/>
              </w:rPr>
              <w:t>）柴油发电机废气</w:t>
            </w:r>
            <w:r>
              <w:rPr>
                <w:rFonts w:hint="eastAsia"/>
                <w:color w:val="auto"/>
                <w:sz w:val="24"/>
                <w:highlight w:val="none"/>
                <w:lang w:val="en-US" w:eastAsia="zh-CN"/>
              </w:rPr>
              <w:t>G4</w:t>
            </w:r>
          </w:p>
          <w:p>
            <w:pPr>
              <w:numPr>
                <w:ilvl w:val="0"/>
                <w:numId w:val="0"/>
              </w:numPr>
              <w:spacing w:line="360" w:lineRule="auto"/>
              <w:ind w:firstLine="480" w:firstLineChars="200"/>
              <w:rPr>
                <w:rFonts w:hint="eastAsia"/>
                <w:color w:val="auto"/>
                <w:sz w:val="24"/>
                <w:highlight w:val="none"/>
              </w:rPr>
            </w:pPr>
            <w:r>
              <w:rPr>
                <w:rFonts w:hint="eastAsia"/>
                <w:color w:val="auto"/>
                <w:sz w:val="24"/>
                <w:highlight w:val="none"/>
              </w:rPr>
              <w:t>当市政供电设施发生维修或事故断电时，为保证项目的正常运行不受影响，在</w:t>
            </w:r>
            <w:r>
              <w:rPr>
                <w:rFonts w:hint="eastAsia"/>
                <w:color w:val="auto"/>
                <w:sz w:val="24"/>
                <w:highlight w:val="none"/>
                <w:lang w:val="en-US" w:eastAsia="zh-CN"/>
              </w:rPr>
              <w:t>1F设备房</w:t>
            </w:r>
            <w:r>
              <w:rPr>
                <w:rFonts w:hint="eastAsia"/>
                <w:color w:val="auto"/>
                <w:sz w:val="24"/>
                <w:highlight w:val="none"/>
              </w:rPr>
              <w:t>设置了一套柴油发电机组，作为备用应急电源。柴油发电机运行时将产生含 NOx、THC 等物质的废气。</w:t>
            </w:r>
          </w:p>
          <w:p>
            <w:pPr>
              <w:numPr>
                <w:ilvl w:val="0"/>
                <w:numId w:val="0"/>
              </w:numPr>
              <w:spacing w:line="360" w:lineRule="auto"/>
              <w:ind w:firstLine="480" w:firstLineChars="200"/>
              <w:rPr>
                <w:rFonts w:hint="eastAsia"/>
                <w:color w:val="auto"/>
                <w:sz w:val="24"/>
                <w:szCs w:val="24"/>
                <w:highlight w:val="none"/>
              </w:rPr>
            </w:pPr>
            <w:r>
              <w:rPr>
                <w:rFonts w:hint="eastAsia"/>
                <w:color w:val="auto"/>
                <w:sz w:val="24"/>
                <w:szCs w:val="24"/>
                <w:highlight w:val="none"/>
              </w:rPr>
              <w:t>防治措施：由于排放时间短，排放量少，</w:t>
            </w:r>
            <w:r>
              <w:rPr>
                <w:rFonts w:hint="eastAsia"/>
                <w:color w:val="auto"/>
                <w:sz w:val="24"/>
                <w:szCs w:val="24"/>
                <w:highlight w:val="none"/>
                <w:lang w:val="en-US" w:eastAsia="zh-CN"/>
              </w:rPr>
              <w:t>由专用烟道综合楼屋顶排放</w:t>
            </w:r>
            <w:r>
              <w:rPr>
                <w:rFonts w:hint="eastAsia"/>
                <w:color w:val="auto"/>
                <w:sz w:val="24"/>
                <w:szCs w:val="24"/>
                <w:highlight w:val="none"/>
              </w:rPr>
              <w:t>，对环境影响不大。</w:t>
            </w:r>
          </w:p>
          <w:p>
            <w:pPr>
              <w:numPr>
                <w:ilvl w:val="0"/>
                <w:numId w:val="0"/>
              </w:numPr>
              <w:spacing w:line="360" w:lineRule="auto"/>
              <w:ind w:firstLine="480" w:firstLineChars="200"/>
              <w:rPr>
                <w:rFonts w:hint="eastAsia"/>
                <w:color w:val="auto"/>
                <w:sz w:val="24"/>
                <w:highlight w:val="none"/>
                <w:lang w:eastAsia="zh-CN"/>
              </w:rPr>
            </w:pPr>
            <w:r>
              <w:rPr>
                <w:rFonts w:hint="eastAsia"/>
                <w:color w:val="auto"/>
                <w:sz w:val="24"/>
                <w:highlight w:val="none"/>
              </w:rPr>
              <w:t>综上所述，本项目产生的废气经相应措施处理后对环境影响小</w:t>
            </w:r>
            <w:r>
              <w:rPr>
                <w:rFonts w:hint="eastAsia"/>
                <w:color w:val="auto"/>
                <w:sz w:val="24"/>
                <w:highlight w:val="none"/>
                <w:lang w:eastAsia="zh-CN"/>
              </w:rPr>
              <w:t>。</w:t>
            </w:r>
          </w:p>
          <w:p>
            <w:pPr>
              <w:numPr>
                <w:ilvl w:val="0"/>
                <w:numId w:val="0"/>
              </w:numPr>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废气污染物产生及排放汇总见表4.3。</w:t>
            </w:r>
          </w:p>
          <w:p>
            <w:pPr>
              <w:pStyle w:val="28"/>
              <w:rPr>
                <w:rFonts w:hint="eastAsia"/>
                <w:color w:val="auto"/>
                <w:sz w:val="24"/>
                <w:highlight w:val="none"/>
                <w:lang w:eastAsia="zh-CN"/>
              </w:rPr>
            </w:pPr>
          </w:p>
          <w:p>
            <w:pPr>
              <w:pStyle w:val="28"/>
              <w:rPr>
                <w:rFonts w:hint="eastAsia"/>
                <w:color w:val="auto"/>
                <w:sz w:val="24"/>
                <w:highlight w:val="none"/>
                <w:lang w:eastAsia="zh-CN"/>
              </w:rPr>
            </w:pPr>
          </w:p>
          <w:p>
            <w:pPr>
              <w:pStyle w:val="28"/>
              <w:rPr>
                <w:rFonts w:hint="eastAsia"/>
                <w:color w:val="auto"/>
                <w:sz w:val="24"/>
                <w:highlight w:val="none"/>
                <w:lang w:eastAsia="zh-CN"/>
              </w:rPr>
            </w:pPr>
          </w:p>
          <w:p>
            <w:pPr>
              <w:pStyle w:val="28"/>
              <w:rPr>
                <w:rFonts w:hint="eastAsia"/>
                <w:color w:val="auto"/>
                <w:sz w:val="24"/>
                <w:highlight w:val="none"/>
                <w:lang w:eastAsia="zh-CN"/>
              </w:rPr>
            </w:pPr>
          </w:p>
          <w:p>
            <w:pPr>
              <w:pStyle w:val="28"/>
              <w:rPr>
                <w:rFonts w:hint="eastAsia"/>
                <w:color w:val="auto"/>
                <w:sz w:val="24"/>
                <w:highlight w:val="none"/>
                <w:lang w:eastAsia="zh-CN"/>
              </w:rPr>
            </w:pPr>
          </w:p>
          <w:p>
            <w:pPr>
              <w:pStyle w:val="28"/>
              <w:rPr>
                <w:rFonts w:hint="eastAsia"/>
                <w:color w:val="auto"/>
                <w:sz w:val="24"/>
                <w:highlight w:val="none"/>
                <w:lang w:eastAsia="zh-CN"/>
              </w:rPr>
            </w:pPr>
          </w:p>
          <w:p>
            <w:pPr>
              <w:pStyle w:val="28"/>
              <w:rPr>
                <w:rFonts w:hint="eastAsia"/>
                <w:color w:val="auto"/>
                <w:sz w:val="24"/>
                <w:highlight w:val="none"/>
                <w:lang w:eastAsia="zh-CN"/>
              </w:rPr>
            </w:pPr>
          </w:p>
          <w:p>
            <w:pPr>
              <w:pStyle w:val="28"/>
              <w:rPr>
                <w:rFonts w:hint="eastAsia"/>
                <w:color w:val="auto"/>
                <w:sz w:val="24"/>
                <w:highlight w:val="none"/>
                <w:lang w:eastAsia="zh-CN"/>
              </w:rPr>
            </w:pPr>
          </w:p>
          <w:p>
            <w:pPr>
              <w:pStyle w:val="28"/>
              <w:rPr>
                <w:rFonts w:hint="eastAsia"/>
                <w:color w:val="auto"/>
                <w:sz w:val="24"/>
                <w:highlight w:val="none"/>
                <w:lang w:eastAsia="zh-CN"/>
              </w:rPr>
            </w:pPr>
          </w:p>
          <w:p>
            <w:pPr>
              <w:pStyle w:val="28"/>
              <w:rPr>
                <w:rFonts w:hint="eastAsia"/>
                <w:color w:val="auto"/>
                <w:sz w:val="24"/>
                <w:highlight w:val="none"/>
                <w:lang w:eastAsia="zh-CN"/>
              </w:rPr>
            </w:pPr>
          </w:p>
          <w:p>
            <w:pPr>
              <w:pStyle w:val="28"/>
              <w:rPr>
                <w:rFonts w:hint="eastAsia"/>
                <w:color w:val="auto"/>
                <w:sz w:val="24"/>
                <w:highlight w:val="none"/>
                <w:lang w:eastAsia="zh-CN"/>
              </w:rPr>
            </w:pPr>
          </w:p>
          <w:p>
            <w:pPr>
              <w:pStyle w:val="28"/>
              <w:rPr>
                <w:rFonts w:hint="eastAsia"/>
                <w:color w:val="auto"/>
                <w:sz w:val="24"/>
                <w:highlight w:val="none"/>
                <w:lang w:eastAsia="zh-CN"/>
              </w:rPr>
            </w:pPr>
          </w:p>
          <w:p>
            <w:pPr>
              <w:pStyle w:val="28"/>
              <w:rPr>
                <w:rFonts w:hint="eastAsia"/>
                <w:color w:val="auto"/>
                <w:sz w:val="24"/>
                <w:highlight w:val="none"/>
                <w:lang w:eastAsia="zh-CN"/>
              </w:rPr>
            </w:pPr>
          </w:p>
          <w:p>
            <w:pPr>
              <w:pStyle w:val="28"/>
              <w:rPr>
                <w:rFonts w:hint="eastAsia"/>
                <w:color w:val="auto"/>
                <w:sz w:val="24"/>
                <w:highlight w:val="none"/>
                <w:lang w:eastAsia="zh-CN"/>
              </w:rPr>
            </w:pPr>
          </w:p>
          <w:p>
            <w:pPr>
              <w:pStyle w:val="28"/>
              <w:rPr>
                <w:rFonts w:hint="eastAsia"/>
                <w:color w:val="auto"/>
                <w:sz w:val="24"/>
                <w:highlight w:val="none"/>
                <w:lang w:eastAsia="zh-CN"/>
              </w:rPr>
            </w:pPr>
          </w:p>
          <w:p>
            <w:pPr>
              <w:pStyle w:val="28"/>
              <w:rPr>
                <w:rFonts w:hint="eastAsia"/>
                <w:color w:val="auto"/>
                <w:sz w:val="24"/>
                <w:highlight w:val="none"/>
                <w:lang w:eastAsia="zh-CN"/>
              </w:rPr>
            </w:pPr>
          </w:p>
          <w:p>
            <w:pPr>
              <w:pStyle w:val="28"/>
              <w:rPr>
                <w:rFonts w:hint="eastAsia"/>
                <w:color w:val="auto"/>
                <w:sz w:val="24"/>
                <w:highlight w:val="none"/>
                <w:lang w:eastAsia="zh-CN"/>
              </w:rPr>
            </w:pPr>
          </w:p>
          <w:p>
            <w:pPr>
              <w:pStyle w:val="28"/>
              <w:rPr>
                <w:rFonts w:hint="eastAsia"/>
                <w:color w:val="auto"/>
                <w:sz w:val="24"/>
                <w:highlight w:val="none"/>
                <w:lang w:eastAsia="zh-CN"/>
              </w:rPr>
            </w:pPr>
          </w:p>
          <w:p>
            <w:pPr>
              <w:pStyle w:val="28"/>
              <w:rPr>
                <w:rFonts w:hint="eastAsia"/>
                <w:color w:val="auto"/>
                <w:sz w:val="24"/>
                <w:highlight w:val="none"/>
                <w:lang w:eastAsia="zh-CN"/>
              </w:rPr>
            </w:pPr>
          </w:p>
          <w:p>
            <w:pPr>
              <w:pStyle w:val="28"/>
              <w:rPr>
                <w:rFonts w:hint="eastAsia"/>
                <w:color w:val="auto"/>
                <w:sz w:val="24"/>
                <w:highlight w:val="none"/>
                <w:lang w:eastAsia="zh-CN"/>
              </w:rPr>
            </w:pPr>
          </w:p>
          <w:p>
            <w:pPr>
              <w:pStyle w:val="28"/>
              <w:rPr>
                <w:rFonts w:hint="eastAsia"/>
                <w:color w:val="auto"/>
                <w:sz w:val="24"/>
                <w:highlight w:val="none"/>
                <w:lang w:eastAsia="zh-CN"/>
              </w:rPr>
            </w:pPr>
          </w:p>
          <w:p>
            <w:pPr>
              <w:pStyle w:val="28"/>
              <w:ind w:left="0" w:leftChars="0" w:firstLine="0" w:firstLineChars="0"/>
              <w:rPr>
                <w:rFonts w:hint="eastAsia"/>
                <w:color w:val="auto"/>
                <w:sz w:val="24"/>
                <w:highlight w:val="none"/>
                <w:lang w:eastAsia="zh-CN"/>
              </w:rPr>
            </w:pPr>
          </w:p>
          <w:p>
            <w:pPr>
              <w:pStyle w:val="28"/>
              <w:rPr>
                <w:rFonts w:hint="eastAsia"/>
                <w:color w:val="auto"/>
                <w:sz w:val="24"/>
                <w:highlight w:val="none"/>
                <w:lang w:eastAsia="zh-CN"/>
              </w:rPr>
            </w:pPr>
          </w:p>
          <w:p>
            <w:pPr>
              <w:pStyle w:val="28"/>
              <w:rPr>
                <w:rFonts w:hint="eastAsia"/>
                <w:color w:val="auto"/>
                <w:sz w:val="24"/>
                <w:highlight w:val="none"/>
                <w:lang w:eastAsia="zh-CN"/>
              </w:rPr>
            </w:pPr>
          </w:p>
          <w:p>
            <w:pPr>
              <w:pStyle w:val="27"/>
              <w:ind w:left="0" w:leftChars="0" w:firstLine="0" w:firstLineChars="0"/>
              <w:rPr>
                <w:rFonts w:hint="default"/>
                <w:color w:val="auto"/>
                <w:highlight w:val="none"/>
                <w:lang w:val="en-US" w:eastAsia="zh-CN"/>
              </w:rPr>
            </w:pPr>
          </w:p>
        </w:tc>
      </w:tr>
    </w:tbl>
    <w:p>
      <w:pPr>
        <w:pStyle w:val="24"/>
        <w:jc w:val="center"/>
        <w:outlineLvl w:val="0"/>
        <w:rPr>
          <w:rFonts w:ascii="Times New Roman" w:hAnsi="Times New Roman" w:eastAsia="黑体"/>
          <w:snapToGrid w:val="0"/>
          <w:color w:val="auto"/>
          <w:sz w:val="30"/>
          <w:szCs w:val="30"/>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pPr w:leftFromText="180" w:rightFromText="180" w:vertAnchor="page" w:horzAnchor="page" w:tblpX="1770" w:tblpY="1432"/>
        <w:tblOverlap w:val="never"/>
        <w:tblW w:w="13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00" w:hRule="atLeast"/>
        </w:trPr>
        <w:tc>
          <w:tcPr>
            <w:tcW w:w="846" w:type="dxa"/>
            <w:vAlign w:val="center"/>
          </w:tcPr>
          <w:p>
            <w:pPr>
              <w:adjustRightInd w:val="0"/>
              <w:snapToGrid w:val="0"/>
              <w:ind w:firstLine="0" w:firstLineChars="0"/>
              <w:rPr>
                <w:bCs/>
                <w:color w:val="auto"/>
                <w:highlight w:val="none"/>
              </w:rPr>
            </w:pPr>
            <w:r>
              <w:rPr>
                <w:bCs/>
                <w:color w:val="auto"/>
                <w:highlight w:val="none"/>
              </w:rPr>
              <w:t>运营</w:t>
            </w:r>
          </w:p>
          <w:p>
            <w:pPr>
              <w:adjustRightInd w:val="0"/>
              <w:snapToGrid w:val="0"/>
              <w:ind w:firstLine="0" w:firstLineChars="0"/>
              <w:rPr>
                <w:bCs/>
                <w:color w:val="auto"/>
                <w:highlight w:val="none"/>
              </w:rPr>
            </w:pPr>
            <w:r>
              <w:rPr>
                <w:bCs/>
                <w:color w:val="auto"/>
                <w:highlight w:val="none"/>
              </w:rPr>
              <w:t>期环</w:t>
            </w:r>
          </w:p>
          <w:p>
            <w:pPr>
              <w:adjustRightInd w:val="0"/>
              <w:snapToGrid w:val="0"/>
              <w:ind w:firstLine="0" w:firstLineChars="0"/>
              <w:rPr>
                <w:bCs/>
                <w:color w:val="auto"/>
                <w:highlight w:val="none"/>
              </w:rPr>
            </w:pPr>
            <w:r>
              <w:rPr>
                <w:bCs/>
                <w:color w:val="auto"/>
                <w:highlight w:val="none"/>
              </w:rPr>
              <w:t>境影</w:t>
            </w:r>
          </w:p>
          <w:p>
            <w:pPr>
              <w:adjustRightInd w:val="0"/>
              <w:snapToGrid w:val="0"/>
              <w:ind w:firstLine="0" w:firstLineChars="0"/>
              <w:rPr>
                <w:bCs/>
                <w:color w:val="auto"/>
                <w:highlight w:val="none"/>
              </w:rPr>
            </w:pPr>
            <w:r>
              <w:rPr>
                <w:bCs/>
                <w:color w:val="auto"/>
                <w:highlight w:val="none"/>
              </w:rPr>
              <w:t>响和</w:t>
            </w:r>
          </w:p>
          <w:p>
            <w:pPr>
              <w:adjustRightInd w:val="0"/>
              <w:snapToGrid w:val="0"/>
              <w:ind w:firstLine="0" w:firstLineChars="0"/>
              <w:rPr>
                <w:bCs/>
                <w:color w:val="auto"/>
                <w:highlight w:val="none"/>
              </w:rPr>
            </w:pPr>
            <w:r>
              <w:rPr>
                <w:bCs/>
                <w:color w:val="auto"/>
                <w:highlight w:val="none"/>
              </w:rPr>
              <w:t>保护</w:t>
            </w:r>
          </w:p>
          <w:p>
            <w:pPr>
              <w:adjustRightInd w:val="0"/>
              <w:snapToGrid w:val="0"/>
              <w:ind w:firstLine="0" w:firstLineChars="0"/>
              <w:rPr>
                <w:bCs/>
                <w:color w:val="auto"/>
                <w:highlight w:val="none"/>
              </w:rPr>
            </w:pPr>
            <w:r>
              <w:rPr>
                <w:bCs/>
                <w:color w:val="auto"/>
                <w:highlight w:val="none"/>
              </w:rPr>
              <w:t>措施</w:t>
            </w:r>
          </w:p>
        </w:tc>
        <w:tc>
          <w:tcPr>
            <w:tcW w:w="12622" w:type="dxa"/>
          </w:tcPr>
          <w:p>
            <w:pPr>
              <w:pageBreakBefore w:val="0"/>
              <w:widowControl w:val="0"/>
              <w:kinsoku/>
              <w:wordWrap/>
              <w:overflowPunct/>
              <w:topLinePunct w:val="0"/>
              <w:autoSpaceDE/>
              <w:autoSpaceDN/>
              <w:bidi w:val="0"/>
              <w:adjustRightInd/>
              <w:snapToGrid/>
              <w:spacing w:line="280" w:lineRule="exact"/>
              <w:ind w:firstLine="480"/>
              <w:textAlignment w:val="auto"/>
              <w:rPr>
                <w:color w:val="auto"/>
                <w:highlight w:val="none"/>
              </w:rPr>
            </w:pPr>
          </w:p>
          <w:p>
            <w:pPr>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eastAsia="宋体"/>
                <w:b/>
                <w:bCs/>
                <w:color w:val="auto"/>
                <w:highlight w:val="none"/>
                <w:lang w:val="en-US" w:eastAsia="zh-CN"/>
              </w:rPr>
            </w:pPr>
            <w:r>
              <w:rPr>
                <w:rFonts w:hint="eastAsia"/>
                <w:b/>
                <w:bCs/>
                <w:color w:val="auto"/>
                <w:highlight w:val="none"/>
              </w:rPr>
              <w:t>表4.3</w:t>
            </w:r>
            <w:r>
              <w:rPr>
                <w:rFonts w:hint="eastAsia"/>
                <w:b/>
                <w:bCs/>
                <w:color w:val="auto"/>
                <w:highlight w:val="none"/>
                <w:lang w:val="en-US" w:eastAsia="zh-CN"/>
              </w:rPr>
              <w:t xml:space="preserve">  废气污染源源强核算结果及相关参数一览表</w:t>
            </w:r>
          </w:p>
          <w:tbl>
            <w:tblPr>
              <w:tblStyle w:val="30"/>
              <w:tblW w:w="123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665"/>
              <w:gridCol w:w="956"/>
              <w:gridCol w:w="1040"/>
              <w:gridCol w:w="867"/>
              <w:gridCol w:w="933"/>
              <w:gridCol w:w="1095"/>
              <w:gridCol w:w="1065"/>
              <w:gridCol w:w="705"/>
              <w:gridCol w:w="705"/>
              <w:gridCol w:w="916"/>
              <w:gridCol w:w="1076"/>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vMerge w:val="restar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产污</w:t>
                  </w:r>
                </w:p>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环节</w:t>
                  </w:r>
                </w:p>
              </w:tc>
              <w:tc>
                <w:tcPr>
                  <w:tcW w:w="665" w:type="dxa"/>
                  <w:vMerge w:val="restart"/>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排放形式</w:t>
                  </w:r>
                </w:p>
              </w:tc>
              <w:tc>
                <w:tcPr>
                  <w:tcW w:w="956" w:type="dxa"/>
                  <w:vMerge w:val="restart"/>
                  <w:vAlign w:val="center"/>
                </w:tcPr>
                <w:p>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污染物种类</w:t>
                  </w:r>
                </w:p>
              </w:tc>
              <w:tc>
                <w:tcPr>
                  <w:tcW w:w="2840" w:type="dxa"/>
                  <w:gridSpan w:val="3"/>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产生情况</w:t>
                  </w:r>
                </w:p>
              </w:tc>
              <w:tc>
                <w:tcPr>
                  <w:tcW w:w="3570" w:type="dxa"/>
                  <w:gridSpan w:val="4"/>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治理设施</w:t>
                  </w:r>
                </w:p>
              </w:tc>
              <w:tc>
                <w:tcPr>
                  <w:tcW w:w="3487" w:type="dxa"/>
                  <w:gridSpan w:val="3"/>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vMerge w:val="continue"/>
                  <w:vAlign w:val="center"/>
                </w:tcPr>
                <w:p>
                  <w:pPr>
                    <w:spacing w:line="240" w:lineRule="auto"/>
                    <w:ind w:firstLine="0" w:firstLineChars="0"/>
                    <w:jc w:val="center"/>
                    <w:rPr>
                      <w:color w:val="auto"/>
                      <w:sz w:val="21"/>
                      <w:szCs w:val="21"/>
                      <w:highlight w:val="none"/>
                    </w:rPr>
                  </w:pPr>
                </w:p>
              </w:tc>
              <w:tc>
                <w:tcPr>
                  <w:tcW w:w="665" w:type="dxa"/>
                  <w:vMerge w:val="continue"/>
                  <w:vAlign w:val="center"/>
                </w:tcPr>
                <w:p>
                  <w:pPr>
                    <w:spacing w:line="240" w:lineRule="auto"/>
                    <w:ind w:firstLine="0" w:firstLineChars="0"/>
                    <w:jc w:val="center"/>
                    <w:rPr>
                      <w:color w:val="auto"/>
                      <w:sz w:val="21"/>
                      <w:szCs w:val="21"/>
                      <w:highlight w:val="none"/>
                    </w:rPr>
                  </w:pPr>
                </w:p>
              </w:tc>
              <w:tc>
                <w:tcPr>
                  <w:tcW w:w="956" w:type="dxa"/>
                  <w:vMerge w:val="continue"/>
                  <w:vAlign w:val="center"/>
                </w:tcPr>
                <w:p>
                  <w:pPr>
                    <w:spacing w:line="240" w:lineRule="auto"/>
                    <w:ind w:firstLine="0" w:firstLineChars="0"/>
                    <w:jc w:val="center"/>
                    <w:rPr>
                      <w:color w:val="auto"/>
                      <w:sz w:val="21"/>
                      <w:szCs w:val="21"/>
                      <w:highlight w:val="none"/>
                    </w:rPr>
                  </w:pPr>
                </w:p>
              </w:tc>
              <w:tc>
                <w:tcPr>
                  <w:tcW w:w="1040" w:type="dxa"/>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产生浓度mg/m</w:t>
                  </w:r>
                  <w:r>
                    <w:rPr>
                      <w:rFonts w:hint="eastAsia"/>
                      <w:color w:val="auto"/>
                      <w:sz w:val="21"/>
                      <w:szCs w:val="21"/>
                      <w:highlight w:val="none"/>
                      <w:vertAlign w:val="superscript"/>
                      <w:lang w:val="en-US" w:eastAsia="zh-CN"/>
                    </w:rPr>
                    <w:t>3</w:t>
                  </w:r>
                </w:p>
              </w:tc>
              <w:tc>
                <w:tcPr>
                  <w:tcW w:w="867" w:type="dxa"/>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产生速率kg/h</w:t>
                  </w:r>
                </w:p>
              </w:tc>
              <w:tc>
                <w:tcPr>
                  <w:tcW w:w="933" w:type="dxa"/>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产生量t/a</w:t>
                  </w:r>
                </w:p>
              </w:tc>
              <w:tc>
                <w:tcPr>
                  <w:tcW w:w="1095" w:type="dxa"/>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治理工艺</w:t>
                  </w:r>
                </w:p>
              </w:tc>
              <w:tc>
                <w:tcPr>
                  <w:tcW w:w="1065" w:type="dxa"/>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风量m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/h</w:t>
                  </w:r>
                </w:p>
              </w:tc>
              <w:tc>
                <w:tcPr>
                  <w:tcW w:w="705" w:type="dxa"/>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去除率%</w:t>
                  </w:r>
                </w:p>
              </w:tc>
              <w:tc>
                <w:tcPr>
                  <w:tcW w:w="705" w:type="dxa"/>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是否为可行技术</w:t>
                  </w:r>
                </w:p>
              </w:tc>
              <w:tc>
                <w:tcPr>
                  <w:tcW w:w="916" w:type="dxa"/>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排放浓度mg/m</w:t>
                  </w:r>
                  <w:r>
                    <w:rPr>
                      <w:rFonts w:hint="eastAsia"/>
                      <w:color w:val="auto"/>
                      <w:sz w:val="21"/>
                      <w:szCs w:val="21"/>
                      <w:highlight w:val="none"/>
                      <w:vertAlign w:val="superscript"/>
                      <w:lang w:val="en-US" w:eastAsia="zh-CN"/>
                    </w:rPr>
                    <w:t>3</w:t>
                  </w:r>
                </w:p>
              </w:tc>
              <w:tc>
                <w:tcPr>
                  <w:tcW w:w="1076" w:type="dxa"/>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排放速率kg/h</w:t>
                  </w:r>
                </w:p>
              </w:tc>
              <w:tc>
                <w:tcPr>
                  <w:tcW w:w="1495" w:type="dxa"/>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71" w:type="dxa"/>
                  <w:vMerge w:val="restart"/>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污水处理站臭气</w:t>
                  </w:r>
                </w:p>
              </w:tc>
              <w:tc>
                <w:tcPr>
                  <w:tcW w:w="665" w:type="dxa"/>
                  <w:vMerge w:val="restart"/>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有组织</w:t>
                  </w:r>
                </w:p>
              </w:tc>
              <w:tc>
                <w:tcPr>
                  <w:tcW w:w="956" w:type="dxa"/>
                  <w:vAlign w:val="center"/>
                </w:tcPr>
                <w:p>
                  <w:pPr>
                    <w:spacing w:line="240" w:lineRule="auto"/>
                    <w:ind w:firstLine="0" w:firstLineChars="0"/>
                    <w:jc w:val="center"/>
                    <w:rPr>
                      <w:rFonts w:hint="eastAsia" w:eastAsia="宋体"/>
                      <w:color w:val="auto"/>
                      <w:sz w:val="21"/>
                      <w:szCs w:val="21"/>
                      <w:highlight w:val="none"/>
                      <w:lang w:val="en-US" w:eastAsia="zh-CN"/>
                    </w:rPr>
                  </w:pPr>
                  <w:r>
                    <w:rPr>
                      <w:rFonts w:hint="default"/>
                      <w:color w:val="auto"/>
                      <w:highlight w:val="none"/>
                      <w:lang w:val="en-US" w:eastAsia="zh-CN"/>
                    </w:rPr>
                    <w:t>NH</w:t>
                  </w:r>
                  <w:r>
                    <w:rPr>
                      <w:rFonts w:hint="default"/>
                      <w:color w:val="auto"/>
                      <w:sz w:val="24"/>
                      <w:highlight w:val="none"/>
                      <w:vertAlign w:val="subscript"/>
                      <w:lang w:val="en-US" w:eastAsia="zh-CN"/>
                    </w:rPr>
                    <w:t>3</w:t>
                  </w:r>
                </w:p>
              </w:tc>
              <w:tc>
                <w:tcPr>
                  <w:tcW w:w="1040" w:type="dxa"/>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867" w:type="dxa"/>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2.90×10</w:t>
                  </w:r>
                  <w:r>
                    <w:rPr>
                      <w:rFonts w:hint="eastAsia"/>
                      <w:color w:val="auto"/>
                      <w:sz w:val="21"/>
                      <w:szCs w:val="21"/>
                      <w:highlight w:val="none"/>
                      <w:vertAlign w:val="superscript"/>
                      <w:lang w:val="en-US" w:eastAsia="zh-CN"/>
                    </w:rPr>
                    <w:t>-6</w:t>
                  </w:r>
                </w:p>
              </w:tc>
              <w:tc>
                <w:tcPr>
                  <w:tcW w:w="933" w:type="dxa"/>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2.54×10</w:t>
                  </w:r>
                  <w:r>
                    <w:rPr>
                      <w:rFonts w:hint="eastAsia"/>
                      <w:color w:val="auto"/>
                      <w:sz w:val="21"/>
                      <w:szCs w:val="21"/>
                      <w:highlight w:val="none"/>
                      <w:vertAlign w:val="superscript"/>
                      <w:lang w:val="en-US" w:eastAsia="zh-CN"/>
                    </w:rPr>
                    <w:t>-5</w:t>
                  </w:r>
                </w:p>
              </w:tc>
              <w:tc>
                <w:tcPr>
                  <w:tcW w:w="1095" w:type="dxa"/>
                  <w:vMerge w:val="restar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管道收集经</w:t>
                  </w:r>
                  <w:r>
                    <w:rPr>
                      <w:rFonts w:hint="default"/>
                      <w:color w:val="auto"/>
                      <w:sz w:val="21"/>
                      <w:szCs w:val="21"/>
                      <w:highlight w:val="none"/>
                      <w:lang w:val="en-US" w:eastAsia="zh-CN"/>
                    </w:rPr>
                    <w:t>“</w:t>
                  </w:r>
                  <w:r>
                    <w:rPr>
                      <w:rFonts w:hint="eastAsia"/>
                      <w:color w:val="auto"/>
                      <w:sz w:val="21"/>
                      <w:szCs w:val="21"/>
                      <w:highlight w:val="none"/>
                      <w:lang w:val="en-US" w:eastAsia="zh-CN"/>
                    </w:rPr>
                    <w:t>活性炭</w:t>
                  </w:r>
                  <w:r>
                    <w:rPr>
                      <w:rFonts w:hint="default"/>
                      <w:color w:val="auto"/>
                      <w:sz w:val="21"/>
                      <w:szCs w:val="21"/>
                      <w:highlight w:val="none"/>
                      <w:lang w:val="en-US" w:eastAsia="zh-CN"/>
                    </w:rPr>
                    <w:t>”</w:t>
                  </w:r>
                  <w:r>
                    <w:rPr>
                      <w:rFonts w:hint="eastAsia"/>
                      <w:color w:val="auto"/>
                      <w:sz w:val="21"/>
                      <w:szCs w:val="21"/>
                      <w:highlight w:val="none"/>
                      <w:lang w:val="en-US" w:eastAsia="zh-CN"/>
                    </w:rPr>
                    <w:t xml:space="preserve">处 </w:t>
                  </w:r>
                </w:p>
                <w:p>
                  <w:pPr>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 xml:space="preserve">理由 </w:t>
                  </w:r>
                  <w:r>
                    <w:rPr>
                      <w:rFonts w:hint="default"/>
                      <w:color w:val="auto"/>
                      <w:sz w:val="21"/>
                      <w:szCs w:val="21"/>
                      <w:highlight w:val="none"/>
                      <w:lang w:val="en-US" w:eastAsia="zh-CN"/>
                    </w:rPr>
                    <w:t xml:space="preserve">15 </w:t>
                  </w:r>
                  <w:r>
                    <w:rPr>
                      <w:rFonts w:hint="eastAsia"/>
                      <w:color w:val="auto"/>
                      <w:sz w:val="21"/>
                      <w:szCs w:val="21"/>
                      <w:highlight w:val="none"/>
                      <w:lang w:val="en-US" w:eastAsia="zh-CN"/>
                    </w:rPr>
                    <w:t>米高排气筒排放</w:t>
                  </w:r>
                </w:p>
              </w:tc>
              <w:tc>
                <w:tcPr>
                  <w:tcW w:w="1065" w:type="dxa"/>
                  <w:vMerge w:val="restart"/>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2000</w:t>
                  </w:r>
                </w:p>
              </w:tc>
              <w:tc>
                <w:tcPr>
                  <w:tcW w:w="705" w:type="dxa"/>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60</w:t>
                  </w:r>
                </w:p>
              </w:tc>
              <w:tc>
                <w:tcPr>
                  <w:tcW w:w="705" w:type="dxa"/>
                  <w:vMerge w:val="restart"/>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是</w:t>
                  </w:r>
                </w:p>
              </w:tc>
              <w:tc>
                <w:tcPr>
                  <w:tcW w:w="916" w:type="dxa"/>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076" w:type="dxa"/>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1.14×10</w:t>
                  </w:r>
                  <w:r>
                    <w:rPr>
                      <w:rFonts w:hint="eastAsia"/>
                      <w:color w:val="auto"/>
                      <w:sz w:val="21"/>
                      <w:szCs w:val="21"/>
                      <w:highlight w:val="none"/>
                      <w:vertAlign w:val="superscript"/>
                      <w:lang w:val="en-US" w:eastAsia="zh-CN"/>
                    </w:rPr>
                    <w:t>-6</w:t>
                  </w:r>
                </w:p>
              </w:tc>
              <w:tc>
                <w:tcPr>
                  <w:tcW w:w="1495" w:type="dxa"/>
                  <w:vAlign w:val="center"/>
                </w:tcPr>
                <w:p>
                  <w:pPr>
                    <w:pStyle w:val="2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1.0×10</w:t>
                  </w:r>
                  <w:r>
                    <w:rPr>
                      <w:rFonts w:hint="eastAsia"/>
                      <w:color w:val="auto"/>
                      <w:sz w:val="21"/>
                      <w:szCs w:val="21"/>
                      <w:highlight w:val="none"/>
                      <w:vertAlign w:val="superscrip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71" w:type="dxa"/>
                  <w:vMerge w:val="continue"/>
                  <w:vAlign w:val="center"/>
                </w:tcPr>
                <w:p>
                  <w:pPr>
                    <w:spacing w:line="240" w:lineRule="auto"/>
                    <w:ind w:firstLine="0" w:firstLineChars="0"/>
                    <w:jc w:val="center"/>
                    <w:rPr>
                      <w:color w:val="auto"/>
                      <w:highlight w:val="none"/>
                    </w:rPr>
                  </w:pPr>
                </w:p>
              </w:tc>
              <w:tc>
                <w:tcPr>
                  <w:tcW w:w="665" w:type="dxa"/>
                  <w:vMerge w:val="continue"/>
                  <w:vAlign w:val="center"/>
                </w:tcPr>
                <w:p>
                  <w:pPr>
                    <w:spacing w:line="240" w:lineRule="auto"/>
                    <w:ind w:firstLine="0" w:firstLineChars="0"/>
                    <w:jc w:val="center"/>
                    <w:rPr>
                      <w:color w:val="auto"/>
                      <w:highlight w:val="none"/>
                    </w:rPr>
                  </w:pPr>
                </w:p>
              </w:tc>
              <w:tc>
                <w:tcPr>
                  <w:tcW w:w="956" w:type="dxa"/>
                  <w:vAlign w:val="center"/>
                </w:tcPr>
                <w:p>
                  <w:pPr>
                    <w:spacing w:line="240" w:lineRule="auto"/>
                    <w:ind w:firstLine="0" w:firstLineChars="0"/>
                    <w:jc w:val="center"/>
                    <w:rPr>
                      <w:rFonts w:hint="eastAsia"/>
                      <w:color w:val="auto"/>
                      <w:sz w:val="21"/>
                      <w:szCs w:val="21"/>
                      <w:highlight w:val="none"/>
                    </w:rPr>
                  </w:pPr>
                  <w:r>
                    <w:rPr>
                      <w:rFonts w:hint="default"/>
                      <w:color w:val="auto"/>
                      <w:highlight w:val="none"/>
                      <w:lang w:val="en-US" w:eastAsia="zh-CN"/>
                    </w:rPr>
                    <w:t>H</w:t>
                  </w:r>
                  <w:r>
                    <w:rPr>
                      <w:rFonts w:hint="default"/>
                      <w:color w:val="auto"/>
                      <w:sz w:val="24"/>
                      <w:highlight w:val="none"/>
                      <w:vertAlign w:val="subscript"/>
                      <w:lang w:val="en-US" w:eastAsia="zh-CN"/>
                    </w:rPr>
                    <w:t>2</w:t>
                  </w:r>
                  <w:r>
                    <w:rPr>
                      <w:rFonts w:hint="default"/>
                      <w:color w:val="auto"/>
                      <w:highlight w:val="none"/>
                      <w:lang w:val="en-US" w:eastAsia="zh-CN"/>
                    </w:rPr>
                    <w:t>S</w:t>
                  </w:r>
                </w:p>
              </w:tc>
              <w:tc>
                <w:tcPr>
                  <w:tcW w:w="1040" w:type="dxa"/>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867" w:type="dxa"/>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9.70×10</w:t>
                  </w:r>
                  <w:r>
                    <w:rPr>
                      <w:rFonts w:hint="eastAsia"/>
                      <w:color w:val="auto"/>
                      <w:sz w:val="21"/>
                      <w:szCs w:val="21"/>
                      <w:highlight w:val="none"/>
                      <w:vertAlign w:val="superscript"/>
                      <w:lang w:val="en-US" w:eastAsia="zh-CN"/>
                    </w:rPr>
                    <w:t>-7</w:t>
                  </w:r>
                </w:p>
              </w:tc>
              <w:tc>
                <w:tcPr>
                  <w:tcW w:w="933" w:type="dxa"/>
                  <w:vAlign w:val="center"/>
                </w:tcPr>
                <w:p>
                  <w:pPr>
                    <w:spacing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8.5×10</w:t>
                  </w:r>
                  <w:r>
                    <w:rPr>
                      <w:rFonts w:hint="eastAsia"/>
                      <w:color w:val="auto"/>
                      <w:sz w:val="21"/>
                      <w:szCs w:val="21"/>
                      <w:highlight w:val="none"/>
                      <w:vertAlign w:val="superscript"/>
                      <w:lang w:val="en-US" w:eastAsia="zh-CN"/>
                    </w:rPr>
                    <w:t>-6</w:t>
                  </w:r>
                </w:p>
              </w:tc>
              <w:tc>
                <w:tcPr>
                  <w:tcW w:w="1095" w:type="dxa"/>
                  <w:vMerge w:val="continue"/>
                  <w:vAlign w:val="center"/>
                </w:tcPr>
                <w:p>
                  <w:pPr>
                    <w:spacing w:line="240" w:lineRule="auto"/>
                    <w:ind w:firstLine="0" w:firstLineChars="0"/>
                    <w:jc w:val="center"/>
                    <w:rPr>
                      <w:rFonts w:hint="eastAsia"/>
                      <w:color w:val="auto"/>
                      <w:sz w:val="21"/>
                      <w:szCs w:val="21"/>
                      <w:highlight w:val="none"/>
                    </w:rPr>
                  </w:pPr>
                </w:p>
              </w:tc>
              <w:tc>
                <w:tcPr>
                  <w:tcW w:w="1065" w:type="dxa"/>
                  <w:vMerge w:val="continue"/>
                  <w:vAlign w:val="center"/>
                </w:tcPr>
                <w:p>
                  <w:pPr>
                    <w:spacing w:line="240" w:lineRule="auto"/>
                    <w:ind w:firstLine="0" w:firstLineChars="0"/>
                    <w:jc w:val="center"/>
                    <w:rPr>
                      <w:rFonts w:hint="eastAsia"/>
                      <w:color w:val="auto"/>
                      <w:sz w:val="21"/>
                      <w:szCs w:val="21"/>
                      <w:highlight w:val="none"/>
                    </w:rPr>
                  </w:pPr>
                </w:p>
              </w:tc>
              <w:tc>
                <w:tcPr>
                  <w:tcW w:w="705" w:type="dxa"/>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60</w:t>
                  </w:r>
                </w:p>
              </w:tc>
              <w:tc>
                <w:tcPr>
                  <w:tcW w:w="705" w:type="dxa"/>
                  <w:vMerge w:val="continue"/>
                  <w:vAlign w:val="center"/>
                </w:tcPr>
                <w:p>
                  <w:pPr>
                    <w:spacing w:line="240" w:lineRule="auto"/>
                    <w:ind w:firstLine="0" w:firstLineChars="0"/>
                    <w:jc w:val="center"/>
                    <w:rPr>
                      <w:rFonts w:hint="eastAsia"/>
                      <w:color w:val="auto"/>
                      <w:sz w:val="21"/>
                      <w:szCs w:val="21"/>
                      <w:highlight w:val="none"/>
                    </w:rPr>
                  </w:pPr>
                </w:p>
              </w:tc>
              <w:tc>
                <w:tcPr>
                  <w:tcW w:w="916" w:type="dxa"/>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076" w:type="dxa"/>
                  <w:vAlign w:val="center"/>
                </w:tcPr>
                <w:p>
                  <w:pPr>
                    <w:spacing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3.88×10</w:t>
                  </w:r>
                  <w:r>
                    <w:rPr>
                      <w:rFonts w:hint="eastAsia"/>
                      <w:color w:val="auto"/>
                      <w:sz w:val="21"/>
                      <w:szCs w:val="21"/>
                      <w:highlight w:val="none"/>
                      <w:vertAlign w:val="superscript"/>
                      <w:lang w:val="en-US" w:eastAsia="zh-CN"/>
                    </w:rPr>
                    <w:t>-7</w:t>
                  </w:r>
                </w:p>
              </w:tc>
              <w:tc>
                <w:tcPr>
                  <w:tcW w:w="1495" w:type="dxa"/>
                  <w:vAlign w:val="center"/>
                </w:tcPr>
                <w:p>
                  <w:pPr>
                    <w:spacing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3.4×10</w:t>
                  </w:r>
                  <w:r>
                    <w:rPr>
                      <w:rFonts w:hint="eastAsia"/>
                      <w:color w:val="auto"/>
                      <w:sz w:val="21"/>
                      <w:szCs w:val="21"/>
                      <w:highlight w:val="none"/>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71" w:type="dxa"/>
                  <w:vMerge w:val="continue"/>
                  <w:vAlign w:val="center"/>
                </w:tcPr>
                <w:p>
                  <w:pPr>
                    <w:spacing w:line="240" w:lineRule="auto"/>
                    <w:ind w:firstLine="0" w:firstLineChars="0"/>
                    <w:jc w:val="center"/>
                    <w:rPr>
                      <w:rFonts w:hint="eastAsia"/>
                      <w:color w:val="auto"/>
                      <w:sz w:val="21"/>
                      <w:szCs w:val="21"/>
                      <w:highlight w:val="none"/>
                    </w:rPr>
                  </w:pPr>
                </w:p>
              </w:tc>
              <w:tc>
                <w:tcPr>
                  <w:tcW w:w="665" w:type="dxa"/>
                  <w:vMerge w:val="continue"/>
                  <w:vAlign w:val="center"/>
                </w:tcPr>
                <w:p>
                  <w:pPr>
                    <w:spacing w:line="240" w:lineRule="auto"/>
                    <w:ind w:firstLine="0" w:firstLineChars="0"/>
                    <w:jc w:val="center"/>
                    <w:rPr>
                      <w:rFonts w:hint="eastAsia"/>
                      <w:color w:val="auto"/>
                      <w:sz w:val="21"/>
                      <w:szCs w:val="21"/>
                      <w:highlight w:val="none"/>
                    </w:rPr>
                  </w:pPr>
                </w:p>
              </w:tc>
              <w:tc>
                <w:tcPr>
                  <w:tcW w:w="956" w:type="dxa"/>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臭气浓度</w:t>
                  </w:r>
                </w:p>
              </w:tc>
              <w:tc>
                <w:tcPr>
                  <w:tcW w:w="1040" w:type="dxa"/>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867" w:type="dxa"/>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933" w:type="dxa"/>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095" w:type="dxa"/>
                  <w:vMerge w:val="continue"/>
                  <w:vAlign w:val="center"/>
                </w:tcPr>
                <w:p>
                  <w:pPr>
                    <w:spacing w:line="240" w:lineRule="auto"/>
                    <w:ind w:firstLine="0" w:firstLineChars="0"/>
                    <w:jc w:val="center"/>
                    <w:rPr>
                      <w:rFonts w:hint="eastAsia"/>
                      <w:color w:val="auto"/>
                      <w:sz w:val="21"/>
                      <w:szCs w:val="21"/>
                      <w:highlight w:val="none"/>
                    </w:rPr>
                  </w:pPr>
                </w:p>
              </w:tc>
              <w:tc>
                <w:tcPr>
                  <w:tcW w:w="1065" w:type="dxa"/>
                  <w:vMerge w:val="continue"/>
                  <w:vAlign w:val="center"/>
                </w:tcPr>
                <w:p>
                  <w:pPr>
                    <w:spacing w:line="240" w:lineRule="auto"/>
                    <w:ind w:firstLine="0" w:firstLineChars="0"/>
                    <w:jc w:val="center"/>
                    <w:rPr>
                      <w:rFonts w:hint="eastAsia"/>
                      <w:color w:val="auto"/>
                      <w:sz w:val="21"/>
                      <w:szCs w:val="21"/>
                      <w:highlight w:val="none"/>
                    </w:rPr>
                  </w:pPr>
                </w:p>
              </w:tc>
              <w:tc>
                <w:tcPr>
                  <w:tcW w:w="705" w:type="dxa"/>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705" w:type="dxa"/>
                  <w:vMerge w:val="continue"/>
                  <w:vAlign w:val="center"/>
                </w:tcPr>
                <w:p>
                  <w:pPr>
                    <w:spacing w:line="240" w:lineRule="auto"/>
                    <w:ind w:firstLine="0" w:firstLineChars="0"/>
                    <w:jc w:val="center"/>
                    <w:rPr>
                      <w:rFonts w:hint="eastAsia"/>
                      <w:color w:val="auto"/>
                      <w:sz w:val="21"/>
                      <w:szCs w:val="21"/>
                      <w:highlight w:val="none"/>
                    </w:rPr>
                  </w:pPr>
                </w:p>
              </w:tc>
              <w:tc>
                <w:tcPr>
                  <w:tcW w:w="916" w:type="dxa"/>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076" w:type="dxa"/>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495" w:type="dxa"/>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trPr>
              <w:tc>
                <w:tcPr>
                  <w:tcW w:w="871" w:type="dxa"/>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医疗废物暂存间废气</w:t>
                  </w:r>
                </w:p>
              </w:tc>
              <w:tc>
                <w:tcPr>
                  <w:tcW w:w="665" w:type="dxa"/>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无组织</w:t>
                  </w:r>
                </w:p>
              </w:tc>
              <w:tc>
                <w:tcPr>
                  <w:tcW w:w="956" w:type="dxa"/>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臭气浓度</w:t>
                  </w:r>
                </w:p>
              </w:tc>
              <w:tc>
                <w:tcPr>
                  <w:tcW w:w="1040"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867"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933" w:type="dxa"/>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少量</w:t>
                  </w:r>
                </w:p>
              </w:tc>
              <w:tc>
                <w:tcPr>
                  <w:tcW w:w="1095" w:type="dxa"/>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收集经</w:t>
                  </w:r>
                  <w:r>
                    <w:rPr>
                      <w:rFonts w:hint="default"/>
                      <w:color w:val="auto"/>
                      <w:sz w:val="21"/>
                      <w:szCs w:val="21"/>
                      <w:highlight w:val="none"/>
                      <w:lang w:val="en-US" w:eastAsia="zh-CN"/>
                    </w:rPr>
                    <w:t>“</w:t>
                  </w:r>
                  <w:r>
                    <w:rPr>
                      <w:rFonts w:hint="eastAsia"/>
                      <w:color w:val="auto"/>
                      <w:sz w:val="21"/>
                      <w:szCs w:val="21"/>
                      <w:highlight w:val="none"/>
                      <w:lang w:val="en-US" w:eastAsia="zh-CN"/>
                    </w:rPr>
                    <w:t>活性炭</w:t>
                  </w:r>
                  <w:r>
                    <w:rPr>
                      <w:rFonts w:hint="default"/>
                      <w:color w:val="auto"/>
                      <w:sz w:val="21"/>
                      <w:szCs w:val="21"/>
                      <w:highlight w:val="none"/>
                      <w:lang w:val="en-US" w:eastAsia="zh-CN"/>
                    </w:rPr>
                    <w:t>”</w:t>
                  </w:r>
                  <w:r>
                    <w:rPr>
                      <w:rFonts w:hint="eastAsia"/>
                      <w:color w:val="auto"/>
                      <w:sz w:val="21"/>
                      <w:szCs w:val="21"/>
                      <w:highlight w:val="none"/>
                      <w:lang w:val="en-US" w:eastAsia="zh-CN"/>
                    </w:rPr>
                    <w:t xml:space="preserve">处理引 </w:t>
                  </w:r>
                </w:p>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至医废暂存间屋顶排放</w:t>
                  </w:r>
                </w:p>
              </w:tc>
              <w:tc>
                <w:tcPr>
                  <w:tcW w:w="1065"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705"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705" w:type="dxa"/>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是</w:t>
                  </w:r>
                </w:p>
              </w:tc>
              <w:tc>
                <w:tcPr>
                  <w:tcW w:w="916"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1076"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1495"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9" w:hRule="atLeast"/>
              </w:trPr>
              <w:tc>
                <w:tcPr>
                  <w:tcW w:w="871" w:type="dxa"/>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煎药臭气</w:t>
                  </w:r>
                </w:p>
              </w:tc>
              <w:tc>
                <w:tcPr>
                  <w:tcW w:w="665" w:type="dxa"/>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无组织</w:t>
                  </w:r>
                </w:p>
              </w:tc>
              <w:tc>
                <w:tcPr>
                  <w:tcW w:w="956" w:type="dxa"/>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臭气浓度</w:t>
                  </w:r>
                </w:p>
              </w:tc>
              <w:tc>
                <w:tcPr>
                  <w:tcW w:w="1040"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867"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933"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少量</w:t>
                  </w:r>
                </w:p>
              </w:tc>
              <w:tc>
                <w:tcPr>
                  <w:tcW w:w="1095" w:type="dxa"/>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由专用烟道综合楼屋顶排放</w:t>
                  </w:r>
                </w:p>
              </w:tc>
              <w:tc>
                <w:tcPr>
                  <w:tcW w:w="1065"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705"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705"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是</w:t>
                  </w:r>
                </w:p>
              </w:tc>
              <w:tc>
                <w:tcPr>
                  <w:tcW w:w="916"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1076"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1495"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trPr>
              <w:tc>
                <w:tcPr>
                  <w:tcW w:w="871" w:type="dxa"/>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柴油发电机废气</w:t>
                  </w:r>
                </w:p>
              </w:tc>
              <w:tc>
                <w:tcPr>
                  <w:tcW w:w="665" w:type="dxa"/>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无组织</w:t>
                  </w:r>
                </w:p>
              </w:tc>
              <w:tc>
                <w:tcPr>
                  <w:tcW w:w="956" w:type="dxa"/>
                  <w:vAlign w:val="center"/>
                </w:tcPr>
                <w:p>
                  <w:pPr>
                    <w:spacing w:line="240" w:lineRule="auto"/>
                    <w:ind w:firstLine="0" w:firstLineChars="0"/>
                    <w:jc w:val="center"/>
                    <w:rPr>
                      <w:rFonts w:hint="eastAsia"/>
                      <w:color w:val="auto"/>
                      <w:sz w:val="21"/>
                      <w:szCs w:val="21"/>
                      <w:highlight w:val="none"/>
                      <w:lang w:val="en-US" w:eastAsia="zh-CN"/>
                    </w:rPr>
                  </w:pPr>
                  <w:r>
                    <w:rPr>
                      <w:rFonts w:hint="default"/>
                      <w:color w:val="auto"/>
                      <w:sz w:val="21"/>
                      <w:szCs w:val="21"/>
                      <w:highlight w:val="none"/>
                      <w:lang w:val="en-US" w:eastAsia="zh-CN"/>
                    </w:rPr>
                    <w:t>CO</w:t>
                  </w:r>
                  <w:r>
                    <w:rPr>
                      <w:rFonts w:hint="eastAsia"/>
                      <w:color w:val="auto"/>
                      <w:sz w:val="21"/>
                      <w:szCs w:val="21"/>
                      <w:highlight w:val="none"/>
                      <w:lang w:val="en-US" w:eastAsia="zh-CN"/>
                    </w:rPr>
                    <w:t>、</w:t>
                  </w:r>
                  <w:r>
                    <w:rPr>
                      <w:rFonts w:hint="default"/>
                      <w:color w:val="auto"/>
                      <w:sz w:val="21"/>
                      <w:szCs w:val="21"/>
                      <w:highlight w:val="none"/>
                      <w:lang w:val="en-US" w:eastAsia="zh-CN"/>
                    </w:rPr>
                    <w:t>NOx</w:t>
                  </w:r>
                  <w:r>
                    <w:rPr>
                      <w:rFonts w:hint="eastAsia"/>
                      <w:color w:val="auto"/>
                      <w:sz w:val="21"/>
                      <w:szCs w:val="21"/>
                      <w:highlight w:val="none"/>
                      <w:lang w:val="en-US" w:eastAsia="zh-CN"/>
                    </w:rPr>
                    <w:t>、</w:t>
                  </w:r>
                  <w:r>
                    <w:rPr>
                      <w:rFonts w:hint="default"/>
                      <w:color w:val="auto"/>
                      <w:sz w:val="21"/>
                      <w:szCs w:val="21"/>
                      <w:highlight w:val="none"/>
                      <w:lang w:val="en-US" w:eastAsia="zh-CN"/>
                    </w:rPr>
                    <w:t>HC</w:t>
                  </w:r>
                </w:p>
                <w:p>
                  <w:pPr>
                    <w:spacing w:line="240" w:lineRule="auto"/>
                    <w:ind w:firstLine="0" w:firstLineChars="0"/>
                    <w:jc w:val="center"/>
                    <w:rPr>
                      <w:rFonts w:hint="eastAsia"/>
                      <w:color w:val="auto"/>
                      <w:sz w:val="21"/>
                      <w:szCs w:val="21"/>
                      <w:highlight w:val="none"/>
                      <w:lang w:val="en-US" w:eastAsia="zh-CN"/>
                    </w:rPr>
                  </w:pPr>
                </w:p>
              </w:tc>
              <w:tc>
                <w:tcPr>
                  <w:tcW w:w="1040"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867"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933"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少量</w:t>
                  </w:r>
                </w:p>
              </w:tc>
              <w:tc>
                <w:tcPr>
                  <w:tcW w:w="1095" w:type="dxa"/>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经柴油发电机配带的烟尘处理设备处理后经专 </w:t>
                  </w:r>
                </w:p>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用烟道高空排放</w:t>
                  </w:r>
                </w:p>
              </w:tc>
              <w:tc>
                <w:tcPr>
                  <w:tcW w:w="1065"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705"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705"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是</w:t>
                  </w:r>
                </w:p>
              </w:tc>
              <w:tc>
                <w:tcPr>
                  <w:tcW w:w="916"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1076"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1495"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少量</w:t>
                  </w:r>
                </w:p>
              </w:tc>
            </w:tr>
          </w:tbl>
          <w:p>
            <w:pPr>
              <w:ind w:firstLine="0" w:firstLineChars="0"/>
              <w:rPr>
                <w:color w:val="auto"/>
                <w:highlight w:val="none"/>
              </w:rPr>
            </w:pPr>
          </w:p>
        </w:tc>
      </w:tr>
    </w:tbl>
    <w:p>
      <w:pPr>
        <w:pStyle w:val="24"/>
        <w:ind w:left="0" w:leftChars="0" w:firstLine="0" w:firstLineChars="0"/>
        <w:jc w:val="both"/>
        <w:outlineLvl w:val="0"/>
        <w:rPr>
          <w:rFonts w:ascii="Times New Roman" w:hAnsi="Times New Roman" w:eastAsia="黑体"/>
          <w:snapToGrid w:val="0"/>
          <w:color w:val="auto"/>
          <w:sz w:val="30"/>
          <w:szCs w:val="30"/>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8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7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12" w:hRule="atLeast"/>
        </w:trPr>
        <w:tc>
          <w:tcPr>
            <w:tcW w:w="846" w:type="dxa"/>
            <w:vAlign w:val="center"/>
          </w:tcPr>
          <w:p>
            <w:pPr>
              <w:adjustRightInd w:val="0"/>
              <w:snapToGrid w:val="0"/>
              <w:ind w:left="0" w:leftChars="0" w:firstLine="0" w:firstLineChars="0"/>
              <w:jc w:val="both"/>
              <w:rPr>
                <w:bCs/>
                <w:color w:val="auto"/>
                <w:sz w:val="24"/>
                <w:highlight w:val="none"/>
              </w:rPr>
            </w:pPr>
            <w:r>
              <w:rPr>
                <w:bCs/>
                <w:color w:val="auto"/>
                <w:sz w:val="24"/>
                <w:highlight w:val="none"/>
              </w:rPr>
              <w:t>运</w:t>
            </w:r>
            <w:r>
              <w:rPr>
                <w:rFonts w:hint="eastAsia"/>
                <w:bCs/>
                <w:color w:val="auto"/>
                <w:sz w:val="24"/>
                <w:highlight w:val="none"/>
                <w:lang w:val="en-US" w:eastAsia="zh-CN"/>
              </w:rPr>
              <w:t xml:space="preserve"> </w:t>
            </w:r>
            <w:r>
              <w:rPr>
                <w:bCs/>
                <w:color w:val="auto"/>
                <w:sz w:val="24"/>
                <w:highlight w:val="none"/>
              </w:rPr>
              <w:t>营</w:t>
            </w:r>
          </w:p>
          <w:p>
            <w:pPr>
              <w:adjustRightInd w:val="0"/>
              <w:snapToGrid w:val="0"/>
              <w:ind w:left="0" w:leftChars="0" w:firstLine="0" w:firstLineChars="0"/>
              <w:jc w:val="both"/>
              <w:rPr>
                <w:bCs/>
                <w:color w:val="auto"/>
                <w:sz w:val="24"/>
                <w:highlight w:val="none"/>
              </w:rPr>
            </w:pPr>
            <w:r>
              <w:rPr>
                <w:bCs/>
                <w:color w:val="auto"/>
                <w:sz w:val="24"/>
                <w:highlight w:val="none"/>
              </w:rPr>
              <w:t>期</w:t>
            </w:r>
            <w:r>
              <w:rPr>
                <w:rFonts w:hint="eastAsia"/>
                <w:bCs/>
                <w:color w:val="auto"/>
                <w:sz w:val="24"/>
                <w:highlight w:val="none"/>
                <w:lang w:val="en-US" w:eastAsia="zh-CN"/>
              </w:rPr>
              <w:t xml:space="preserve"> </w:t>
            </w:r>
            <w:r>
              <w:rPr>
                <w:bCs/>
                <w:color w:val="auto"/>
                <w:sz w:val="24"/>
                <w:highlight w:val="none"/>
              </w:rPr>
              <w:t>环</w:t>
            </w:r>
          </w:p>
          <w:p>
            <w:pPr>
              <w:adjustRightInd w:val="0"/>
              <w:snapToGrid w:val="0"/>
              <w:ind w:left="0" w:leftChars="0" w:firstLine="0" w:firstLineChars="0"/>
              <w:jc w:val="both"/>
              <w:rPr>
                <w:bCs/>
                <w:color w:val="auto"/>
                <w:sz w:val="24"/>
                <w:highlight w:val="none"/>
              </w:rPr>
            </w:pPr>
            <w:r>
              <w:rPr>
                <w:bCs/>
                <w:color w:val="auto"/>
                <w:sz w:val="24"/>
                <w:highlight w:val="none"/>
              </w:rPr>
              <w:t>境</w:t>
            </w:r>
            <w:r>
              <w:rPr>
                <w:rFonts w:hint="eastAsia"/>
                <w:bCs/>
                <w:color w:val="auto"/>
                <w:sz w:val="24"/>
                <w:highlight w:val="none"/>
                <w:lang w:val="en-US" w:eastAsia="zh-CN"/>
              </w:rPr>
              <w:t xml:space="preserve"> </w:t>
            </w:r>
            <w:r>
              <w:rPr>
                <w:bCs/>
                <w:color w:val="auto"/>
                <w:sz w:val="24"/>
                <w:highlight w:val="none"/>
              </w:rPr>
              <w:t>影</w:t>
            </w:r>
          </w:p>
          <w:p>
            <w:pPr>
              <w:adjustRightInd w:val="0"/>
              <w:snapToGrid w:val="0"/>
              <w:ind w:left="0" w:leftChars="0" w:firstLine="0" w:firstLineChars="0"/>
              <w:jc w:val="both"/>
              <w:rPr>
                <w:bCs/>
                <w:color w:val="auto"/>
                <w:sz w:val="24"/>
                <w:highlight w:val="none"/>
              </w:rPr>
            </w:pPr>
            <w:r>
              <w:rPr>
                <w:bCs/>
                <w:color w:val="auto"/>
                <w:sz w:val="24"/>
                <w:highlight w:val="none"/>
              </w:rPr>
              <w:t>响</w:t>
            </w:r>
            <w:r>
              <w:rPr>
                <w:rFonts w:hint="eastAsia"/>
                <w:bCs/>
                <w:color w:val="auto"/>
                <w:sz w:val="24"/>
                <w:highlight w:val="none"/>
                <w:lang w:val="en-US" w:eastAsia="zh-CN"/>
              </w:rPr>
              <w:t xml:space="preserve"> </w:t>
            </w:r>
            <w:r>
              <w:rPr>
                <w:bCs/>
                <w:color w:val="auto"/>
                <w:sz w:val="24"/>
                <w:highlight w:val="none"/>
              </w:rPr>
              <w:t>和</w:t>
            </w:r>
          </w:p>
          <w:p>
            <w:pPr>
              <w:adjustRightInd w:val="0"/>
              <w:snapToGrid w:val="0"/>
              <w:ind w:left="0" w:leftChars="0" w:firstLine="0" w:firstLineChars="0"/>
              <w:jc w:val="both"/>
              <w:rPr>
                <w:bCs/>
                <w:color w:val="auto"/>
                <w:sz w:val="24"/>
                <w:highlight w:val="none"/>
              </w:rPr>
            </w:pPr>
            <w:r>
              <w:rPr>
                <w:bCs/>
                <w:color w:val="auto"/>
                <w:sz w:val="24"/>
                <w:highlight w:val="none"/>
              </w:rPr>
              <w:t>保</w:t>
            </w:r>
            <w:r>
              <w:rPr>
                <w:rFonts w:hint="eastAsia"/>
                <w:bCs/>
                <w:color w:val="auto"/>
                <w:sz w:val="24"/>
                <w:highlight w:val="none"/>
                <w:lang w:val="en-US" w:eastAsia="zh-CN"/>
              </w:rPr>
              <w:t xml:space="preserve"> </w:t>
            </w:r>
            <w:r>
              <w:rPr>
                <w:bCs/>
                <w:color w:val="auto"/>
                <w:sz w:val="24"/>
                <w:highlight w:val="none"/>
              </w:rPr>
              <w:t>护</w:t>
            </w:r>
          </w:p>
          <w:p>
            <w:pPr>
              <w:adjustRightInd w:val="0"/>
              <w:snapToGrid w:val="0"/>
              <w:ind w:left="0" w:leftChars="0" w:firstLine="0" w:firstLineChars="0"/>
              <w:jc w:val="both"/>
              <w:rPr>
                <w:bCs/>
                <w:color w:val="auto"/>
                <w:sz w:val="24"/>
                <w:highlight w:val="none"/>
              </w:rPr>
            </w:pPr>
            <w:r>
              <w:rPr>
                <w:bCs/>
                <w:color w:val="auto"/>
                <w:sz w:val="24"/>
                <w:szCs w:val="32"/>
                <w:highlight w:val="none"/>
              </w:rPr>
              <w:t>措</w:t>
            </w:r>
            <w:r>
              <w:rPr>
                <w:rFonts w:hint="eastAsia"/>
                <w:bCs/>
                <w:color w:val="auto"/>
                <w:sz w:val="24"/>
                <w:szCs w:val="32"/>
                <w:highlight w:val="none"/>
                <w:lang w:val="en-US" w:eastAsia="zh-CN"/>
              </w:rPr>
              <w:t xml:space="preserve"> </w:t>
            </w:r>
            <w:r>
              <w:rPr>
                <w:bCs/>
                <w:color w:val="auto"/>
                <w:sz w:val="24"/>
                <w:szCs w:val="32"/>
                <w:highlight w:val="none"/>
              </w:rPr>
              <w:t>施</w:t>
            </w:r>
          </w:p>
        </w:tc>
        <w:tc>
          <w:tcPr>
            <w:tcW w:w="7989" w:type="dxa"/>
          </w:tcPr>
          <w:p>
            <w:pPr>
              <w:bidi w:val="0"/>
              <w:rPr>
                <w:rFonts w:hint="default" w:ascii="Times New Roman" w:hAnsi="Times New Roman" w:eastAsia="宋体" w:cs="Times New Roman"/>
                <w:b/>
                <w:color w:val="auto"/>
                <w:kern w:val="2"/>
                <w:sz w:val="24"/>
                <w:szCs w:val="24"/>
                <w:highlight w:val="none"/>
                <w:lang w:val="en-US" w:eastAsia="zh-CN" w:bidi="ar-SA"/>
              </w:rPr>
            </w:pPr>
            <w:r>
              <w:rPr>
                <w:rFonts w:hint="eastAsia" w:cs="Times New Roman"/>
                <w:b/>
                <w:color w:val="auto"/>
                <w:kern w:val="2"/>
                <w:sz w:val="24"/>
                <w:szCs w:val="24"/>
                <w:highlight w:val="none"/>
                <w:lang w:val="en-US" w:eastAsia="zh-CN" w:bidi="ar-SA"/>
              </w:rPr>
              <w:t>2</w:t>
            </w:r>
            <w:r>
              <w:rPr>
                <w:rFonts w:hint="eastAsia" w:ascii="Times New Roman" w:hAnsi="Times New Roman" w:eastAsia="宋体" w:cs="Times New Roman"/>
                <w:b/>
                <w:color w:val="auto"/>
                <w:kern w:val="2"/>
                <w:sz w:val="24"/>
                <w:szCs w:val="24"/>
                <w:highlight w:val="none"/>
                <w:lang w:val="en-US" w:eastAsia="zh-CN" w:bidi="ar-SA"/>
              </w:rPr>
              <w:t>、</w:t>
            </w:r>
            <w:r>
              <w:rPr>
                <w:rFonts w:hint="eastAsia" w:cs="Times New Roman"/>
                <w:b/>
                <w:color w:val="auto"/>
                <w:kern w:val="2"/>
                <w:sz w:val="24"/>
                <w:szCs w:val="24"/>
                <w:highlight w:val="none"/>
                <w:lang w:val="en-US" w:eastAsia="zh-CN" w:bidi="ar-SA"/>
              </w:rPr>
              <w:t>排放口基本情况</w:t>
            </w:r>
          </w:p>
          <w:p>
            <w:pPr>
              <w:numPr>
                <w:ilvl w:val="0"/>
                <w:numId w:val="0"/>
              </w:num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根据《排污许可申请与核发技术规范 医疗机构》（HJ1105-2020）中相关要求：污水处理设施在污水处理、污泥干化和堆放环节产生的废气有组织排放口类型为一般排放口。</w:t>
            </w:r>
          </w:p>
          <w:p>
            <w:pPr>
              <w:numPr>
                <w:ilvl w:val="0"/>
                <w:numId w:val="0"/>
              </w:numPr>
              <w:spacing w:line="360" w:lineRule="auto"/>
              <w:ind w:firstLine="480" w:firstLineChars="200"/>
              <w:rPr>
                <w:rFonts w:hint="eastAsia"/>
                <w:color w:val="auto"/>
                <w:sz w:val="24"/>
                <w:highlight w:val="none"/>
              </w:rPr>
            </w:pPr>
            <w:r>
              <w:rPr>
                <w:rFonts w:hint="eastAsia"/>
                <w:color w:val="auto"/>
                <w:sz w:val="24"/>
                <w:highlight w:val="none"/>
                <w:lang w:val="en-US" w:eastAsia="zh-CN"/>
              </w:rPr>
              <w:t>废气排放口基本情况见表</w:t>
            </w:r>
            <w:r>
              <w:rPr>
                <w:rFonts w:hint="default"/>
                <w:color w:val="auto"/>
                <w:sz w:val="24"/>
                <w:highlight w:val="none"/>
                <w:lang w:val="en-US" w:eastAsia="zh-CN"/>
              </w:rPr>
              <w:t>4</w:t>
            </w:r>
            <w:r>
              <w:rPr>
                <w:rFonts w:hint="eastAsia"/>
                <w:color w:val="auto"/>
                <w:sz w:val="24"/>
                <w:highlight w:val="none"/>
                <w:lang w:val="en-US" w:eastAsia="zh-CN"/>
              </w:rPr>
              <w:t>.4。</w:t>
            </w:r>
          </w:p>
          <w:p>
            <w:pPr>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eastAsia="宋体"/>
                <w:b/>
                <w:bCs/>
                <w:color w:val="auto"/>
                <w:highlight w:val="none"/>
                <w:lang w:val="en-US" w:eastAsia="zh-CN"/>
              </w:rPr>
            </w:pPr>
            <w:r>
              <w:rPr>
                <w:rFonts w:hint="eastAsia"/>
                <w:b/>
                <w:bCs/>
                <w:color w:val="auto"/>
                <w:highlight w:val="none"/>
              </w:rPr>
              <w:t>表4.</w:t>
            </w:r>
            <w:r>
              <w:rPr>
                <w:rFonts w:hint="eastAsia"/>
                <w:b/>
                <w:bCs/>
                <w:color w:val="auto"/>
                <w:highlight w:val="none"/>
                <w:lang w:val="en-US" w:eastAsia="zh-CN"/>
              </w:rPr>
              <w:t>4  废气排放口基本情况一览表</w:t>
            </w:r>
          </w:p>
          <w:tbl>
            <w:tblPr>
              <w:tblStyle w:val="29"/>
              <w:tblW w:w="74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5"/>
              <w:gridCol w:w="775"/>
              <w:gridCol w:w="813"/>
              <w:gridCol w:w="1064"/>
              <w:gridCol w:w="1027"/>
              <w:gridCol w:w="1063"/>
              <w:gridCol w:w="1063"/>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8" w:hRule="atLeast"/>
                <w:jc w:val="center"/>
              </w:trPr>
              <w:tc>
                <w:tcPr>
                  <w:tcW w:w="605" w:type="dxa"/>
                  <w:vMerge w:val="restart"/>
                  <w:tcBorders>
                    <w:tl2br w:val="nil"/>
                    <w:tr2bl w:val="nil"/>
                  </w:tcBorders>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排放口编号</w:t>
                  </w:r>
                </w:p>
              </w:tc>
              <w:tc>
                <w:tcPr>
                  <w:tcW w:w="775" w:type="dxa"/>
                  <w:vMerge w:val="restart"/>
                  <w:tcBorders>
                    <w:tl2br w:val="nil"/>
                    <w:tr2bl w:val="nil"/>
                  </w:tcBorders>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排放口</w:t>
                  </w:r>
                  <w:r>
                    <w:rPr>
                      <w:rFonts w:hint="eastAsia" w:ascii="Times New Roman" w:hAnsi="Times New Roman" w:cs="Times New Roman"/>
                      <w:color w:val="auto"/>
                      <w:sz w:val="21"/>
                      <w:szCs w:val="21"/>
                      <w:highlight w:val="none"/>
                      <w:lang w:val="en-US" w:eastAsia="zh-CN"/>
                    </w:rPr>
                    <w:t>名称</w:t>
                  </w:r>
                </w:p>
              </w:tc>
              <w:tc>
                <w:tcPr>
                  <w:tcW w:w="1877" w:type="dxa"/>
                  <w:gridSpan w:val="2"/>
                  <w:tcBorders>
                    <w:tl2br w:val="nil"/>
                    <w:tr2bl w:val="nil"/>
                  </w:tcBorders>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排放口地理坐标</w:t>
                  </w:r>
                </w:p>
              </w:tc>
              <w:tc>
                <w:tcPr>
                  <w:tcW w:w="1027" w:type="dxa"/>
                  <w:vMerge w:val="restart"/>
                  <w:tcBorders>
                    <w:tl2br w:val="nil"/>
                    <w:tr2bl w:val="nil"/>
                  </w:tcBorders>
                  <w:noWrap w:val="0"/>
                  <w:vAlign w:val="center"/>
                </w:tcPr>
                <w:p>
                  <w:pPr>
                    <w:pStyle w:val="141"/>
                    <w:spacing w:before="0" w:beforeLines="0" w:after="0" w:afterLines="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排放口</w:t>
                  </w:r>
                </w:p>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类型</w:t>
                  </w:r>
                </w:p>
              </w:tc>
              <w:tc>
                <w:tcPr>
                  <w:tcW w:w="1063" w:type="dxa"/>
                  <w:vMerge w:val="restart"/>
                  <w:tcBorders>
                    <w:tl2br w:val="nil"/>
                    <w:tr2bl w:val="nil"/>
                  </w:tcBorders>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排气筒高度（m）</w:t>
                  </w:r>
                </w:p>
              </w:tc>
              <w:tc>
                <w:tcPr>
                  <w:tcW w:w="1063" w:type="dxa"/>
                  <w:vMerge w:val="restart"/>
                  <w:tcBorders>
                    <w:tl2br w:val="nil"/>
                    <w:tr2bl w:val="nil"/>
                  </w:tcBorders>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排气筒高内径（m）</w:t>
                  </w:r>
                </w:p>
              </w:tc>
              <w:tc>
                <w:tcPr>
                  <w:tcW w:w="1000" w:type="dxa"/>
                  <w:vMerge w:val="restart"/>
                  <w:tcBorders>
                    <w:tl2br w:val="nil"/>
                    <w:tr2bl w:val="nil"/>
                  </w:tcBorders>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排气温度（℃）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8" w:hRule="atLeast"/>
                <w:jc w:val="center"/>
              </w:trPr>
              <w:tc>
                <w:tcPr>
                  <w:tcW w:w="605" w:type="dxa"/>
                  <w:vMerge w:val="continue"/>
                  <w:tcBorders>
                    <w:tl2br w:val="nil"/>
                    <w:tr2bl w:val="nil"/>
                  </w:tcBorders>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p>
              </w:tc>
              <w:tc>
                <w:tcPr>
                  <w:tcW w:w="775" w:type="dxa"/>
                  <w:vMerge w:val="continue"/>
                  <w:tcBorders>
                    <w:tl2br w:val="nil"/>
                    <w:tr2bl w:val="nil"/>
                  </w:tcBorders>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p>
              </w:tc>
              <w:tc>
                <w:tcPr>
                  <w:tcW w:w="813" w:type="dxa"/>
                  <w:tcBorders>
                    <w:tl2br w:val="nil"/>
                    <w:tr2bl w:val="nil"/>
                  </w:tcBorders>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经度</w:t>
                  </w:r>
                </w:p>
              </w:tc>
              <w:tc>
                <w:tcPr>
                  <w:tcW w:w="1064" w:type="dxa"/>
                  <w:tcBorders>
                    <w:tl2br w:val="nil"/>
                    <w:tr2bl w:val="nil"/>
                  </w:tcBorders>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纬度</w:t>
                  </w:r>
                </w:p>
              </w:tc>
              <w:tc>
                <w:tcPr>
                  <w:tcW w:w="1027" w:type="dxa"/>
                  <w:vMerge w:val="continue"/>
                  <w:tcBorders>
                    <w:tl2br w:val="nil"/>
                    <w:tr2bl w:val="nil"/>
                  </w:tcBorders>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p>
              </w:tc>
              <w:tc>
                <w:tcPr>
                  <w:tcW w:w="1063" w:type="dxa"/>
                  <w:vMerge w:val="continue"/>
                  <w:tcBorders>
                    <w:tl2br w:val="nil"/>
                    <w:tr2bl w:val="nil"/>
                  </w:tcBorders>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p>
              </w:tc>
              <w:tc>
                <w:tcPr>
                  <w:tcW w:w="1063" w:type="dxa"/>
                  <w:vMerge w:val="continue"/>
                  <w:tcBorders>
                    <w:tl2br w:val="nil"/>
                    <w:tr2bl w:val="nil"/>
                  </w:tcBorders>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p>
              </w:tc>
              <w:tc>
                <w:tcPr>
                  <w:tcW w:w="1000" w:type="dxa"/>
                  <w:vMerge w:val="continue"/>
                  <w:tcBorders>
                    <w:tl2br w:val="nil"/>
                    <w:tr2bl w:val="nil"/>
                  </w:tcBorders>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5" w:hRule="atLeast"/>
                <w:jc w:val="center"/>
              </w:trPr>
              <w:tc>
                <w:tcPr>
                  <w:tcW w:w="605" w:type="dxa"/>
                  <w:tcBorders>
                    <w:tl2br w:val="nil"/>
                    <w:tr2bl w:val="nil"/>
                  </w:tcBorders>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DA001</w:t>
                  </w:r>
                </w:p>
              </w:tc>
              <w:tc>
                <w:tcPr>
                  <w:tcW w:w="775" w:type="dxa"/>
                  <w:tcBorders>
                    <w:tl2br w:val="nil"/>
                    <w:tr2bl w:val="nil"/>
                  </w:tcBorders>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污水处理设施废气</w:t>
                  </w:r>
                </w:p>
              </w:tc>
              <w:tc>
                <w:tcPr>
                  <w:tcW w:w="813" w:type="dxa"/>
                  <w:tcBorders>
                    <w:tl2br w:val="nil"/>
                    <w:tr2bl w:val="nil"/>
                  </w:tcBorders>
                  <w:noWrap w:val="0"/>
                  <w:vAlign w:val="center"/>
                </w:tcPr>
                <w:p>
                  <w:pPr>
                    <w:spacing w:line="240" w:lineRule="exact"/>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eastAsia="宋体"/>
                      <w:color w:val="auto"/>
                      <w:kern w:val="0"/>
                      <w:sz w:val="21"/>
                      <w:szCs w:val="21"/>
                      <w:highlight w:val="none"/>
                    </w:rPr>
                    <w:t>10</w:t>
                  </w:r>
                  <w:r>
                    <w:rPr>
                      <w:rFonts w:hint="eastAsia"/>
                      <w:color w:val="auto"/>
                      <w:kern w:val="0"/>
                      <w:sz w:val="21"/>
                      <w:szCs w:val="21"/>
                      <w:highlight w:val="none"/>
                      <w:lang w:val="en-US" w:eastAsia="zh-CN"/>
                    </w:rPr>
                    <w:t>9</w:t>
                  </w:r>
                  <w:r>
                    <w:rPr>
                      <w:rFonts w:eastAsia="宋体"/>
                      <w:color w:val="auto"/>
                      <w:kern w:val="0"/>
                      <w:sz w:val="21"/>
                      <w:szCs w:val="21"/>
                      <w:highlight w:val="none"/>
                    </w:rPr>
                    <w:t>°</w:t>
                  </w:r>
                  <w:r>
                    <w:rPr>
                      <w:rFonts w:hint="eastAsia"/>
                      <w:color w:val="auto"/>
                      <w:kern w:val="0"/>
                      <w:sz w:val="21"/>
                      <w:szCs w:val="21"/>
                      <w:highlight w:val="none"/>
                      <w:lang w:val="en-US" w:eastAsia="zh-CN"/>
                    </w:rPr>
                    <w:t>2</w:t>
                  </w:r>
                  <w:r>
                    <w:rPr>
                      <w:rFonts w:eastAsia="宋体"/>
                      <w:color w:val="auto"/>
                      <w:kern w:val="0"/>
                      <w:sz w:val="21"/>
                      <w:szCs w:val="21"/>
                      <w:highlight w:val="none"/>
                    </w:rPr>
                    <w:t>'</w:t>
                  </w:r>
                  <w:r>
                    <w:rPr>
                      <w:rFonts w:hint="eastAsia"/>
                      <w:color w:val="auto"/>
                      <w:kern w:val="0"/>
                      <w:sz w:val="21"/>
                      <w:szCs w:val="21"/>
                      <w:highlight w:val="none"/>
                      <w:lang w:val="en-US" w:eastAsia="zh-CN"/>
                    </w:rPr>
                    <w:t>45.460</w:t>
                  </w:r>
                  <w:r>
                    <w:rPr>
                      <w:rFonts w:eastAsia="宋体"/>
                      <w:color w:val="auto"/>
                      <w:kern w:val="0"/>
                      <w:sz w:val="21"/>
                      <w:szCs w:val="21"/>
                      <w:highlight w:val="none"/>
                    </w:rPr>
                    <w:t>"</w:t>
                  </w:r>
                </w:p>
              </w:tc>
              <w:tc>
                <w:tcPr>
                  <w:tcW w:w="1064" w:type="dxa"/>
                  <w:tcBorders>
                    <w:tl2br w:val="nil"/>
                    <w:tr2bl w:val="nil"/>
                  </w:tcBorders>
                  <w:noWrap w:val="0"/>
                  <w:vAlign w:val="center"/>
                </w:tcPr>
                <w:p>
                  <w:pPr>
                    <w:spacing w:line="240" w:lineRule="exact"/>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30</w:t>
                  </w:r>
                  <w:r>
                    <w:rPr>
                      <w:rFonts w:eastAsia="宋体"/>
                      <w:color w:val="auto"/>
                      <w:kern w:val="0"/>
                      <w:sz w:val="21"/>
                      <w:szCs w:val="21"/>
                      <w:highlight w:val="none"/>
                    </w:rPr>
                    <w:t>°</w:t>
                  </w:r>
                  <w:r>
                    <w:rPr>
                      <w:rFonts w:hint="eastAsia" w:eastAsia="宋体"/>
                      <w:color w:val="auto"/>
                      <w:kern w:val="0"/>
                      <w:sz w:val="21"/>
                      <w:szCs w:val="21"/>
                      <w:highlight w:val="none"/>
                      <w:lang w:val="en-US" w:eastAsia="zh-CN"/>
                    </w:rPr>
                    <w:t>4</w:t>
                  </w:r>
                  <w:r>
                    <w:rPr>
                      <w:rFonts w:hint="eastAsia"/>
                      <w:color w:val="auto"/>
                      <w:kern w:val="0"/>
                      <w:sz w:val="21"/>
                      <w:szCs w:val="21"/>
                      <w:highlight w:val="none"/>
                      <w:lang w:val="en-US" w:eastAsia="zh-CN"/>
                    </w:rPr>
                    <w:t>9</w:t>
                  </w:r>
                  <w:r>
                    <w:rPr>
                      <w:rFonts w:eastAsia="宋体"/>
                      <w:color w:val="auto"/>
                      <w:kern w:val="0"/>
                      <w:sz w:val="21"/>
                      <w:szCs w:val="21"/>
                      <w:highlight w:val="none"/>
                    </w:rPr>
                    <w:t>'</w:t>
                  </w:r>
                  <w:r>
                    <w:rPr>
                      <w:rFonts w:hint="eastAsia" w:eastAsia="宋体"/>
                      <w:color w:val="auto"/>
                      <w:kern w:val="0"/>
                      <w:sz w:val="21"/>
                      <w:szCs w:val="21"/>
                      <w:highlight w:val="none"/>
                      <w:lang w:val="en-US" w:eastAsia="zh-CN"/>
                    </w:rPr>
                    <w:t>2</w:t>
                  </w:r>
                  <w:r>
                    <w:rPr>
                      <w:rFonts w:hint="eastAsia"/>
                      <w:color w:val="auto"/>
                      <w:kern w:val="0"/>
                      <w:sz w:val="21"/>
                      <w:szCs w:val="21"/>
                      <w:highlight w:val="none"/>
                      <w:lang w:val="en-US" w:eastAsia="zh-CN"/>
                    </w:rPr>
                    <w:t>3</w:t>
                  </w:r>
                  <w:r>
                    <w:rPr>
                      <w:rFonts w:hint="eastAsia" w:eastAsia="宋体"/>
                      <w:color w:val="auto"/>
                      <w:kern w:val="0"/>
                      <w:sz w:val="21"/>
                      <w:szCs w:val="21"/>
                      <w:highlight w:val="none"/>
                      <w:lang w:val="en-US" w:eastAsia="zh-CN"/>
                    </w:rPr>
                    <w:t>.</w:t>
                  </w:r>
                  <w:r>
                    <w:rPr>
                      <w:rFonts w:hint="eastAsia"/>
                      <w:color w:val="auto"/>
                      <w:kern w:val="0"/>
                      <w:sz w:val="21"/>
                      <w:szCs w:val="21"/>
                      <w:highlight w:val="none"/>
                      <w:lang w:val="en-US" w:eastAsia="zh-CN"/>
                    </w:rPr>
                    <w:t>720</w:t>
                  </w:r>
                  <w:r>
                    <w:rPr>
                      <w:rFonts w:eastAsia="宋体"/>
                      <w:color w:val="auto"/>
                      <w:kern w:val="0"/>
                      <w:sz w:val="21"/>
                      <w:szCs w:val="21"/>
                      <w:highlight w:val="none"/>
                    </w:rPr>
                    <w:t>"</w:t>
                  </w:r>
                </w:p>
              </w:tc>
              <w:tc>
                <w:tcPr>
                  <w:tcW w:w="1027" w:type="dxa"/>
                  <w:tcBorders>
                    <w:tl2br w:val="nil"/>
                    <w:tr2bl w:val="nil"/>
                  </w:tcBorders>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一般排放口</w:t>
                  </w:r>
                </w:p>
              </w:tc>
              <w:tc>
                <w:tcPr>
                  <w:tcW w:w="1063" w:type="dxa"/>
                  <w:tcBorders>
                    <w:tl2br w:val="nil"/>
                    <w:tr2bl w:val="nil"/>
                  </w:tcBorders>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1063" w:type="dxa"/>
                  <w:tcBorders>
                    <w:tl2br w:val="nil"/>
                    <w:tr2bl w:val="nil"/>
                  </w:tcBorders>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0.30</w:t>
                  </w:r>
                </w:p>
              </w:tc>
              <w:tc>
                <w:tcPr>
                  <w:tcW w:w="1000" w:type="dxa"/>
                  <w:tcBorders>
                    <w:tl2br w:val="nil"/>
                    <w:tr2bl w:val="nil"/>
                  </w:tcBorders>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w:t>
                  </w:r>
                </w:p>
              </w:tc>
            </w:tr>
          </w:tbl>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color w:val="auto"/>
                <w:kern w:val="2"/>
                <w:sz w:val="24"/>
                <w:szCs w:val="24"/>
                <w:highlight w:val="none"/>
                <w:lang w:val="en-US" w:eastAsia="zh-CN" w:bidi="ar-SA"/>
              </w:rPr>
            </w:pPr>
            <w:r>
              <w:rPr>
                <w:rFonts w:hint="eastAsia" w:cs="Times New Roman"/>
                <w:b/>
                <w:color w:val="auto"/>
                <w:kern w:val="2"/>
                <w:sz w:val="24"/>
                <w:szCs w:val="24"/>
                <w:highlight w:val="none"/>
                <w:lang w:val="en-US" w:eastAsia="zh-CN" w:bidi="ar-SA"/>
              </w:rPr>
              <w:t>3</w:t>
            </w:r>
            <w:r>
              <w:rPr>
                <w:rFonts w:hint="eastAsia" w:ascii="Times New Roman" w:hAnsi="Times New Roman" w:eastAsia="宋体" w:cs="Times New Roman"/>
                <w:b/>
                <w:color w:val="auto"/>
                <w:kern w:val="2"/>
                <w:sz w:val="24"/>
                <w:szCs w:val="24"/>
                <w:highlight w:val="none"/>
                <w:lang w:val="en-US" w:eastAsia="zh-CN" w:bidi="ar-SA"/>
              </w:rPr>
              <w:t>、</w:t>
            </w:r>
            <w:r>
              <w:rPr>
                <w:rFonts w:hint="eastAsia" w:cs="Times New Roman"/>
                <w:b/>
                <w:color w:val="auto"/>
                <w:kern w:val="2"/>
                <w:sz w:val="24"/>
                <w:szCs w:val="24"/>
                <w:highlight w:val="none"/>
                <w:lang w:val="en-US" w:eastAsia="zh-CN" w:bidi="ar-SA"/>
              </w:rPr>
              <w:t>排放标准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 xml:space="preserve">废气污染物排放执行标准见表 </w:t>
            </w:r>
            <w:r>
              <w:rPr>
                <w:rFonts w:hint="default"/>
                <w:color w:val="auto"/>
                <w:sz w:val="24"/>
                <w:highlight w:val="none"/>
                <w:lang w:val="en-US" w:eastAsia="zh-CN"/>
              </w:rPr>
              <w:t>4</w:t>
            </w:r>
            <w:r>
              <w:rPr>
                <w:rFonts w:hint="eastAsia"/>
                <w:color w:val="auto"/>
                <w:sz w:val="24"/>
                <w:highlight w:val="none"/>
                <w:lang w:val="en-US" w:eastAsia="zh-CN"/>
              </w:rPr>
              <w:t>.5。</w:t>
            </w:r>
          </w:p>
          <w:p>
            <w:pPr>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eastAsia="宋体"/>
                <w:b/>
                <w:bCs/>
                <w:color w:val="auto"/>
                <w:highlight w:val="none"/>
                <w:lang w:val="en-US" w:eastAsia="zh-CN"/>
              </w:rPr>
            </w:pPr>
            <w:r>
              <w:rPr>
                <w:rFonts w:hint="eastAsia"/>
                <w:b/>
                <w:bCs/>
                <w:color w:val="auto"/>
                <w:highlight w:val="none"/>
              </w:rPr>
              <w:t>表4.</w:t>
            </w:r>
            <w:r>
              <w:rPr>
                <w:rFonts w:hint="eastAsia"/>
                <w:b/>
                <w:bCs/>
                <w:color w:val="auto"/>
                <w:highlight w:val="none"/>
                <w:lang w:val="en-US" w:eastAsia="zh-CN"/>
              </w:rPr>
              <w:t>5  废气污染物排放执行标准一览表</w:t>
            </w:r>
          </w:p>
          <w:tbl>
            <w:tblPr>
              <w:tblStyle w:val="30"/>
              <w:tblW w:w="73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73"/>
              <w:gridCol w:w="959"/>
              <w:gridCol w:w="950"/>
              <w:gridCol w:w="824"/>
              <w:gridCol w:w="926"/>
              <w:gridCol w:w="1016"/>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699" w:type="dxa"/>
                  <w:vMerge w:val="restart"/>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排放口编号</w:t>
                  </w:r>
                </w:p>
              </w:tc>
              <w:tc>
                <w:tcPr>
                  <w:tcW w:w="873" w:type="dxa"/>
                  <w:vMerge w:val="restart"/>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排放口名称</w:t>
                  </w:r>
                </w:p>
              </w:tc>
              <w:tc>
                <w:tcPr>
                  <w:tcW w:w="959" w:type="dxa"/>
                  <w:vMerge w:val="restart"/>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污染物种类</w:t>
                  </w:r>
                </w:p>
              </w:tc>
              <w:tc>
                <w:tcPr>
                  <w:tcW w:w="4843" w:type="dxa"/>
                  <w:gridSpan w:val="5"/>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国家或地方污染物排放标准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699" w:type="dxa"/>
                  <w:vMerge w:val="continue"/>
                  <w:noWrap w:val="0"/>
                  <w:vAlign w:val="center"/>
                </w:tcPr>
                <w:p>
                  <w:pPr>
                    <w:pStyle w:val="141"/>
                    <w:spacing w:before="0" w:beforeLines="0" w:after="0" w:afterLines="0"/>
                    <w:rPr>
                      <w:color w:val="auto"/>
                      <w:sz w:val="21"/>
                      <w:szCs w:val="21"/>
                      <w:highlight w:val="none"/>
                    </w:rPr>
                  </w:pPr>
                </w:p>
              </w:tc>
              <w:tc>
                <w:tcPr>
                  <w:tcW w:w="873" w:type="dxa"/>
                  <w:vMerge w:val="continue"/>
                  <w:noWrap w:val="0"/>
                  <w:vAlign w:val="center"/>
                </w:tcPr>
                <w:p>
                  <w:pPr>
                    <w:pStyle w:val="141"/>
                    <w:spacing w:before="0" w:beforeLines="0" w:after="0" w:afterLines="0"/>
                    <w:rPr>
                      <w:color w:val="auto"/>
                      <w:sz w:val="21"/>
                      <w:szCs w:val="21"/>
                      <w:highlight w:val="none"/>
                    </w:rPr>
                  </w:pPr>
                </w:p>
              </w:tc>
              <w:tc>
                <w:tcPr>
                  <w:tcW w:w="959" w:type="dxa"/>
                  <w:vMerge w:val="continue"/>
                  <w:noWrap w:val="0"/>
                  <w:vAlign w:val="center"/>
                </w:tcPr>
                <w:p>
                  <w:pPr>
                    <w:pStyle w:val="141"/>
                    <w:spacing w:before="0" w:beforeLines="0" w:after="0" w:afterLines="0"/>
                    <w:rPr>
                      <w:color w:val="auto"/>
                      <w:sz w:val="21"/>
                      <w:szCs w:val="21"/>
                      <w:highlight w:val="none"/>
                    </w:rPr>
                  </w:pPr>
                </w:p>
              </w:tc>
              <w:tc>
                <w:tcPr>
                  <w:tcW w:w="95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排放标准及标准</w:t>
                  </w:r>
                  <w:r>
                    <w:rPr>
                      <w:rFonts w:hint="eastAsia" w:ascii="宋体" w:hAnsi="宋体" w:eastAsia="宋体" w:cs="宋体"/>
                      <w:color w:val="auto"/>
                      <w:kern w:val="0"/>
                      <w:sz w:val="21"/>
                      <w:szCs w:val="21"/>
                      <w:highlight w:val="none"/>
                      <w:lang w:val="en-US" w:eastAsia="zh-CN" w:bidi="ar"/>
                    </w:rPr>
                    <w:t>号</w:t>
                  </w:r>
                </w:p>
              </w:tc>
              <w:tc>
                <w:tcPr>
                  <w:tcW w:w="824" w:type="dxa"/>
                  <w:vMerge w:val="restart"/>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浓度限值mg/m</w:t>
                  </w:r>
                  <w:r>
                    <w:rPr>
                      <w:rFonts w:hint="eastAsia" w:ascii="Times New Roman" w:hAnsi="Times New Roman" w:cs="Times New Roman"/>
                      <w:color w:val="auto"/>
                      <w:sz w:val="21"/>
                      <w:szCs w:val="21"/>
                      <w:highlight w:val="none"/>
                      <w:vertAlign w:val="superscript"/>
                      <w:lang w:val="en-US" w:eastAsia="zh-CN"/>
                    </w:rPr>
                    <w:t>3</w:t>
                  </w:r>
                </w:p>
              </w:tc>
              <w:tc>
                <w:tcPr>
                  <w:tcW w:w="926" w:type="dxa"/>
                  <w:vMerge w:val="restart"/>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速率限值kg/h</w:t>
                  </w:r>
                </w:p>
              </w:tc>
              <w:tc>
                <w:tcPr>
                  <w:tcW w:w="2143"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无组织排放监</w:t>
                  </w:r>
                  <w:r>
                    <w:rPr>
                      <w:rFonts w:hint="eastAsia" w:ascii="Times New Roman" w:hAnsi="Times New Roman" w:eastAsia="宋体" w:cs="Times New Roman"/>
                      <w:color w:val="auto"/>
                      <w:kern w:val="0"/>
                      <w:sz w:val="21"/>
                      <w:szCs w:val="21"/>
                      <w:highlight w:val="none"/>
                      <w:lang w:val="en-US" w:eastAsia="zh-CN" w:bidi="ar-SA"/>
                    </w:rPr>
                    <w:t xml:space="preserve">控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699" w:type="dxa"/>
                  <w:vMerge w:val="continue"/>
                  <w:noWrap w:val="0"/>
                  <w:vAlign w:val="center"/>
                </w:tcPr>
                <w:p>
                  <w:pPr>
                    <w:pStyle w:val="141"/>
                    <w:spacing w:before="0" w:beforeLines="0" w:after="0" w:afterLines="0"/>
                    <w:rPr>
                      <w:color w:val="auto"/>
                      <w:sz w:val="21"/>
                      <w:szCs w:val="21"/>
                      <w:highlight w:val="none"/>
                    </w:rPr>
                  </w:pPr>
                </w:p>
              </w:tc>
              <w:tc>
                <w:tcPr>
                  <w:tcW w:w="873" w:type="dxa"/>
                  <w:vMerge w:val="continue"/>
                  <w:noWrap w:val="0"/>
                  <w:vAlign w:val="center"/>
                </w:tcPr>
                <w:p>
                  <w:pPr>
                    <w:pStyle w:val="141"/>
                    <w:spacing w:before="0" w:beforeLines="0" w:after="0" w:afterLines="0"/>
                    <w:rPr>
                      <w:color w:val="auto"/>
                      <w:sz w:val="21"/>
                      <w:szCs w:val="21"/>
                      <w:highlight w:val="none"/>
                    </w:rPr>
                  </w:pPr>
                </w:p>
              </w:tc>
              <w:tc>
                <w:tcPr>
                  <w:tcW w:w="959" w:type="dxa"/>
                  <w:vMerge w:val="continue"/>
                  <w:noWrap w:val="0"/>
                  <w:vAlign w:val="center"/>
                </w:tcPr>
                <w:p>
                  <w:pPr>
                    <w:pStyle w:val="141"/>
                    <w:spacing w:before="0" w:beforeLines="0" w:after="0" w:afterLines="0"/>
                    <w:rPr>
                      <w:color w:val="auto"/>
                      <w:sz w:val="21"/>
                      <w:szCs w:val="21"/>
                      <w:highlight w:val="none"/>
                    </w:rPr>
                  </w:pPr>
                </w:p>
              </w:tc>
              <w:tc>
                <w:tcPr>
                  <w:tcW w:w="950" w:type="dxa"/>
                  <w:vMerge w:val="continue"/>
                  <w:noWrap w:val="0"/>
                  <w:vAlign w:val="center"/>
                </w:tcPr>
                <w:p>
                  <w:pPr>
                    <w:pStyle w:val="141"/>
                    <w:spacing w:before="0" w:beforeLines="0" w:after="0" w:afterLines="0"/>
                    <w:rPr>
                      <w:color w:val="auto"/>
                      <w:sz w:val="21"/>
                      <w:szCs w:val="21"/>
                      <w:highlight w:val="none"/>
                    </w:rPr>
                  </w:pPr>
                </w:p>
              </w:tc>
              <w:tc>
                <w:tcPr>
                  <w:tcW w:w="824" w:type="dxa"/>
                  <w:vMerge w:val="continue"/>
                  <w:noWrap w:val="0"/>
                  <w:vAlign w:val="center"/>
                </w:tcPr>
                <w:p>
                  <w:pPr>
                    <w:pStyle w:val="141"/>
                    <w:spacing w:before="0" w:beforeLines="0" w:after="0" w:afterLines="0"/>
                    <w:rPr>
                      <w:color w:val="auto"/>
                      <w:sz w:val="21"/>
                      <w:szCs w:val="21"/>
                      <w:highlight w:val="none"/>
                    </w:rPr>
                  </w:pPr>
                </w:p>
              </w:tc>
              <w:tc>
                <w:tcPr>
                  <w:tcW w:w="926" w:type="dxa"/>
                  <w:vMerge w:val="continue"/>
                  <w:noWrap w:val="0"/>
                  <w:vAlign w:val="center"/>
                </w:tcPr>
                <w:p>
                  <w:pPr>
                    <w:pStyle w:val="141"/>
                    <w:spacing w:before="0" w:beforeLines="0" w:after="0" w:afterLines="0"/>
                    <w:rPr>
                      <w:color w:val="auto"/>
                      <w:sz w:val="21"/>
                      <w:szCs w:val="21"/>
                      <w:highlight w:val="none"/>
                    </w:rPr>
                  </w:pPr>
                </w:p>
              </w:tc>
              <w:tc>
                <w:tcPr>
                  <w:tcW w:w="1016" w:type="dxa"/>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监控点</w:t>
                  </w:r>
                </w:p>
              </w:tc>
              <w:tc>
                <w:tcPr>
                  <w:tcW w:w="1127" w:type="dxa"/>
                  <w:noWrap w:val="0"/>
                  <w:vAlign w:val="center"/>
                </w:tcPr>
                <w:p>
                  <w:pPr>
                    <w:pStyle w:val="141"/>
                    <w:spacing w:before="0" w:beforeLines="0" w:after="0" w:afterLines="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浓度</w:t>
                  </w:r>
                  <w:r>
                    <w:rPr>
                      <w:rFonts w:hint="eastAsia"/>
                      <w:color w:val="auto"/>
                      <w:sz w:val="21"/>
                      <w:szCs w:val="21"/>
                      <w:highlight w:val="none"/>
                      <w:lang w:val="en-US" w:eastAsia="zh-CN"/>
                    </w:rPr>
                    <w:t>mg/m</w:t>
                  </w:r>
                  <w:r>
                    <w:rPr>
                      <w:rFonts w:hint="eastAsia"/>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restart"/>
                  <w:noWrap w:val="0"/>
                  <w:vAlign w:val="center"/>
                </w:tcPr>
                <w:p>
                  <w:pPr>
                    <w:pStyle w:val="141"/>
                    <w:spacing w:before="0" w:beforeLines="0" w:after="0" w:afterLines="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DA001</w:t>
                  </w:r>
                </w:p>
              </w:tc>
              <w:tc>
                <w:tcPr>
                  <w:tcW w:w="873"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污水处理设施</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废气排放口</w:t>
                  </w:r>
                </w:p>
              </w:tc>
              <w:tc>
                <w:tcPr>
                  <w:tcW w:w="959" w:type="dxa"/>
                  <w:noWrap w:val="0"/>
                  <w:vAlign w:val="center"/>
                </w:tcPr>
                <w:p>
                  <w:pPr>
                    <w:pStyle w:val="141"/>
                    <w:spacing w:before="0" w:beforeLines="0" w:after="0" w:afterLines="0"/>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NH</w:t>
                  </w:r>
                  <w:r>
                    <w:rPr>
                      <w:rFonts w:hint="eastAsia" w:ascii="Times New Roman" w:hAnsi="Times New Roman" w:cs="Times New Roman"/>
                      <w:color w:val="auto"/>
                      <w:sz w:val="21"/>
                      <w:szCs w:val="21"/>
                      <w:highlight w:val="none"/>
                      <w:vertAlign w:val="subscript"/>
                      <w:lang w:val="en-US" w:eastAsia="zh-CN"/>
                    </w:rPr>
                    <w:t>3</w:t>
                  </w:r>
                </w:p>
              </w:tc>
              <w:tc>
                <w:tcPr>
                  <w:tcW w:w="95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《恶臭污染物排放标准》</w:t>
                  </w: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GB14554-1993</w:t>
                  </w: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 xml:space="preserve"> </w:t>
                  </w:r>
                  <w:r>
                    <w:rPr>
                      <w:rFonts w:hint="eastAsia" w:ascii="Times New Roman" w:hAnsi="Times New Roman" w:eastAsia="宋体" w:cs="Times New Roman"/>
                      <w:color w:val="auto"/>
                      <w:kern w:val="0"/>
                      <w:sz w:val="21"/>
                      <w:szCs w:val="21"/>
                      <w:highlight w:val="none"/>
                      <w:lang w:val="en-US" w:eastAsia="zh-CN" w:bidi="ar-SA"/>
                    </w:rPr>
                    <w:t>、《医疗机构水污染物排放标准》</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GB18466-2005</w:t>
                  </w:r>
                  <w:r>
                    <w:rPr>
                      <w:rFonts w:hint="eastAsia" w:cs="Times New Roman"/>
                      <w:color w:val="auto"/>
                      <w:kern w:val="0"/>
                      <w:sz w:val="21"/>
                      <w:szCs w:val="21"/>
                      <w:highlight w:val="none"/>
                      <w:lang w:val="en-US" w:eastAsia="zh-CN" w:bidi="ar-SA"/>
                    </w:rPr>
                    <w:t>）</w:t>
                  </w:r>
                </w:p>
              </w:tc>
              <w:tc>
                <w:tcPr>
                  <w:tcW w:w="824" w:type="dxa"/>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926" w:type="dxa"/>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4.9</w:t>
                  </w:r>
                </w:p>
              </w:tc>
              <w:tc>
                <w:tcPr>
                  <w:tcW w:w="101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 xml:space="preserve">污水处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 xml:space="preserve">理站周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界</w:t>
                  </w:r>
                </w:p>
                <w:p>
                  <w:pPr>
                    <w:pStyle w:val="141"/>
                    <w:spacing w:before="0" w:beforeLines="0" w:after="0" w:afterLines="0"/>
                    <w:rPr>
                      <w:rFonts w:hint="eastAsia" w:ascii="Times New Roman" w:hAnsi="Times New Roman" w:cs="Times New Roman"/>
                      <w:color w:val="auto"/>
                      <w:sz w:val="21"/>
                      <w:szCs w:val="21"/>
                      <w:highlight w:val="none"/>
                      <w:lang w:val="en-US" w:eastAsia="zh-CN"/>
                    </w:rPr>
                  </w:pPr>
                </w:p>
              </w:tc>
              <w:tc>
                <w:tcPr>
                  <w:tcW w:w="1127" w:type="dxa"/>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noWrap w:val="0"/>
                  <w:vAlign w:val="center"/>
                </w:tcPr>
                <w:p>
                  <w:pPr>
                    <w:pStyle w:val="141"/>
                    <w:spacing w:before="0" w:beforeLines="0" w:after="0" w:afterLines="0"/>
                    <w:rPr>
                      <w:rFonts w:hint="eastAsia" w:ascii="Times New Roman" w:hAnsi="Times New Roman" w:cs="Times New Roman"/>
                      <w:color w:val="auto"/>
                      <w:sz w:val="21"/>
                      <w:szCs w:val="21"/>
                      <w:highlight w:val="none"/>
                      <w:lang w:val="en-US" w:eastAsia="zh-CN"/>
                    </w:rPr>
                  </w:pPr>
                </w:p>
              </w:tc>
              <w:tc>
                <w:tcPr>
                  <w:tcW w:w="873" w:type="dxa"/>
                  <w:vMerge w:val="continue"/>
                  <w:noWrap w:val="0"/>
                  <w:vAlign w:val="center"/>
                </w:tcPr>
                <w:p>
                  <w:pPr>
                    <w:pStyle w:val="141"/>
                    <w:spacing w:before="0" w:beforeLines="0" w:after="0" w:afterLines="0"/>
                    <w:rPr>
                      <w:rFonts w:hint="eastAsia" w:ascii="Times New Roman" w:hAnsi="Times New Roman" w:cs="Times New Roman"/>
                      <w:color w:val="auto"/>
                      <w:sz w:val="21"/>
                      <w:szCs w:val="21"/>
                      <w:highlight w:val="none"/>
                      <w:lang w:val="en-US" w:eastAsia="zh-CN"/>
                    </w:rPr>
                  </w:pPr>
                </w:p>
              </w:tc>
              <w:tc>
                <w:tcPr>
                  <w:tcW w:w="959" w:type="dxa"/>
                  <w:noWrap w:val="0"/>
                  <w:vAlign w:val="center"/>
                </w:tcPr>
                <w:p>
                  <w:pPr>
                    <w:pStyle w:val="141"/>
                    <w:spacing w:before="0" w:beforeLines="0" w:after="0" w:afterLines="0"/>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H</w:t>
                  </w:r>
                  <w:r>
                    <w:rPr>
                      <w:rFonts w:hint="eastAsia" w:ascii="Times New Roman" w:hAnsi="Times New Roman" w:cs="Times New Roman"/>
                      <w:color w:val="auto"/>
                      <w:sz w:val="21"/>
                      <w:szCs w:val="21"/>
                      <w:highlight w:val="none"/>
                      <w:vertAlign w:val="subscript"/>
                      <w:lang w:val="en-US" w:eastAsia="zh-CN"/>
                    </w:rPr>
                    <w:t>2</w:t>
                  </w:r>
                  <w:r>
                    <w:rPr>
                      <w:rFonts w:hint="eastAsia" w:ascii="Times New Roman" w:hAnsi="Times New Roman" w:cs="Times New Roman"/>
                      <w:color w:val="auto"/>
                      <w:sz w:val="21"/>
                      <w:szCs w:val="21"/>
                      <w:highlight w:val="none"/>
                      <w:vertAlign w:val="baseline"/>
                      <w:lang w:val="en-US" w:eastAsia="zh-CN"/>
                    </w:rPr>
                    <w:t>S</w:t>
                  </w:r>
                </w:p>
              </w:tc>
              <w:tc>
                <w:tcPr>
                  <w:tcW w:w="950" w:type="dxa"/>
                  <w:vMerge w:val="continue"/>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p>
              </w:tc>
              <w:tc>
                <w:tcPr>
                  <w:tcW w:w="824" w:type="dxa"/>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926" w:type="dxa"/>
                  <w:noWrap w:val="0"/>
                  <w:vAlign w:val="center"/>
                </w:tcPr>
                <w:p>
                  <w:pPr>
                    <w:pStyle w:val="141"/>
                    <w:spacing w:before="0" w:beforeLines="0" w:after="0" w:afterLines="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0.33</w:t>
                  </w:r>
                </w:p>
              </w:tc>
              <w:tc>
                <w:tcPr>
                  <w:tcW w:w="1016" w:type="dxa"/>
                  <w:vMerge w:val="continue"/>
                  <w:noWrap w:val="0"/>
                  <w:vAlign w:val="center"/>
                </w:tcPr>
                <w:p>
                  <w:pPr>
                    <w:pStyle w:val="141"/>
                    <w:spacing w:before="0" w:beforeLines="0" w:after="0" w:afterLines="0"/>
                    <w:rPr>
                      <w:rFonts w:hint="eastAsia" w:ascii="Times New Roman" w:hAnsi="Times New Roman" w:cs="Times New Roman"/>
                      <w:color w:val="auto"/>
                      <w:sz w:val="21"/>
                      <w:szCs w:val="21"/>
                      <w:highlight w:val="none"/>
                      <w:lang w:val="en-US" w:eastAsia="zh-CN"/>
                    </w:rPr>
                  </w:pPr>
                </w:p>
              </w:tc>
              <w:tc>
                <w:tcPr>
                  <w:tcW w:w="1127" w:type="dxa"/>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noWrap w:val="0"/>
                  <w:vAlign w:val="center"/>
                </w:tcPr>
                <w:p>
                  <w:pPr>
                    <w:pStyle w:val="141"/>
                    <w:spacing w:before="0" w:beforeLines="0" w:after="0" w:afterLines="0"/>
                    <w:rPr>
                      <w:rFonts w:hint="eastAsia" w:ascii="Times New Roman" w:hAnsi="Times New Roman" w:cs="Times New Roman"/>
                      <w:color w:val="auto"/>
                      <w:sz w:val="21"/>
                      <w:szCs w:val="21"/>
                      <w:highlight w:val="none"/>
                      <w:lang w:val="en-US" w:eastAsia="zh-CN"/>
                    </w:rPr>
                  </w:pPr>
                </w:p>
              </w:tc>
              <w:tc>
                <w:tcPr>
                  <w:tcW w:w="873" w:type="dxa"/>
                  <w:vMerge w:val="continue"/>
                  <w:noWrap w:val="0"/>
                  <w:vAlign w:val="center"/>
                </w:tcPr>
                <w:p>
                  <w:pPr>
                    <w:pStyle w:val="141"/>
                    <w:spacing w:before="0" w:beforeLines="0" w:after="0" w:afterLines="0"/>
                    <w:rPr>
                      <w:rFonts w:hint="eastAsia" w:ascii="Times New Roman" w:hAnsi="Times New Roman" w:cs="Times New Roman"/>
                      <w:color w:val="auto"/>
                      <w:sz w:val="21"/>
                      <w:szCs w:val="21"/>
                      <w:highlight w:val="none"/>
                      <w:lang w:val="en-US" w:eastAsia="zh-CN"/>
                    </w:rPr>
                  </w:pPr>
                </w:p>
              </w:tc>
              <w:tc>
                <w:tcPr>
                  <w:tcW w:w="959" w:type="dxa"/>
                  <w:noWrap w:val="0"/>
                  <w:vAlign w:val="center"/>
                </w:tcPr>
                <w:p>
                  <w:pPr>
                    <w:pStyle w:val="141"/>
                    <w:spacing w:before="0" w:beforeLines="0" w:after="0" w:afterLines="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臭气</w:t>
                  </w:r>
                </w:p>
                <w:p>
                  <w:pPr>
                    <w:pStyle w:val="141"/>
                    <w:spacing w:before="0" w:beforeLines="0" w:after="0" w:afterLines="0"/>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浓度</w:t>
                  </w:r>
                </w:p>
              </w:tc>
              <w:tc>
                <w:tcPr>
                  <w:tcW w:w="950" w:type="dxa"/>
                  <w:vMerge w:val="continue"/>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p>
              </w:tc>
              <w:tc>
                <w:tcPr>
                  <w:tcW w:w="824" w:type="dxa"/>
                  <w:noWrap w:val="0"/>
                  <w:vAlign w:val="center"/>
                </w:tcPr>
                <w:p>
                  <w:pPr>
                    <w:pStyle w:val="141"/>
                    <w:spacing w:before="0" w:beforeLines="0" w:after="0" w:afterLines="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926" w:type="dxa"/>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2000</w:t>
                  </w:r>
                </w:p>
              </w:tc>
              <w:tc>
                <w:tcPr>
                  <w:tcW w:w="1016" w:type="dxa"/>
                  <w:vMerge w:val="continue"/>
                  <w:noWrap w:val="0"/>
                  <w:vAlign w:val="center"/>
                </w:tcPr>
                <w:p>
                  <w:pPr>
                    <w:pStyle w:val="141"/>
                    <w:spacing w:before="0" w:beforeLines="0" w:after="0" w:afterLines="0"/>
                    <w:rPr>
                      <w:rFonts w:hint="eastAsia" w:ascii="Times New Roman" w:hAnsi="Times New Roman" w:cs="Times New Roman"/>
                      <w:color w:val="auto"/>
                      <w:sz w:val="21"/>
                      <w:szCs w:val="21"/>
                      <w:highlight w:val="none"/>
                      <w:lang w:val="en-US" w:eastAsia="zh-CN"/>
                    </w:rPr>
                  </w:pPr>
                </w:p>
              </w:tc>
              <w:tc>
                <w:tcPr>
                  <w:tcW w:w="1127" w:type="dxa"/>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noWrap w:val="0"/>
                  <w:vAlign w:val="center"/>
                </w:tcPr>
                <w:p>
                  <w:pPr>
                    <w:pStyle w:val="141"/>
                    <w:spacing w:before="0" w:beforeLines="0" w:after="0" w:afterLines="0"/>
                    <w:rPr>
                      <w:rFonts w:hint="eastAsia" w:ascii="Times New Roman" w:hAnsi="Times New Roman" w:cs="Times New Roman"/>
                      <w:color w:val="auto"/>
                      <w:sz w:val="21"/>
                      <w:szCs w:val="21"/>
                      <w:highlight w:val="none"/>
                      <w:lang w:val="en-US" w:eastAsia="zh-CN"/>
                    </w:rPr>
                  </w:pPr>
                </w:p>
              </w:tc>
              <w:tc>
                <w:tcPr>
                  <w:tcW w:w="873" w:type="dxa"/>
                  <w:vMerge w:val="continue"/>
                  <w:noWrap w:val="0"/>
                  <w:vAlign w:val="center"/>
                </w:tcPr>
                <w:p>
                  <w:pPr>
                    <w:pStyle w:val="141"/>
                    <w:spacing w:before="0" w:beforeLines="0" w:after="0" w:afterLines="0"/>
                    <w:rPr>
                      <w:rFonts w:hint="eastAsia" w:ascii="Times New Roman" w:hAnsi="Times New Roman" w:cs="Times New Roman"/>
                      <w:color w:val="auto"/>
                      <w:sz w:val="21"/>
                      <w:szCs w:val="21"/>
                      <w:highlight w:val="none"/>
                      <w:lang w:val="en-US" w:eastAsia="zh-CN"/>
                    </w:rPr>
                  </w:pPr>
                </w:p>
              </w:tc>
              <w:tc>
                <w:tcPr>
                  <w:tcW w:w="959" w:type="dxa"/>
                  <w:noWrap w:val="0"/>
                  <w:vAlign w:val="center"/>
                </w:tcPr>
                <w:p>
                  <w:pPr>
                    <w:pStyle w:val="141"/>
                    <w:spacing w:before="0" w:beforeLines="0" w:after="0" w:afterLines="0"/>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氯气</w:t>
                  </w:r>
                </w:p>
              </w:tc>
              <w:tc>
                <w:tcPr>
                  <w:tcW w:w="950" w:type="dxa"/>
                  <w:vMerge w:val="continue"/>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p>
              </w:tc>
              <w:tc>
                <w:tcPr>
                  <w:tcW w:w="824" w:type="dxa"/>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926" w:type="dxa"/>
                  <w:noWrap w:val="0"/>
                  <w:vAlign w:val="center"/>
                </w:tcPr>
                <w:p>
                  <w:pPr>
                    <w:spacing w:before="0" w:beforeLines="0" w:after="0" w:afterLines="0"/>
                    <w:ind w:firstLine="420" w:firstLineChars="20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016" w:type="dxa"/>
                  <w:vMerge w:val="continue"/>
                  <w:noWrap w:val="0"/>
                  <w:vAlign w:val="center"/>
                </w:tcPr>
                <w:p>
                  <w:pPr>
                    <w:pStyle w:val="141"/>
                    <w:spacing w:before="0" w:beforeLines="0" w:after="0" w:afterLines="0"/>
                    <w:rPr>
                      <w:rFonts w:hint="eastAsia" w:ascii="Times New Roman" w:hAnsi="Times New Roman" w:cs="Times New Roman"/>
                      <w:color w:val="auto"/>
                      <w:sz w:val="21"/>
                      <w:szCs w:val="21"/>
                      <w:highlight w:val="none"/>
                      <w:lang w:val="en-US" w:eastAsia="zh-CN"/>
                    </w:rPr>
                  </w:pPr>
                </w:p>
              </w:tc>
              <w:tc>
                <w:tcPr>
                  <w:tcW w:w="1127" w:type="dxa"/>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noWrap w:val="0"/>
                  <w:vAlign w:val="center"/>
                </w:tcPr>
                <w:p>
                  <w:pPr>
                    <w:pStyle w:val="141"/>
                    <w:spacing w:before="0" w:beforeLines="0" w:after="0" w:afterLines="0"/>
                    <w:rPr>
                      <w:rFonts w:hint="eastAsia" w:ascii="Times New Roman" w:hAnsi="Times New Roman" w:cs="Times New Roman"/>
                      <w:color w:val="auto"/>
                      <w:sz w:val="21"/>
                      <w:szCs w:val="21"/>
                      <w:highlight w:val="none"/>
                      <w:lang w:val="en-US" w:eastAsia="zh-CN"/>
                    </w:rPr>
                  </w:pPr>
                </w:p>
              </w:tc>
              <w:tc>
                <w:tcPr>
                  <w:tcW w:w="873" w:type="dxa"/>
                  <w:vMerge w:val="continue"/>
                  <w:noWrap w:val="0"/>
                  <w:vAlign w:val="center"/>
                </w:tcPr>
                <w:p>
                  <w:pPr>
                    <w:pStyle w:val="141"/>
                    <w:spacing w:before="0" w:beforeLines="0" w:after="0" w:afterLines="0"/>
                    <w:rPr>
                      <w:rFonts w:hint="eastAsia" w:ascii="Times New Roman" w:hAnsi="Times New Roman" w:cs="Times New Roman"/>
                      <w:color w:val="auto"/>
                      <w:sz w:val="21"/>
                      <w:szCs w:val="21"/>
                      <w:highlight w:val="none"/>
                      <w:lang w:val="en-US" w:eastAsia="zh-CN"/>
                    </w:rPr>
                  </w:pPr>
                </w:p>
              </w:tc>
              <w:tc>
                <w:tcPr>
                  <w:tcW w:w="959" w:type="dxa"/>
                  <w:noWrap w:val="0"/>
                  <w:vAlign w:val="center"/>
                </w:tcPr>
                <w:p>
                  <w:pPr>
                    <w:pStyle w:val="141"/>
                    <w:spacing w:before="0" w:beforeLines="0" w:after="0" w:afterLines="0"/>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甲烷</w:t>
                  </w:r>
                </w:p>
              </w:tc>
              <w:tc>
                <w:tcPr>
                  <w:tcW w:w="950" w:type="dxa"/>
                  <w:vMerge w:val="continue"/>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p>
              </w:tc>
              <w:tc>
                <w:tcPr>
                  <w:tcW w:w="824" w:type="dxa"/>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926" w:type="dxa"/>
                  <w:noWrap w:val="0"/>
                  <w:vAlign w:val="center"/>
                </w:tcPr>
                <w:p>
                  <w:pPr>
                    <w:spacing w:before="0" w:beforeLines="0" w:after="0" w:afterLines="0"/>
                    <w:ind w:firstLine="420" w:firstLineChars="20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016" w:type="dxa"/>
                  <w:vMerge w:val="continue"/>
                  <w:noWrap w:val="0"/>
                  <w:vAlign w:val="center"/>
                </w:tcPr>
                <w:p>
                  <w:pPr>
                    <w:pStyle w:val="141"/>
                    <w:spacing w:before="0" w:beforeLines="0" w:after="0" w:afterLines="0"/>
                    <w:rPr>
                      <w:rFonts w:hint="eastAsia" w:ascii="Times New Roman" w:hAnsi="Times New Roman" w:cs="Times New Roman"/>
                      <w:color w:val="auto"/>
                      <w:sz w:val="21"/>
                      <w:szCs w:val="21"/>
                      <w:highlight w:val="none"/>
                      <w:lang w:val="en-US" w:eastAsia="zh-CN"/>
                    </w:rPr>
                  </w:pPr>
                </w:p>
              </w:tc>
              <w:tc>
                <w:tcPr>
                  <w:tcW w:w="1127" w:type="dxa"/>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4" w:type="dxa"/>
                  <w:gridSpan w:val="8"/>
                  <w:noWrap w:val="0"/>
                  <w:vAlign w:val="center"/>
                </w:tcPr>
                <w:p>
                  <w:pPr>
                    <w:keepNext w:val="0"/>
                    <w:keepLines w:val="0"/>
                    <w:widowControl/>
                    <w:suppressLineNumbers w:val="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注：①臭气浓度无量纲； </w:t>
                  </w:r>
                </w:p>
                <w:p>
                  <w:pPr>
                    <w:keepNext w:val="0"/>
                    <w:keepLines w:val="0"/>
                    <w:widowControl/>
                    <w:suppressLineNumbers w:val="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②甲烷为处理站内最高体积百分数</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jc w:val="left"/>
                    <w:rPr>
                      <w:rFonts w:hint="eastAsia" w:ascii="Times New Roman" w:hAnsi="Times New Roman" w:cs="Times New Roman"/>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 xml:space="preserve">③ </w:t>
                  </w:r>
                  <w:r>
                    <w:rPr>
                      <w:rFonts w:hint="default" w:ascii="Times New Roman" w:hAnsi="Times New Roman" w:eastAsia="宋体" w:cs="Times New Roman"/>
                      <w:color w:val="auto"/>
                      <w:kern w:val="0"/>
                      <w:sz w:val="21"/>
                      <w:szCs w:val="21"/>
                      <w:highlight w:val="none"/>
                      <w:lang w:val="en-US" w:eastAsia="zh-CN" w:bidi="ar"/>
                    </w:rPr>
                    <w:t>NH</w:t>
                  </w:r>
                  <w:r>
                    <w:rPr>
                      <w:rFonts w:hint="default" w:ascii="Times New Roman" w:hAnsi="Times New Roman" w:eastAsia="宋体" w:cs="Times New Roman"/>
                      <w:color w:val="auto"/>
                      <w:kern w:val="0"/>
                      <w:sz w:val="21"/>
                      <w:szCs w:val="21"/>
                      <w:highlight w:val="none"/>
                      <w:vertAlign w:val="subscript"/>
                      <w:lang w:val="en-US" w:eastAsia="zh-CN" w:bidi="ar"/>
                    </w:rPr>
                    <w:t>3</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H</w:t>
                  </w:r>
                  <w:r>
                    <w:rPr>
                      <w:rFonts w:hint="default" w:ascii="Times New Roman" w:hAnsi="Times New Roman" w:eastAsia="宋体" w:cs="Times New Roman"/>
                      <w:color w:val="auto"/>
                      <w:kern w:val="0"/>
                      <w:sz w:val="21"/>
                      <w:szCs w:val="21"/>
                      <w:highlight w:val="none"/>
                      <w:vertAlign w:val="sub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S</w:t>
                  </w:r>
                  <w:r>
                    <w:rPr>
                      <w:rFonts w:hint="eastAsia" w:ascii="宋体" w:hAnsi="宋体" w:eastAsia="宋体" w:cs="宋体"/>
                      <w:color w:val="auto"/>
                      <w:kern w:val="0"/>
                      <w:sz w:val="21"/>
                      <w:szCs w:val="21"/>
                      <w:highlight w:val="none"/>
                      <w:lang w:val="en-US" w:eastAsia="zh-CN" w:bidi="ar"/>
                    </w:rPr>
                    <w:t>、臭气浓度有组织排放执行《恶臭污染物排放标准》（</w:t>
                  </w:r>
                  <w:r>
                    <w:rPr>
                      <w:rFonts w:hint="default" w:ascii="Times New Roman" w:hAnsi="Times New Roman" w:eastAsia="宋体" w:cs="Times New Roman"/>
                      <w:color w:val="auto"/>
                      <w:kern w:val="0"/>
                      <w:sz w:val="21"/>
                      <w:szCs w:val="21"/>
                      <w:highlight w:val="none"/>
                      <w:lang w:val="en-US" w:eastAsia="zh-CN" w:bidi="ar"/>
                    </w:rPr>
                    <w:t>GB14554-1993</w:t>
                  </w:r>
                  <w:r>
                    <w:rPr>
                      <w:rFonts w:hint="eastAsia" w:ascii="宋体" w:hAnsi="宋体" w:eastAsia="宋体" w:cs="宋体"/>
                      <w:color w:val="auto"/>
                      <w:kern w:val="0"/>
                      <w:sz w:val="21"/>
                      <w:szCs w:val="21"/>
                      <w:highlight w:val="none"/>
                      <w:lang w:val="en-US" w:eastAsia="zh-CN" w:bidi="ar"/>
                    </w:rPr>
                    <w:t>）标准要求。</w:t>
                  </w:r>
                </w:p>
              </w:tc>
            </w:tr>
          </w:tbl>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color w:val="auto"/>
                <w:kern w:val="2"/>
                <w:sz w:val="24"/>
                <w:szCs w:val="24"/>
                <w:highlight w:val="none"/>
                <w:lang w:val="en-US" w:eastAsia="zh-CN" w:bidi="ar-SA"/>
              </w:rPr>
            </w:pPr>
            <w:r>
              <w:rPr>
                <w:rFonts w:hint="eastAsia" w:cs="Times New Roman"/>
                <w:b/>
                <w:color w:val="auto"/>
                <w:kern w:val="2"/>
                <w:sz w:val="24"/>
                <w:szCs w:val="24"/>
                <w:highlight w:val="none"/>
                <w:lang w:val="en-US" w:eastAsia="zh-CN" w:bidi="ar-SA"/>
              </w:rPr>
              <w:t>4</w:t>
            </w:r>
            <w:r>
              <w:rPr>
                <w:rFonts w:hint="eastAsia" w:ascii="Times New Roman" w:hAnsi="Times New Roman" w:eastAsia="宋体" w:cs="Times New Roman"/>
                <w:b/>
                <w:color w:val="auto"/>
                <w:kern w:val="2"/>
                <w:sz w:val="24"/>
                <w:szCs w:val="24"/>
                <w:highlight w:val="none"/>
                <w:lang w:val="en-US" w:eastAsia="zh-CN" w:bidi="ar-SA"/>
              </w:rPr>
              <w:t>、</w:t>
            </w:r>
            <w:r>
              <w:rPr>
                <w:rFonts w:hint="eastAsia" w:cs="Times New Roman"/>
                <w:b/>
                <w:color w:val="auto"/>
                <w:kern w:val="2"/>
                <w:sz w:val="24"/>
                <w:szCs w:val="24"/>
                <w:highlight w:val="none"/>
                <w:lang w:val="en-US" w:eastAsia="zh-CN" w:bidi="ar-SA"/>
              </w:rPr>
              <w:t>监测要求</w:t>
            </w:r>
          </w:p>
          <w:p>
            <w:pPr>
              <w:numPr>
                <w:ilvl w:val="0"/>
                <w:numId w:val="0"/>
              </w:num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拟建项目属于乡镇卫生院，根据《排污单位自行监测技术指南 总则》（HJ819-2017）、《排污许可证申请与核实技术规范 医疗机构》（HJ1105-2020）并结合拟建项目排污特点，拟建项目废气自行监测计划如下：</w:t>
            </w:r>
          </w:p>
          <w:p>
            <w:pPr>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b/>
                <w:bCs/>
                <w:color w:val="auto"/>
                <w:highlight w:val="none"/>
              </w:rPr>
            </w:pPr>
            <w:r>
              <w:rPr>
                <w:rFonts w:hint="eastAsia"/>
                <w:b/>
                <w:bCs/>
                <w:color w:val="auto"/>
                <w:highlight w:val="none"/>
              </w:rPr>
              <w:t>表4</w:t>
            </w:r>
            <w:r>
              <w:rPr>
                <w:rFonts w:hint="eastAsia"/>
                <w:b/>
                <w:bCs/>
                <w:color w:val="auto"/>
                <w:highlight w:val="none"/>
                <w:lang w:val="en-US" w:eastAsia="zh-CN"/>
              </w:rPr>
              <w:t>.6</w:t>
            </w:r>
            <w:r>
              <w:rPr>
                <w:rFonts w:hint="eastAsia"/>
                <w:b/>
                <w:bCs/>
                <w:color w:val="auto"/>
                <w:highlight w:val="none"/>
              </w:rPr>
              <w:t xml:space="preserve"> 废</w:t>
            </w:r>
            <w:r>
              <w:rPr>
                <w:rFonts w:hint="eastAsia"/>
                <w:b/>
                <w:bCs/>
                <w:color w:val="auto"/>
                <w:highlight w:val="none"/>
                <w:lang w:val="en-US" w:eastAsia="zh-CN"/>
              </w:rPr>
              <w:t>气自行</w:t>
            </w:r>
            <w:r>
              <w:rPr>
                <w:rFonts w:hint="eastAsia"/>
                <w:b/>
                <w:bCs/>
                <w:color w:val="auto"/>
                <w:highlight w:val="none"/>
              </w:rPr>
              <w:t>监测计划一览表</w:t>
            </w:r>
          </w:p>
          <w:tbl>
            <w:tblPr>
              <w:tblStyle w:val="29"/>
              <w:tblW w:w="74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915"/>
              <w:gridCol w:w="1838"/>
              <w:gridCol w:w="1223"/>
              <w:gridCol w:w="1223"/>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监测对象</w:t>
                  </w:r>
                </w:p>
              </w:tc>
              <w:tc>
                <w:tcPr>
                  <w:tcW w:w="915"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监测</w:t>
                  </w:r>
                </w:p>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点位</w:t>
                  </w:r>
                </w:p>
              </w:tc>
              <w:tc>
                <w:tcPr>
                  <w:tcW w:w="1838"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both"/>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监测因子</w:t>
                  </w:r>
                </w:p>
              </w:tc>
              <w:tc>
                <w:tcPr>
                  <w:tcW w:w="1223"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验收监测频次</w:t>
                  </w:r>
                </w:p>
              </w:tc>
              <w:tc>
                <w:tcPr>
                  <w:tcW w:w="1223"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自行监测频次</w:t>
                  </w:r>
                </w:p>
              </w:tc>
              <w:tc>
                <w:tcPr>
                  <w:tcW w:w="1433"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bCs/>
                      <w:color w:val="auto"/>
                      <w:kern w:val="0"/>
                      <w:sz w:val="21"/>
                      <w:szCs w:val="21"/>
                      <w:highlight w:val="none"/>
                      <w:vertAlign w:val="baseline"/>
                      <w:lang w:val="en-US" w:eastAsia="zh-CN" w:bidi="ar-SA"/>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jc w:val="center"/>
              </w:trPr>
              <w:tc>
                <w:tcPr>
                  <w:tcW w:w="778" w:type="dxa"/>
                  <w:vMerge w:val="restart"/>
                  <w:tcBorders>
                    <w:top w:val="nil"/>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废气</w:t>
                  </w:r>
                </w:p>
              </w:tc>
              <w:tc>
                <w:tcPr>
                  <w:tcW w:w="915" w:type="dxa"/>
                  <w:vMerge w:val="restart"/>
                  <w:tcBorders>
                    <w:top w:val="single" w:color="auto" w:sz="4" w:space="0"/>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bidi="ar-SA"/>
                    </w:rPr>
                    <w:t>污水处理站废气排放口</w:t>
                  </w:r>
                </w:p>
              </w:tc>
              <w:tc>
                <w:tcPr>
                  <w:tcW w:w="1838"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both"/>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NH</w:t>
                  </w:r>
                  <w:r>
                    <w:rPr>
                      <w:rFonts w:hint="eastAsia" w:cs="Times New Roman"/>
                      <w:bCs/>
                      <w:color w:val="auto"/>
                      <w:kern w:val="0"/>
                      <w:sz w:val="21"/>
                      <w:szCs w:val="21"/>
                      <w:highlight w:val="none"/>
                      <w:vertAlign w:val="subscript"/>
                      <w:lang w:val="en-US" w:eastAsia="zh-CN" w:bidi="ar-SA"/>
                    </w:rPr>
                    <w:t>3</w:t>
                  </w:r>
                </w:p>
              </w:tc>
              <w:tc>
                <w:tcPr>
                  <w:tcW w:w="1223" w:type="dxa"/>
                  <w:vMerge w:val="restart"/>
                  <w:tcBorders>
                    <w:top w:val="single" w:color="auto" w:sz="4" w:space="0"/>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验收时监测1次</w:t>
                  </w:r>
                </w:p>
              </w:tc>
              <w:tc>
                <w:tcPr>
                  <w:tcW w:w="1223" w:type="dxa"/>
                  <w:vMerge w:val="restart"/>
                  <w:tcBorders>
                    <w:top w:val="single" w:color="auto" w:sz="4" w:space="0"/>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1次/季度</w:t>
                  </w:r>
                </w:p>
              </w:tc>
              <w:tc>
                <w:tcPr>
                  <w:tcW w:w="1433" w:type="dxa"/>
                  <w:vMerge w:val="restart"/>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《恶臭污染物排放标准》</w:t>
                  </w: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GB14554-1993</w:t>
                  </w:r>
                  <w:r>
                    <w:rPr>
                      <w:rFonts w:hint="eastAsia" w:cs="Times New Roman"/>
                      <w:color w:val="auto"/>
                      <w:kern w:val="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jc w:val="center"/>
              </w:trPr>
              <w:tc>
                <w:tcPr>
                  <w:tcW w:w="77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color w:val="auto"/>
                      <w:sz w:val="21"/>
                      <w:szCs w:val="21"/>
                      <w:highlight w:val="none"/>
                    </w:rPr>
                  </w:pPr>
                </w:p>
              </w:tc>
              <w:tc>
                <w:tcPr>
                  <w:tcW w:w="915"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color w:val="auto"/>
                      <w:sz w:val="21"/>
                      <w:szCs w:val="21"/>
                      <w:highlight w:val="none"/>
                    </w:rPr>
                  </w:pPr>
                </w:p>
              </w:tc>
              <w:tc>
                <w:tcPr>
                  <w:tcW w:w="1838"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both"/>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H</w:t>
                  </w:r>
                  <w:r>
                    <w:rPr>
                      <w:rFonts w:hint="eastAsia" w:cs="Times New Roman"/>
                      <w:bCs/>
                      <w:color w:val="auto"/>
                      <w:kern w:val="0"/>
                      <w:sz w:val="21"/>
                      <w:szCs w:val="21"/>
                      <w:highlight w:val="none"/>
                      <w:vertAlign w:val="subscript"/>
                      <w:lang w:val="en-US" w:eastAsia="zh-CN" w:bidi="ar-SA"/>
                    </w:rPr>
                    <w:t>2</w:t>
                  </w:r>
                  <w:r>
                    <w:rPr>
                      <w:rFonts w:hint="eastAsia" w:cs="Times New Roman"/>
                      <w:bCs/>
                      <w:color w:val="auto"/>
                      <w:kern w:val="0"/>
                      <w:sz w:val="21"/>
                      <w:szCs w:val="21"/>
                      <w:highlight w:val="none"/>
                      <w:vertAlign w:val="baseline"/>
                      <w:lang w:val="en-US" w:eastAsia="zh-CN" w:bidi="ar-SA"/>
                    </w:rPr>
                    <w:t>S</w:t>
                  </w:r>
                </w:p>
              </w:tc>
              <w:tc>
                <w:tcPr>
                  <w:tcW w:w="1223"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c>
                <w:tcPr>
                  <w:tcW w:w="1223"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c>
                <w:tcPr>
                  <w:tcW w:w="1433"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jc w:val="center"/>
              </w:trPr>
              <w:tc>
                <w:tcPr>
                  <w:tcW w:w="77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c>
                <w:tcPr>
                  <w:tcW w:w="915"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c>
                <w:tcPr>
                  <w:tcW w:w="1838" w:type="dxa"/>
                  <w:tcBorders>
                    <w:top w:val="single" w:color="auto" w:sz="4" w:space="0"/>
                    <w:left w:val="nil"/>
                    <w:bottom w:val="single" w:color="auto" w:sz="4" w:space="0"/>
                    <w:right w:val="single" w:color="auto" w:sz="4" w:space="0"/>
                  </w:tcBorders>
                  <w:noWrap w:val="0"/>
                  <w:vAlign w:val="center"/>
                </w:tcPr>
                <w:p>
                  <w:pPr>
                    <w:pStyle w:val="141"/>
                    <w:spacing w:before="0" w:beforeLines="0" w:after="0" w:afterLines="0"/>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cs="Times New Roman"/>
                      <w:color w:val="auto"/>
                      <w:sz w:val="21"/>
                      <w:szCs w:val="21"/>
                      <w:highlight w:val="none"/>
                      <w:lang w:val="en-US" w:eastAsia="zh-CN"/>
                    </w:rPr>
                    <w:t>臭气浓度</w:t>
                  </w:r>
                </w:p>
              </w:tc>
              <w:tc>
                <w:tcPr>
                  <w:tcW w:w="1223"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c>
                <w:tcPr>
                  <w:tcW w:w="1223"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c>
                <w:tcPr>
                  <w:tcW w:w="1433"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77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c>
                <w:tcPr>
                  <w:tcW w:w="915" w:type="dxa"/>
                  <w:vMerge w:val="restart"/>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bidi="ar-SA"/>
                    </w:rPr>
                    <w:t>污水处理站周界监</w:t>
                  </w:r>
                </w:p>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bidi="ar-SA"/>
                    </w:rPr>
                    <w:t>控点</w:t>
                  </w:r>
                </w:p>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c>
                <w:tcPr>
                  <w:tcW w:w="1838" w:type="dxa"/>
                  <w:tcBorders>
                    <w:top w:val="single" w:color="auto" w:sz="4" w:space="0"/>
                    <w:left w:val="nil"/>
                    <w:bottom w:val="single" w:color="auto" w:sz="4" w:space="0"/>
                    <w:right w:val="single" w:color="auto" w:sz="4" w:space="0"/>
                  </w:tcBorders>
                  <w:noWrap w:val="0"/>
                  <w:vAlign w:val="center"/>
                </w:tcPr>
                <w:p>
                  <w:pPr>
                    <w:pStyle w:val="141"/>
                    <w:spacing w:before="0" w:beforeLines="0" w:after="0" w:afterLines="0"/>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NH</w:t>
                  </w:r>
                  <w:r>
                    <w:rPr>
                      <w:rFonts w:hint="eastAsia" w:ascii="Times New Roman" w:hAnsi="Times New Roman" w:cs="Times New Roman"/>
                      <w:color w:val="auto"/>
                      <w:sz w:val="21"/>
                      <w:szCs w:val="21"/>
                      <w:highlight w:val="none"/>
                      <w:vertAlign w:val="subscript"/>
                      <w:lang w:val="en-US" w:eastAsia="zh-CN"/>
                    </w:rPr>
                    <w:t>3</w:t>
                  </w:r>
                </w:p>
              </w:tc>
              <w:tc>
                <w:tcPr>
                  <w:tcW w:w="1223" w:type="dxa"/>
                  <w:vMerge w:val="restart"/>
                  <w:tcBorders>
                    <w:top w:val="single" w:color="auto" w:sz="4" w:space="0"/>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验收时监测1次</w:t>
                  </w:r>
                </w:p>
              </w:tc>
              <w:tc>
                <w:tcPr>
                  <w:tcW w:w="1223" w:type="dxa"/>
                  <w:vMerge w:val="restart"/>
                  <w:tcBorders>
                    <w:top w:val="single" w:color="auto" w:sz="4" w:space="0"/>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1次/季度</w:t>
                  </w:r>
                </w:p>
              </w:tc>
              <w:tc>
                <w:tcPr>
                  <w:tcW w:w="1433"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77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c>
                <w:tcPr>
                  <w:tcW w:w="915"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c>
                <w:tcPr>
                  <w:tcW w:w="1838" w:type="dxa"/>
                  <w:tcBorders>
                    <w:top w:val="single" w:color="auto" w:sz="4" w:space="0"/>
                    <w:left w:val="nil"/>
                    <w:bottom w:val="single" w:color="auto" w:sz="4" w:space="0"/>
                    <w:right w:val="single" w:color="auto" w:sz="4" w:space="0"/>
                  </w:tcBorders>
                  <w:noWrap w:val="0"/>
                  <w:vAlign w:val="center"/>
                </w:tcPr>
                <w:p>
                  <w:pPr>
                    <w:pStyle w:val="141"/>
                    <w:spacing w:before="0" w:beforeLines="0" w:after="0" w:afterLines="0"/>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H</w:t>
                  </w:r>
                  <w:r>
                    <w:rPr>
                      <w:rFonts w:hint="eastAsia" w:ascii="Times New Roman" w:hAnsi="Times New Roman" w:cs="Times New Roman"/>
                      <w:color w:val="auto"/>
                      <w:sz w:val="21"/>
                      <w:szCs w:val="21"/>
                      <w:highlight w:val="none"/>
                      <w:vertAlign w:val="subscript"/>
                      <w:lang w:val="en-US" w:eastAsia="zh-CN"/>
                    </w:rPr>
                    <w:t>2</w:t>
                  </w:r>
                  <w:r>
                    <w:rPr>
                      <w:rFonts w:hint="eastAsia" w:ascii="Times New Roman" w:hAnsi="Times New Roman" w:cs="Times New Roman"/>
                      <w:color w:val="auto"/>
                      <w:sz w:val="21"/>
                      <w:szCs w:val="21"/>
                      <w:highlight w:val="none"/>
                      <w:vertAlign w:val="baseline"/>
                      <w:lang w:val="en-US" w:eastAsia="zh-CN"/>
                    </w:rPr>
                    <w:t>S</w:t>
                  </w:r>
                </w:p>
              </w:tc>
              <w:tc>
                <w:tcPr>
                  <w:tcW w:w="1223"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c>
                <w:tcPr>
                  <w:tcW w:w="1223"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c>
                <w:tcPr>
                  <w:tcW w:w="1433" w:type="dxa"/>
                  <w:vMerge w:val="restart"/>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《医疗机构水污染物排放标准》</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GB18466-2005</w:t>
                  </w:r>
                  <w:r>
                    <w:rPr>
                      <w:rFonts w:hint="eastAsia" w:cs="Times New Roman"/>
                      <w:color w:val="auto"/>
                      <w:kern w:val="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77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c>
                <w:tcPr>
                  <w:tcW w:w="915"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c>
                <w:tcPr>
                  <w:tcW w:w="1838" w:type="dxa"/>
                  <w:tcBorders>
                    <w:top w:val="single" w:color="auto" w:sz="4" w:space="0"/>
                    <w:left w:val="nil"/>
                    <w:bottom w:val="single" w:color="auto" w:sz="4" w:space="0"/>
                    <w:right w:val="single" w:color="auto" w:sz="4" w:space="0"/>
                  </w:tcBorders>
                  <w:noWrap w:val="0"/>
                  <w:vAlign w:val="center"/>
                </w:tcPr>
                <w:p>
                  <w:pPr>
                    <w:pStyle w:val="141"/>
                    <w:spacing w:before="0" w:beforeLines="0" w:after="0" w:afterLines="0"/>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臭气浓度</w:t>
                  </w:r>
                </w:p>
              </w:tc>
              <w:tc>
                <w:tcPr>
                  <w:tcW w:w="1223"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p>
              </w:tc>
              <w:tc>
                <w:tcPr>
                  <w:tcW w:w="1223"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p>
              </w:tc>
              <w:tc>
                <w:tcPr>
                  <w:tcW w:w="1433"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77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c>
                <w:tcPr>
                  <w:tcW w:w="915"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c>
                <w:tcPr>
                  <w:tcW w:w="1838" w:type="dxa"/>
                  <w:tcBorders>
                    <w:top w:val="single" w:color="auto" w:sz="4" w:space="0"/>
                    <w:left w:val="nil"/>
                    <w:bottom w:val="single" w:color="auto" w:sz="4" w:space="0"/>
                    <w:right w:val="single" w:color="auto" w:sz="4" w:space="0"/>
                  </w:tcBorders>
                  <w:noWrap w:val="0"/>
                  <w:vAlign w:val="center"/>
                </w:tcPr>
                <w:p>
                  <w:pPr>
                    <w:pStyle w:val="141"/>
                    <w:spacing w:before="0" w:beforeLines="0" w:after="0" w:afterLines="0"/>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氯气</w:t>
                  </w:r>
                </w:p>
              </w:tc>
              <w:tc>
                <w:tcPr>
                  <w:tcW w:w="1223"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p>
              </w:tc>
              <w:tc>
                <w:tcPr>
                  <w:tcW w:w="1223"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p>
              </w:tc>
              <w:tc>
                <w:tcPr>
                  <w:tcW w:w="1433"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77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c>
                <w:tcPr>
                  <w:tcW w:w="915"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c>
                <w:tcPr>
                  <w:tcW w:w="1838" w:type="dxa"/>
                  <w:tcBorders>
                    <w:top w:val="single" w:color="auto" w:sz="4" w:space="0"/>
                    <w:left w:val="nil"/>
                    <w:bottom w:val="single" w:color="auto" w:sz="4" w:space="0"/>
                    <w:right w:val="single" w:color="auto" w:sz="4" w:space="0"/>
                  </w:tcBorders>
                  <w:noWrap w:val="0"/>
                  <w:vAlign w:val="center"/>
                </w:tcPr>
                <w:p>
                  <w:pPr>
                    <w:pStyle w:val="141"/>
                    <w:spacing w:before="0" w:beforeLines="0" w:after="0" w:afterLines="0"/>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甲烷</w:t>
                  </w:r>
                </w:p>
              </w:tc>
              <w:tc>
                <w:tcPr>
                  <w:tcW w:w="1223"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p>
              </w:tc>
              <w:tc>
                <w:tcPr>
                  <w:tcW w:w="1223"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p>
              </w:tc>
              <w:tc>
                <w:tcPr>
                  <w:tcW w:w="1433"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color w:val="auto"/>
                <w:kern w:val="2"/>
                <w:sz w:val="24"/>
                <w:szCs w:val="24"/>
                <w:highlight w:val="none"/>
                <w:lang w:val="en-US" w:eastAsia="zh-CN" w:bidi="ar-SA"/>
              </w:rPr>
            </w:pPr>
            <w:r>
              <w:rPr>
                <w:rFonts w:hint="eastAsia" w:cs="Times New Roman"/>
                <w:b/>
                <w:color w:val="auto"/>
                <w:kern w:val="2"/>
                <w:sz w:val="24"/>
                <w:szCs w:val="24"/>
                <w:highlight w:val="none"/>
                <w:lang w:val="en-US" w:eastAsia="zh-CN" w:bidi="ar-SA"/>
              </w:rPr>
              <w:t>5</w:t>
            </w:r>
            <w:r>
              <w:rPr>
                <w:rFonts w:hint="eastAsia" w:ascii="Times New Roman" w:hAnsi="Times New Roman" w:eastAsia="宋体" w:cs="Times New Roman"/>
                <w:b/>
                <w:color w:val="auto"/>
                <w:kern w:val="2"/>
                <w:sz w:val="24"/>
                <w:szCs w:val="24"/>
                <w:highlight w:val="none"/>
                <w:lang w:val="en-US" w:eastAsia="zh-CN" w:bidi="ar-SA"/>
              </w:rPr>
              <w:t>、</w:t>
            </w:r>
            <w:r>
              <w:rPr>
                <w:rFonts w:hint="eastAsia" w:cs="Times New Roman"/>
                <w:b/>
                <w:color w:val="auto"/>
                <w:kern w:val="2"/>
                <w:sz w:val="24"/>
                <w:szCs w:val="24"/>
                <w:highlight w:val="none"/>
                <w:lang w:val="en-US" w:eastAsia="zh-CN" w:bidi="ar-SA"/>
              </w:rPr>
              <w:t>达标情况分析</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拟建项目废气达标排放分析见下表 </w:t>
            </w:r>
            <w:r>
              <w:rPr>
                <w:rFonts w:hint="default" w:ascii="Times New Roman" w:hAnsi="Times New Roman" w:eastAsia="宋体" w:cs="Times New Roman"/>
                <w:color w:val="auto"/>
                <w:kern w:val="0"/>
                <w:sz w:val="24"/>
                <w:szCs w:val="24"/>
                <w:highlight w:val="none"/>
                <w:lang w:val="en-US" w:eastAsia="zh-CN" w:bidi="ar"/>
              </w:rPr>
              <w:t>4</w:t>
            </w:r>
            <w:r>
              <w:rPr>
                <w:rFonts w:hint="eastAsia" w:ascii="Times New Roman" w:hAnsi="Times New Roman" w:eastAsia="宋体" w:cs="Times New Roman"/>
                <w:color w:val="auto"/>
                <w:kern w:val="0"/>
                <w:sz w:val="24"/>
                <w:szCs w:val="24"/>
                <w:highlight w:val="none"/>
                <w:lang w:val="en-US" w:eastAsia="zh-CN" w:bidi="ar"/>
              </w:rPr>
              <w:t>.7</w:t>
            </w:r>
            <w:r>
              <w:rPr>
                <w:rFonts w:hint="eastAsia" w:ascii="宋体" w:hAnsi="宋体" w:eastAsia="宋体" w:cs="宋体"/>
                <w:color w:val="auto"/>
                <w:kern w:val="0"/>
                <w:sz w:val="24"/>
                <w:szCs w:val="24"/>
                <w:highlight w:val="none"/>
                <w:lang w:val="en-US" w:eastAsia="zh-CN" w:bidi="ar"/>
              </w:rPr>
              <w:t>。</w:t>
            </w:r>
          </w:p>
          <w:p>
            <w:pPr>
              <w:pStyle w:val="41"/>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cs="Times New Roman"/>
                <w:b/>
                <w:bCs w:val="0"/>
                <w:color w:val="auto"/>
                <w:spacing w:val="0"/>
                <w:sz w:val="24"/>
                <w:szCs w:val="24"/>
                <w:highlight w:val="none"/>
                <w:lang w:val="en-US" w:eastAsia="zh-CN"/>
              </w:rPr>
            </w:pPr>
            <w:r>
              <w:rPr>
                <w:rFonts w:hint="eastAsia"/>
                <w:b/>
                <w:bCs/>
                <w:color w:val="auto"/>
                <w:highlight w:val="none"/>
              </w:rPr>
              <w:t>表4</w:t>
            </w:r>
            <w:r>
              <w:rPr>
                <w:rFonts w:hint="eastAsia"/>
                <w:b/>
                <w:bCs/>
                <w:color w:val="auto"/>
                <w:highlight w:val="none"/>
                <w:lang w:val="en-US" w:eastAsia="zh-CN"/>
              </w:rPr>
              <w:t>.7</w:t>
            </w:r>
            <w:r>
              <w:rPr>
                <w:rFonts w:hint="eastAsia"/>
                <w:b/>
                <w:bCs/>
                <w:color w:val="auto"/>
                <w:highlight w:val="none"/>
              </w:rPr>
              <w:t xml:space="preserve"> 废</w:t>
            </w:r>
            <w:r>
              <w:rPr>
                <w:rFonts w:hint="eastAsia"/>
                <w:b/>
                <w:bCs/>
                <w:color w:val="auto"/>
                <w:highlight w:val="none"/>
                <w:lang w:val="en-US" w:eastAsia="zh-CN"/>
              </w:rPr>
              <w:t>气达标排放分析</w:t>
            </w:r>
            <w:r>
              <w:rPr>
                <w:rFonts w:hint="eastAsia"/>
                <w:b/>
                <w:bCs/>
                <w:color w:val="auto"/>
                <w:highlight w:val="none"/>
              </w:rPr>
              <w:t>一览表</w:t>
            </w:r>
          </w:p>
          <w:tbl>
            <w:tblPr>
              <w:tblStyle w:val="29"/>
              <w:tblW w:w="74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915"/>
              <w:gridCol w:w="919"/>
              <w:gridCol w:w="919"/>
              <w:gridCol w:w="1223"/>
              <w:gridCol w:w="944"/>
              <w:gridCol w:w="995"/>
              <w:gridCol w:w="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7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排放口编号</w:t>
                  </w:r>
                </w:p>
              </w:tc>
              <w:tc>
                <w:tcPr>
                  <w:tcW w:w="915"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污染物名称</w:t>
                  </w:r>
                </w:p>
              </w:tc>
              <w:tc>
                <w:tcPr>
                  <w:tcW w:w="91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cs="Times New Roman"/>
                      <w:color w:val="auto"/>
                      <w:sz w:val="21"/>
                      <w:szCs w:val="21"/>
                      <w:highlight w:val="none"/>
                      <w:lang w:val="en-US" w:eastAsia="zh-CN"/>
                    </w:rPr>
                    <w:t>排放</w:t>
                  </w:r>
                  <w:r>
                    <w:rPr>
                      <w:rFonts w:hint="eastAsia" w:ascii="Times New Roman" w:hAnsi="Times New Roman" w:cs="Times New Roman"/>
                      <w:color w:val="auto"/>
                      <w:sz w:val="21"/>
                      <w:szCs w:val="21"/>
                      <w:highlight w:val="none"/>
                      <w:lang w:val="en-US" w:eastAsia="zh-CN"/>
                    </w:rPr>
                    <w:t>浓度</w:t>
                  </w:r>
                  <w:r>
                    <w:rPr>
                      <w:rFonts w:hint="eastAsia"/>
                      <w:color w:val="auto"/>
                      <w:sz w:val="21"/>
                      <w:szCs w:val="21"/>
                      <w:highlight w:val="none"/>
                      <w:lang w:val="en-US" w:eastAsia="zh-CN"/>
                    </w:rPr>
                    <w:t>mg/m</w:t>
                  </w:r>
                  <w:r>
                    <w:rPr>
                      <w:rFonts w:hint="eastAsia"/>
                      <w:color w:val="auto"/>
                      <w:sz w:val="21"/>
                      <w:szCs w:val="21"/>
                      <w:highlight w:val="none"/>
                      <w:vertAlign w:val="superscript"/>
                      <w:lang w:val="en-US" w:eastAsia="zh-CN"/>
                    </w:rPr>
                    <w:t>3</w:t>
                  </w:r>
                </w:p>
              </w:tc>
              <w:tc>
                <w:tcPr>
                  <w:tcW w:w="91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排放</w:t>
                  </w:r>
                  <w:r>
                    <w:rPr>
                      <w:rFonts w:hint="eastAsia" w:ascii="Times New Roman" w:hAnsi="Times New Roman" w:cs="Times New Roman"/>
                      <w:color w:val="auto"/>
                      <w:sz w:val="21"/>
                      <w:szCs w:val="21"/>
                      <w:highlight w:val="none"/>
                      <w:lang w:val="en-US" w:eastAsia="zh-CN"/>
                    </w:rPr>
                    <w:t>速率kg/h</w:t>
                  </w:r>
                </w:p>
              </w:tc>
              <w:tc>
                <w:tcPr>
                  <w:tcW w:w="1223"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污染治理措施</w:t>
                  </w:r>
                </w:p>
              </w:tc>
              <w:tc>
                <w:tcPr>
                  <w:tcW w:w="944"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cs="Times New Roman"/>
                      <w:color w:val="auto"/>
                      <w:sz w:val="21"/>
                      <w:szCs w:val="21"/>
                      <w:highlight w:val="none"/>
                      <w:lang w:val="en-US" w:eastAsia="zh-CN"/>
                    </w:rPr>
                    <w:t>最高允许排放</w:t>
                  </w:r>
                  <w:r>
                    <w:rPr>
                      <w:rFonts w:hint="eastAsia" w:ascii="Times New Roman" w:hAnsi="Times New Roman" w:cs="Times New Roman"/>
                      <w:color w:val="auto"/>
                      <w:sz w:val="21"/>
                      <w:szCs w:val="21"/>
                      <w:highlight w:val="none"/>
                      <w:lang w:val="en-US" w:eastAsia="zh-CN"/>
                    </w:rPr>
                    <w:t>浓度</w:t>
                  </w:r>
                  <w:r>
                    <w:rPr>
                      <w:rFonts w:hint="eastAsia"/>
                      <w:color w:val="auto"/>
                      <w:sz w:val="21"/>
                      <w:szCs w:val="21"/>
                      <w:highlight w:val="none"/>
                      <w:lang w:val="en-US" w:eastAsia="zh-CN"/>
                    </w:rPr>
                    <w:t>mg/m</w:t>
                  </w:r>
                  <w:r>
                    <w:rPr>
                      <w:rFonts w:hint="eastAsia"/>
                      <w:color w:val="auto"/>
                      <w:sz w:val="21"/>
                      <w:szCs w:val="21"/>
                      <w:highlight w:val="none"/>
                      <w:vertAlign w:val="superscript"/>
                      <w:lang w:val="en-US" w:eastAsia="zh-CN"/>
                    </w:rPr>
                    <w:t>3</w:t>
                  </w:r>
                </w:p>
              </w:tc>
              <w:tc>
                <w:tcPr>
                  <w:tcW w:w="995"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最高允许排放</w:t>
                  </w:r>
                  <w:r>
                    <w:rPr>
                      <w:rFonts w:hint="eastAsia" w:ascii="Times New Roman" w:hAnsi="Times New Roman" w:cs="Times New Roman"/>
                      <w:color w:val="auto"/>
                      <w:sz w:val="21"/>
                      <w:szCs w:val="21"/>
                      <w:highlight w:val="none"/>
                      <w:lang w:val="en-US" w:eastAsia="zh-CN"/>
                    </w:rPr>
                    <w:t>速率kg/h</w:t>
                  </w:r>
                </w:p>
              </w:tc>
              <w:tc>
                <w:tcPr>
                  <w:tcW w:w="71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jc w:val="center"/>
              </w:trPr>
              <w:tc>
                <w:tcPr>
                  <w:tcW w:w="778" w:type="dxa"/>
                  <w:vMerge w:val="restart"/>
                  <w:tcBorders>
                    <w:top w:val="nil"/>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 xml:space="preserve">DA001 </w:t>
                  </w:r>
                </w:p>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bidi="ar-SA"/>
                    </w:rPr>
                    <w:t>污水处理废气排放口</w:t>
                  </w:r>
                </w:p>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c>
                <w:tcPr>
                  <w:tcW w:w="915" w:type="dxa"/>
                  <w:tcBorders>
                    <w:top w:val="single" w:color="auto" w:sz="4" w:space="0"/>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NH</w:t>
                  </w:r>
                  <w:r>
                    <w:rPr>
                      <w:rFonts w:hint="eastAsia" w:cs="Times New Roman"/>
                      <w:bCs/>
                      <w:color w:val="auto"/>
                      <w:kern w:val="0"/>
                      <w:sz w:val="21"/>
                      <w:szCs w:val="21"/>
                      <w:highlight w:val="none"/>
                      <w:vertAlign w:val="subscript"/>
                      <w:lang w:val="en-US" w:eastAsia="zh-CN" w:bidi="ar-SA"/>
                    </w:rPr>
                    <w:t>3</w:t>
                  </w:r>
                </w:p>
              </w:tc>
              <w:tc>
                <w:tcPr>
                  <w:tcW w:w="91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w:t>
                  </w:r>
                </w:p>
              </w:tc>
              <w:tc>
                <w:tcPr>
                  <w:tcW w:w="919" w:type="dxa"/>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1.14×10</w:t>
                  </w:r>
                  <w:r>
                    <w:rPr>
                      <w:rFonts w:hint="eastAsia"/>
                      <w:color w:val="auto"/>
                      <w:sz w:val="21"/>
                      <w:szCs w:val="21"/>
                      <w:highlight w:val="none"/>
                      <w:vertAlign w:val="superscript"/>
                      <w:lang w:val="en-US" w:eastAsia="zh-CN"/>
                    </w:rPr>
                    <w:t>-6</w:t>
                  </w:r>
                </w:p>
              </w:tc>
              <w:tc>
                <w:tcPr>
                  <w:tcW w:w="1223" w:type="dxa"/>
                  <w:vMerge w:val="restart"/>
                  <w:tcBorders>
                    <w:top w:val="single" w:color="auto" w:sz="4" w:space="0"/>
                    <w:left w:val="nil"/>
                    <w:right w:val="single" w:color="auto" w:sz="4" w:space="0"/>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管道收集经</w:t>
                  </w:r>
                  <w:r>
                    <w:rPr>
                      <w:rFonts w:hint="default"/>
                      <w:color w:val="auto"/>
                      <w:sz w:val="21"/>
                      <w:szCs w:val="21"/>
                      <w:highlight w:val="none"/>
                      <w:lang w:val="en-US" w:eastAsia="zh-CN"/>
                    </w:rPr>
                    <w:t>“</w:t>
                  </w:r>
                  <w:r>
                    <w:rPr>
                      <w:rFonts w:hint="eastAsia"/>
                      <w:color w:val="auto"/>
                      <w:sz w:val="21"/>
                      <w:szCs w:val="21"/>
                      <w:highlight w:val="none"/>
                      <w:lang w:val="en-US" w:eastAsia="zh-CN"/>
                    </w:rPr>
                    <w:t>活性炭</w:t>
                  </w:r>
                  <w:r>
                    <w:rPr>
                      <w:rFonts w:hint="default"/>
                      <w:color w:val="auto"/>
                      <w:sz w:val="21"/>
                      <w:szCs w:val="21"/>
                      <w:highlight w:val="none"/>
                      <w:lang w:val="en-US" w:eastAsia="zh-CN"/>
                    </w:rPr>
                    <w:t>”</w:t>
                  </w:r>
                  <w:r>
                    <w:rPr>
                      <w:rFonts w:hint="eastAsia"/>
                      <w:color w:val="auto"/>
                      <w:sz w:val="21"/>
                      <w:szCs w:val="21"/>
                      <w:highlight w:val="none"/>
                      <w:lang w:val="en-US" w:eastAsia="zh-CN"/>
                    </w:rPr>
                    <w:t xml:space="preserve">处 </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color w:val="auto"/>
                      <w:sz w:val="21"/>
                      <w:szCs w:val="21"/>
                      <w:highlight w:val="none"/>
                      <w:lang w:val="en-US" w:eastAsia="zh-CN"/>
                    </w:rPr>
                    <w:t xml:space="preserve">理由 </w:t>
                  </w:r>
                  <w:r>
                    <w:rPr>
                      <w:rFonts w:hint="default"/>
                      <w:color w:val="auto"/>
                      <w:sz w:val="21"/>
                      <w:szCs w:val="21"/>
                      <w:highlight w:val="none"/>
                      <w:lang w:val="en-US" w:eastAsia="zh-CN"/>
                    </w:rPr>
                    <w:t xml:space="preserve">15 </w:t>
                  </w:r>
                  <w:r>
                    <w:rPr>
                      <w:rFonts w:hint="eastAsia"/>
                      <w:color w:val="auto"/>
                      <w:sz w:val="21"/>
                      <w:szCs w:val="21"/>
                      <w:highlight w:val="none"/>
                      <w:lang w:val="en-US" w:eastAsia="zh-CN"/>
                    </w:rPr>
                    <w:t>米高排气筒排放</w:t>
                  </w:r>
                </w:p>
              </w:tc>
              <w:tc>
                <w:tcPr>
                  <w:tcW w:w="944" w:type="dxa"/>
                  <w:tcBorders>
                    <w:top w:val="single" w:color="auto" w:sz="4" w:space="0"/>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w:t>
                  </w:r>
                </w:p>
              </w:tc>
              <w:tc>
                <w:tcPr>
                  <w:tcW w:w="995" w:type="dxa"/>
                  <w:tcBorders>
                    <w:left w:val="nil"/>
                    <w:right w:val="single" w:color="auto" w:sz="4" w:space="0"/>
                  </w:tcBorders>
                  <w:noWrap w:val="0"/>
                  <w:vAlign w:val="center"/>
                </w:tcPr>
                <w:p>
                  <w:pPr>
                    <w:pStyle w:val="141"/>
                    <w:spacing w:before="0" w:beforeLines="0" w:after="0" w:afterLines="0"/>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4.9</w:t>
                  </w:r>
                </w:p>
              </w:tc>
              <w:tc>
                <w:tcPr>
                  <w:tcW w:w="717" w:type="dxa"/>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jc w:val="center"/>
              </w:trPr>
              <w:tc>
                <w:tcPr>
                  <w:tcW w:w="77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color w:val="auto"/>
                      <w:sz w:val="21"/>
                      <w:szCs w:val="21"/>
                      <w:highlight w:val="none"/>
                    </w:rPr>
                  </w:pPr>
                </w:p>
              </w:tc>
              <w:tc>
                <w:tcPr>
                  <w:tcW w:w="915" w:type="dxa"/>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H</w:t>
                  </w:r>
                  <w:r>
                    <w:rPr>
                      <w:rFonts w:hint="eastAsia" w:cs="Times New Roman"/>
                      <w:bCs/>
                      <w:color w:val="auto"/>
                      <w:kern w:val="0"/>
                      <w:sz w:val="21"/>
                      <w:szCs w:val="21"/>
                      <w:highlight w:val="none"/>
                      <w:vertAlign w:val="subscript"/>
                      <w:lang w:val="en-US" w:eastAsia="zh-CN" w:bidi="ar-SA"/>
                    </w:rPr>
                    <w:t>2</w:t>
                  </w:r>
                  <w:r>
                    <w:rPr>
                      <w:rFonts w:hint="eastAsia" w:cs="Times New Roman"/>
                      <w:bCs/>
                      <w:color w:val="auto"/>
                      <w:kern w:val="0"/>
                      <w:sz w:val="21"/>
                      <w:szCs w:val="21"/>
                      <w:highlight w:val="none"/>
                      <w:vertAlign w:val="baseline"/>
                      <w:lang w:val="en-US" w:eastAsia="zh-CN" w:bidi="ar-SA"/>
                    </w:rPr>
                    <w:t>S</w:t>
                  </w:r>
                </w:p>
              </w:tc>
              <w:tc>
                <w:tcPr>
                  <w:tcW w:w="91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w:t>
                  </w:r>
                </w:p>
              </w:tc>
              <w:tc>
                <w:tcPr>
                  <w:tcW w:w="919" w:type="dxa"/>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3.88×10</w:t>
                  </w:r>
                  <w:r>
                    <w:rPr>
                      <w:rFonts w:hint="eastAsia"/>
                      <w:color w:val="auto"/>
                      <w:sz w:val="21"/>
                      <w:szCs w:val="21"/>
                      <w:highlight w:val="none"/>
                      <w:vertAlign w:val="superscript"/>
                      <w:lang w:val="en-US" w:eastAsia="zh-CN"/>
                    </w:rPr>
                    <w:t>-7</w:t>
                  </w:r>
                </w:p>
              </w:tc>
              <w:tc>
                <w:tcPr>
                  <w:tcW w:w="1223"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c>
                <w:tcPr>
                  <w:tcW w:w="944" w:type="dxa"/>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w:t>
                  </w:r>
                </w:p>
              </w:tc>
              <w:tc>
                <w:tcPr>
                  <w:tcW w:w="995" w:type="dxa"/>
                  <w:tcBorders>
                    <w:left w:val="nil"/>
                    <w:right w:val="single" w:color="auto" w:sz="4" w:space="0"/>
                  </w:tcBorders>
                  <w:noWrap w:val="0"/>
                  <w:vAlign w:val="center"/>
                </w:tcPr>
                <w:p>
                  <w:pPr>
                    <w:pStyle w:val="141"/>
                    <w:spacing w:before="0" w:beforeLines="0" w:after="0" w:afterLines="0"/>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0.33</w:t>
                  </w:r>
                </w:p>
              </w:tc>
              <w:tc>
                <w:tcPr>
                  <w:tcW w:w="717" w:type="dxa"/>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jc w:val="center"/>
              </w:trPr>
              <w:tc>
                <w:tcPr>
                  <w:tcW w:w="77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c>
                <w:tcPr>
                  <w:tcW w:w="915" w:type="dxa"/>
                  <w:tcBorders>
                    <w:left w:val="nil"/>
                    <w:right w:val="single" w:color="auto" w:sz="4" w:space="0"/>
                  </w:tcBorders>
                  <w:noWrap w:val="0"/>
                  <w:vAlign w:val="center"/>
                </w:tcPr>
                <w:p>
                  <w:pPr>
                    <w:pStyle w:val="141"/>
                    <w:spacing w:before="0" w:beforeLines="0" w:after="0" w:afterLines="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cs="Times New Roman"/>
                      <w:color w:val="auto"/>
                      <w:sz w:val="21"/>
                      <w:szCs w:val="21"/>
                      <w:highlight w:val="none"/>
                      <w:lang w:val="en-US" w:eastAsia="zh-CN"/>
                    </w:rPr>
                    <w:t>臭气浓度</w:t>
                  </w:r>
                </w:p>
              </w:tc>
              <w:tc>
                <w:tcPr>
                  <w:tcW w:w="919" w:type="dxa"/>
                  <w:tcBorders>
                    <w:top w:val="single" w:color="auto" w:sz="4" w:space="0"/>
                    <w:left w:val="nil"/>
                    <w:bottom w:val="single" w:color="auto" w:sz="4" w:space="0"/>
                    <w:right w:val="single" w:color="auto" w:sz="4" w:space="0"/>
                  </w:tcBorders>
                  <w:noWrap w:val="0"/>
                  <w:vAlign w:val="center"/>
                </w:tcPr>
                <w:p>
                  <w:pPr>
                    <w:pStyle w:val="141"/>
                    <w:spacing w:before="0" w:beforeLines="0" w:after="0" w:afterLines="0"/>
                    <w:jc w:val="center"/>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cs="Times New Roman"/>
                      <w:bCs/>
                      <w:color w:val="auto"/>
                      <w:kern w:val="0"/>
                      <w:sz w:val="21"/>
                      <w:szCs w:val="21"/>
                      <w:highlight w:val="none"/>
                      <w:vertAlign w:val="baseline"/>
                      <w:lang w:val="en-US" w:eastAsia="zh-CN" w:bidi="ar-SA"/>
                    </w:rPr>
                    <w:t>/</w:t>
                  </w:r>
                </w:p>
              </w:tc>
              <w:tc>
                <w:tcPr>
                  <w:tcW w:w="919" w:type="dxa"/>
                  <w:tcBorders>
                    <w:top w:val="single" w:color="auto" w:sz="4" w:space="0"/>
                    <w:left w:val="nil"/>
                    <w:bottom w:val="single" w:color="auto" w:sz="4" w:space="0"/>
                    <w:right w:val="single" w:color="auto" w:sz="4" w:space="0"/>
                  </w:tcBorders>
                  <w:noWrap w:val="0"/>
                  <w:vAlign w:val="center"/>
                </w:tcPr>
                <w:p>
                  <w:pPr>
                    <w:pStyle w:val="141"/>
                    <w:spacing w:before="0" w:beforeLines="0" w:after="0" w:afterLine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223"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p>
              </w:tc>
              <w:tc>
                <w:tcPr>
                  <w:tcW w:w="944" w:type="dxa"/>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w:t>
                  </w:r>
                </w:p>
              </w:tc>
              <w:tc>
                <w:tcPr>
                  <w:tcW w:w="995" w:type="dxa"/>
                  <w:tcBorders>
                    <w:left w:val="nil"/>
                    <w:right w:val="single" w:color="auto" w:sz="4" w:space="0"/>
                  </w:tcBorders>
                  <w:noWrap w:val="0"/>
                  <w:vAlign w:val="center"/>
                </w:tcPr>
                <w:p>
                  <w:pPr>
                    <w:pStyle w:val="141"/>
                    <w:spacing w:before="0" w:beforeLines="0" w:after="0" w:afterLines="0"/>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2000</w:t>
                  </w:r>
                </w:p>
              </w:tc>
              <w:tc>
                <w:tcPr>
                  <w:tcW w:w="717" w:type="dxa"/>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bl>
          <w:p>
            <w:pPr>
              <w:keepNext w:val="0"/>
              <w:keepLines w:val="0"/>
              <w:widowControl/>
              <w:suppressLineNumbers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由上表可知，拟建项目污水处理站产生的 NH</w:t>
            </w:r>
            <w:r>
              <w:rPr>
                <w:rFonts w:hint="eastAsia" w:ascii="宋体" w:hAnsi="宋体" w:eastAsia="宋体" w:cs="宋体"/>
                <w:color w:val="auto"/>
                <w:kern w:val="0"/>
                <w:sz w:val="24"/>
                <w:szCs w:val="24"/>
                <w:highlight w:val="none"/>
                <w:vertAlign w:val="subscript"/>
                <w:lang w:val="en-US" w:eastAsia="zh-CN" w:bidi="ar"/>
              </w:rPr>
              <w:t>3</w:t>
            </w:r>
            <w:r>
              <w:rPr>
                <w:rFonts w:hint="eastAsia" w:ascii="宋体" w:hAnsi="宋体" w:eastAsia="宋体" w:cs="宋体"/>
                <w:color w:val="auto"/>
                <w:kern w:val="0"/>
                <w:sz w:val="24"/>
                <w:szCs w:val="24"/>
                <w:highlight w:val="none"/>
                <w:lang w:val="en-US" w:eastAsia="zh-CN" w:bidi="ar"/>
              </w:rPr>
              <w:t>、H</w:t>
            </w:r>
            <w:r>
              <w:rPr>
                <w:rFonts w:hint="eastAsia" w:ascii="宋体" w:hAnsi="宋体" w:eastAsia="宋体" w:cs="宋体"/>
                <w:color w:val="auto"/>
                <w:kern w:val="0"/>
                <w:sz w:val="24"/>
                <w:szCs w:val="24"/>
                <w:highlight w:val="none"/>
                <w:vertAlign w:val="subscript"/>
                <w:lang w:val="en-US" w:eastAsia="zh-CN" w:bidi="ar"/>
              </w:rPr>
              <w:t>2</w:t>
            </w:r>
            <w:r>
              <w:rPr>
                <w:rFonts w:hint="eastAsia" w:ascii="宋体" w:hAnsi="宋体" w:eastAsia="宋体" w:cs="宋体"/>
                <w:color w:val="auto"/>
                <w:kern w:val="0"/>
                <w:sz w:val="24"/>
                <w:szCs w:val="24"/>
                <w:highlight w:val="none"/>
                <w:lang w:val="en-US" w:eastAsia="zh-CN" w:bidi="ar"/>
              </w:rPr>
              <w:t xml:space="preserve">S、臭气浓度均满足 </w:t>
            </w:r>
          </w:p>
          <w:p>
            <w:pPr>
              <w:keepNext w:val="0"/>
              <w:keepLines w:val="0"/>
              <w:widowControl/>
              <w:suppressLineNumbers w:val="0"/>
              <w:ind w:left="0" w:lef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《恶臭污染物排放标准》（GB14554-1993）中最高允许排放要求。</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b/>
                <w:bCs/>
                <w:color w:val="auto"/>
                <w:highlight w:val="none"/>
                <w:lang w:val="en-US" w:eastAsia="zh-CN"/>
              </w:rPr>
            </w:pPr>
            <w:r>
              <w:rPr>
                <w:rFonts w:hint="eastAsia"/>
                <w:b/>
                <w:bCs/>
                <w:color w:val="auto"/>
                <w:highlight w:val="none"/>
                <w:lang w:val="en-US" w:eastAsia="zh-CN"/>
              </w:rPr>
              <w:t>6、非</w:t>
            </w:r>
            <w:r>
              <w:rPr>
                <w:rFonts w:hint="eastAsia"/>
                <w:b/>
                <w:bCs/>
                <w:color w:val="auto"/>
                <w:highlight w:val="none"/>
                <w:lang w:eastAsia="zh-CN"/>
              </w:rPr>
              <w:t>正常工况</w:t>
            </w:r>
          </w:p>
          <w:p>
            <w:pPr>
              <w:keepNext w:val="0"/>
              <w:keepLines w:val="0"/>
              <w:pageBreakBefore w:val="0"/>
              <w:widowControl/>
              <w:suppressLineNumbers w:val="0"/>
              <w:kinsoku/>
              <w:wordWrap/>
              <w:overflowPunct/>
              <w:topLinePunct w:val="0"/>
              <w:autoSpaceDE/>
              <w:autoSpaceDN/>
              <w:bidi w:val="0"/>
              <w:spacing w:line="36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拟建项目非正常工况废气污染物排放情况详见表 </w:t>
            </w:r>
            <w:r>
              <w:rPr>
                <w:rFonts w:hint="default" w:ascii="宋体" w:hAnsi="宋体" w:eastAsia="宋体" w:cs="宋体"/>
                <w:color w:val="auto"/>
                <w:kern w:val="0"/>
                <w:sz w:val="24"/>
                <w:szCs w:val="24"/>
                <w:highlight w:val="none"/>
                <w:lang w:val="en-US" w:eastAsia="zh-CN" w:bidi="ar"/>
              </w:rPr>
              <w:t>4</w:t>
            </w:r>
            <w:r>
              <w:rPr>
                <w:rFonts w:hint="eastAsia" w:ascii="宋体" w:hAnsi="宋体" w:cs="宋体"/>
                <w:color w:val="auto"/>
                <w:kern w:val="0"/>
                <w:sz w:val="24"/>
                <w:szCs w:val="24"/>
                <w:highlight w:val="none"/>
                <w:lang w:val="en-US" w:eastAsia="zh-CN" w:bidi="ar"/>
              </w:rPr>
              <w:t>.8</w:t>
            </w:r>
            <w:r>
              <w:rPr>
                <w:rFonts w:hint="eastAsia" w:ascii="宋体" w:hAnsi="宋体" w:eastAsia="宋体" w:cs="宋体"/>
                <w:color w:val="auto"/>
                <w:kern w:val="0"/>
                <w:sz w:val="24"/>
                <w:szCs w:val="24"/>
                <w:highlight w:val="none"/>
                <w:lang w:val="en-US" w:eastAsia="zh-CN" w:bidi="ar"/>
              </w:rPr>
              <w:t>所示。</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rPr>
              <w:t>表</w:t>
            </w:r>
            <w:r>
              <w:rPr>
                <w:rFonts w:hint="eastAsia" w:ascii="Times New Roman" w:hAnsi="Times New Roman" w:eastAsia="宋体" w:cs="Times New Roman"/>
                <w:b/>
                <w:bCs w:val="0"/>
                <w:color w:val="auto"/>
                <w:kern w:val="0"/>
                <w:sz w:val="21"/>
                <w:szCs w:val="21"/>
                <w:highlight w:val="none"/>
                <w:lang w:val="en-US" w:eastAsia="zh-CN"/>
              </w:rPr>
              <w:t>4.</w:t>
            </w:r>
            <w:r>
              <w:rPr>
                <w:rFonts w:hint="eastAsia" w:cs="Times New Roman"/>
                <w:b/>
                <w:bCs w:val="0"/>
                <w:color w:val="auto"/>
                <w:kern w:val="0"/>
                <w:sz w:val="21"/>
                <w:szCs w:val="21"/>
                <w:highlight w:val="none"/>
                <w:lang w:val="en-US" w:eastAsia="zh-CN"/>
              </w:rPr>
              <w:t>8</w:t>
            </w:r>
            <w:r>
              <w:rPr>
                <w:rFonts w:hint="eastAsia" w:ascii="Times New Roman" w:hAnsi="Times New Roman" w:eastAsia="宋体" w:cs="Times New Roman"/>
                <w:b/>
                <w:bCs w:val="0"/>
                <w:color w:val="auto"/>
                <w:kern w:val="0"/>
                <w:sz w:val="21"/>
                <w:szCs w:val="21"/>
                <w:highlight w:val="none"/>
                <w:lang w:val="en-US" w:eastAsia="zh-CN"/>
              </w:rPr>
              <w:t xml:space="preserve">  </w:t>
            </w:r>
            <w:r>
              <w:rPr>
                <w:rFonts w:hint="eastAsia" w:cs="Times New Roman"/>
                <w:b/>
                <w:bCs w:val="0"/>
                <w:color w:val="auto"/>
                <w:kern w:val="0"/>
                <w:sz w:val="21"/>
                <w:szCs w:val="21"/>
                <w:highlight w:val="none"/>
                <w:lang w:eastAsia="zh-CN"/>
              </w:rPr>
              <w:t>全院</w:t>
            </w:r>
            <w:r>
              <w:rPr>
                <w:rFonts w:hint="default" w:ascii="Times New Roman" w:hAnsi="Times New Roman" w:eastAsia="宋体" w:cs="Times New Roman"/>
                <w:b/>
                <w:bCs w:val="0"/>
                <w:color w:val="auto"/>
                <w:kern w:val="0"/>
                <w:sz w:val="21"/>
                <w:szCs w:val="21"/>
                <w:highlight w:val="none"/>
              </w:rPr>
              <w:t>非正常工况排放废气汇总表</w:t>
            </w:r>
          </w:p>
          <w:tbl>
            <w:tblPr>
              <w:tblStyle w:val="30"/>
              <w:tblW w:w="74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873"/>
              <w:gridCol w:w="959"/>
              <w:gridCol w:w="950"/>
              <w:gridCol w:w="824"/>
              <w:gridCol w:w="926"/>
              <w:gridCol w:w="722"/>
              <w:gridCol w:w="824"/>
              <w:gridCol w:w="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8" w:type="dxa"/>
                  <w:noWrap w:val="0"/>
                  <w:vAlign w:val="center"/>
                </w:tcPr>
                <w:p>
                  <w:pPr>
                    <w:pStyle w:val="137"/>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bCs/>
                      <w:color w:val="auto"/>
                      <w:kern w:val="0"/>
                      <w:sz w:val="21"/>
                      <w:szCs w:val="21"/>
                      <w:highlight w:val="none"/>
                      <w:vertAlign w:val="baseline"/>
                      <w:lang w:val="en-US" w:eastAsia="zh-CN" w:bidi="ar-SA"/>
                    </w:rPr>
                  </w:pPr>
                  <w:r>
                    <w:rPr>
                      <w:rFonts w:hint="eastAsia" w:ascii="Times New Roman" w:hAnsi="Times New Roman" w:eastAsia="宋体" w:cs="Times New Roman"/>
                      <w:b w:val="0"/>
                      <w:bCs/>
                      <w:color w:val="auto"/>
                      <w:kern w:val="0"/>
                      <w:sz w:val="21"/>
                      <w:szCs w:val="21"/>
                      <w:highlight w:val="none"/>
                      <w:vertAlign w:val="baseline"/>
                      <w:lang w:val="en-US" w:eastAsia="zh-CN" w:bidi="ar-SA"/>
                    </w:rPr>
                    <w:t>序</w:t>
                  </w:r>
                  <w:r>
                    <w:rPr>
                      <w:rFonts w:hint="eastAsia" w:cs="Times New Roman"/>
                      <w:b w:val="0"/>
                      <w:bCs/>
                      <w:color w:val="auto"/>
                      <w:kern w:val="0"/>
                      <w:sz w:val="21"/>
                      <w:szCs w:val="21"/>
                      <w:highlight w:val="none"/>
                      <w:vertAlign w:val="baseline"/>
                      <w:lang w:val="en-US" w:eastAsia="zh-CN" w:bidi="ar-SA"/>
                    </w:rPr>
                    <w:t>序号</w:t>
                  </w:r>
                </w:p>
              </w:tc>
              <w:tc>
                <w:tcPr>
                  <w:tcW w:w="873"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b w:val="0"/>
                      <w:bCs/>
                      <w:color w:val="auto"/>
                      <w:kern w:val="0"/>
                      <w:sz w:val="21"/>
                      <w:szCs w:val="21"/>
                      <w:highlight w:val="none"/>
                      <w:vertAlign w:val="baseline"/>
                      <w:lang w:val="en-US" w:eastAsia="zh-CN" w:bidi="ar-SA"/>
                    </w:rPr>
                  </w:pPr>
                  <w:r>
                    <w:rPr>
                      <w:rFonts w:hint="eastAsia" w:ascii="Times New Roman" w:hAnsi="Times New Roman" w:eastAsia="宋体" w:cs="Times New Roman"/>
                      <w:b w:val="0"/>
                      <w:bCs/>
                      <w:color w:val="auto"/>
                      <w:kern w:val="0"/>
                      <w:sz w:val="21"/>
                      <w:szCs w:val="21"/>
                      <w:highlight w:val="none"/>
                      <w:vertAlign w:val="baseline"/>
                      <w:lang w:val="en-US" w:eastAsia="zh-CN" w:bidi="ar-SA"/>
                    </w:rPr>
                    <w:t>污染源</w:t>
                  </w:r>
                </w:p>
              </w:tc>
              <w:tc>
                <w:tcPr>
                  <w:tcW w:w="959"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b w:val="0"/>
                      <w:bCs/>
                      <w:color w:val="auto"/>
                      <w:kern w:val="0"/>
                      <w:sz w:val="21"/>
                      <w:szCs w:val="21"/>
                      <w:highlight w:val="none"/>
                      <w:vertAlign w:val="baseline"/>
                      <w:lang w:val="en-US" w:eastAsia="zh-CN" w:bidi="ar-SA"/>
                    </w:rPr>
                  </w:pPr>
                  <w:r>
                    <w:rPr>
                      <w:rFonts w:hint="eastAsia" w:ascii="Times New Roman" w:hAnsi="Times New Roman" w:eastAsia="宋体" w:cs="Times New Roman"/>
                      <w:b w:val="0"/>
                      <w:bCs/>
                      <w:color w:val="auto"/>
                      <w:kern w:val="0"/>
                      <w:sz w:val="21"/>
                      <w:szCs w:val="21"/>
                      <w:highlight w:val="none"/>
                      <w:vertAlign w:val="baseline"/>
                      <w:lang w:val="en-US" w:eastAsia="zh-CN" w:bidi="ar-SA"/>
                    </w:rPr>
                    <w:t>非正常排放原因</w:t>
                  </w:r>
                </w:p>
              </w:tc>
              <w:tc>
                <w:tcPr>
                  <w:tcW w:w="950"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b w:val="0"/>
                      <w:bCs/>
                      <w:color w:val="auto"/>
                      <w:kern w:val="0"/>
                      <w:sz w:val="21"/>
                      <w:szCs w:val="21"/>
                      <w:highlight w:val="none"/>
                      <w:vertAlign w:val="baseline"/>
                      <w:lang w:val="en-US" w:eastAsia="zh-CN" w:bidi="ar-SA"/>
                    </w:rPr>
                  </w:pPr>
                  <w:r>
                    <w:rPr>
                      <w:rFonts w:hint="eastAsia" w:ascii="Times New Roman" w:hAnsi="Times New Roman" w:eastAsia="宋体" w:cs="Times New Roman"/>
                      <w:b w:val="0"/>
                      <w:bCs/>
                      <w:color w:val="auto"/>
                      <w:kern w:val="0"/>
                      <w:sz w:val="21"/>
                      <w:szCs w:val="21"/>
                      <w:highlight w:val="none"/>
                      <w:vertAlign w:val="baseline"/>
                      <w:lang w:val="en-US" w:eastAsia="zh-CN" w:bidi="ar-SA"/>
                    </w:rPr>
                    <w:t>污染物</w:t>
                  </w:r>
                </w:p>
              </w:tc>
              <w:tc>
                <w:tcPr>
                  <w:tcW w:w="824"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b w:val="0"/>
                      <w:bCs/>
                      <w:color w:val="auto"/>
                      <w:kern w:val="0"/>
                      <w:sz w:val="21"/>
                      <w:szCs w:val="21"/>
                      <w:highlight w:val="none"/>
                      <w:vertAlign w:val="baseline"/>
                      <w:lang w:val="en-US" w:eastAsia="zh-CN" w:bidi="ar-SA"/>
                    </w:rPr>
                  </w:pPr>
                  <w:r>
                    <w:rPr>
                      <w:rFonts w:hint="eastAsia" w:ascii="Times New Roman" w:hAnsi="Times New Roman" w:eastAsia="宋体" w:cs="Times New Roman"/>
                      <w:b w:val="0"/>
                      <w:bCs/>
                      <w:color w:val="auto"/>
                      <w:kern w:val="0"/>
                      <w:sz w:val="21"/>
                      <w:szCs w:val="21"/>
                      <w:highlight w:val="none"/>
                      <w:vertAlign w:val="baseline"/>
                      <w:lang w:val="en-US" w:eastAsia="zh-CN" w:bidi="ar-SA"/>
                    </w:rPr>
                    <w:t>非正常排放浓度（mg/m</w:t>
                  </w:r>
                  <w:r>
                    <w:rPr>
                      <w:rFonts w:hint="eastAsia" w:ascii="Times New Roman" w:hAnsi="Times New Roman" w:eastAsia="宋体" w:cs="Times New Roman"/>
                      <w:b w:val="0"/>
                      <w:bCs/>
                      <w:color w:val="auto"/>
                      <w:kern w:val="0"/>
                      <w:sz w:val="21"/>
                      <w:szCs w:val="21"/>
                      <w:highlight w:val="none"/>
                      <w:vertAlign w:val="superscript"/>
                      <w:lang w:val="en-US" w:eastAsia="zh-CN" w:bidi="ar-SA"/>
                    </w:rPr>
                    <w:t>3</w:t>
                  </w:r>
                  <w:r>
                    <w:rPr>
                      <w:rFonts w:hint="eastAsia" w:ascii="Times New Roman" w:hAnsi="Times New Roman" w:eastAsia="宋体" w:cs="Times New Roman"/>
                      <w:b w:val="0"/>
                      <w:bCs/>
                      <w:color w:val="auto"/>
                      <w:kern w:val="0"/>
                      <w:sz w:val="21"/>
                      <w:szCs w:val="21"/>
                      <w:highlight w:val="none"/>
                      <w:vertAlign w:val="baseline"/>
                      <w:lang w:val="en-US" w:eastAsia="zh-CN" w:bidi="ar-SA"/>
                    </w:rPr>
                    <w:t>）</w:t>
                  </w:r>
                </w:p>
              </w:tc>
              <w:tc>
                <w:tcPr>
                  <w:tcW w:w="92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非正常排放速率（kg/h）</w:t>
                  </w:r>
                </w:p>
              </w:tc>
              <w:tc>
                <w:tcPr>
                  <w:tcW w:w="722"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单次持续时间（h）</w:t>
                  </w:r>
                </w:p>
              </w:tc>
              <w:tc>
                <w:tcPr>
                  <w:tcW w:w="824" w:type="dxa"/>
                  <w:noWrap w:val="0"/>
                  <w:vAlign w:val="center"/>
                </w:tcPr>
                <w:p>
                  <w:pPr>
                    <w:pStyle w:val="1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年发生频次</w:t>
                  </w:r>
                </w:p>
              </w:tc>
              <w:tc>
                <w:tcPr>
                  <w:tcW w:w="824" w:type="dxa"/>
                  <w:noWrap w:val="0"/>
                  <w:vAlign w:val="center"/>
                </w:tcPr>
                <w:p>
                  <w:pPr>
                    <w:pStyle w:val="1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508" w:type="dxa"/>
                  <w:vMerge w:val="restart"/>
                  <w:noWrap w:val="0"/>
                  <w:vAlign w:val="center"/>
                </w:tcPr>
                <w:p>
                  <w:pPr>
                    <w:pStyle w:val="137"/>
                    <w:rPr>
                      <w:rFonts w:hint="eastAsia" w:ascii="Times New Roman" w:hAnsi="Times New Roman" w:eastAsia="宋体" w:cs="Times New Roman"/>
                      <w:b w:val="0"/>
                      <w:bCs/>
                      <w:color w:val="auto"/>
                      <w:kern w:val="0"/>
                      <w:sz w:val="21"/>
                      <w:szCs w:val="21"/>
                      <w:highlight w:val="none"/>
                      <w:vertAlign w:val="baseline"/>
                      <w:lang w:val="en-US" w:eastAsia="zh-CN" w:bidi="ar-SA"/>
                    </w:rPr>
                  </w:pPr>
                  <w:r>
                    <w:rPr>
                      <w:rFonts w:hint="eastAsia" w:cs="Times New Roman"/>
                      <w:b w:val="0"/>
                      <w:bCs/>
                      <w:color w:val="auto"/>
                      <w:kern w:val="0"/>
                      <w:sz w:val="21"/>
                      <w:szCs w:val="21"/>
                      <w:highlight w:val="none"/>
                      <w:vertAlign w:val="baseline"/>
                      <w:lang w:val="en-US" w:eastAsia="zh-CN" w:bidi="ar-SA"/>
                    </w:rPr>
                    <w:t>1</w:t>
                  </w:r>
                  <w:r>
                    <w:rPr>
                      <w:rFonts w:hint="eastAsia" w:ascii="Times New Roman" w:hAnsi="Times New Roman" w:eastAsia="宋体" w:cs="Times New Roman"/>
                      <w:b w:val="0"/>
                      <w:bCs/>
                      <w:color w:val="auto"/>
                      <w:kern w:val="0"/>
                      <w:sz w:val="21"/>
                      <w:szCs w:val="21"/>
                      <w:highlight w:val="none"/>
                      <w:vertAlign w:val="baseline"/>
                      <w:lang w:val="en-US" w:eastAsia="zh-CN" w:bidi="ar-SA"/>
                    </w:rPr>
                    <w:t>1</w:t>
                  </w:r>
                </w:p>
              </w:tc>
              <w:tc>
                <w:tcPr>
                  <w:tcW w:w="873"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eastAsia" w:cs="Times New Roman"/>
                      <w:b w:val="0"/>
                      <w:bCs/>
                      <w:color w:val="auto"/>
                      <w:kern w:val="0"/>
                      <w:sz w:val="21"/>
                      <w:szCs w:val="21"/>
                      <w:highlight w:val="none"/>
                      <w:vertAlign w:val="baseline"/>
                      <w:lang w:val="en-US" w:eastAsia="zh-CN" w:bidi="ar-SA"/>
                    </w:rPr>
                    <w:t>污水处理设施</w:t>
                  </w:r>
                </w:p>
              </w:tc>
              <w:tc>
                <w:tcPr>
                  <w:tcW w:w="959"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eastAsia" w:cs="Times New Roman"/>
                      <w:b w:val="0"/>
                      <w:bCs/>
                      <w:color w:val="auto"/>
                      <w:kern w:val="0"/>
                      <w:sz w:val="21"/>
                      <w:szCs w:val="21"/>
                      <w:highlight w:val="none"/>
                      <w:vertAlign w:val="baseline"/>
                      <w:lang w:val="en-US" w:eastAsia="zh-CN" w:bidi="ar-SA"/>
                    </w:rPr>
                    <w:t>活性炭失效</w:t>
                  </w:r>
                </w:p>
              </w:tc>
              <w:tc>
                <w:tcPr>
                  <w:tcW w:w="950"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NH</w:t>
                  </w:r>
                  <w:r>
                    <w:rPr>
                      <w:rFonts w:hint="eastAsia" w:cs="Times New Roman"/>
                      <w:bCs/>
                      <w:color w:val="auto"/>
                      <w:kern w:val="0"/>
                      <w:sz w:val="21"/>
                      <w:szCs w:val="21"/>
                      <w:highlight w:val="none"/>
                      <w:vertAlign w:val="subscript"/>
                      <w:lang w:val="en-US" w:eastAsia="zh-CN" w:bidi="ar-SA"/>
                    </w:rPr>
                    <w:t>3</w:t>
                  </w:r>
                </w:p>
              </w:tc>
              <w:tc>
                <w:tcPr>
                  <w:tcW w:w="824"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w:t>
                  </w:r>
                </w:p>
              </w:tc>
              <w:tc>
                <w:tcPr>
                  <w:tcW w:w="92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bCs/>
                      <w:color w:val="auto"/>
                      <w:kern w:val="0"/>
                      <w:sz w:val="21"/>
                      <w:szCs w:val="21"/>
                      <w:highlight w:val="none"/>
                      <w:vertAlign w:val="baseline"/>
                      <w:lang w:val="en-US" w:eastAsia="zh-CN" w:bidi="ar-SA"/>
                    </w:rPr>
                  </w:pPr>
                </w:p>
              </w:tc>
              <w:tc>
                <w:tcPr>
                  <w:tcW w:w="72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1</w:t>
                  </w:r>
                </w:p>
              </w:tc>
              <w:tc>
                <w:tcPr>
                  <w:tcW w:w="824" w:type="dxa"/>
                  <w:vMerge w:val="restart"/>
                  <w:noWrap w:val="0"/>
                  <w:vAlign w:val="center"/>
                </w:tcPr>
                <w:p>
                  <w:pPr>
                    <w:pStyle w:val="137"/>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vertAlign w:val="baseline"/>
                      <w:lang w:val="en-US" w:eastAsia="zh-CN" w:bidi="ar-SA"/>
                    </w:rPr>
                    <w:t>小概率</w:t>
                  </w:r>
                </w:p>
              </w:tc>
              <w:tc>
                <w:tcPr>
                  <w:tcW w:w="824" w:type="dxa"/>
                  <w:vMerge w:val="restart"/>
                  <w:noWrap w:val="0"/>
                  <w:vAlign w:val="center"/>
                </w:tcPr>
                <w:p>
                  <w:pPr>
                    <w:keepNext w:val="0"/>
                    <w:keepLines w:val="0"/>
                    <w:widowControl/>
                    <w:suppressLineNumbers w:val="0"/>
                    <w:ind w:left="0" w:leftChars="0" w:firstLine="0" w:firstLineChars="0"/>
                    <w:jc w:val="both"/>
                    <w:rPr>
                      <w:rFonts w:hint="default" w:ascii="宋体" w:hAnsi="宋体" w:eastAsia="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更换活性炭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8" w:type="dxa"/>
                  <w:vMerge w:val="continue"/>
                  <w:noWrap w:val="0"/>
                  <w:vAlign w:val="center"/>
                </w:tcPr>
                <w:p>
                  <w:pPr>
                    <w:pStyle w:val="137"/>
                    <w:rPr>
                      <w:rFonts w:hint="eastAsia" w:ascii="Times New Roman" w:hAnsi="Times New Roman" w:eastAsia="宋体" w:cs="Times New Roman"/>
                      <w:b w:val="0"/>
                      <w:bCs/>
                      <w:color w:val="auto"/>
                      <w:kern w:val="0"/>
                      <w:sz w:val="21"/>
                      <w:szCs w:val="21"/>
                      <w:highlight w:val="none"/>
                      <w:vertAlign w:val="baseline"/>
                      <w:lang w:val="en-US" w:eastAsia="zh-CN" w:bidi="ar-SA"/>
                    </w:rPr>
                  </w:pPr>
                </w:p>
              </w:tc>
              <w:tc>
                <w:tcPr>
                  <w:tcW w:w="87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b w:val="0"/>
                      <w:bCs/>
                      <w:color w:val="auto"/>
                      <w:kern w:val="0"/>
                      <w:sz w:val="21"/>
                      <w:szCs w:val="21"/>
                      <w:highlight w:val="none"/>
                      <w:vertAlign w:val="baseline"/>
                      <w:lang w:val="en-US" w:eastAsia="zh-CN" w:bidi="ar-SA"/>
                    </w:rPr>
                  </w:pPr>
                </w:p>
              </w:tc>
              <w:tc>
                <w:tcPr>
                  <w:tcW w:w="959"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b w:val="0"/>
                      <w:bCs/>
                      <w:color w:val="auto"/>
                      <w:kern w:val="0"/>
                      <w:sz w:val="21"/>
                      <w:szCs w:val="21"/>
                      <w:highlight w:val="none"/>
                      <w:vertAlign w:val="baseline"/>
                      <w:lang w:val="en-US" w:eastAsia="zh-CN" w:bidi="ar-SA"/>
                    </w:rPr>
                  </w:pPr>
                </w:p>
              </w:tc>
              <w:tc>
                <w:tcPr>
                  <w:tcW w:w="950"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H</w:t>
                  </w:r>
                  <w:r>
                    <w:rPr>
                      <w:rFonts w:hint="eastAsia" w:cs="Times New Roman"/>
                      <w:bCs/>
                      <w:color w:val="auto"/>
                      <w:kern w:val="0"/>
                      <w:sz w:val="21"/>
                      <w:szCs w:val="21"/>
                      <w:highlight w:val="none"/>
                      <w:vertAlign w:val="subscript"/>
                      <w:lang w:val="en-US" w:eastAsia="zh-CN" w:bidi="ar-SA"/>
                    </w:rPr>
                    <w:t>2</w:t>
                  </w:r>
                  <w:r>
                    <w:rPr>
                      <w:rFonts w:hint="eastAsia" w:cs="Times New Roman"/>
                      <w:bCs/>
                      <w:color w:val="auto"/>
                      <w:kern w:val="0"/>
                      <w:sz w:val="21"/>
                      <w:szCs w:val="21"/>
                      <w:highlight w:val="none"/>
                      <w:vertAlign w:val="baseline"/>
                      <w:lang w:val="en-US" w:eastAsia="zh-CN" w:bidi="ar-SA"/>
                    </w:rPr>
                    <w:t>S</w:t>
                  </w:r>
                </w:p>
              </w:tc>
              <w:tc>
                <w:tcPr>
                  <w:tcW w:w="824"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r>
                    <w:rPr>
                      <w:rFonts w:hint="eastAsia" w:cs="Times New Roman"/>
                      <w:bCs/>
                      <w:color w:val="auto"/>
                      <w:kern w:val="0"/>
                      <w:sz w:val="21"/>
                      <w:szCs w:val="21"/>
                      <w:highlight w:val="none"/>
                      <w:vertAlign w:val="baseline"/>
                      <w:lang w:val="en-US" w:eastAsia="zh-CN" w:bidi="ar-SA"/>
                    </w:rPr>
                    <w:t>/</w:t>
                  </w:r>
                </w:p>
              </w:tc>
              <w:tc>
                <w:tcPr>
                  <w:tcW w:w="92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bCs/>
                      <w:color w:val="auto"/>
                      <w:kern w:val="0"/>
                      <w:sz w:val="21"/>
                      <w:szCs w:val="21"/>
                      <w:highlight w:val="none"/>
                      <w:vertAlign w:val="baseline"/>
                      <w:lang w:val="en-US" w:eastAsia="zh-CN" w:bidi="ar-SA"/>
                    </w:rPr>
                  </w:pPr>
                </w:p>
              </w:tc>
              <w:tc>
                <w:tcPr>
                  <w:tcW w:w="72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bCs/>
                      <w:color w:val="auto"/>
                      <w:kern w:val="0"/>
                      <w:sz w:val="21"/>
                      <w:szCs w:val="21"/>
                      <w:highlight w:val="none"/>
                      <w:vertAlign w:val="baseline"/>
                      <w:lang w:val="en-US" w:eastAsia="zh-CN" w:bidi="ar-SA"/>
                    </w:rPr>
                  </w:pPr>
                </w:p>
              </w:tc>
              <w:tc>
                <w:tcPr>
                  <w:tcW w:w="824" w:type="dxa"/>
                  <w:vMerge w:val="continue"/>
                  <w:noWrap w:val="0"/>
                  <w:vAlign w:val="center"/>
                </w:tcPr>
                <w:p>
                  <w:pPr>
                    <w:pStyle w:val="137"/>
                    <w:jc w:val="center"/>
                    <w:rPr>
                      <w:rFonts w:hint="eastAsia" w:ascii="宋体" w:hAnsi="宋体" w:eastAsia="宋体" w:cs="宋体"/>
                      <w:b w:val="0"/>
                      <w:bCs w:val="0"/>
                      <w:color w:val="auto"/>
                      <w:sz w:val="21"/>
                      <w:szCs w:val="21"/>
                      <w:highlight w:val="none"/>
                      <w:vertAlign w:val="baseline"/>
                      <w:lang w:val="en-US" w:eastAsia="zh-CN"/>
                    </w:rPr>
                  </w:pPr>
                </w:p>
              </w:tc>
              <w:tc>
                <w:tcPr>
                  <w:tcW w:w="824" w:type="dxa"/>
                  <w:vMerge w:val="continue"/>
                  <w:noWrap w:val="0"/>
                  <w:vAlign w:val="center"/>
                </w:tcPr>
                <w:p>
                  <w:pPr>
                    <w:keepNext w:val="0"/>
                    <w:keepLines w:val="0"/>
                    <w:widowControl/>
                    <w:suppressLineNumbers w:val="0"/>
                    <w:jc w:val="left"/>
                    <w:rPr>
                      <w:rFonts w:hint="eastAsia" w:ascii="宋体" w:hAnsi="宋体" w:eastAsia="宋体" w:cs="宋体"/>
                      <w:b w:val="0"/>
                      <w:bCs w:val="0"/>
                      <w:color w:val="auto"/>
                      <w:kern w:val="2"/>
                      <w:sz w:val="21"/>
                      <w:szCs w:val="21"/>
                      <w:highlight w:val="none"/>
                      <w:vertAlign w:val="baseline"/>
                      <w:lang w:val="en-US" w:eastAsia="zh-CN" w:bidi="ar-SA"/>
                    </w:rPr>
                  </w:pP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b/>
                <w:bCs/>
                <w:color w:val="auto"/>
                <w:highlight w:val="none"/>
                <w:lang w:val="en-US" w:eastAsia="zh-CN"/>
              </w:rPr>
            </w:pPr>
            <w:r>
              <w:rPr>
                <w:rFonts w:hint="eastAsia"/>
                <w:b/>
                <w:bCs/>
                <w:color w:val="auto"/>
                <w:highlight w:val="none"/>
                <w:lang w:val="en-US" w:eastAsia="zh-CN"/>
              </w:rPr>
              <w:t>7、废气环境影响分析结论</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拟建项目位于奉节县羊市镇渔灯社区15社，属于乡镇卫生院，所在地属于环境空气二类区，区域属于达标区，项目服务羊市镇及周边居民卫生健康，污水处理站产生的臭气经管道收集经</w:t>
            </w:r>
            <w:r>
              <w:rPr>
                <w:rFonts w:hint="default"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活性炭</w:t>
            </w:r>
            <w:r>
              <w:rPr>
                <w:rFonts w:hint="default"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处理由</w:t>
            </w:r>
            <w:r>
              <w:rPr>
                <w:rFonts w:hint="default" w:ascii="宋体" w:hAnsi="宋体" w:eastAsia="宋体" w:cs="宋体"/>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米高排气筒排放，医疗废物暂存间废气收集经</w:t>
            </w:r>
            <w:r>
              <w:rPr>
                <w:rFonts w:hint="default"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活性炭</w:t>
            </w:r>
            <w:r>
              <w:rPr>
                <w:rFonts w:hint="default"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处理引至医废暂存间屋顶排放，且排放口朝向西北侧绿化带，对</w:t>
            </w:r>
            <w:r>
              <w:rPr>
                <w:rFonts w:hint="eastAsia" w:ascii="宋体" w:hAnsi="宋体" w:cs="宋体"/>
                <w:color w:val="auto"/>
                <w:kern w:val="0"/>
                <w:sz w:val="24"/>
                <w:szCs w:val="24"/>
                <w:highlight w:val="none"/>
                <w:lang w:val="en-US" w:eastAsia="zh-CN" w:bidi="ar"/>
              </w:rPr>
              <w:t>西侧、西南侧居民</w:t>
            </w:r>
            <w:r>
              <w:rPr>
                <w:rFonts w:hint="eastAsia" w:ascii="宋体" w:hAnsi="宋体" w:eastAsia="宋体" w:cs="宋体"/>
                <w:color w:val="auto"/>
                <w:kern w:val="0"/>
                <w:sz w:val="24"/>
                <w:szCs w:val="24"/>
                <w:highlight w:val="none"/>
                <w:lang w:val="en-US" w:eastAsia="zh-CN" w:bidi="ar"/>
              </w:rPr>
              <w:t>的影响较小。煎药废气</w:t>
            </w:r>
            <w:r>
              <w:rPr>
                <w:rFonts w:hint="eastAsia" w:ascii="宋体" w:hAnsi="宋体" w:cs="宋体"/>
                <w:color w:val="auto"/>
                <w:kern w:val="0"/>
                <w:sz w:val="24"/>
                <w:szCs w:val="24"/>
                <w:highlight w:val="none"/>
                <w:lang w:val="en-US" w:eastAsia="zh-CN" w:bidi="ar"/>
              </w:rPr>
              <w:t>、备用柴油发电机废气</w:t>
            </w:r>
            <w:r>
              <w:rPr>
                <w:rFonts w:hint="eastAsia" w:ascii="宋体" w:hAnsi="宋体" w:eastAsia="宋体" w:cs="宋体"/>
                <w:color w:val="auto"/>
                <w:kern w:val="0"/>
                <w:sz w:val="24"/>
                <w:szCs w:val="24"/>
                <w:highlight w:val="none"/>
                <w:lang w:val="en-US" w:eastAsia="zh-CN" w:bidi="ar"/>
              </w:rPr>
              <w:t>由专用烟道综合楼屋顶排放，综上，拟建项目废气排放口布局合理</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对周边环境影响较小。</w:t>
            </w:r>
          </w:p>
          <w:p>
            <w:pPr>
              <w:pStyle w:val="3"/>
              <w:bidi w:val="0"/>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4.3 废水环境影响分析</w:t>
            </w:r>
          </w:p>
          <w:p>
            <w:pPr>
              <w:pStyle w:val="4"/>
              <w:bidi w:val="0"/>
              <w:rPr>
                <w:rFonts w:hint="default"/>
                <w:color w:val="auto"/>
                <w:highlight w:val="none"/>
                <w:lang w:val="en-US" w:eastAsia="zh-CN"/>
              </w:rPr>
            </w:pPr>
            <w:r>
              <w:rPr>
                <w:rFonts w:hint="eastAsia"/>
                <w:color w:val="auto"/>
                <w:highlight w:val="none"/>
                <w:lang w:val="en-US" w:eastAsia="zh-CN"/>
              </w:rPr>
              <w:t>4.3.1 废水产排情况</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项目运营服务过程中主要废水类型为一般性医疗废水。</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医院运营过程中产生的软水制备浓水与医疗废水、生活污水一起经化粪池（设计处理能力为</w:t>
            </w:r>
            <w:r>
              <w:rPr>
                <w:rFonts w:hint="eastAsia" w:ascii="Times New Roman" w:hAnsi="Times New Roman" w:eastAsia="宋体" w:cs="Times New Roman"/>
                <w:color w:val="auto"/>
                <w:kern w:val="0"/>
                <w:sz w:val="24"/>
                <w:szCs w:val="24"/>
                <w:highlight w:val="none"/>
                <w:lang w:val="en-US" w:eastAsia="zh-CN" w:bidi="ar"/>
              </w:rPr>
              <w:t>36</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val="en-US" w:eastAsia="zh-CN" w:bidi="ar"/>
              </w:rPr>
              <w:t>）收集后进入一体化医疗废水处理设备（设计处理能力</w:t>
            </w:r>
            <w:r>
              <w:rPr>
                <w:rFonts w:hint="eastAsia" w:ascii="宋体" w:hAnsi="宋体" w:cs="宋体"/>
                <w:color w:val="auto"/>
                <w:kern w:val="0"/>
                <w:sz w:val="24"/>
                <w:szCs w:val="24"/>
                <w:highlight w:val="none"/>
                <w:lang w:val="en-US" w:eastAsia="zh-CN" w:bidi="ar"/>
              </w:rPr>
              <w:t>不小于36m</w:t>
            </w:r>
            <w:r>
              <w:rPr>
                <w:rFonts w:hint="eastAsia" w:ascii="宋体" w:hAnsi="宋体" w:cs="宋体"/>
                <w:color w:val="auto"/>
                <w:kern w:val="0"/>
                <w:sz w:val="24"/>
                <w:szCs w:val="24"/>
                <w:highlight w:val="none"/>
                <w:vertAlign w:val="superscript"/>
                <w:lang w:val="en-US" w:eastAsia="zh-CN" w:bidi="ar"/>
              </w:rPr>
              <w:t>3</w:t>
            </w:r>
            <w:r>
              <w:rPr>
                <w:rFonts w:hint="eastAsia" w:ascii="宋体" w:hAnsi="宋体" w:cs="宋体"/>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val="en-US" w:eastAsia="zh-CN" w:bidi="ar"/>
              </w:rPr>
              <w:t>，处理工艺：格栅池→化粪池→调节池→缺氧池→好氧池→二沉池→消毒</w:t>
            </w:r>
            <w:r>
              <w:rPr>
                <w:rFonts w:hint="eastAsia" w:ascii="宋体" w:hAnsi="宋体" w:cs="宋体"/>
                <w:color w:val="auto"/>
                <w:kern w:val="0"/>
                <w:sz w:val="24"/>
                <w:szCs w:val="24"/>
                <w:highlight w:val="none"/>
                <w:lang w:val="en-US" w:eastAsia="zh-CN" w:bidi="ar"/>
              </w:rPr>
              <w:t>池</w:t>
            </w:r>
            <w:r>
              <w:rPr>
                <w:rFonts w:hint="eastAsia" w:ascii="宋体" w:hAnsi="宋体" w:eastAsia="宋体" w:cs="宋体"/>
                <w:color w:val="auto"/>
                <w:kern w:val="0"/>
                <w:sz w:val="24"/>
                <w:szCs w:val="24"/>
                <w:highlight w:val="none"/>
                <w:lang w:val="en-US" w:eastAsia="zh-CN" w:bidi="ar"/>
              </w:rPr>
              <w:t>）处理达《医疗机构水污染物排放标准》（</w:t>
            </w:r>
            <w:r>
              <w:rPr>
                <w:rFonts w:hint="default" w:ascii="Times New Roman" w:hAnsi="Times New Roman" w:eastAsia="宋体" w:cs="Times New Roman"/>
                <w:color w:val="auto"/>
                <w:kern w:val="0"/>
                <w:sz w:val="24"/>
                <w:szCs w:val="24"/>
                <w:highlight w:val="none"/>
                <w:lang w:val="en-US" w:eastAsia="zh-CN" w:bidi="ar"/>
              </w:rPr>
              <w:t>GB518466-2005</w:t>
            </w:r>
            <w:r>
              <w:rPr>
                <w:rFonts w:hint="eastAsia" w:ascii="宋体" w:hAnsi="宋体" w:eastAsia="宋体" w:cs="宋体"/>
                <w:color w:val="auto"/>
                <w:kern w:val="0"/>
                <w:sz w:val="24"/>
                <w:szCs w:val="24"/>
                <w:highlight w:val="none"/>
                <w:lang w:val="en-US" w:eastAsia="zh-CN" w:bidi="ar"/>
              </w:rPr>
              <w:t>）预处理标准后通过市政污水管网排入羊市镇污水处理厂深度处理达《城镇污水处理厂污染物排放标准》 （</w:t>
            </w:r>
            <w:r>
              <w:rPr>
                <w:rFonts w:hint="default" w:ascii="Times New Roman" w:hAnsi="Times New Roman" w:eastAsia="宋体" w:cs="Times New Roman"/>
                <w:color w:val="auto"/>
                <w:kern w:val="0"/>
                <w:sz w:val="24"/>
                <w:szCs w:val="24"/>
                <w:highlight w:val="none"/>
                <w:lang w:val="en-US" w:eastAsia="zh-CN" w:bidi="ar"/>
              </w:rPr>
              <w:t>GB18918-2002</w:t>
            </w:r>
            <w:r>
              <w:rPr>
                <w:rFonts w:hint="eastAsia" w:ascii="宋体" w:hAnsi="宋体" w:eastAsia="宋体" w:cs="宋体"/>
                <w:color w:val="auto"/>
                <w:kern w:val="0"/>
                <w:sz w:val="24"/>
                <w:szCs w:val="24"/>
                <w:highlight w:val="none"/>
                <w:lang w:val="en-US" w:eastAsia="zh-CN" w:bidi="ar"/>
              </w:rPr>
              <w:t>）的一级</w:t>
            </w:r>
            <w:r>
              <w:rPr>
                <w:rFonts w:hint="eastAsia" w:ascii="Times New Roman" w:hAnsi="Times New Roman" w:eastAsia="宋体" w:cs="Times New Roman"/>
                <w:color w:val="auto"/>
                <w:kern w:val="0"/>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标准后排入长滩河。</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医疗污水中含有病菌和有机污染物，水质最大的特点是细菌、粪大肠 </w:t>
            </w:r>
          </w:p>
          <w:p>
            <w:pPr>
              <w:keepNext w:val="0"/>
              <w:keepLines w:val="0"/>
              <w:widowControl/>
              <w:suppressLineNumbers w:val="0"/>
              <w:ind w:left="0" w:leftChars="0" w:firstLine="0" w:firstLineChars="0"/>
              <w:jc w:val="left"/>
              <w:rPr>
                <w:color w:val="auto"/>
                <w:highlight w:val="none"/>
              </w:rPr>
            </w:pPr>
            <w:r>
              <w:rPr>
                <w:rFonts w:hint="eastAsia" w:ascii="宋体" w:hAnsi="宋体" w:eastAsia="宋体" w:cs="宋体"/>
                <w:color w:val="auto"/>
                <w:kern w:val="0"/>
                <w:sz w:val="24"/>
                <w:szCs w:val="24"/>
                <w:highlight w:val="none"/>
                <w:lang w:val="en-US" w:eastAsia="zh-CN" w:bidi="ar"/>
              </w:rPr>
              <w:t>菌群数含量较高，其它指标基本同生活污水。根据《医院污水处理工程技术规范》（</w:t>
            </w:r>
            <w:r>
              <w:rPr>
                <w:rFonts w:hint="default" w:ascii="Times New Roman" w:hAnsi="Times New Roman" w:eastAsia="宋体" w:cs="Times New Roman"/>
                <w:color w:val="auto"/>
                <w:kern w:val="0"/>
                <w:sz w:val="24"/>
                <w:szCs w:val="24"/>
                <w:highlight w:val="none"/>
                <w:lang w:val="en-US" w:eastAsia="zh-CN" w:bidi="ar"/>
              </w:rPr>
              <w:t>HJ2029-2013</w:t>
            </w:r>
            <w:r>
              <w:rPr>
                <w:rFonts w:hint="eastAsia" w:ascii="宋体" w:hAnsi="宋体" w:eastAsia="宋体" w:cs="宋体"/>
                <w:color w:val="auto"/>
                <w:kern w:val="0"/>
                <w:sz w:val="24"/>
                <w:szCs w:val="24"/>
                <w:highlight w:val="none"/>
                <w:lang w:val="en-US" w:eastAsia="zh-CN" w:bidi="ar"/>
              </w:rPr>
              <w:t>）及类比同类项目污水水质，污水中主要污染物为</w:t>
            </w:r>
            <w:r>
              <w:rPr>
                <w:rFonts w:hint="default" w:ascii="Times New Roman" w:hAnsi="Times New Roman" w:eastAsia="宋体" w:cs="Times New Roman"/>
                <w:color w:val="auto"/>
                <w:kern w:val="0"/>
                <w:sz w:val="24"/>
                <w:szCs w:val="24"/>
                <w:highlight w:val="none"/>
                <w:lang w:val="en-US" w:eastAsia="zh-CN" w:bidi="ar"/>
              </w:rPr>
              <w:t>COD</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BOD</w:t>
            </w:r>
            <w:r>
              <w:rPr>
                <w:rFonts w:hint="default" w:ascii="Times New Roman" w:hAnsi="Times New Roman" w:eastAsia="宋体" w:cs="Times New Roman"/>
                <w:color w:val="auto"/>
                <w:kern w:val="0"/>
                <w:sz w:val="15"/>
                <w:szCs w:val="15"/>
                <w:highlight w:val="none"/>
                <w:lang w:val="en-US" w:eastAsia="zh-CN" w:bidi="ar"/>
              </w:rPr>
              <w:t>5</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SS</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NH</w:t>
            </w:r>
            <w:r>
              <w:rPr>
                <w:rFonts w:hint="default" w:ascii="Times New Roman" w:hAnsi="Times New Roman" w:eastAsia="宋体" w:cs="Times New Roman"/>
                <w:color w:val="auto"/>
                <w:kern w:val="0"/>
                <w:sz w:val="15"/>
                <w:szCs w:val="15"/>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-N</w:t>
            </w:r>
            <w:r>
              <w:rPr>
                <w:rFonts w:hint="eastAsia" w:ascii="宋体" w:hAnsi="宋体" w:eastAsia="宋体" w:cs="宋体"/>
                <w:color w:val="auto"/>
                <w:kern w:val="0"/>
                <w:sz w:val="24"/>
                <w:szCs w:val="24"/>
                <w:highlight w:val="none"/>
                <w:lang w:val="en-US" w:eastAsia="zh-CN" w:bidi="ar"/>
              </w:rPr>
              <w:t>、粪大肠菌群数、动植物油、</w:t>
            </w:r>
            <w:r>
              <w:rPr>
                <w:rFonts w:hint="default" w:ascii="Times New Roman" w:hAnsi="Times New Roman" w:eastAsia="宋体" w:cs="Times New Roman"/>
                <w:color w:val="auto"/>
                <w:kern w:val="0"/>
                <w:sz w:val="24"/>
                <w:szCs w:val="24"/>
                <w:highlight w:val="none"/>
                <w:lang w:val="en-US" w:eastAsia="zh-CN" w:bidi="ar"/>
              </w:rPr>
              <w:t>LAS</w:t>
            </w:r>
            <w:r>
              <w:rPr>
                <w:rFonts w:hint="eastAsia" w:ascii="宋体" w:hAnsi="宋体" w:eastAsia="宋体" w:cs="宋体"/>
                <w:color w:val="auto"/>
                <w:kern w:val="0"/>
                <w:sz w:val="24"/>
                <w:szCs w:val="24"/>
                <w:highlight w:val="none"/>
                <w:lang w:val="en-US" w:eastAsia="zh-CN" w:bidi="ar"/>
              </w:rPr>
              <w:t>，产生浓度分别约为</w:t>
            </w:r>
            <w:r>
              <w:rPr>
                <w:rFonts w:hint="default" w:ascii="Times New Roman" w:hAnsi="Times New Roman" w:eastAsia="宋体" w:cs="Times New Roman"/>
                <w:color w:val="auto"/>
                <w:kern w:val="0"/>
                <w:sz w:val="24"/>
                <w:szCs w:val="24"/>
                <w:highlight w:val="none"/>
                <w:lang w:val="en-US" w:eastAsia="zh-CN" w:bidi="ar"/>
              </w:rPr>
              <w:t>300mg/L</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150mg/L</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150mg/L</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50mg/L</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1.6</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10</w:t>
            </w:r>
            <w:r>
              <w:rPr>
                <w:rFonts w:hint="eastAsia" w:ascii="Times New Roman" w:hAnsi="Times New Roman" w:eastAsia="宋体" w:cs="Times New Roman"/>
                <w:color w:val="auto"/>
                <w:kern w:val="0"/>
                <w:sz w:val="24"/>
                <w:szCs w:val="24"/>
                <w:highlight w:val="none"/>
                <w:vertAlign w:val="superscript"/>
                <w:lang w:val="en-US" w:eastAsia="zh-CN" w:bidi="ar"/>
              </w:rPr>
              <w:t>8</w:t>
            </w:r>
            <w:r>
              <w:rPr>
                <w:rFonts w:hint="eastAsia" w:ascii="宋体" w:hAnsi="宋体" w:eastAsia="宋体" w:cs="宋体"/>
                <w:color w:val="auto"/>
                <w:kern w:val="0"/>
                <w:sz w:val="24"/>
                <w:szCs w:val="24"/>
                <w:highlight w:val="none"/>
                <w:lang w:val="en-US" w:eastAsia="zh-CN" w:bidi="ar"/>
              </w:rPr>
              <w:t>个</w:t>
            </w:r>
            <w:r>
              <w:rPr>
                <w:rFonts w:hint="default" w:ascii="Times New Roman" w:hAnsi="Times New Roman" w:eastAsia="宋体" w:cs="Times New Roman"/>
                <w:color w:val="auto"/>
                <w:kern w:val="0"/>
                <w:sz w:val="24"/>
                <w:szCs w:val="24"/>
                <w:highlight w:val="none"/>
                <w:lang w:val="en-US" w:eastAsia="zh-CN" w:bidi="ar"/>
              </w:rPr>
              <w:t>/L</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300mg/L</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ind w:left="0" w:leftChars="0" w:firstLine="0" w:firstLineChars="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25mg/L</w:t>
            </w:r>
            <w:r>
              <w:rPr>
                <w:rFonts w:hint="eastAsia" w:ascii="宋体" w:hAnsi="宋体" w:eastAsia="宋体" w:cs="宋体"/>
                <w:color w:val="auto"/>
                <w:kern w:val="0"/>
                <w:sz w:val="24"/>
                <w:szCs w:val="24"/>
                <w:highlight w:val="none"/>
                <w:lang w:val="en-US" w:eastAsia="zh-CN" w:bidi="ar"/>
              </w:rPr>
              <w:t>。</w:t>
            </w:r>
          </w:p>
          <w:p>
            <w:pPr>
              <w:ind w:left="0" w:leftChars="0" w:firstLine="0" w:firstLineChars="0"/>
              <w:jc w:val="center"/>
              <w:rPr>
                <w:rFonts w:hint="default"/>
                <w:b/>
                <w:bCs/>
                <w:color w:val="auto"/>
                <w:highlight w:val="none"/>
                <w:lang w:val="en-US" w:eastAsia="zh-CN"/>
              </w:rPr>
            </w:pPr>
            <w:r>
              <w:rPr>
                <w:rFonts w:hint="eastAsia"/>
                <w:b/>
                <w:bCs/>
                <w:color w:val="auto"/>
                <w:highlight w:val="none"/>
                <w:lang w:val="en-US" w:eastAsia="zh-CN"/>
              </w:rPr>
              <w:t>表4.9 拟建项目综合医疗废水产排污情况表</w:t>
            </w:r>
          </w:p>
          <w:tbl>
            <w:tblPr>
              <w:tblStyle w:val="30"/>
              <w:tblW w:w="77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
              <w:gridCol w:w="1209"/>
              <w:gridCol w:w="989"/>
              <w:gridCol w:w="836"/>
              <w:gridCol w:w="1005"/>
              <w:gridCol w:w="651"/>
              <w:gridCol w:w="1005"/>
              <w:gridCol w:w="651"/>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412" w:type="dxa"/>
                  <w:vMerge w:val="restart"/>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废水类型</w:t>
                  </w:r>
                </w:p>
              </w:tc>
              <w:tc>
                <w:tcPr>
                  <w:tcW w:w="1209" w:type="dxa"/>
                  <w:vMerge w:val="restart"/>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废水量</w:t>
                  </w:r>
                </w:p>
              </w:tc>
              <w:tc>
                <w:tcPr>
                  <w:tcW w:w="989" w:type="dxa"/>
                  <w:vMerge w:val="restart"/>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污染物名称</w:t>
                  </w:r>
                </w:p>
              </w:tc>
              <w:tc>
                <w:tcPr>
                  <w:tcW w:w="1841" w:type="dxa"/>
                  <w:gridSpan w:val="2"/>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产生量</w:t>
                  </w:r>
                </w:p>
              </w:tc>
              <w:tc>
                <w:tcPr>
                  <w:tcW w:w="1656" w:type="dxa"/>
                  <w:gridSpan w:val="2"/>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经废水处理设备处理后排放量</w:t>
                  </w:r>
                </w:p>
              </w:tc>
              <w:tc>
                <w:tcPr>
                  <w:tcW w:w="1656" w:type="dxa"/>
                  <w:gridSpan w:val="2"/>
                  <w:vAlign w:val="center"/>
                </w:tcPr>
                <w:p>
                  <w:pPr>
                    <w:bidi w:val="0"/>
                    <w:spacing w:line="240" w:lineRule="auto"/>
                    <w:ind w:left="0" w:leftChars="0" w:firstLine="0" w:firstLineChars="0"/>
                    <w:jc w:val="center"/>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污水处理厂处理后排放量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3" w:hRule="atLeast"/>
              </w:trPr>
              <w:tc>
                <w:tcPr>
                  <w:tcW w:w="412" w:type="dxa"/>
                  <w:vMerge w:val="continue"/>
                  <w:vAlign w:val="center"/>
                </w:tcPr>
                <w:p>
                  <w:pPr>
                    <w:bidi w:val="0"/>
                    <w:spacing w:line="240" w:lineRule="auto"/>
                    <w:jc w:val="center"/>
                    <w:rPr>
                      <w:rFonts w:hint="default"/>
                      <w:b w:val="0"/>
                      <w:bCs w:val="0"/>
                      <w:color w:val="auto"/>
                      <w:sz w:val="21"/>
                      <w:szCs w:val="21"/>
                      <w:highlight w:val="none"/>
                      <w:lang w:val="en-US" w:eastAsia="zh-CN"/>
                    </w:rPr>
                  </w:pPr>
                </w:p>
              </w:tc>
              <w:tc>
                <w:tcPr>
                  <w:tcW w:w="1209" w:type="dxa"/>
                  <w:vMerge w:val="continue"/>
                  <w:vAlign w:val="center"/>
                </w:tcPr>
                <w:p>
                  <w:pPr>
                    <w:bidi w:val="0"/>
                    <w:spacing w:line="240" w:lineRule="auto"/>
                    <w:jc w:val="center"/>
                    <w:rPr>
                      <w:rFonts w:hint="default"/>
                      <w:b w:val="0"/>
                      <w:bCs w:val="0"/>
                      <w:color w:val="auto"/>
                      <w:sz w:val="21"/>
                      <w:szCs w:val="21"/>
                      <w:highlight w:val="none"/>
                      <w:lang w:val="en-US" w:eastAsia="zh-CN"/>
                    </w:rPr>
                  </w:pPr>
                </w:p>
              </w:tc>
              <w:tc>
                <w:tcPr>
                  <w:tcW w:w="989" w:type="dxa"/>
                  <w:vMerge w:val="continue"/>
                  <w:vAlign w:val="center"/>
                </w:tcPr>
                <w:p>
                  <w:pPr>
                    <w:bidi w:val="0"/>
                    <w:spacing w:line="240" w:lineRule="auto"/>
                    <w:jc w:val="center"/>
                    <w:rPr>
                      <w:rFonts w:hint="default"/>
                      <w:b w:val="0"/>
                      <w:bCs w:val="0"/>
                      <w:color w:val="auto"/>
                      <w:sz w:val="21"/>
                      <w:szCs w:val="21"/>
                      <w:highlight w:val="none"/>
                      <w:lang w:val="en-US" w:eastAsia="zh-CN"/>
                    </w:rPr>
                  </w:pPr>
                </w:p>
              </w:tc>
              <w:tc>
                <w:tcPr>
                  <w:tcW w:w="836"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浓度mg/L</w:t>
                  </w:r>
                </w:p>
              </w:tc>
              <w:tc>
                <w:tcPr>
                  <w:tcW w:w="1005"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产生量t/a</w:t>
                  </w:r>
                </w:p>
              </w:tc>
              <w:tc>
                <w:tcPr>
                  <w:tcW w:w="651"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浓度mg/L</w:t>
                  </w:r>
                </w:p>
              </w:tc>
              <w:tc>
                <w:tcPr>
                  <w:tcW w:w="1005" w:type="dxa"/>
                  <w:vAlign w:val="center"/>
                </w:tcPr>
                <w:p>
                  <w:pPr>
                    <w:bidi w:val="0"/>
                    <w:spacing w:line="240" w:lineRule="auto"/>
                    <w:ind w:left="0" w:leftChars="0" w:firstLine="0" w:firstLineChars="0"/>
                    <w:jc w:val="center"/>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排放量t/a</w:t>
                  </w:r>
                </w:p>
              </w:tc>
              <w:tc>
                <w:tcPr>
                  <w:tcW w:w="651" w:type="dxa"/>
                  <w:vAlign w:val="center"/>
                </w:tcPr>
                <w:p>
                  <w:pPr>
                    <w:bidi w:val="0"/>
                    <w:spacing w:line="240" w:lineRule="auto"/>
                    <w:ind w:left="0" w:leftChars="0" w:firstLine="0" w:firstLineChars="0"/>
                    <w:jc w:val="center"/>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浓度mg/L</w:t>
                  </w:r>
                </w:p>
              </w:tc>
              <w:tc>
                <w:tcPr>
                  <w:tcW w:w="1005" w:type="dxa"/>
                  <w:vAlign w:val="center"/>
                </w:tcPr>
                <w:p>
                  <w:pPr>
                    <w:bidi w:val="0"/>
                    <w:spacing w:line="240" w:lineRule="auto"/>
                    <w:ind w:left="0" w:leftChars="0" w:firstLine="0" w:firstLineChars="0"/>
                    <w:jc w:val="center"/>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412" w:type="dxa"/>
                  <w:vMerge w:val="restart"/>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综合医疗废水</w:t>
                  </w:r>
                </w:p>
              </w:tc>
              <w:tc>
                <w:tcPr>
                  <w:tcW w:w="1209" w:type="dxa"/>
                  <w:vMerge w:val="restart"/>
                  <w:vAlign w:val="center"/>
                </w:tcPr>
                <w:p>
                  <w:pPr>
                    <w:bidi w:val="0"/>
                    <w:spacing w:line="240" w:lineRule="auto"/>
                    <w:ind w:left="0" w:leftChars="0" w:firstLine="0" w:firstLineChars="0"/>
                    <w:jc w:val="center"/>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20.462m</w:t>
                  </w:r>
                  <w:r>
                    <w:rPr>
                      <w:rFonts w:hint="eastAsia"/>
                      <w:b w:val="0"/>
                      <w:bCs w:val="0"/>
                      <w:color w:val="auto"/>
                      <w:sz w:val="21"/>
                      <w:szCs w:val="21"/>
                      <w:highlight w:val="none"/>
                      <w:vertAlign w:val="superscript"/>
                      <w:lang w:val="en-US" w:eastAsia="zh-CN"/>
                    </w:rPr>
                    <w:t>3</w:t>
                  </w:r>
                  <w:r>
                    <w:rPr>
                      <w:rFonts w:hint="eastAsia"/>
                      <w:b w:val="0"/>
                      <w:bCs w:val="0"/>
                      <w:color w:val="auto"/>
                      <w:sz w:val="21"/>
                      <w:szCs w:val="21"/>
                      <w:highlight w:val="none"/>
                      <w:lang w:val="en-US" w:eastAsia="zh-CN"/>
                    </w:rPr>
                    <w:t>/d</w:t>
                  </w:r>
                </w:p>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（7518.625m</w:t>
                  </w:r>
                  <w:r>
                    <w:rPr>
                      <w:rFonts w:hint="eastAsia"/>
                      <w:b w:val="0"/>
                      <w:bCs w:val="0"/>
                      <w:color w:val="auto"/>
                      <w:sz w:val="21"/>
                      <w:szCs w:val="21"/>
                      <w:highlight w:val="none"/>
                      <w:vertAlign w:val="superscript"/>
                      <w:lang w:val="en-US" w:eastAsia="zh-CN"/>
                    </w:rPr>
                    <w:t>3</w:t>
                  </w:r>
                  <w:r>
                    <w:rPr>
                      <w:rFonts w:hint="eastAsia"/>
                      <w:b w:val="0"/>
                      <w:bCs w:val="0"/>
                      <w:color w:val="auto"/>
                      <w:sz w:val="21"/>
                      <w:szCs w:val="21"/>
                      <w:highlight w:val="none"/>
                      <w:lang w:val="en-US" w:eastAsia="zh-CN"/>
                    </w:rPr>
                    <w:t>/a）</w:t>
                  </w:r>
                </w:p>
              </w:tc>
              <w:tc>
                <w:tcPr>
                  <w:tcW w:w="989" w:type="dxa"/>
                  <w:vAlign w:val="center"/>
                </w:tcPr>
                <w:p>
                  <w:pPr>
                    <w:bidi w:val="0"/>
                    <w:spacing w:line="240" w:lineRule="auto"/>
                    <w:ind w:left="0" w:leftChars="0" w:firstLine="0" w:firstLineChars="0"/>
                    <w:jc w:val="center"/>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COD</w:t>
                  </w:r>
                </w:p>
              </w:tc>
              <w:tc>
                <w:tcPr>
                  <w:tcW w:w="836"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300</w:t>
                  </w:r>
                </w:p>
              </w:tc>
              <w:tc>
                <w:tcPr>
                  <w:tcW w:w="1005"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2.256</w:t>
                  </w:r>
                </w:p>
              </w:tc>
              <w:tc>
                <w:tcPr>
                  <w:tcW w:w="651" w:type="dxa"/>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250</w:t>
                  </w:r>
                </w:p>
              </w:tc>
              <w:tc>
                <w:tcPr>
                  <w:tcW w:w="1005" w:type="dxa"/>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1.880</w:t>
                  </w:r>
                </w:p>
              </w:tc>
              <w:tc>
                <w:tcPr>
                  <w:tcW w:w="651" w:type="dxa"/>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60</w:t>
                  </w:r>
                </w:p>
              </w:tc>
              <w:tc>
                <w:tcPr>
                  <w:tcW w:w="1005" w:type="dxa"/>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412" w:type="dxa"/>
                  <w:vMerge w:val="continue"/>
                  <w:vAlign w:val="center"/>
                </w:tcPr>
                <w:p>
                  <w:pPr>
                    <w:bidi w:val="0"/>
                    <w:spacing w:line="240" w:lineRule="auto"/>
                    <w:jc w:val="center"/>
                    <w:rPr>
                      <w:rFonts w:hint="eastAsia"/>
                      <w:b w:val="0"/>
                      <w:bCs w:val="0"/>
                      <w:color w:val="auto"/>
                      <w:sz w:val="21"/>
                      <w:szCs w:val="21"/>
                      <w:highlight w:val="none"/>
                      <w:lang w:val="en-US" w:eastAsia="zh-CN"/>
                    </w:rPr>
                  </w:pPr>
                </w:p>
              </w:tc>
              <w:tc>
                <w:tcPr>
                  <w:tcW w:w="1209" w:type="dxa"/>
                  <w:vMerge w:val="continue"/>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p>
              </w:tc>
              <w:tc>
                <w:tcPr>
                  <w:tcW w:w="989" w:type="dxa"/>
                  <w:vAlign w:val="center"/>
                </w:tcPr>
                <w:p>
                  <w:pPr>
                    <w:bidi w:val="0"/>
                    <w:spacing w:line="240" w:lineRule="auto"/>
                    <w:ind w:left="0" w:leftChars="0" w:firstLine="0" w:firstLineChars="0"/>
                    <w:jc w:val="center"/>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SS</w:t>
                  </w:r>
                </w:p>
              </w:tc>
              <w:tc>
                <w:tcPr>
                  <w:tcW w:w="836"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120</w:t>
                  </w:r>
                </w:p>
              </w:tc>
              <w:tc>
                <w:tcPr>
                  <w:tcW w:w="1005"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0.902</w:t>
                  </w:r>
                </w:p>
              </w:tc>
              <w:tc>
                <w:tcPr>
                  <w:tcW w:w="651" w:type="dxa"/>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60</w:t>
                  </w:r>
                </w:p>
              </w:tc>
              <w:tc>
                <w:tcPr>
                  <w:tcW w:w="1005" w:type="dxa"/>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0.451</w:t>
                  </w:r>
                </w:p>
              </w:tc>
              <w:tc>
                <w:tcPr>
                  <w:tcW w:w="651" w:type="dxa"/>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20</w:t>
                  </w:r>
                </w:p>
              </w:tc>
              <w:tc>
                <w:tcPr>
                  <w:tcW w:w="1005" w:type="dxa"/>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412" w:type="dxa"/>
                  <w:vMerge w:val="continue"/>
                  <w:vAlign w:val="center"/>
                </w:tcPr>
                <w:p>
                  <w:pPr>
                    <w:bidi w:val="0"/>
                    <w:spacing w:line="240" w:lineRule="auto"/>
                    <w:jc w:val="center"/>
                    <w:rPr>
                      <w:rFonts w:hint="eastAsia"/>
                      <w:b w:val="0"/>
                      <w:bCs w:val="0"/>
                      <w:color w:val="auto"/>
                      <w:sz w:val="21"/>
                      <w:szCs w:val="21"/>
                      <w:highlight w:val="none"/>
                      <w:lang w:val="en-US" w:eastAsia="zh-CN"/>
                    </w:rPr>
                  </w:pPr>
                </w:p>
              </w:tc>
              <w:tc>
                <w:tcPr>
                  <w:tcW w:w="1209" w:type="dxa"/>
                  <w:vMerge w:val="continue"/>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p>
              </w:tc>
              <w:tc>
                <w:tcPr>
                  <w:tcW w:w="989"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粪大肠菌群</w:t>
                  </w:r>
                </w:p>
              </w:tc>
              <w:tc>
                <w:tcPr>
                  <w:tcW w:w="836"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1.6×10</w:t>
                  </w:r>
                  <w:r>
                    <w:rPr>
                      <w:rFonts w:hint="eastAsia"/>
                      <w:b w:val="0"/>
                      <w:bCs w:val="0"/>
                      <w:color w:val="auto"/>
                      <w:sz w:val="21"/>
                      <w:szCs w:val="21"/>
                      <w:highlight w:val="none"/>
                      <w:vertAlign w:val="superscript"/>
                      <w:lang w:val="en-US" w:eastAsia="zh-CN"/>
                    </w:rPr>
                    <w:t>8</w:t>
                  </w:r>
                  <w:r>
                    <w:rPr>
                      <w:rFonts w:hint="eastAsia"/>
                      <w:b w:val="0"/>
                      <w:bCs w:val="0"/>
                      <w:color w:val="auto"/>
                      <w:sz w:val="21"/>
                      <w:szCs w:val="21"/>
                      <w:highlight w:val="none"/>
                      <w:vertAlign w:val="baseline"/>
                      <w:lang w:val="en-US" w:eastAsia="zh-CN"/>
                    </w:rPr>
                    <w:t>MPN/L</w:t>
                  </w:r>
                </w:p>
              </w:tc>
              <w:tc>
                <w:tcPr>
                  <w:tcW w:w="1005" w:type="dxa"/>
                  <w:vAlign w:val="center"/>
                </w:tcPr>
                <w:p>
                  <w:pPr>
                    <w:bidi w:val="0"/>
                    <w:spacing w:line="240" w:lineRule="auto"/>
                    <w:ind w:left="0" w:leftChars="0" w:firstLine="0" w:firstLineChars="0"/>
                    <w:jc w:val="center"/>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lang w:val="en-US" w:eastAsia="zh-CN"/>
                    </w:rPr>
                    <w:t>1.2×10</w:t>
                  </w:r>
                  <w:r>
                    <w:rPr>
                      <w:rFonts w:hint="eastAsia"/>
                      <w:b w:val="0"/>
                      <w:bCs w:val="0"/>
                      <w:color w:val="auto"/>
                      <w:sz w:val="21"/>
                      <w:szCs w:val="21"/>
                      <w:highlight w:val="none"/>
                      <w:vertAlign w:val="superscript"/>
                      <w:lang w:val="en-US" w:eastAsia="zh-CN"/>
                    </w:rPr>
                    <w:t>15</w:t>
                  </w:r>
                  <w:r>
                    <w:rPr>
                      <w:rFonts w:hint="eastAsia"/>
                      <w:b w:val="0"/>
                      <w:bCs w:val="0"/>
                      <w:color w:val="auto"/>
                      <w:sz w:val="21"/>
                      <w:szCs w:val="21"/>
                      <w:highlight w:val="none"/>
                      <w:vertAlign w:val="baseline"/>
                      <w:lang w:val="en-US" w:eastAsia="zh-CN"/>
                    </w:rPr>
                    <w:t>MPN</w:t>
                  </w:r>
                </w:p>
              </w:tc>
              <w:tc>
                <w:tcPr>
                  <w:tcW w:w="651" w:type="dxa"/>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5000个/L</w:t>
                  </w:r>
                </w:p>
              </w:tc>
              <w:tc>
                <w:tcPr>
                  <w:tcW w:w="1005" w:type="dxa"/>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3.6×10</w:t>
                  </w:r>
                  <w:r>
                    <w:rPr>
                      <w:rFonts w:hint="eastAsia"/>
                      <w:b w:val="0"/>
                      <w:bCs w:val="0"/>
                      <w:color w:val="auto"/>
                      <w:sz w:val="21"/>
                      <w:szCs w:val="21"/>
                      <w:highlight w:val="none"/>
                      <w:vertAlign w:val="superscript"/>
                      <w:lang w:val="en-US" w:eastAsia="zh-CN"/>
                    </w:rPr>
                    <w:t>10</w:t>
                  </w:r>
                  <w:r>
                    <w:rPr>
                      <w:rFonts w:hint="eastAsia"/>
                      <w:b w:val="0"/>
                      <w:bCs w:val="0"/>
                      <w:color w:val="auto"/>
                      <w:sz w:val="21"/>
                      <w:szCs w:val="21"/>
                      <w:highlight w:val="none"/>
                      <w:vertAlign w:val="baseline"/>
                      <w:lang w:val="en-US" w:eastAsia="zh-CN"/>
                    </w:rPr>
                    <w:t>MPN</w:t>
                  </w:r>
                </w:p>
              </w:tc>
              <w:tc>
                <w:tcPr>
                  <w:tcW w:w="651" w:type="dxa"/>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10000个/L</w:t>
                  </w:r>
                </w:p>
              </w:tc>
              <w:tc>
                <w:tcPr>
                  <w:tcW w:w="1005" w:type="dxa"/>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0.72×10</w:t>
                  </w:r>
                  <w:r>
                    <w:rPr>
                      <w:rFonts w:hint="eastAsia"/>
                      <w:b w:val="0"/>
                      <w:bCs w:val="0"/>
                      <w:color w:val="auto"/>
                      <w:sz w:val="21"/>
                      <w:szCs w:val="21"/>
                      <w:highlight w:val="none"/>
                      <w:vertAlign w:val="superscript"/>
                      <w:lang w:val="en-US" w:eastAsia="zh-CN"/>
                    </w:rPr>
                    <w:t>9</w:t>
                  </w:r>
                  <w:r>
                    <w:rPr>
                      <w:rFonts w:hint="eastAsia"/>
                      <w:b w:val="0"/>
                      <w:bCs w:val="0"/>
                      <w:color w:val="auto"/>
                      <w:sz w:val="21"/>
                      <w:szCs w:val="21"/>
                      <w:highlight w:val="none"/>
                      <w:vertAlign w:val="baseline"/>
                      <w:lang w:val="en-US" w:eastAsia="zh-CN"/>
                    </w:rPr>
                    <w:t>MPN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412" w:type="dxa"/>
                  <w:vMerge w:val="continue"/>
                  <w:vAlign w:val="center"/>
                </w:tcPr>
                <w:p>
                  <w:pPr>
                    <w:bidi w:val="0"/>
                    <w:spacing w:line="240" w:lineRule="auto"/>
                    <w:jc w:val="center"/>
                    <w:rPr>
                      <w:rFonts w:hint="eastAsia"/>
                      <w:b w:val="0"/>
                      <w:bCs w:val="0"/>
                      <w:color w:val="auto"/>
                      <w:sz w:val="21"/>
                      <w:szCs w:val="21"/>
                      <w:highlight w:val="none"/>
                      <w:lang w:val="en-US" w:eastAsia="zh-CN"/>
                    </w:rPr>
                  </w:pPr>
                </w:p>
              </w:tc>
              <w:tc>
                <w:tcPr>
                  <w:tcW w:w="1209" w:type="dxa"/>
                  <w:vMerge w:val="continue"/>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p>
              </w:tc>
              <w:tc>
                <w:tcPr>
                  <w:tcW w:w="989"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氨氮</w:t>
                  </w:r>
                </w:p>
              </w:tc>
              <w:tc>
                <w:tcPr>
                  <w:tcW w:w="836"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50</w:t>
                  </w:r>
                </w:p>
              </w:tc>
              <w:tc>
                <w:tcPr>
                  <w:tcW w:w="1005"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0.376</w:t>
                  </w:r>
                </w:p>
              </w:tc>
              <w:tc>
                <w:tcPr>
                  <w:tcW w:w="651" w:type="dxa"/>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45</w:t>
                  </w:r>
                </w:p>
              </w:tc>
              <w:tc>
                <w:tcPr>
                  <w:tcW w:w="1005" w:type="dxa"/>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0.338</w:t>
                  </w:r>
                </w:p>
              </w:tc>
              <w:tc>
                <w:tcPr>
                  <w:tcW w:w="651" w:type="dxa"/>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8</w:t>
                  </w:r>
                </w:p>
              </w:tc>
              <w:tc>
                <w:tcPr>
                  <w:tcW w:w="1005" w:type="dxa"/>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412" w:type="dxa"/>
                  <w:vMerge w:val="continue"/>
                  <w:vAlign w:val="center"/>
                </w:tcPr>
                <w:p>
                  <w:pPr>
                    <w:bidi w:val="0"/>
                    <w:spacing w:line="240" w:lineRule="auto"/>
                    <w:jc w:val="center"/>
                    <w:rPr>
                      <w:rFonts w:hint="eastAsia"/>
                      <w:b w:val="0"/>
                      <w:bCs w:val="0"/>
                      <w:color w:val="auto"/>
                      <w:sz w:val="21"/>
                      <w:szCs w:val="21"/>
                      <w:highlight w:val="none"/>
                      <w:lang w:val="en-US" w:eastAsia="zh-CN"/>
                    </w:rPr>
                  </w:pPr>
                </w:p>
              </w:tc>
              <w:tc>
                <w:tcPr>
                  <w:tcW w:w="1209" w:type="dxa"/>
                  <w:vMerge w:val="continue"/>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p>
              </w:tc>
              <w:tc>
                <w:tcPr>
                  <w:tcW w:w="989"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BOD</w:t>
                  </w:r>
                  <w:r>
                    <w:rPr>
                      <w:rFonts w:hint="eastAsia"/>
                      <w:b w:val="0"/>
                      <w:bCs w:val="0"/>
                      <w:color w:val="auto"/>
                      <w:sz w:val="21"/>
                      <w:szCs w:val="21"/>
                      <w:highlight w:val="none"/>
                      <w:vertAlign w:val="subscript"/>
                      <w:lang w:val="en-US" w:eastAsia="zh-CN"/>
                    </w:rPr>
                    <w:t>5</w:t>
                  </w:r>
                </w:p>
              </w:tc>
              <w:tc>
                <w:tcPr>
                  <w:tcW w:w="836"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150</w:t>
                  </w:r>
                </w:p>
              </w:tc>
              <w:tc>
                <w:tcPr>
                  <w:tcW w:w="1005"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1.128</w:t>
                  </w:r>
                </w:p>
              </w:tc>
              <w:tc>
                <w:tcPr>
                  <w:tcW w:w="651" w:type="dxa"/>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100</w:t>
                  </w:r>
                </w:p>
              </w:tc>
              <w:tc>
                <w:tcPr>
                  <w:tcW w:w="1005" w:type="dxa"/>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0.752</w:t>
                  </w:r>
                </w:p>
              </w:tc>
              <w:tc>
                <w:tcPr>
                  <w:tcW w:w="651" w:type="dxa"/>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20</w:t>
                  </w:r>
                </w:p>
              </w:tc>
              <w:tc>
                <w:tcPr>
                  <w:tcW w:w="1005" w:type="dxa"/>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412" w:type="dxa"/>
                  <w:vMerge w:val="continue"/>
                  <w:vAlign w:val="center"/>
                </w:tcPr>
                <w:p>
                  <w:pPr>
                    <w:bidi w:val="0"/>
                    <w:spacing w:line="240" w:lineRule="auto"/>
                    <w:jc w:val="center"/>
                    <w:rPr>
                      <w:rFonts w:hint="eastAsia"/>
                      <w:b w:val="0"/>
                      <w:bCs w:val="0"/>
                      <w:color w:val="auto"/>
                      <w:sz w:val="21"/>
                      <w:szCs w:val="21"/>
                      <w:highlight w:val="none"/>
                      <w:lang w:val="en-US" w:eastAsia="zh-CN"/>
                    </w:rPr>
                  </w:pPr>
                </w:p>
              </w:tc>
              <w:tc>
                <w:tcPr>
                  <w:tcW w:w="1209" w:type="dxa"/>
                  <w:vMerge w:val="continue"/>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p>
              </w:tc>
              <w:tc>
                <w:tcPr>
                  <w:tcW w:w="989"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LAS</w:t>
                  </w:r>
                </w:p>
              </w:tc>
              <w:tc>
                <w:tcPr>
                  <w:tcW w:w="836"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25</w:t>
                  </w:r>
                </w:p>
              </w:tc>
              <w:tc>
                <w:tcPr>
                  <w:tcW w:w="1005"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0.188</w:t>
                  </w:r>
                </w:p>
              </w:tc>
              <w:tc>
                <w:tcPr>
                  <w:tcW w:w="651"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10</w:t>
                  </w:r>
                </w:p>
              </w:tc>
              <w:tc>
                <w:tcPr>
                  <w:tcW w:w="1005"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0.075</w:t>
                  </w:r>
                </w:p>
              </w:tc>
              <w:tc>
                <w:tcPr>
                  <w:tcW w:w="651"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1.0</w:t>
                  </w:r>
                </w:p>
              </w:tc>
              <w:tc>
                <w:tcPr>
                  <w:tcW w:w="1005"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412" w:type="dxa"/>
                  <w:vMerge w:val="continue"/>
                  <w:vAlign w:val="center"/>
                </w:tcPr>
                <w:p>
                  <w:pPr>
                    <w:bidi w:val="0"/>
                    <w:spacing w:line="240" w:lineRule="auto"/>
                    <w:jc w:val="center"/>
                    <w:rPr>
                      <w:rFonts w:hint="eastAsia"/>
                      <w:b w:val="0"/>
                      <w:bCs w:val="0"/>
                      <w:color w:val="auto"/>
                      <w:sz w:val="21"/>
                      <w:szCs w:val="21"/>
                      <w:highlight w:val="none"/>
                      <w:lang w:val="en-US" w:eastAsia="zh-CN"/>
                    </w:rPr>
                  </w:pPr>
                </w:p>
              </w:tc>
              <w:tc>
                <w:tcPr>
                  <w:tcW w:w="1209" w:type="dxa"/>
                  <w:vMerge w:val="continue"/>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p>
              </w:tc>
              <w:tc>
                <w:tcPr>
                  <w:tcW w:w="989"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总余氯</w:t>
                  </w:r>
                </w:p>
              </w:tc>
              <w:tc>
                <w:tcPr>
                  <w:tcW w:w="836"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10</w:t>
                  </w:r>
                </w:p>
              </w:tc>
              <w:tc>
                <w:tcPr>
                  <w:tcW w:w="1005"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0.075</w:t>
                  </w:r>
                </w:p>
              </w:tc>
              <w:tc>
                <w:tcPr>
                  <w:tcW w:w="651"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8</w:t>
                  </w:r>
                </w:p>
              </w:tc>
              <w:tc>
                <w:tcPr>
                  <w:tcW w:w="1005"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0.060</w:t>
                  </w:r>
                </w:p>
              </w:tc>
              <w:tc>
                <w:tcPr>
                  <w:tcW w:w="651"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w:t>
                  </w:r>
                </w:p>
              </w:tc>
              <w:tc>
                <w:tcPr>
                  <w:tcW w:w="1005" w:type="dxa"/>
                  <w:vAlign w:val="center"/>
                </w:tcPr>
                <w:p>
                  <w:pPr>
                    <w:bidi w:val="0"/>
                    <w:spacing w:line="240" w:lineRule="auto"/>
                    <w:ind w:left="0" w:leftChars="0" w:firstLine="0" w:firstLineChars="0"/>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w:t>
                  </w:r>
                </w:p>
              </w:tc>
            </w:tr>
          </w:tbl>
          <w:p>
            <w:pPr>
              <w:pStyle w:val="4"/>
              <w:bidi w:val="0"/>
              <w:rPr>
                <w:rFonts w:hint="default"/>
                <w:color w:val="auto"/>
                <w:highlight w:val="none"/>
                <w:lang w:val="en-US" w:eastAsia="zh-CN"/>
              </w:rPr>
            </w:pPr>
            <w:r>
              <w:rPr>
                <w:rFonts w:hint="eastAsia"/>
                <w:color w:val="auto"/>
                <w:highlight w:val="none"/>
                <w:lang w:val="en-US" w:eastAsia="zh-CN"/>
              </w:rPr>
              <w:t>4.3.2 废水处理设施的可行性</w:t>
            </w:r>
          </w:p>
          <w:p>
            <w:pPr>
              <w:bidi w:val="0"/>
              <w:ind w:firstLine="482" w:firstLineChars="200"/>
              <w:rPr>
                <w:rFonts w:hint="default"/>
                <w:b/>
                <w:bCs/>
                <w:color w:val="auto"/>
                <w:highlight w:val="none"/>
                <w:lang w:val="en-US" w:eastAsia="zh-CN"/>
              </w:rPr>
            </w:pPr>
            <w:r>
              <w:rPr>
                <w:rFonts w:hint="eastAsia"/>
                <w:b/>
                <w:bCs/>
                <w:color w:val="auto"/>
                <w:highlight w:val="none"/>
                <w:lang w:val="en-US" w:eastAsia="zh-CN"/>
              </w:rPr>
              <w:t>1、医疗废水达标排放及措施可行性</w:t>
            </w:r>
          </w:p>
          <w:p>
            <w:pPr>
              <w:bidi w:val="0"/>
              <w:ind w:firstLine="480" w:firstLineChars="200"/>
              <w:rPr>
                <w:rFonts w:hint="default" w:eastAsia="宋体"/>
                <w:color w:val="auto"/>
                <w:highlight w:val="none"/>
                <w:lang w:val="en-US" w:eastAsia="zh-CN"/>
              </w:rPr>
            </w:pPr>
            <w:r>
              <w:rPr>
                <w:rFonts w:hint="eastAsia"/>
                <w:color w:val="auto"/>
                <w:highlight w:val="none"/>
                <w:lang w:val="en-US" w:eastAsia="zh-CN"/>
              </w:rPr>
              <w:t>拟建项目医疗废水处理措施入下图：</w:t>
            </w:r>
          </w:p>
          <w:p>
            <w:pPr>
              <w:bidi w:val="0"/>
              <w:ind w:left="0" w:leftChars="0" w:firstLine="0" w:firstLineChars="0"/>
              <w:jc w:val="center"/>
              <w:rPr>
                <w:color w:val="auto"/>
                <w:highlight w:val="none"/>
              </w:rPr>
            </w:pPr>
            <w:r>
              <w:rPr>
                <w:color w:val="auto"/>
                <w:highlight w:val="none"/>
              </w:rPr>
              <w:drawing>
                <wp:inline distT="0" distB="0" distL="114300" distR="114300">
                  <wp:extent cx="4207510" cy="2160905"/>
                  <wp:effectExtent l="0" t="0" r="2540" b="1270"/>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pic:cNvPicPr>
                            <a:picLocks noChangeAspect="1"/>
                          </pic:cNvPicPr>
                        </pic:nvPicPr>
                        <pic:blipFill>
                          <a:blip r:embed="rId18"/>
                          <a:stretch>
                            <a:fillRect/>
                          </a:stretch>
                        </pic:blipFill>
                        <pic:spPr>
                          <a:xfrm>
                            <a:off x="0" y="0"/>
                            <a:ext cx="4207510" cy="2160905"/>
                          </a:xfrm>
                          <a:prstGeom prst="rect">
                            <a:avLst/>
                          </a:prstGeom>
                          <a:noFill/>
                          <a:ln>
                            <a:noFill/>
                          </a:ln>
                        </pic:spPr>
                      </pic:pic>
                    </a:graphicData>
                  </a:graphic>
                </wp:inline>
              </w:drawing>
            </w:r>
          </w:p>
          <w:p>
            <w:pPr>
              <w:bidi w:val="0"/>
              <w:ind w:left="0" w:leftChars="0" w:firstLine="0" w:firstLineChars="0"/>
              <w:jc w:val="center"/>
              <w:rPr>
                <w:rFonts w:hint="default"/>
                <w:b/>
                <w:bCs/>
                <w:color w:val="auto"/>
                <w:highlight w:val="none"/>
                <w:lang w:val="en-US" w:eastAsia="zh-CN"/>
              </w:rPr>
            </w:pPr>
            <w:r>
              <w:rPr>
                <w:rFonts w:hint="eastAsia"/>
                <w:b/>
                <w:bCs/>
                <w:color w:val="auto"/>
                <w:highlight w:val="none"/>
                <w:lang w:val="en-US" w:eastAsia="zh-CN"/>
              </w:rPr>
              <w:t>图4.1 医疗废水处理系统工艺流程</w:t>
            </w:r>
          </w:p>
          <w:p>
            <w:pPr>
              <w:bidi w:val="0"/>
              <w:rPr>
                <w:rFonts w:hint="eastAsia"/>
                <w:color w:val="auto"/>
                <w:highlight w:val="none"/>
                <w:lang w:eastAsia="zh-CN"/>
              </w:rPr>
            </w:pPr>
            <w:r>
              <w:rPr>
                <w:rFonts w:hint="eastAsia" w:ascii="Times New Roman"/>
                <w:b w:val="0"/>
                <w:bCs/>
                <w:color w:val="auto"/>
                <w:sz w:val="24"/>
                <w:szCs w:val="24"/>
                <w:highlight w:val="none"/>
                <w:lang w:val="en-US" w:eastAsia="zh-CN"/>
              </w:rPr>
              <w:t>拟建项目</w:t>
            </w:r>
            <w:r>
              <w:rPr>
                <w:rFonts w:hint="eastAsia"/>
                <w:b w:val="0"/>
                <w:bCs/>
                <w:color w:val="auto"/>
                <w:sz w:val="24"/>
                <w:szCs w:val="24"/>
                <w:highlight w:val="none"/>
                <w:lang w:val="en-US" w:eastAsia="zh-CN"/>
              </w:rPr>
              <w:t>医疗</w:t>
            </w:r>
            <w:r>
              <w:rPr>
                <w:rFonts w:hint="eastAsia" w:ascii="Times New Roman"/>
                <w:b w:val="0"/>
                <w:bCs/>
                <w:color w:val="auto"/>
                <w:sz w:val="24"/>
                <w:szCs w:val="24"/>
                <w:highlight w:val="none"/>
                <w:lang w:val="en-US" w:eastAsia="zh-CN"/>
              </w:rPr>
              <w:t>废水产生量为</w:t>
            </w:r>
            <w:r>
              <w:rPr>
                <w:rFonts w:hint="eastAsia"/>
                <w:b w:val="0"/>
                <w:bCs/>
                <w:color w:val="auto"/>
                <w:sz w:val="24"/>
                <w:szCs w:val="24"/>
                <w:highlight w:val="none"/>
                <w:lang w:val="en-US" w:eastAsia="zh-CN"/>
              </w:rPr>
              <w:t>20.462</w:t>
            </w:r>
            <w:r>
              <w:rPr>
                <w:rFonts w:hint="eastAsia" w:ascii="Times New Roman"/>
                <w:b w:val="0"/>
                <w:bCs/>
                <w:color w:val="auto"/>
                <w:sz w:val="24"/>
                <w:szCs w:val="24"/>
                <w:highlight w:val="none"/>
                <w:lang w:val="en-US" w:eastAsia="zh-CN"/>
              </w:rPr>
              <w:t>m</w:t>
            </w:r>
            <w:r>
              <w:rPr>
                <w:rFonts w:hint="eastAsia" w:ascii="Times New Roman"/>
                <w:b w:val="0"/>
                <w:bCs/>
                <w:color w:val="auto"/>
                <w:sz w:val="24"/>
                <w:szCs w:val="24"/>
                <w:highlight w:val="none"/>
                <w:vertAlign w:val="superscript"/>
                <w:lang w:val="en-US" w:eastAsia="zh-CN"/>
              </w:rPr>
              <w:t>3</w:t>
            </w:r>
            <w:r>
              <w:rPr>
                <w:rFonts w:hint="eastAsia" w:ascii="Times New Roman"/>
                <w:b w:val="0"/>
                <w:bCs/>
                <w:color w:val="auto"/>
                <w:sz w:val="24"/>
                <w:szCs w:val="24"/>
                <w:highlight w:val="none"/>
                <w:lang w:val="en-US" w:eastAsia="zh-CN"/>
              </w:rPr>
              <w:t>/d，拟建医疗废水处理设施设计处理规模为</w:t>
            </w:r>
            <w:r>
              <w:rPr>
                <w:rFonts w:hint="eastAsia"/>
                <w:b w:val="0"/>
                <w:bCs/>
                <w:color w:val="auto"/>
                <w:sz w:val="24"/>
                <w:szCs w:val="24"/>
                <w:highlight w:val="none"/>
                <w:lang w:val="en-US" w:eastAsia="zh-CN"/>
              </w:rPr>
              <w:t>36</w:t>
            </w:r>
            <w:r>
              <w:rPr>
                <w:rFonts w:hint="eastAsia" w:ascii="Times New Roman"/>
                <w:b w:val="0"/>
                <w:bCs/>
                <w:color w:val="auto"/>
                <w:sz w:val="24"/>
                <w:szCs w:val="24"/>
                <w:highlight w:val="none"/>
                <w:lang w:val="en-US" w:eastAsia="zh-CN"/>
              </w:rPr>
              <w:t>m</w:t>
            </w:r>
            <w:r>
              <w:rPr>
                <w:rFonts w:hint="eastAsia" w:ascii="Times New Roman"/>
                <w:b w:val="0"/>
                <w:bCs/>
                <w:color w:val="auto"/>
                <w:sz w:val="24"/>
                <w:szCs w:val="24"/>
                <w:highlight w:val="none"/>
                <w:vertAlign w:val="superscript"/>
                <w:lang w:val="en-US" w:eastAsia="zh-CN"/>
              </w:rPr>
              <w:t>3</w:t>
            </w:r>
            <w:r>
              <w:rPr>
                <w:rFonts w:hint="eastAsia" w:ascii="Times New Roman"/>
                <w:b w:val="0"/>
                <w:bCs/>
                <w:color w:val="auto"/>
                <w:sz w:val="24"/>
                <w:szCs w:val="24"/>
                <w:highlight w:val="none"/>
                <w:lang w:val="en-US" w:eastAsia="zh-CN"/>
              </w:rPr>
              <w:t>/d，能够满足处理水量要求。根据《医院污水处理工程技术规范》（HJ2029-2013）中规定，污水处理工艺选择原则：非传染病医院污水，若处理出水直接或间接地表水体或海域时，应采用二级处理+消毒工艺或二级处理+深度处理+消毒工艺，若处理出水排入终端已建有正常运行的二级污水处理厂的城市污水管网时，可采用一级强化+消毒工艺。项目新建污水处理设施拟采用“调节、水解酸化、接触氧化、消毒（</w:t>
            </w:r>
            <w:r>
              <w:rPr>
                <w:rFonts w:hint="eastAsia"/>
                <w:b w:val="0"/>
                <w:bCs/>
                <w:color w:val="auto"/>
                <w:sz w:val="24"/>
                <w:szCs w:val="24"/>
                <w:highlight w:val="none"/>
                <w:lang w:val="en-US" w:eastAsia="zh-CN"/>
              </w:rPr>
              <w:t>氯片</w:t>
            </w:r>
            <w:r>
              <w:rPr>
                <w:rFonts w:hint="eastAsia" w:ascii="Times New Roman"/>
                <w:b w:val="0"/>
                <w:bCs/>
                <w:color w:val="auto"/>
                <w:sz w:val="24"/>
                <w:szCs w:val="24"/>
                <w:highlight w:val="none"/>
                <w:lang w:val="en-US" w:eastAsia="zh-CN"/>
              </w:rPr>
              <w:t>消毒工艺）”处理工艺，处理出水排入终端正常运行的二级污水处理厂（</w:t>
            </w:r>
            <w:r>
              <w:rPr>
                <w:rFonts w:hint="eastAsia"/>
                <w:b w:val="0"/>
                <w:bCs/>
                <w:color w:val="auto"/>
                <w:sz w:val="24"/>
                <w:szCs w:val="24"/>
                <w:highlight w:val="none"/>
                <w:lang w:val="en-US" w:eastAsia="zh-CN"/>
              </w:rPr>
              <w:t>羊市镇污水处理厂</w:t>
            </w:r>
            <w:r>
              <w:rPr>
                <w:rFonts w:hint="eastAsia" w:ascii="Times New Roman"/>
                <w:b w:val="0"/>
                <w:bCs/>
                <w:color w:val="auto"/>
                <w:sz w:val="24"/>
                <w:szCs w:val="24"/>
                <w:highlight w:val="none"/>
                <w:lang w:val="en-US" w:eastAsia="zh-CN"/>
              </w:rPr>
              <w:t>）的市政污水管网，满足《医院污水处理工程技术规范》（HJ2029-2013）要求</w:t>
            </w:r>
            <w:r>
              <w:rPr>
                <w:rFonts w:hint="eastAsia"/>
                <w:color w:val="auto"/>
                <w:highlight w:val="none"/>
                <w:lang w:eastAsia="zh-CN"/>
              </w:rPr>
              <w:t>。</w:t>
            </w:r>
          </w:p>
          <w:p>
            <w:pPr>
              <w:bidi w:val="0"/>
              <w:rPr>
                <w:rFonts w:hint="default" w:ascii="Times New Roman"/>
                <w:b w:val="0"/>
                <w:bCs/>
                <w:color w:val="auto"/>
                <w:sz w:val="24"/>
                <w:szCs w:val="24"/>
                <w:highlight w:val="none"/>
                <w:lang w:val="en-US" w:eastAsia="zh-CN"/>
              </w:rPr>
            </w:pPr>
            <w:r>
              <w:rPr>
                <w:rFonts w:hint="eastAsia" w:ascii="Times New Roman" w:hAnsi="Times New Roman" w:eastAsia="宋体" w:cs="Times New Roman"/>
                <w:b w:val="0"/>
                <w:bCs/>
                <w:color w:val="auto"/>
                <w:kern w:val="2"/>
                <w:sz w:val="24"/>
                <w:szCs w:val="24"/>
                <w:highlight w:val="none"/>
                <w:lang w:val="en-US" w:eastAsia="zh-CN" w:bidi="ar-SA"/>
              </w:rPr>
              <w:t>废水处理设施位于厂区西南侧，由格栅井、调节池、A级生物池、O级生物池、二沉池、消毒池、应急事故池等组成。</w:t>
            </w:r>
            <w:r>
              <w:rPr>
                <w:rFonts w:hint="eastAsia" w:ascii="Times New Roman" w:hAnsi="Times New Roman" w:cs="Times New Roman"/>
                <w:b w:val="0"/>
                <w:bCs/>
                <w:color w:val="auto"/>
                <w:kern w:val="2"/>
                <w:sz w:val="24"/>
                <w:szCs w:val="24"/>
                <w:highlight w:val="none"/>
                <w:lang w:val="en-US" w:eastAsia="zh-CN" w:bidi="ar-SA"/>
              </w:rPr>
              <w:t>综合废水</w:t>
            </w:r>
            <w:r>
              <w:rPr>
                <w:rFonts w:hint="eastAsia" w:ascii="Times New Roman" w:hAnsi="Times New Roman" w:eastAsia="宋体" w:cs="Times New Roman"/>
                <w:b w:val="0"/>
                <w:bCs/>
                <w:color w:val="auto"/>
                <w:kern w:val="2"/>
                <w:sz w:val="24"/>
                <w:szCs w:val="24"/>
                <w:highlight w:val="none"/>
                <w:lang w:val="en-US" w:eastAsia="zh-CN" w:bidi="ar-SA"/>
              </w:rPr>
              <w:t>进入格栅井，通过人工格栅去除污水中较大的固体物和悬浮物后进入调节池，对污水水质、水量等进行调节均化，均质均量的污水由提升泵泵入A级生物池，池内填料中的兼氧微生物将污水中难溶有机物</w:t>
            </w:r>
            <w:r>
              <w:rPr>
                <w:rFonts w:hint="eastAsia" w:ascii="Times New Roman"/>
                <w:b w:val="0"/>
                <w:bCs/>
                <w:color w:val="auto"/>
                <w:sz w:val="24"/>
                <w:szCs w:val="24"/>
                <w:highlight w:val="none"/>
                <w:lang w:val="en-US" w:eastAsia="zh-CN"/>
              </w:rPr>
              <w:t>转化为可溶有机物，将大分子有机物水解成小分子有机物，以利于后道O级生物池进一步氧化分解，同时通过回流的硝态氮在硝化菌的作用下，可进行部分硝化和反硝化作用，去除氨氮，降低COD。污水进入O级生物池后，池内填料上的好氧微生物在好氧环境下大量繁殖并通过新陈代谢作用将水中可生化降解的有机物降解成无机物。进一步降低水中COD，使污水得到净化。污水在沉淀池固液分离，失效脱落的污泥经污泥池回流至A级生物池，利用厌氧微生物的反硝化作用将污泥消化分解。上层污水进入消毒池经</w:t>
            </w:r>
            <w:r>
              <w:rPr>
                <w:rFonts w:hint="eastAsia"/>
                <w:b w:val="0"/>
                <w:bCs/>
                <w:color w:val="auto"/>
                <w:sz w:val="24"/>
                <w:szCs w:val="24"/>
                <w:highlight w:val="none"/>
                <w:lang w:val="en-US" w:eastAsia="zh-CN"/>
              </w:rPr>
              <w:t>氯片</w:t>
            </w:r>
            <w:r>
              <w:rPr>
                <w:rFonts w:hint="eastAsia" w:ascii="Times New Roman"/>
                <w:b w:val="0"/>
                <w:bCs/>
                <w:color w:val="auto"/>
                <w:sz w:val="24"/>
                <w:szCs w:val="24"/>
                <w:highlight w:val="none"/>
                <w:lang w:val="en-US" w:eastAsia="zh-CN"/>
              </w:rPr>
              <w:t>消毒，杀灭病菌后就近排入西南侧市政污水管网。</w:t>
            </w:r>
          </w:p>
          <w:p>
            <w:pPr>
              <w:pStyle w:val="41"/>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b w:val="0"/>
                <w:bCs/>
                <w:color w:val="auto"/>
                <w:sz w:val="24"/>
                <w:szCs w:val="24"/>
                <w:highlight w:val="none"/>
                <w:lang w:val="en-US" w:eastAsia="zh-CN"/>
              </w:rPr>
            </w:pPr>
            <w:r>
              <w:rPr>
                <w:rFonts w:hint="eastAsia" w:ascii="Times New Roman"/>
                <w:b/>
                <w:bCs w:val="0"/>
                <w:color w:val="auto"/>
                <w:sz w:val="24"/>
                <w:szCs w:val="24"/>
                <w:highlight w:val="none"/>
                <w:lang w:val="en-US" w:eastAsia="zh-CN"/>
              </w:rPr>
              <w:t>消毒工艺：</w:t>
            </w:r>
            <w:r>
              <w:rPr>
                <w:rFonts w:hint="eastAsia" w:ascii="Times New Roman"/>
                <w:b w:val="0"/>
                <w:bCs/>
                <w:color w:val="auto"/>
                <w:sz w:val="24"/>
                <w:szCs w:val="24"/>
                <w:highlight w:val="none"/>
                <w:lang w:val="en-US" w:eastAsia="zh-CN"/>
              </w:rPr>
              <w:t>拟建项目污水消毒工艺采用</w:t>
            </w:r>
            <w:r>
              <w:rPr>
                <w:rFonts w:hint="eastAsia"/>
                <w:b w:val="0"/>
                <w:bCs/>
                <w:color w:val="auto"/>
                <w:sz w:val="24"/>
                <w:szCs w:val="24"/>
                <w:highlight w:val="none"/>
                <w:lang w:val="en-US" w:eastAsia="zh-CN"/>
              </w:rPr>
              <w:t>氯片</w:t>
            </w:r>
            <w:r>
              <w:rPr>
                <w:rFonts w:hint="eastAsia" w:ascii="Times New Roman"/>
                <w:b w:val="0"/>
                <w:bCs/>
                <w:color w:val="auto"/>
                <w:sz w:val="24"/>
                <w:szCs w:val="24"/>
                <w:highlight w:val="none"/>
                <w:lang w:val="en-US" w:eastAsia="zh-CN"/>
              </w:rPr>
              <w:t>消毒，具有强烈的氧化作用，且不产生有机氯化物（THMs），不受pH影响，能有效杀菌，适用于各种规模医院污水的消毒处理，属于《排污许可证申请与核发技术规范》（HJ1105-2020）中可行技术。</w:t>
            </w:r>
          </w:p>
          <w:p>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根据《排污许可证申请与核发技术规范医疗机构》（</w:t>
            </w:r>
            <w:r>
              <w:rPr>
                <w:rFonts w:hint="default" w:ascii="Times New Roman" w:hAnsi="Times New Roman" w:eastAsia="宋体" w:cs="Times New Roman"/>
                <w:color w:val="auto"/>
                <w:kern w:val="0"/>
                <w:sz w:val="24"/>
                <w:szCs w:val="24"/>
                <w:highlight w:val="none"/>
                <w:lang w:val="en-US" w:eastAsia="zh-CN" w:bidi="ar"/>
              </w:rPr>
              <w:t>HJ1105-2020</w:t>
            </w:r>
            <w:r>
              <w:rPr>
                <w:rFonts w:hint="eastAsia" w:ascii="Times New Roman" w:hAnsi="Times New Roman" w:eastAsia="宋体" w:cs="Times New Roman"/>
                <w:color w:val="auto"/>
                <w:kern w:val="0"/>
                <w:sz w:val="24"/>
                <w:szCs w:val="24"/>
                <w:highlight w:val="none"/>
                <w:lang w:val="en-US" w:eastAsia="zh-CN" w:bidi="ar"/>
              </w:rPr>
              <w:t xml:space="preserve">） </w:t>
            </w:r>
          </w:p>
          <w:p>
            <w:pPr>
              <w:keepNext w:val="0"/>
              <w:keepLines w:val="0"/>
              <w:widowControl/>
              <w:suppressLineNumbers w:val="0"/>
              <w:ind w:left="0" w:leftChars="0" w:firstLine="0" w:firstLineChars="0"/>
              <w:jc w:val="left"/>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 xml:space="preserve">附录 </w:t>
            </w:r>
            <w:r>
              <w:rPr>
                <w:rFonts w:hint="default" w:ascii="Times New Roman" w:hAnsi="Times New Roman" w:eastAsia="宋体" w:cs="Times New Roman"/>
                <w:color w:val="auto"/>
                <w:kern w:val="0"/>
                <w:sz w:val="24"/>
                <w:szCs w:val="24"/>
                <w:highlight w:val="none"/>
                <w:lang w:val="en-US" w:eastAsia="zh-CN" w:bidi="ar"/>
              </w:rPr>
              <w:t xml:space="preserve">A </w:t>
            </w:r>
            <w:r>
              <w:rPr>
                <w:rFonts w:hint="eastAsia" w:ascii="Times New Roman" w:hAnsi="Times New Roman" w:eastAsia="宋体" w:cs="Times New Roman"/>
                <w:color w:val="auto"/>
                <w:kern w:val="0"/>
                <w:sz w:val="24"/>
                <w:szCs w:val="24"/>
                <w:highlight w:val="none"/>
                <w:lang w:val="en-US" w:eastAsia="zh-CN" w:bidi="ar"/>
              </w:rPr>
              <w:t>医疗机构排污单位污水治理可行技术及本项目治理技术见表</w:t>
            </w:r>
            <w:r>
              <w:rPr>
                <w:rFonts w:hint="default" w:ascii="Times New Roman" w:hAnsi="Times New Roman" w:eastAsia="宋体" w:cs="Times New Roman"/>
                <w:color w:val="auto"/>
                <w:kern w:val="0"/>
                <w:sz w:val="24"/>
                <w:szCs w:val="24"/>
                <w:highlight w:val="none"/>
                <w:lang w:val="en-US" w:eastAsia="zh-CN" w:bidi="ar"/>
              </w:rPr>
              <w:t>4.</w:t>
            </w:r>
            <w:r>
              <w:rPr>
                <w:rFonts w:hint="eastAsia" w:cs="Times New Roman"/>
                <w:color w:val="auto"/>
                <w:kern w:val="0"/>
                <w:sz w:val="24"/>
                <w:szCs w:val="24"/>
                <w:highlight w:val="none"/>
                <w:lang w:val="en-US" w:eastAsia="zh-CN" w:bidi="ar"/>
              </w:rPr>
              <w:t>10</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widowControl/>
              <w:suppressLineNumbers w:val="0"/>
              <w:jc w:val="center"/>
              <w:rPr>
                <w:color w:val="auto"/>
                <w:highlight w:val="none"/>
              </w:rPr>
            </w:pPr>
            <w:r>
              <w:rPr>
                <w:rFonts w:hint="eastAsia"/>
                <w:b/>
                <w:bCs/>
                <w:color w:val="auto"/>
                <w:highlight w:val="none"/>
                <w:lang w:val="en-US" w:eastAsia="zh-CN"/>
              </w:rPr>
              <w:t xml:space="preserve">表4.10 </w:t>
            </w:r>
            <w:r>
              <w:rPr>
                <w:rFonts w:hint="eastAsia" w:ascii="宋体" w:hAnsi="宋体" w:eastAsia="宋体" w:cs="宋体"/>
                <w:b/>
                <w:bCs/>
                <w:color w:val="auto"/>
                <w:kern w:val="0"/>
                <w:sz w:val="24"/>
                <w:szCs w:val="24"/>
                <w:highlight w:val="none"/>
                <w:lang w:val="en-US" w:eastAsia="zh-CN" w:bidi="ar"/>
              </w:rPr>
              <w:t>医疗机构排污单位污水治理可行技术分析</w:t>
            </w:r>
          </w:p>
          <w:tbl>
            <w:tblPr>
              <w:tblStyle w:val="30"/>
              <w:tblW w:w="77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1297"/>
              <w:gridCol w:w="5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9" w:type="dxa"/>
                </w:tcPr>
                <w:p>
                  <w:pPr>
                    <w:bidi w:val="0"/>
                    <w:spacing w:line="360" w:lineRule="auto"/>
                    <w:ind w:left="0" w:leftChars="0" w:firstLine="0" w:firstLineChars="0"/>
                    <w:jc w:val="center"/>
                    <w:rPr>
                      <w:rFonts w:hint="default"/>
                      <w:color w:val="auto"/>
                      <w:highlight w:val="none"/>
                      <w:vertAlign w:val="baseline"/>
                      <w:lang w:val="en-US" w:eastAsia="zh-CN"/>
                    </w:rPr>
                  </w:pPr>
                  <w:r>
                    <w:rPr>
                      <w:rFonts w:hint="eastAsia"/>
                      <w:b w:val="0"/>
                      <w:bCs w:val="0"/>
                      <w:color w:val="auto"/>
                      <w:sz w:val="21"/>
                      <w:szCs w:val="21"/>
                      <w:highlight w:val="none"/>
                      <w:lang w:val="en-US" w:eastAsia="zh-CN"/>
                    </w:rPr>
                    <w:t>污水类别</w:t>
                  </w:r>
                </w:p>
              </w:tc>
              <w:tc>
                <w:tcPr>
                  <w:tcW w:w="1297" w:type="dxa"/>
                </w:tcPr>
                <w:p>
                  <w:pPr>
                    <w:bidi w:val="0"/>
                    <w:spacing w:line="360" w:lineRule="auto"/>
                    <w:ind w:left="0" w:leftChars="0" w:firstLine="0" w:firstLineChars="0"/>
                    <w:jc w:val="center"/>
                    <w:rPr>
                      <w:rFonts w:hint="default"/>
                      <w:color w:val="auto"/>
                      <w:highlight w:val="none"/>
                      <w:vertAlign w:val="baseline"/>
                      <w:lang w:val="en-US" w:eastAsia="zh-CN"/>
                    </w:rPr>
                  </w:pPr>
                  <w:r>
                    <w:rPr>
                      <w:rFonts w:hint="eastAsia"/>
                      <w:b w:val="0"/>
                      <w:bCs w:val="0"/>
                      <w:color w:val="auto"/>
                      <w:sz w:val="21"/>
                      <w:szCs w:val="21"/>
                      <w:highlight w:val="none"/>
                      <w:lang w:val="en-US" w:eastAsia="zh-CN"/>
                    </w:rPr>
                    <w:t>排放去向</w:t>
                  </w:r>
                </w:p>
              </w:tc>
              <w:tc>
                <w:tcPr>
                  <w:tcW w:w="5417" w:type="dxa"/>
                </w:tcPr>
                <w:p>
                  <w:pPr>
                    <w:bidi w:val="0"/>
                    <w:spacing w:line="360" w:lineRule="auto"/>
                    <w:jc w:val="center"/>
                    <w:rPr>
                      <w:rFonts w:hint="default"/>
                      <w:color w:val="auto"/>
                      <w:highlight w:val="none"/>
                      <w:vertAlign w:val="baseline"/>
                      <w:lang w:val="en-US" w:eastAsia="zh-CN"/>
                    </w:rPr>
                  </w:pPr>
                  <w:r>
                    <w:rPr>
                      <w:rFonts w:hint="eastAsia"/>
                      <w:b w:val="0"/>
                      <w:bCs w:val="0"/>
                      <w:color w:val="auto"/>
                      <w:sz w:val="21"/>
                      <w:szCs w:val="21"/>
                      <w:highlight w:val="none"/>
                      <w:lang w:val="en-US" w:eastAsia="zh-CN"/>
                    </w:rPr>
                    <w:t>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9" w:type="dxa"/>
                  <w:vMerge w:val="restart"/>
                </w:tcPr>
                <w:p>
                  <w:pPr>
                    <w:bidi w:val="0"/>
                    <w:spacing w:line="360" w:lineRule="auto"/>
                    <w:ind w:left="0" w:leftChars="0" w:firstLine="0" w:firstLineChars="0"/>
                    <w:rPr>
                      <w:rFonts w:hint="eastAsia"/>
                      <w:b w:val="0"/>
                      <w:bCs w:val="0"/>
                      <w:color w:val="auto"/>
                      <w:sz w:val="21"/>
                      <w:szCs w:val="21"/>
                      <w:highlight w:val="none"/>
                      <w:lang w:val="en-US" w:eastAsia="zh-CN"/>
                    </w:rPr>
                  </w:pPr>
                </w:p>
                <w:p>
                  <w:pPr>
                    <w:bidi w:val="0"/>
                    <w:spacing w:line="360" w:lineRule="auto"/>
                    <w:ind w:left="0" w:leftChars="0" w:firstLine="0" w:firstLineChars="0"/>
                    <w:rPr>
                      <w:rFonts w:hint="eastAsia"/>
                      <w:b w:val="0"/>
                      <w:bCs w:val="0"/>
                      <w:color w:val="auto"/>
                      <w:sz w:val="21"/>
                      <w:szCs w:val="21"/>
                      <w:highlight w:val="none"/>
                      <w:lang w:val="en-US" w:eastAsia="zh-CN"/>
                    </w:rPr>
                  </w:pPr>
                </w:p>
                <w:p>
                  <w:pPr>
                    <w:bidi w:val="0"/>
                    <w:spacing w:line="360" w:lineRule="auto"/>
                    <w:ind w:left="0" w:leftChars="0" w:firstLine="0" w:firstLineChars="0"/>
                    <w:rPr>
                      <w:rFonts w:hint="eastAsia"/>
                      <w:b w:val="0"/>
                      <w:bCs w:val="0"/>
                      <w:color w:val="auto"/>
                      <w:sz w:val="21"/>
                      <w:szCs w:val="21"/>
                      <w:highlight w:val="none"/>
                      <w:lang w:val="en-US" w:eastAsia="zh-CN"/>
                    </w:rPr>
                  </w:pPr>
                </w:p>
                <w:p>
                  <w:pPr>
                    <w:bidi w:val="0"/>
                    <w:spacing w:line="360" w:lineRule="auto"/>
                    <w:ind w:left="0" w:leftChars="0" w:firstLine="0" w:firstLineChars="0"/>
                    <w:rPr>
                      <w:rFonts w:hint="eastAsia"/>
                      <w:b w:val="0"/>
                      <w:bCs w:val="0"/>
                      <w:color w:val="auto"/>
                      <w:sz w:val="21"/>
                      <w:szCs w:val="21"/>
                      <w:highlight w:val="none"/>
                      <w:lang w:val="en-US" w:eastAsia="zh-CN"/>
                    </w:rPr>
                  </w:pPr>
                </w:p>
                <w:p>
                  <w:pPr>
                    <w:bidi w:val="0"/>
                    <w:spacing w:line="360" w:lineRule="auto"/>
                    <w:ind w:left="0" w:leftChars="0" w:firstLine="0" w:firstLineChars="0"/>
                    <w:rPr>
                      <w:rFonts w:hint="default"/>
                      <w:color w:val="auto"/>
                      <w:highlight w:val="none"/>
                      <w:vertAlign w:val="baseline"/>
                      <w:lang w:val="en-US" w:eastAsia="zh-CN"/>
                    </w:rPr>
                  </w:pPr>
                  <w:r>
                    <w:rPr>
                      <w:rFonts w:hint="eastAsia"/>
                      <w:b w:val="0"/>
                      <w:bCs w:val="0"/>
                      <w:color w:val="auto"/>
                      <w:sz w:val="21"/>
                      <w:szCs w:val="21"/>
                      <w:highlight w:val="none"/>
                      <w:lang w:val="en-US" w:eastAsia="zh-CN"/>
                    </w:rPr>
                    <w:t>医疗废水</w:t>
                  </w:r>
                </w:p>
              </w:tc>
              <w:tc>
                <w:tcPr>
                  <w:tcW w:w="1297" w:type="dxa"/>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进入海域、</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江、河、湖</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vertAlign w:val="baseline"/>
                      <w:lang w:val="en-US" w:eastAsia="zh-CN"/>
                    </w:rPr>
                  </w:pPr>
                  <w:r>
                    <w:rPr>
                      <w:rFonts w:hint="eastAsia"/>
                      <w:b w:val="0"/>
                      <w:bCs w:val="0"/>
                      <w:color w:val="auto"/>
                      <w:sz w:val="21"/>
                      <w:szCs w:val="21"/>
                      <w:highlight w:val="none"/>
                      <w:lang w:val="en-US" w:eastAsia="zh-CN"/>
                    </w:rPr>
                    <w:t>库等水体</w:t>
                  </w:r>
                </w:p>
              </w:tc>
              <w:tc>
                <w:tcPr>
                  <w:tcW w:w="5417" w:type="dxa"/>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二级处理</w:t>
                  </w:r>
                  <w:r>
                    <w:rPr>
                      <w:rFonts w:hint="default"/>
                      <w:b w:val="0"/>
                      <w:bCs w:val="0"/>
                      <w:color w:val="auto"/>
                      <w:sz w:val="21"/>
                      <w:szCs w:val="21"/>
                      <w:highlight w:val="none"/>
                      <w:lang w:val="en-US" w:eastAsia="zh-CN"/>
                    </w:rPr>
                    <w:t>/</w:t>
                  </w:r>
                  <w:r>
                    <w:rPr>
                      <w:rFonts w:hint="eastAsia"/>
                      <w:b w:val="0"/>
                      <w:bCs w:val="0"/>
                      <w:color w:val="auto"/>
                      <w:sz w:val="21"/>
                      <w:szCs w:val="21"/>
                      <w:highlight w:val="none"/>
                      <w:lang w:val="en-US" w:eastAsia="zh-CN"/>
                    </w:rPr>
                    <w:t>深度处理</w:t>
                  </w:r>
                  <w:r>
                    <w:rPr>
                      <w:rFonts w:hint="default"/>
                      <w:b w:val="0"/>
                      <w:bCs w:val="0"/>
                      <w:color w:val="auto"/>
                      <w:sz w:val="21"/>
                      <w:szCs w:val="21"/>
                      <w:highlight w:val="none"/>
                      <w:lang w:val="en-US" w:eastAsia="zh-CN"/>
                    </w:rPr>
                    <w:t>+</w:t>
                  </w:r>
                  <w:r>
                    <w:rPr>
                      <w:rFonts w:hint="eastAsia"/>
                      <w:b w:val="0"/>
                      <w:bCs w:val="0"/>
                      <w:color w:val="auto"/>
                      <w:sz w:val="21"/>
                      <w:szCs w:val="21"/>
                      <w:highlight w:val="none"/>
                      <w:lang w:val="en-US" w:eastAsia="zh-CN"/>
                    </w:rPr>
                    <w:t xml:space="preserve">消毒工艺。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 xml:space="preserve">二级处理包括：活性污泥法；生物膜法。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 xml:space="preserve">深度处理包括：絮凝沉淀法；砂滤法；活性炭法；臭氧氧化法；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 xml:space="preserve">膜分离法；生物脱氮除磷法。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消毒工艺：加氯消毒，臭氧法消毒，次氯酸钠法、二氧化氯法消毒、紫外线消毒等。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9" w:type="dxa"/>
                  <w:vMerge w:val="continue"/>
                </w:tcPr>
                <w:p>
                  <w:pPr>
                    <w:bidi w:val="0"/>
                    <w:spacing w:line="360" w:lineRule="auto"/>
                    <w:rPr>
                      <w:rFonts w:hint="default"/>
                      <w:color w:val="auto"/>
                      <w:highlight w:val="none"/>
                      <w:vertAlign w:val="baseline"/>
                      <w:lang w:val="en-US" w:eastAsia="zh-CN"/>
                    </w:rPr>
                  </w:pPr>
                </w:p>
              </w:tc>
              <w:tc>
                <w:tcPr>
                  <w:tcW w:w="1297" w:type="dxa"/>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排入城镇</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vertAlign w:val="baseline"/>
                      <w:lang w:val="en-US" w:eastAsia="zh-CN"/>
                    </w:rPr>
                  </w:pPr>
                  <w:r>
                    <w:rPr>
                      <w:rFonts w:hint="eastAsia"/>
                      <w:b w:val="0"/>
                      <w:bCs w:val="0"/>
                      <w:color w:val="auto"/>
                      <w:sz w:val="21"/>
                      <w:szCs w:val="21"/>
                      <w:highlight w:val="none"/>
                      <w:lang w:val="en-US" w:eastAsia="zh-CN"/>
                    </w:rPr>
                    <w:t>污水处理 厂</w:t>
                  </w:r>
                </w:p>
              </w:tc>
              <w:tc>
                <w:tcPr>
                  <w:tcW w:w="5417" w:type="dxa"/>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一级处理</w:t>
                  </w:r>
                  <w:r>
                    <w:rPr>
                      <w:rFonts w:hint="default"/>
                      <w:b w:val="0"/>
                      <w:bCs w:val="0"/>
                      <w:color w:val="auto"/>
                      <w:sz w:val="21"/>
                      <w:szCs w:val="21"/>
                      <w:highlight w:val="none"/>
                      <w:lang w:val="en-US" w:eastAsia="zh-CN"/>
                    </w:rPr>
                    <w:t>/</w:t>
                  </w:r>
                  <w:r>
                    <w:rPr>
                      <w:rFonts w:hint="eastAsia"/>
                      <w:b w:val="0"/>
                      <w:bCs w:val="0"/>
                      <w:color w:val="auto"/>
                      <w:sz w:val="21"/>
                      <w:szCs w:val="21"/>
                      <w:highlight w:val="none"/>
                      <w:lang w:val="en-US" w:eastAsia="zh-CN"/>
                    </w:rPr>
                    <w:t>一级强化处理</w:t>
                  </w:r>
                  <w:r>
                    <w:rPr>
                      <w:rFonts w:hint="default"/>
                      <w:b w:val="0"/>
                      <w:bCs w:val="0"/>
                      <w:color w:val="auto"/>
                      <w:sz w:val="21"/>
                      <w:szCs w:val="21"/>
                      <w:highlight w:val="none"/>
                      <w:lang w:val="en-US" w:eastAsia="zh-CN"/>
                    </w:rPr>
                    <w:t>+</w:t>
                  </w:r>
                  <w:r>
                    <w:rPr>
                      <w:rFonts w:hint="eastAsia"/>
                      <w:b w:val="0"/>
                      <w:bCs w:val="0"/>
                      <w:color w:val="auto"/>
                      <w:sz w:val="21"/>
                      <w:szCs w:val="21"/>
                      <w:highlight w:val="none"/>
                      <w:lang w:val="en-US" w:eastAsia="zh-CN"/>
                    </w:rPr>
                    <w:t xml:space="preserve">消毒工艺。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 xml:space="preserve">一级处理包括：筛滤法；沉淀法；气浮法；预曝气法。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 xml:space="preserve">一级强化处理包括：化学混凝处理、机械过滤或不完全生物处理。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消毒工艺：加氯消毒，臭氧法消毒，次氯酸钠法、二氧化氯法消毒、紫外线消毒等。</w:t>
                  </w:r>
                </w:p>
              </w:tc>
            </w:tr>
          </w:tbl>
          <w:p>
            <w:pPr>
              <w:bidi w:val="0"/>
              <w:spacing w:line="360" w:lineRule="auto"/>
              <w:ind w:firstLine="480" w:firstLineChars="200"/>
              <w:rPr>
                <w:rFonts w:hint="default" w:ascii="宋体" w:hAnsi="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医院运营过程中产生的软水制备浓水与医疗废水、生活污水一起经化粪池（设计处理能力为</w:t>
            </w:r>
            <w:r>
              <w:rPr>
                <w:rFonts w:hint="eastAsia" w:ascii="Times New Roman" w:hAnsi="Times New Roman" w:eastAsia="宋体" w:cs="Times New Roman"/>
                <w:color w:val="auto"/>
                <w:kern w:val="0"/>
                <w:sz w:val="24"/>
                <w:szCs w:val="24"/>
                <w:highlight w:val="none"/>
                <w:lang w:val="en-US" w:eastAsia="zh-CN" w:bidi="ar"/>
              </w:rPr>
              <w:t>36</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val="en-US" w:eastAsia="zh-CN" w:bidi="ar"/>
              </w:rPr>
              <w:t>）收集后进入一体化医疗废水处理设备（设计处理能力</w:t>
            </w:r>
            <w:r>
              <w:rPr>
                <w:rFonts w:hint="eastAsia" w:ascii="宋体" w:hAnsi="宋体" w:cs="宋体"/>
                <w:color w:val="auto"/>
                <w:kern w:val="0"/>
                <w:sz w:val="24"/>
                <w:szCs w:val="24"/>
                <w:highlight w:val="none"/>
                <w:lang w:val="en-US" w:eastAsia="zh-CN" w:bidi="ar"/>
              </w:rPr>
              <w:t>不小于36m</w:t>
            </w:r>
            <w:r>
              <w:rPr>
                <w:rFonts w:hint="eastAsia" w:ascii="宋体" w:hAnsi="宋体" w:cs="宋体"/>
                <w:color w:val="auto"/>
                <w:kern w:val="0"/>
                <w:sz w:val="24"/>
                <w:szCs w:val="24"/>
                <w:highlight w:val="none"/>
                <w:vertAlign w:val="superscript"/>
                <w:lang w:val="en-US" w:eastAsia="zh-CN" w:bidi="ar"/>
              </w:rPr>
              <w:t>3</w:t>
            </w:r>
            <w:r>
              <w:rPr>
                <w:rFonts w:hint="eastAsia" w:ascii="宋体" w:hAnsi="宋体" w:cs="宋体"/>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val="en-US" w:eastAsia="zh-CN" w:bidi="ar"/>
              </w:rPr>
              <w:t>，处理工艺：格栅池→化粪池→调节池→缺氧池→好氧池→二沉池→消毒</w:t>
            </w:r>
            <w:r>
              <w:rPr>
                <w:rFonts w:hint="eastAsia" w:ascii="宋体" w:hAnsi="宋体" w:cs="宋体"/>
                <w:color w:val="auto"/>
                <w:kern w:val="0"/>
                <w:sz w:val="24"/>
                <w:szCs w:val="24"/>
                <w:highlight w:val="none"/>
                <w:lang w:val="en-US" w:eastAsia="zh-CN" w:bidi="ar"/>
              </w:rPr>
              <w:t>池</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，其处理工艺属于“二级处理+消毒工艺”，故项目废水处理技术可行。</w:t>
            </w:r>
          </w:p>
          <w:p>
            <w:pPr>
              <w:keepNext w:val="0"/>
              <w:keepLines w:val="0"/>
              <w:widowControl/>
              <w:suppressLineNumbers w:val="0"/>
              <w:ind w:left="0" w:leftChars="0" w:firstLine="0" w:firstLineChars="0"/>
              <w:jc w:val="left"/>
              <w:rPr>
                <w:color w:val="auto"/>
                <w:highlight w:val="none"/>
              </w:rPr>
            </w:pPr>
            <w:r>
              <w:rPr>
                <w:rFonts w:hint="default" w:ascii="Times New Roman" w:hAnsi="Times New Roman" w:eastAsia="宋体" w:cs="Times New Roman"/>
                <w:b/>
                <w:bCs/>
                <w:color w:val="auto"/>
                <w:kern w:val="0"/>
                <w:sz w:val="24"/>
                <w:szCs w:val="24"/>
                <w:highlight w:val="none"/>
                <w:lang w:val="en-US" w:eastAsia="zh-CN" w:bidi="ar"/>
              </w:rPr>
              <w:t xml:space="preserve">4.3.3 </w:t>
            </w:r>
            <w:r>
              <w:rPr>
                <w:rFonts w:hint="eastAsia" w:ascii="宋体" w:hAnsi="宋体" w:eastAsia="宋体" w:cs="宋体"/>
                <w:b/>
                <w:bCs/>
                <w:color w:val="auto"/>
                <w:kern w:val="0"/>
                <w:sz w:val="24"/>
                <w:szCs w:val="24"/>
                <w:highlight w:val="none"/>
                <w:lang w:val="en-US" w:eastAsia="zh-CN" w:bidi="ar"/>
              </w:rPr>
              <w:t>事故池设置说明</w:t>
            </w:r>
          </w:p>
          <w:p>
            <w:pPr>
              <w:bidi w:val="0"/>
              <w:spacing w:line="360" w:lineRule="auto"/>
              <w:ind w:firstLine="480" w:firstLineChars="20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根据《医院污水处理工程技术规范》（</w:t>
            </w:r>
            <w:r>
              <w:rPr>
                <w:rFonts w:hint="default" w:ascii="宋体" w:hAnsi="宋体" w:eastAsia="宋体" w:cs="宋体"/>
                <w:color w:val="auto"/>
                <w:kern w:val="0"/>
                <w:sz w:val="24"/>
                <w:szCs w:val="24"/>
                <w:highlight w:val="none"/>
                <w:lang w:val="en-US" w:eastAsia="zh-CN" w:bidi="ar"/>
              </w:rPr>
              <w:t>HJ2029-2013</w:t>
            </w:r>
            <w:r>
              <w:rPr>
                <w:rFonts w:hint="eastAsia" w:ascii="宋体" w:hAnsi="宋体" w:eastAsia="宋体" w:cs="宋体"/>
                <w:color w:val="auto"/>
                <w:kern w:val="0"/>
                <w:sz w:val="24"/>
                <w:szCs w:val="24"/>
                <w:highlight w:val="none"/>
                <w:lang w:val="en-US" w:eastAsia="zh-CN" w:bidi="ar"/>
              </w:rPr>
              <w:t>）规定，非传染病医院污水处理工程应设置事故池，应急事故池容积不小于日排放量的</w:t>
            </w:r>
            <w:r>
              <w:rPr>
                <w:rFonts w:hint="default" w:ascii="宋体" w:hAnsi="宋体" w:eastAsia="宋体" w:cs="宋体"/>
                <w:color w:val="auto"/>
                <w:kern w:val="0"/>
                <w:sz w:val="24"/>
                <w:szCs w:val="24"/>
                <w:highlight w:val="none"/>
                <w:lang w:val="en-US" w:eastAsia="zh-CN" w:bidi="ar"/>
              </w:rPr>
              <w:t>30%</w:t>
            </w:r>
            <w:r>
              <w:rPr>
                <w:rFonts w:hint="eastAsia" w:ascii="宋体" w:hAnsi="宋体" w:eastAsia="宋体" w:cs="宋体"/>
                <w:color w:val="auto"/>
                <w:kern w:val="0"/>
                <w:sz w:val="24"/>
                <w:szCs w:val="24"/>
                <w:highlight w:val="none"/>
                <w:lang w:val="en-US" w:eastAsia="zh-CN" w:bidi="ar"/>
              </w:rPr>
              <w:t xml:space="preserve">，以贮存处理系统或其他突发事件时医院污水未经处理外排。 </w:t>
            </w:r>
          </w:p>
          <w:p>
            <w:pPr>
              <w:bidi w:val="0"/>
              <w:spacing w:line="360" w:lineRule="auto"/>
              <w:ind w:firstLine="480" w:firstLineChars="20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本项目废水日排放量为</w:t>
            </w:r>
            <w:r>
              <w:rPr>
                <w:rFonts w:hint="eastAsia" w:ascii="宋体" w:hAnsi="宋体" w:cs="宋体"/>
                <w:color w:val="auto"/>
                <w:kern w:val="0"/>
                <w:sz w:val="24"/>
                <w:szCs w:val="24"/>
                <w:highlight w:val="none"/>
                <w:lang w:val="en-US" w:eastAsia="zh-CN" w:bidi="ar"/>
              </w:rPr>
              <w:t>20.462</w:t>
            </w:r>
            <w:r>
              <w:rPr>
                <w:rFonts w:hint="default" w:ascii="宋体" w:hAnsi="宋体" w:eastAsia="宋体" w:cs="宋体"/>
                <w:color w:val="auto"/>
                <w:kern w:val="0"/>
                <w:sz w:val="24"/>
                <w:szCs w:val="24"/>
                <w:highlight w:val="none"/>
                <w:lang w:val="en-US" w:eastAsia="zh-CN" w:bidi="ar"/>
              </w:rPr>
              <w:t>m</w:t>
            </w:r>
            <w:r>
              <w:rPr>
                <w:rFonts w:hint="default" w:ascii="宋体" w:hAnsi="宋体" w:eastAsia="宋体" w:cs="宋体"/>
                <w:color w:val="auto"/>
                <w:kern w:val="0"/>
                <w:sz w:val="24"/>
                <w:szCs w:val="24"/>
                <w:highlight w:val="none"/>
                <w:vertAlign w:val="superscript"/>
                <w:lang w:val="en-US" w:eastAsia="zh-CN" w:bidi="ar"/>
              </w:rPr>
              <w:t>3</w:t>
            </w:r>
            <w:r>
              <w:rPr>
                <w:rFonts w:hint="default" w:ascii="宋体" w:hAnsi="宋体" w:eastAsia="宋体" w:cs="宋体"/>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val="en-US" w:eastAsia="zh-CN" w:bidi="ar"/>
              </w:rPr>
              <w:t>，为间歇式排放，如发生突发事件，采用移动泵将废水抽入应急处理池内，本项目将在废水处理设施旁自建一个应急处理池，容积不小于</w:t>
            </w:r>
            <w:r>
              <w:rPr>
                <w:rFonts w:hint="eastAsia" w:ascii="宋体" w:hAnsi="宋体" w:cs="宋体"/>
                <w:color w:val="auto"/>
                <w:kern w:val="0"/>
                <w:sz w:val="24"/>
                <w:szCs w:val="24"/>
                <w:highlight w:val="none"/>
                <w:lang w:val="en-US" w:eastAsia="zh-CN" w:bidi="ar"/>
              </w:rPr>
              <w:t>7</w:t>
            </w:r>
            <w:r>
              <w:rPr>
                <w:rFonts w:hint="default" w:ascii="宋体" w:hAnsi="宋体" w:eastAsia="宋体" w:cs="宋体"/>
                <w:color w:val="auto"/>
                <w:kern w:val="0"/>
                <w:sz w:val="24"/>
                <w:szCs w:val="24"/>
                <w:highlight w:val="none"/>
                <w:lang w:val="en-US" w:eastAsia="zh-CN" w:bidi="ar"/>
              </w:rPr>
              <w:t>m</w:t>
            </w:r>
            <w:r>
              <w:rPr>
                <w:rFonts w:hint="default" w:ascii="宋体" w:hAnsi="宋体" w:eastAsia="宋体" w:cs="宋体"/>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，用作本项目事故池。</w:t>
            </w:r>
          </w:p>
          <w:p>
            <w:pPr>
              <w:keepNext w:val="0"/>
              <w:keepLines w:val="0"/>
              <w:widowControl/>
              <w:suppressLineNumbers w:val="0"/>
              <w:ind w:left="0" w:leftChars="0" w:firstLine="0" w:firstLineChars="0"/>
              <w:jc w:val="left"/>
              <w:rPr>
                <w:rFonts w:hint="default"/>
                <w:color w:val="auto"/>
                <w:highlight w:val="none"/>
                <w:lang w:val="en-US"/>
              </w:rPr>
            </w:pPr>
            <w:r>
              <w:rPr>
                <w:rFonts w:hint="default" w:ascii="Times New Roman" w:hAnsi="Times New Roman" w:eastAsia="宋体" w:cs="Times New Roman"/>
                <w:b/>
                <w:bCs/>
                <w:color w:val="auto"/>
                <w:kern w:val="0"/>
                <w:sz w:val="24"/>
                <w:szCs w:val="24"/>
                <w:highlight w:val="none"/>
                <w:lang w:val="en-US" w:eastAsia="zh-CN" w:bidi="ar"/>
              </w:rPr>
              <w:t>4.3.</w:t>
            </w:r>
            <w:r>
              <w:rPr>
                <w:rFonts w:hint="eastAsia" w:cs="Times New Roman"/>
                <w:b/>
                <w:bCs/>
                <w:color w:val="auto"/>
                <w:kern w:val="0"/>
                <w:sz w:val="24"/>
                <w:szCs w:val="24"/>
                <w:highlight w:val="none"/>
                <w:lang w:val="en-US" w:eastAsia="zh-CN" w:bidi="ar"/>
              </w:rPr>
              <w:t>4</w:t>
            </w:r>
            <w:r>
              <w:rPr>
                <w:rFonts w:hint="default" w:ascii="Times New Roman" w:hAnsi="Times New Roman" w:eastAsia="宋体" w:cs="Times New Roman"/>
                <w:b/>
                <w:bCs/>
                <w:color w:val="auto"/>
                <w:kern w:val="0"/>
                <w:sz w:val="24"/>
                <w:szCs w:val="24"/>
                <w:highlight w:val="none"/>
                <w:lang w:val="en-US" w:eastAsia="zh-CN" w:bidi="ar"/>
              </w:rPr>
              <w:t xml:space="preserve"> </w:t>
            </w:r>
            <w:r>
              <w:rPr>
                <w:rFonts w:hint="eastAsia" w:cs="Times New Roman"/>
                <w:b/>
                <w:bCs/>
                <w:color w:val="auto"/>
                <w:kern w:val="0"/>
                <w:sz w:val="24"/>
                <w:szCs w:val="24"/>
                <w:highlight w:val="none"/>
                <w:lang w:val="en-US" w:eastAsia="zh-CN" w:bidi="ar"/>
              </w:rPr>
              <w:t>依托羊市镇污水处理厂处理可行性</w:t>
            </w:r>
          </w:p>
          <w:p>
            <w:pPr>
              <w:bidi w:val="0"/>
              <w:spacing w:line="360" w:lineRule="auto"/>
              <w:ind w:firstLine="480" w:firstLineChars="20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本项目所在区域为</w:t>
            </w:r>
            <w:r>
              <w:rPr>
                <w:rFonts w:hint="eastAsia" w:ascii="宋体" w:hAnsi="宋体" w:cs="宋体"/>
                <w:color w:val="auto"/>
                <w:kern w:val="0"/>
                <w:sz w:val="24"/>
                <w:szCs w:val="24"/>
                <w:highlight w:val="none"/>
                <w:lang w:val="en-US" w:eastAsia="zh-CN" w:bidi="ar"/>
              </w:rPr>
              <w:t>羊市</w:t>
            </w:r>
            <w:r>
              <w:rPr>
                <w:rFonts w:hint="eastAsia" w:ascii="宋体" w:hAnsi="宋体" w:eastAsia="宋体" w:cs="宋体"/>
                <w:color w:val="auto"/>
                <w:kern w:val="0"/>
                <w:sz w:val="24"/>
                <w:szCs w:val="24"/>
                <w:highlight w:val="none"/>
                <w:lang w:val="en-US" w:eastAsia="zh-CN" w:bidi="ar"/>
              </w:rPr>
              <w:t>镇污水处理厂服务范围，区域污水管网完善， 项目废水经过废水处理设施处理后，可以经市政污水管网进入</w:t>
            </w:r>
            <w:r>
              <w:rPr>
                <w:rFonts w:hint="eastAsia" w:ascii="宋体" w:hAnsi="宋体" w:cs="宋体"/>
                <w:color w:val="auto"/>
                <w:kern w:val="0"/>
                <w:sz w:val="24"/>
                <w:szCs w:val="24"/>
                <w:highlight w:val="none"/>
                <w:lang w:val="en-US" w:eastAsia="zh-CN" w:bidi="ar"/>
              </w:rPr>
              <w:t>羊市</w:t>
            </w:r>
            <w:r>
              <w:rPr>
                <w:rFonts w:hint="eastAsia" w:ascii="宋体" w:hAnsi="宋体" w:eastAsia="宋体" w:cs="宋体"/>
                <w:color w:val="auto"/>
                <w:kern w:val="0"/>
                <w:sz w:val="24"/>
                <w:szCs w:val="24"/>
                <w:highlight w:val="none"/>
                <w:lang w:val="en-US" w:eastAsia="zh-CN" w:bidi="ar"/>
              </w:rPr>
              <w:t>镇污水处理厂。</w:t>
            </w:r>
            <w:r>
              <w:rPr>
                <w:rFonts w:hint="eastAsia" w:ascii="宋体" w:hAnsi="宋体" w:cs="宋体"/>
                <w:color w:val="auto"/>
                <w:kern w:val="0"/>
                <w:sz w:val="24"/>
                <w:szCs w:val="24"/>
                <w:highlight w:val="none"/>
                <w:lang w:val="en-US" w:eastAsia="zh-CN" w:bidi="ar"/>
              </w:rPr>
              <w:t>羊市镇</w:t>
            </w:r>
            <w:r>
              <w:rPr>
                <w:rFonts w:hint="eastAsia" w:ascii="宋体" w:hAnsi="宋体" w:eastAsia="宋体" w:cs="宋体"/>
                <w:color w:val="auto"/>
                <w:kern w:val="0"/>
                <w:sz w:val="24"/>
                <w:szCs w:val="24"/>
                <w:highlight w:val="none"/>
                <w:lang w:val="en-US" w:eastAsia="zh-CN" w:bidi="ar"/>
              </w:rPr>
              <w:t>污水处理厂位于</w:t>
            </w:r>
            <w:r>
              <w:rPr>
                <w:rFonts w:hint="eastAsia" w:ascii="宋体" w:hAnsi="宋体" w:cs="宋体"/>
                <w:color w:val="auto"/>
                <w:kern w:val="0"/>
                <w:sz w:val="24"/>
                <w:szCs w:val="24"/>
                <w:highlight w:val="none"/>
                <w:lang w:val="en-US" w:eastAsia="zh-CN" w:bidi="ar"/>
              </w:rPr>
              <w:t>奉节县羊市镇渔灯社区16组</w:t>
            </w:r>
            <w:r>
              <w:rPr>
                <w:rFonts w:hint="eastAsia" w:ascii="宋体" w:hAnsi="宋体" w:eastAsia="宋体" w:cs="宋体"/>
                <w:color w:val="auto"/>
                <w:kern w:val="0"/>
                <w:sz w:val="24"/>
                <w:szCs w:val="24"/>
                <w:highlight w:val="none"/>
                <w:lang w:val="en-US" w:eastAsia="zh-CN" w:bidi="ar"/>
              </w:rPr>
              <w:t>，服务范围主要是</w:t>
            </w:r>
            <w:r>
              <w:rPr>
                <w:rFonts w:hint="eastAsia" w:ascii="宋体" w:hAnsi="宋体" w:cs="宋体"/>
                <w:color w:val="auto"/>
                <w:kern w:val="0"/>
                <w:sz w:val="24"/>
                <w:szCs w:val="24"/>
                <w:highlight w:val="none"/>
                <w:lang w:val="en-US" w:eastAsia="zh-CN" w:bidi="ar"/>
              </w:rPr>
              <w:t>羊市镇</w:t>
            </w:r>
            <w:r>
              <w:rPr>
                <w:rFonts w:hint="eastAsia" w:ascii="宋体" w:hAnsi="宋体" w:eastAsia="宋体" w:cs="宋体"/>
                <w:color w:val="auto"/>
                <w:kern w:val="0"/>
                <w:sz w:val="24"/>
                <w:szCs w:val="24"/>
                <w:highlight w:val="none"/>
                <w:lang w:val="en-US" w:eastAsia="zh-CN" w:bidi="ar"/>
              </w:rPr>
              <w:t>、学校、政府机关等。该厂设计日处理规模为</w:t>
            </w:r>
            <w:r>
              <w:rPr>
                <w:rFonts w:hint="default" w:ascii="宋体" w:hAnsi="宋体" w:eastAsia="宋体" w:cs="宋体"/>
                <w:color w:val="auto"/>
                <w:kern w:val="0"/>
                <w:sz w:val="24"/>
                <w:szCs w:val="24"/>
                <w:highlight w:val="none"/>
                <w:lang w:val="en-US" w:eastAsia="zh-CN" w:bidi="ar"/>
              </w:rPr>
              <w:t>600m</w:t>
            </w:r>
            <w:r>
              <w:rPr>
                <w:rFonts w:hint="default" w:ascii="宋体" w:hAnsi="宋体" w:eastAsia="宋体" w:cs="宋体"/>
                <w:color w:val="auto"/>
                <w:kern w:val="0"/>
                <w:sz w:val="24"/>
                <w:szCs w:val="24"/>
                <w:highlight w:val="none"/>
                <w:vertAlign w:val="superscript"/>
                <w:lang w:val="en-US" w:eastAsia="zh-CN" w:bidi="ar"/>
              </w:rPr>
              <w:t>3</w:t>
            </w:r>
            <w:r>
              <w:rPr>
                <w:rFonts w:hint="eastAsia" w:ascii="宋体" w:hAnsi="宋体" w:cs="宋体"/>
                <w:color w:val="auto"/>
                <w:kern w:val="0"/>
                <w:sz w:val="24"/>
                <w:szCs w:val="24"/>
                <w:highlight w:val="none"/>
                <w:vertAlign w:val="baseline"/>
                <w:lang w:val="en-US" w:eastAsia="zh-CN" w:bidi="ar"/>
              </w:rPr>
              <w:t>城镇生活污水</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现平均</w:t>
            </w:r>
            <w:r>
              <w:rPr>
                <w:rFonts w:hint="eastAsia" w:ascii="宋体" w:hAnsi="宋体" w:eastAsia="宋体" w:cs="宋体"/>
                <w:color w:val="auto"/>
                <w:kern w:val="0"/>
                <w:sz w:val="24"/>
                <w:szCs w:val="24"/>
                <w:highlight w:val="none"/>
                <w:lang w:val="en-US" w:eastAsia="zh-CN" w:bidi="ar"/>
              </w:rPr>
              <w:t>每天</w:t>
            </w:r>
            <w:r>
              <w:rPr>
                <w:rFonts w:hint="eastAsia" w:ascii="宋体" w:hAnsi="宋体" w:cs="宋体"/>
                <w:color w:val="auto"/>
                <w:kern w:val="0"/>
                <w:sz w:val="24"/>
                <w:szCs w:val="24"/>
                <w:highlight w:val="none"/>
                <w:lang w:val="en-US" w:eastAsia="zh-CN" w:bidi="ar"/>
              </w:rPr>
              <w:t>处理</w:t>
            </w:r>
            <w:r>
              <w:rPr>
                <w:rFonts w:hint="eastAsia" w:ascii="宋体" w:hAnsi="宋体" w:eastAsia="宋体" w:cs="宋体"/>
                <w:color w:val="auto"/>
                <w:kern w:val="0"/>
                <w:sz w:val="24"/>
                <w:szCs w:val="24"/>
                <w:highlight w:val="none"/>
                <w:lang w:val="en-US" w:eastAsia="zh-CN" w:bidi="ar"/>
              </w:rPr>
              <w:t>水量约</w:t>
            </w:r>
            <w:r>
              <w:rPr>
                <w:rFonts w:hint="eastAsia" w:ascii="宋体" w:hAnsi="宋体" w:cs="宋体"/>
                <w:color w:val="auto"/>
                <w:kern w:val="0"/>
                <w:sz w:val="24"/>
                <w:szCs w:val="24"/>
                <w:highlight w:val="none"/>
                <w:lang w:val="en-US" w:eastAsia="zh-CN" w:bidi="ar"/>
              </w:rPr>
              <w:t>为300</w:t>
            </w:r>
            <w:r>
              <w:rPr>
                <w:rFonts w:hint="default" w:ascii="宋体" w:hAnsi="宋体" w:eastAsia="宋体" w:cs="宋体"/>
                <w:color w:val="auto"/>
                <w:kern w:val="0"/>
                <w:sz w:val="24"/>
                <w:szCs w:val="24"/>
                <w:highlight w:val="none"/>
                <w:lang w:val="en-US" w:eastAsia="zh-CN" w:bidi="ar"/>
              </w:rPr>
              <w:t>m</w:t>
            </w:r>
            <w:r>
              <w:rPr>
                <w:rFonts w:hint="default" w:ascii="宋体" w:hAnsi="宋体" w:eastAsia="宋体" w:cs="宋体"/>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，剩余处理能力为</w:t>
            </w:r>
            <w:r>
              <w:rPr>
                <w:rFonts w:hint="eastAsia" w:ascii="宋体" w:hAnsi="宋体" w:cs="宋体"/>
                <w:color w:val="auto"/>
                <w:kern w:val="0"/>
                <w:sz w:val="24"/>
                <w:szCs w:val="24"/>
                <w:highlight w:val="none"/>
                <w:lang w:val="en-US" w:eastAsia="zh-CN" w:bidi="ar"/>
              </w:rPr>
              <w:t>3</w:t>
            </w:r>
            <w:r>
              <w:rPr>
                <w:rFonts w:hint="default" w:ascii="宋体" w:hAnsi="宋体" w:eastAsia="宋体" w:cs="宋体"/>
                <w:color w:val="auto"/>
                <w:kern w:val="0"/>
                <w:sz w:val="24"/>
                <w:szCs w:val="24"/>
                <w:highlight w:val="none"/>
                <w:lang w:val="en-US" w:eastAsia="zh-CN" w:bidi="ar"/>
              </w:rPr>
              <w:t>50m</w:t>
            </w:r>
            <w:r>
              <w:rPr>
                <w:rFonts w:hint="default" w:ascii="宋体" w:hAnsi="宋体" w:eastAsia="宋体" w:cs="宋体"/>
                <w:color w:val="auto"/>
                <w:kern w:val="0"/>
                <w:sz w:val="24"/>
                <w:szCs w:val="24"/>
                <w:highlight w:val="none"/>
                <w:vertAlign w:val="superscript"/>
                <w:lang w:val="en-US" w:eastAsia="zh-CN" w:bidi="ar"/>
              </w:rPr>
              <w:t>3</w:t>
            </w:r>
            <w:r>
              <w:rPr>
                <w:rFonts w:hint="eastAsia" w:ascii="宋体" w:hAnsi="宋体" w:cs="宋体"/>
                <w:color w:val="auto"/>
                <w:kern w:val="0"/>
                <w:sz w:val="24"/>
                <w:szCs w:val="24"/>
                <w:highlight w:val="none"/>
                <w:vertAlign w:val="baseline"/>
                <w:lang w:val="en-US" w:eastAsia="zh-CN" w:bidi="ar"/>
              </w:rPr>
              <w:t>/d</w:t>
            </w:r>
            <w:r>
              <w:rPr>
                <w:rFonts w:hint="eastAsia" w:ascii="宋体" w:hAnsi="宋体" w:eastAsia="宋体" w:cs="宋体"/>
                <w:color w:val="auto"/>
                <w:kern w:val="0"/>
                <w:sz w:val="24"/>
                <w:szCs w:val="24"/>
                <w:highlight w:val="none"/>
                <w:lang w:val="en-US" w:eastAsia="zh-CN" w:bidi="ar"/>
              </w:rPr>
              <w:t>。工艺采用</w:t>
            </w:r>
            <w:r>
              <w:rPr>
                <w:rFonts w:hint="eastAsia" w:ascii="宋体" w:hAnsi="宋体" w:cs="宋体"/>
                <w:color w:val="auto"/>
                <w:kern w:val="0"/>
                <w:sz w:val="24"/>
                <w:szCs w:val="24"/>
                <w:highlight w:val="none"/>
                <w:lang w:val="en-US" w:eastAsia="zh-CN" w:bidi="ar"/>
              </w:rPr>
              <w:t>前处理</w:t>
            </w:r>
            <w:r>
              <w:rPr>
                <w:rFonts w:hint="default"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A2O</w:t>
            </w:r>
            <w:r>
              <w:rPr>
                <w:rFonts w:hint="default"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化学</w:t>
            </w:r>
            <w:r>
              <w:rPr>
                <w:rFonts w:hint="eastAsia" w:ascii="宋体" w:hAnsi="宋体" w:eastAsia="宋体" w:cs="宋体"/>
                <w:color w:val="auto"/>
                <w:kern w:val="0"/>
                <w:sz w:val="24"/>
                <w:szCs w:val="24"/>
                <w:highlight w:val="none"/>
                <w:lang w:val="en-US" w:eastAsia="zh-CN" w:bidi="ar"/>
              </w:rPr>
              <w:t>除磷</w:t>
            </w:r>
            <w:r>
              <w:rPr>
                <w:rFonts w:hint="eastAsia" w:ascii="宋体" w:hAnsi="宋体" w:cs="宋体"/>
                <w:color w:val="auto"/>
                <w:kern w:val="0"/>
                <w:sz w:val="24"/>
                <w:szCs w:val="24"/>
                <w:highlight w:val="none"/>
                <w:lang w:val="en-US" w:eastAsia="zh-CN" w:bidi="ar"/>
              </w:rPr>
              <w:t>+消毒</w:t>
            </w:r>
            <w:r>
              <w:rPr>
                <w:rFonts w:hint="eastAsia" w:ascii="宋体" w:hAnsi="宋体" w:eastAsia="宋体" w:cs="宋体"/>
                <w:color w:val="auto"/>
                <w:kern w:val="0"/>
                <w:sz w:val="24"/>
                <w:szCs w:val="24"/>
                <w:highlight w:val="none"/>
                <w:lang w:val="en-US" w:eastAsia="zh-CN" w:bidi="ar"/>
              </w:rPr>
              <w:t>，出水执行《城镇污水处理厂污染物排放标准》（</w:t>
            </w:r>
            <w:r>
              <w:rPr>
                <w:rFonts w:hint="default" w:ascii="宋体" w:hAnsi="宋体" w:eastAsia="宋体" w:cs="宋体"/>
                <w:color w:val="auto"/>
                <w:kern w:val="0"/>
                <w:sz w:val="24"/>
                <w:szCs w:val="24"/>
                <w:highlight w:val="none"/>
                <w:lang w:val="en-US" w:eastAsia="zh-CN" w:bidi="ar"/>
              </w:rPr>
              <w:t>GB18918-2002</w:t>
            </w:r>
            <w:r>
              <w:rPr>
                <w:rFonts w:hint="eastAsia" w:ascii="宋体" w:hAnsi="宋体" w:eastAsia="宋体" w:cs="宋体"/>
                <w:color w:val="auto"/>
                <w:kern w:val="0"/>
                <w:sz w:val="24"/>
                <w:szCs w:val="24"/>
                <w:highlight w:val="none"/>
                <w:lang w:val="en-US" w:eastAsia="zh-CN" w:bidi="ar"/>
              </w:rPr>
              <w:t>）的一级</w:t>
            </w:r>
            <w:r>
              <w:rPr>
                <w:rFonts w:hint="eastAsia" w:ascii="宋体" w:hAnsi="宋体" w:cs="宋体"/>
                <w:color w:val="auto"/>
                <w:kern w:val="0"/>
                <w:sz w:val="24"/>
                <w:szCs w:val="24"/>
                <w:highlight w:val="none"/>
                <w:lang w:val="en-US" w:eastAsia="zh-CN" w:bidi="ar"/>
              </w:rPr>
              <w:t>B</w:t>
            </w:r>
            <w:r>
              <w:rPr>
                <w:rFonts w:hint="eastAsia" w:ascii="宋体" w:hAnsi="宋体" w:eastAsia="宋体" w:cs="宋体"/>
                <w:color w:val="auto"/>
                <w:kern w:val="0"/>
                <w:sz w:val="24"/>
                <w:szCs w:val="24"/>
                <w:highlight w:val="none"/>
                <w:lang w:val="en-US" w:eastAsia="zh-CN" w:bidi="ar"/>
              </w:rPr>
              <w:t xml:space="preserve">标准。 </w:t>
            </w:r>
          </w:p>
          <w:p>
            <w:pPr>
              <w:bidi w:val="0"/>
              <w:spacing w:line="360" w:lineRule="auto"/>
              <w:ind w:firstLine="480" w:firstLineChars="20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本项目污水排放量为</w:t>
            </w:r>
            <w:r>
              <w:rPr>
                <w:rFonts w:hint="eastAsia" w:ascii="宋体" w:hAnsi="宋体" w:cs="宋体"/>
                <w:color w:val="auto"/>
                <w:kern w:val="0"/>
                <w:sz w:val="24"/>
                <w:szCs w:val="24"/>
                <w:highlight w:val="none"/>
                <w:lang w:val="en-US" w:eastAsia="zh-CN" w:bidi="ar"/>
              </w:rPr>
              <w:t>20.462</w:t>
            </w:r>
            <w:r>
              <w:rPr>
                <w:rFonts w:hint="default" w:ascii="宋体" w:hAnsi="宋体" w:eastAsia="宋体" w:cs="宋体"/>
                <w:color w:val="auto"/>
                <w:kern w:val="0"/>
                <w:sz w:val="24"/>
                <w:szCs w:val="24"/>
                <w:highlight w:val="none"/>
                <w:lang w:val="en-US" w:eastAsia="zh-CN" w:bidi="ar"/>
              </w:rPr>
              <w:t>m</w:t>
            </w:r>
            <w:r>
              <w:rPr>
                <w:rFonts w:hint="default" w:ascii="宋体" w:hAnsi="宋体" w:eastAsia="宋体" w:cs="宋体"/>
                <w:color w:val="auto"/>
                <w:kern w:val="0"/>
                <w:sz w:val="24"/>
                <w:szCs w:val="24"/>
                <w:highlight w:val="none"/>
                <w:vertAlign w:val="superscript"/>
                <w:lang w:val="en-US" w:eastAsia="zh-CN" w:bidi="ar"/>
              </w:rPr>
              <w:t>3</w:t>
            </w:r>
            <w:r>
              <w:rPr>
                <w:rFonts w:hint="default" w:ascii="宋体" w:hAnsi="宋体" w:eastAsia="宋体" w:cs="宋体"/>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val="en-US" w:eastAsia="zh-CN" w:bidi="ar"/>
              </w:rPr>
              <w:t>，小于</w:t>
            </w:r>
            <w:r>
              <w:rPr>
                <w:rFonts w:hint="eastAsia" w:ascii="宋体" w:hAnsi="宋体" w:cs="宋体"/>
                <w:color w:val="auto"/>
                <w:kern w:val="0"/>
                <w:sz w:val="24"/>
                <w:szCs w:val="24"/>
                <w:highlight w:val="none"/>
                <w:lang w:val="en-US" w:eastAsia="zh-CN" w:bidi="ar"/>
              </w:rPr>
              <w:t>羊市</w:t>
            </w:r>
            <w:r>
              <w:rPr>
                <w:rFonts w:hint="eastAsia" w:ascii="宋体" w:hAnsi="宋体" w:eastAsia="宋体" w:cs="宋体"/>
                <w:color w:val="auto"/>
                <w:kern w:val="0"/>
                <w:sz w:val="24"/>
                <w:szCs w:val="24"/>
                <w:highlight w:val="none"/>
                <w:lang w:val="en-US" w:eastAsia="zh-CN" w:bidi="ar"/>
              </w:rPr>
              <w:t>镇污水处理厂剩余处理能力，污水排放量较少；</w:t>
            </w:r>
            <w:r>
              <w:rPr>
                <w:rFonts w:hint="eastAsia" w:ascii="宋体" w:hAnsi="宋体" w:cs="宋体"/>
                <w:color w:val="auto"/>
                <w:kern w:val="0"/>
                <w:sz w:val="24"/>
                <w:szCs w:val="24"/>
                <w:highlight w:val="none"/>
                <w:lang w:val="en-US" w:eastAsia="zh-CN" w:bidi="ar"/>
              </w:rPr>
              <w:t>污水管网从项目北侧接入羊市镇污水处理厂（详见附图4），拟建项目污水处理站的</w:t>
            </w:r>
            <w:r>
              <w:rPr>
                <w:rFonts w:hint="eastAsia" w:ascii="宋体" w:hAnsi="宋体" w:eastAsia="宋体" w:cs="宋体"/>
                <w:color w:val="auto"/>
                <w:kern w:val="0"/>
                <w:sz w:val="24"/>
                <w:szCs w:val="24"/>
                <w:highlight w:val="none"/>
                <w:lang w:val="en-US" w:eastAsia="zh-CN" w:bidi="ar"/>
              </w:rPr>
              <w:t>处理能力、处理工艺、设计进水水质、稳定达标排放等均能够满足处理要求。由此可见，本项目污水依托市政污水管网进入</w:t>
            </w:r>
            <w:r>
              <w:rPr>
                <w:rFonts w:hint="eastAsia" w:ascii="宋体" w:hAnsi="宋体" w:cs="宋体"/>
                <w:color w:val="auto"/>
                <w:kern w:val="0"/>
                <w:sz w:val="24"/>
                <w:szCs w:val="24"/>
                <w:highlight w:val="none"/>
                <w:lang w:val="en-US" w:eastAsia="zh-CN" w:bidi="ar"/>
              </w:rPr>
              <w:t>羊市</w:t>
            </w:r>
            <w:r>
              <w:rPr>
                <w:rFonts w:hint="eastAsia" w:ascii="宋体" w:hAnsi="宋体" w:eastAsia="宋体" w:cs="宋体"/>
                <w:color w:val="auto"/>
                <w:kern w:val="0"/>
                <w:sz w:val="24"/>
                <w:szCs w:val="24"/>
                <w:highlight w:val="none"/>
                <w:lang w:val="en-US" w:eastAsia="zh-CN" w:bidi="ar"/>
              </w:rPr>
              <w:t xml:space="preserve">污水处理厂具有可行性。 </w:t>
            </w:r>
          </w:p>
          <w:p>
            <w:pPr>
              <w:bidi w:val="0"/>
              <w:spacing w:line="360" w:lineRule="auto"/>
              <w:ind w:firstLine="480" w:firstLineChars="20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因此，本项目对废水采取的污染防治措施是合理可行的。</w:t>
            </w:r>
          </w:p>
          <w:p>
            <w:pPr>
              <w:keepNext w:val="0"/>
              <w:keepLines w:val="0"/>
              <w:widowControl/>
              <w:suppressLineNumbers w:val="0"/>
              <w:jc w:val="left"/>
              <w:rPr>
                <w:color w:val="auto"/>
                <w:highlight w:val="none"/>
              </w:rPr>
            </w:pPr>
          </w:p>
          <w:p>
            <w:pPr>
              <w:pStyle w:val="27"/>
              <w:rPr>
                <w:rFonts w:hint="default"/>
                <w:color w:val="auto"/>
                <w:highlight w:val="none"/>
                <w:lang w:val="en-US" w:eastAsia="zh-CN"/>
              </w:rPr>
            </w:pPr>
          </w:p>
        </w:tc>
      </w:tr>
    </w:tbl>
    <w:p>
      <w:pPr>
        <w:pStyle w:val="24"/>
        <w:jc w:val="center"/>
        <w:outlineLvl w:val="0"/>
        <w:rPr>
          <w:rFonts w:ascii="Times New Roman" w:hAnsi="Times New Roman" w:eastAsia="黑体"/>
          <w:snapToGrid w:val="0"/>
          <w:color w:val="auto"/>
          <w:sz w:val="30"/>
          <w:szCs w:val="30"/>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1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37" w:hRule="atLeast"/>
        </w:trPr>
        <w:tc>
          <w:tcPr>
            <w:tcW w:w="1002" w:type="dxa"/>
            <w:noWrap w:val="0"/>
            <w:vAlign w:val="top"/>
          </w:tcPr>
          <w:p>
            <w:pPr>
              <w:pStyle w:val="24"/>
              <w:spacing w:before="0" w:beforeAutospacing="0" w:after="0" w:afterAutospacing="0" w:line="360" w:lineRule="auto"/>
              <w:outlineLvl w:val="0"/>
              <w:rPr>
                <w:rFonts w:ascii="Times New Roman" w:hAnsi="Times New Roman"/>
                <w:snapToGrid w:val="0"/>
                <w:color w:val="auto"/>
                <w:szCs w:val="24"/>
                <w:highlight w:val="none"/>
                <w:lang w:val="en-US" w:eastAsia="zh-CN"/>
              </w:rPr>
            </w:pPr>
          </w:p>
        </w:tc>
        <w:tc>
          <w:tcPr>
            <w:tcW w:w="13172" w:type="dxa"/>
            <w:noWrap w:val="0"/>
            <w:vAlign w:val="top"/>
          </w:tcPr>
          <w:p>
            <w:pPr>
              <w:keepNext w:val="0"/>
              <w:keepLines w:val="0"/>
              <w:widowControl/>
              <w:suppressLineNumbers w:val="0"/>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表4.11  废水污染源源强核算结果及相关参数一览表</w:t>
            </w:r>
          </w:p>
          <w:tbl>
            <w:tblPr>
              <w:tblStyle w:val="29"/>
              <w:tblW w:w="118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877"/>
              <w:gridCol w:w="962"/>
              <w:gridCol w:w="962"/>
              <w:gridCol w:w="975"/>
              <w:gridCol w:w="642"/>
              <w:gridCol w:w="968"/>
              <w:gridCol w:w="832"/>
              <w:gridCol w:w="1224"/>
              <w:gridCol w:w="1492"/>
              <w:gridCol w:w="1111"/>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jc w:val="center"/>
              </w:trPr>
              <w:tc>
                <w:tcPr>
                  <w:tcW w:w="638" w:type="dxa"/>
                  <w:vMerge w:val="restart"/>
                  <w:tcBorders>
                    <w:tl2br w:val="nil"/>
                    <w:tr2bl w:val="nil"/>
                  </w:tcBorders>
                  <w:noWrap w:val="0"/>
                  <w:vAlign w:val="center"/>
                </w:tcPr>
                <w:p>
                  <w:pPr>
                    <w:keepNext/>
                    <w:keepLines w:val="0"/>
                    <w:pageBreakBefore w:val="0"/>
                    <w:widowControl w:val="0"/>
                    <w:kinsoku/>
                    <w:wordWrap/>
                    <w:overflowPunct/>
                    <w:topLinePunct w:val="0"/>
                    <w:autoSpaceDE/>
                    <w:autoSpaceDN/>
                    <w:bidi w:val="0"/>
                    <w:spacing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污染源</w:t>
                  </w:r>
                </w:p>
              </w:tc>
              <w:tc>
                <w:tcPr>
                  <w:tcW w:w="877" w:type="dxa"/>
                  <w:vMerge w:val="restart"/>
                  <w:tcBorders>
                    <w:tl2br w:val="nil"/>
                    <w:tr2bl w:val="nil"/>
                  </w:tcBorders>
                  <w:noWrap w:val="0"/>
                  <w:vAlign w:val="center"/>
                </w:tcPr>
                <w:p>
                  <w:pPr>
                    <w:keepNext/>
                    <w:keepLines w:val="0"/>
                    <w:pageBreakBefore w:val="0"/>
                    <w:widowControl w:val="0"/>
                    <w:kinsoku/>
                    <w:wordWrap/>
                    <w:overflowPunct/>
                    <w:topLinePunct w:val="0"/>
                    <w:autoSpaceDE/>
                    <w:autoSpaceDN/>
                    <w:bidi w:val="0"/>
                    <w:spacing w:line="30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污染物</w:t>
                  </w:r>
                </w:p>
              </w:tc>
              <w:tc>
                <w:tcPr>
                  <w:tcW w:w="1924" w:type="dxa"/>
                  <w:gridSpan w:val="2"/>
                  <w:tcBorders>
                    <w:tl2br w:val="nil"/>
                    <w:tr2bl w:val="nil"/>
                  </w:tcBorders>
                  <w:noWrap w:val="0"/>
                  <w:vAlign w:val="center"/>
                </w:tcPr>
                <w:p>
                  <w:pPr>
                    <w:keepNext/>
                    <w:keepLines w:val="0"/>
                    <w:pageBreakBefore w:val="0"/>
                    <w:widowControl w:val="0"/>
                    <w:kinsoku/>
                    <w:wordWrap/>
                    <w:overflowPunct/>
                    <w:topLinePunct w:val="0"/>
                    <w:autoSpaceDE/>
                    <w:autoSpaceDN/>
                    <w:bidi w:val="0"/>
                    <w:spacing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处理前</w:t>
                  </w:r>
                </w:p>
              </w:tc>
              <w:tc>
                <w:tcPr>
                  <w:tcW w:w="3417" w:type="dxa"/>
                  <w:gridSpan w:val="4"/>
                  <w:tcBorders>
                    <w:tl2br w:val="nil"/>
                    <w:tr2bl w:val="nil"/>
                  </w:tcBorders>
                  <w:noWrap w:val="0"/>
                  <w:vAlign w:val="center"/>
                </w:tcPr>
                <w:p>
                  <w:pPr>
                    <w:keepNext/>
                    <w:keepLines w:val="0"/>
                    <w:pageBreakBefore w:val="0"/>
                    <w:widowControl w:val="0"/>
                    <w:kinsoku/>
                    <w:wordWrap/>
                    <w:overflowPunct/>
                    <w:topLinePunct w:val="0"/>
                    <w:autoSpaceDE/>
                    <w:autoSpaceDN/>
                    <w:bidi w:val="0"/>
                    <w:spacing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治理措施</w:t>
                  </w:r>
                </w:p>
              </w:tc>
              <w:tc>
                <w:tcPr>
                  <w:tcW w:w="2716" w:type="dxa"/>
                  <w:gridSpan w:val="2"/>
                  <w:tcBorders>
                    <w:tl2br w:val="nil"/>
                    <w:tr2bl w:val="nil"/>
                  </w:tcBorders>
                  <w:noWrap w:val="0"/>
                  <w:vAlign w:val="center"/>
                </w:tcPr>
                <w:p>
                  <w:pPr>
                    <w:keepNext/>
                    <w:keepLines w:val="0"/>
                    <w:pageBreakBefore w:val="0"/>
                    <w:widowControl w:val="0"/>
                    <w:kinsoku/>
                    <w:wordWrap/>
                    <w:overflowPunct/>
                    <w:topLinePunct w:val="0"/>
                    <w:autoSpaceDE/>
                    <w:autoSpaceDN/>
                    <w:bidi w:val="0"/>
                    <w:spacing w:line="300" w:lineRule="exact"/>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排入市政管网</w:t>
                  </w:r>
                </w:p>
              </w:tc>
              <w:tc>
                <w:tcPr>
                  <w:tcW w:w="1111" w:type="dxa"/>
                  <w:tcBorders>
                    <w:tl2br w:val="nil"/>
                    <w:tr2bl w:val="nil"/>
                  </w:tcBorders>
                  <w:noWrap w:val="0"/>
                  <w:vAlign w:val="top"/>
                </w:tcPr>
                <w:p>
                  <w:pPr>
                    <w:keepNext/>
                    <w:keepLines w:val="0"/>
                    <w:pageBreakBefore w:val="0"/>
                    <w:widowControl w:val="0"/>
                    <w:kinsoku/>
                    <w:wordWrap/>
                    <w:overflowPunct/>
                    <w:topLinePunct w:val="0"/>
                    <w:autoSpaceDE/>
                    <w:autoSpaceDN/>
                    <w:bidi w:val="0"/>
                    <w:spacing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排放规律</w:t>
                  </w:r>
                </w:p>
              </w:tc>
              <w:tc>
                <w:tcPr>
                  <w:tcW w:w="1198" w:type="dxa"/>
                  <w:tcBorders>
                    <w:tl2br w:val="nil"/>
                    <w:tr2bl w:val="nil"/>
                  </w:tcBorders>
                  <w:noWrap w:val="0"/>
                  <w:vAlign w:val="top"/>
                </w:tcPr>
                <w:p>
                  <w:pPr>
                    <w:keepNext/>
                    <w:keepLines w:val="0"/>
                    <w:pageBreakBefore w:val="0"/>
                    <w:widowControl w:val="0"/>
                    <w:kinsoku/>
                    <w:wordWrap/>
                    <w:overflowPunct/>
                    <w:topLinePunct w:val="0"/>
                    <w:autoSpaceDE/>
                    <w:autoSpaceDN/>
                    <w:bidi w:val="0"/>
                    <w:spacing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2" w:hRule="atLeast"/>
                <w:jc w:val="center"/>
              </w:trPr>
              <w:tc>
                <w:tcPr>
                  <w:tcW w:w="638"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pacing w:line="300" w:lineRule="exact"/>
                    <w:ind w:firstLine="0" w:firstLineChars="0"/>
                    <w:jc w:val="center"/>
                    <w:rPr>
                      <w:rFonts w:hint="default" w:ascii="Times New Roman" w:hAnsi="Times New Roman" w:cs="Times New Roman"/>
                      <w:color w:val="auto"/>
                      <w:sz w:val="21"/>
                      <w:szCs w:val="21"/>
                      <w:highlight w:val="none"/>
                    </w:rPr>
                  </w:pPr>
                </w:p>
              </w:tc>
              <w:tc>
                <w:tcPr>
                  <w:tcW w:w="877"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pacing w:line="300" w:lineRule="exact"/>
                    <w:ind w:firstLine="0" w:firstLineChars="0"/>
                    <w:jc w:val="center"/>
                    <w:rPr>
                      <w:rFonts w:hint="default" w:ascii="Times New Roman" w:hAnsi="Times New Roman" w:cs="Times New Roman"/>
                      <w:color w:val="auto"/>
                      <w:sz w:val="21"/>
                      <w:szCs w:val="21"/>
                      <w:highlight w:val="none"/>
                    </w:rPr>
                  </w:pPr>
                </w:p>
              </w:tc>
              <w:tc>
                <w:tcPr>
                  <w:tcW w:w="962" w:type="dxa"/>
                  <w:tcBorders>
                    <w:tl2br w:val="nil"/>
                    <w:tr2bl w:val="nil"/>
                  </w:tcBorders>
                  <w:noWrap w:val="0"/>
                  <w:vAlign w:val="center"/>
                </w:tcPr>
                <w:p>
                  <w:pPr>
                    <w:keepNext/>
                    <w:keepLines w:val="0"/>
                    <w:pageBreakBefore w:val="0"/>
                    <w:widowControl w:val="0"/>
                    <w:kinsoku/>
                    <w:wordWrap/>
                    <w:overflowPunct/>
                    <w:topLinePunct w:val="0"/>
                    <w:autoSpaceDE/>
                    <w:autoSpaceDN/>
                    <w:bidi w:val="0"/>
                    <w:spacing w:line="300" w:lineRule="exact"/>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浓度（mg/L）</w:t>
                  </w:r>
                </w:p>
              </w:tc>
              <w:tc>
                <w:tcPr>
                  <w:tcW w:w="962" w:type="dxa"/>
                  <w:tcBorders>
                    <w:tl2br w:val="nil"/>
                    <w:tr2bl w:val="nil"/>
                  </w:tcBorders>
                  <w:noWrap w:val="0"/>
                  <w:vAlign w:val="center"/>
                </w:tcPr>
                <w:p>
                  <w:pPr>
                    <w:keepNext/>
                    <w:keepLines w:val="0"/>
                    <w:pageBreakBefore w:val="0"/>
                    <w:widowControl w:val="0"/>
                    <w:kinsoku/>
                    <w:wordWrap/>
                    <w:overflowPunct/>
                    <w:topLinePunct w:val="0"/>
                    <w:autoSpaceDE/>
                    <w:autoSpaceDN/>
                    <w:bidi w:val="0"/>
                    <w:spacing w:line="300" w:lineRule="exact"/>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产生量（t/a）</w:t>
                  </w:r>
                </w:p>
              </w:tc>
              <w:tc>
                <w:tcPr>
                  <w:tcW w:w="975" w:type="dxa"/>
                  <w:tcBorders>
                    <w:tl2br w:val="nil"/>
                    <w:tr2bl w:val="nil"/>
                  </w:tcBorders>
                  <w:noWrap w:val="0"/>
                  <w:vAlign w:val="center"/>
                </w:tcPr>
                <w:p>
                  <w:pPr>
                    <w:keepNext/>
                    <w:keepLines w:val="0"/>
                    <w:pageBreakBefore w:val="0"/>
                    <w:widowControl w:val="0"/>
                    <w:kinsoku/>
                    <w:wordWrap/>
                    <w:overflowPunct/>
                    <w:topLinePunct w:val="0"/>
                    <w:autoSpaceDE/>
                    <w:autoSpaceDN/>
                    <w:bidi w:val="0"/>
                    <w:spacing w:line="300" w:lineRule="exact"/>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工艺</w:t>
                  </w:r>
                </w:p>
              </w:tc>
              <w:tc>
                <w:tcPr>
                  <w:tcW w:w="642" w:type="dxa"/>
                  <w:tcBorders>
                    <w:tl2br w:val="nil"/>
                    <w:tr2bl w:val="nil"/>
                  </w:tcBorders>
                  <w:noWrap w:val="0"/>
                  <w:vAlign w:val="center"/>
                </w:tcPr>
                <w:p>
                  <w:pPr>
                    <w:keepNext/>
                    <w:keepLines w:val="0"/>
                    <w:pageBreakBefore w:val="0"/>
                    <w:widowControl w:val="0"/>
                    <w:kinsoku/>
                    <w:wordWrap/>
                    <w:overflowPunct/>
                    <w:topLinePunct w:val="0"/>
                    <w:autoSpaceDE/>
                    <w:autoSpaceDN/>
                    <w:bidi w:val="0"/>
                    <w:spacing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处理能力</w:t>
                  </w:r>
                </w:p>
              </w:tc>
              <w:tc>
                <w:tcPr>
                  <w:tcW w:w="968" w:type="dxa"/>
                  <w:tcBorders>
                    <w:tl2br w:val="nil"/>
                    <w:tr2bl w:val="nil"/>
                  </w:tcBorders>
                  <w:noWrap w:val="0"/>
                  <w:vAlign w:val="center"/>
                </w:tcPr>
                <w:p>
                  <w:pPr>
                    <w:keepNext/>
                    <w:keepLines w:val="0"/>
                    <w:pageBreakBefore w:val="0"/>
                    <w:widowControl w:val="0"/>
                    <w:kinsoku/>
                    <w:wordWrap/>
                    <w:overflowPunct/>
                    <w:topLinePunct w:val="0"/>
                    <w:autoSpaceDE/>
                    <w:autoSpaceDN/>
                    <w:bidi w:val="0"/>
                    <w:spacing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综合处理效率%</w:t>
                  </w:r>
                </w:p>
              </w:tc>
              <w:tc>
                <w:tcPr>
                  <w:tcW w:w="832" w:type="dxa"/>
                  <w:tcBorders>
                    <w:tl2br w:val="nil"/>
                    <w:tr2bl w:val="nil"/>
                  </w:tcBorders>
                  <w:noWrap w:val="0"/>
                  <w:vAlign w:val="center"/>
                </w:tcPr>
                <w:p>
                  <w:pPr>
                    <w:keepNext/>
                    <w:keepLines w:val="0"/>
                    <w:pageBreakBefore w:val="0"/>
                    <w:widowControl w:val="0"/>
                    <w:kinsoku/>
                    <w:wordWrap/>
                    <w:overflowPunct/>
                    <w:topLinePunct w:val="0"/>
                    <w:autoSpaceDE/>
                    <w:autoSpaceDN/>
                    <w:bidi w:val="0"/>
                    <w:spacing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是否为可行技术</w:t>
                  </w:r>
                </w:p>
              </w:tc>
              <w:tc>
                <w:tcPr>
                  <w:tcW w:w="1224" w:type="dxa"/>
                  <w:tcBorders>
                    <w:tl2br w:val="nil"/>
                    <w:tr2bl w:val="nil"/>
                  </w:tcBorders>
                  <w:noWrap w:val="0"/>
                  <w:vAlign w:val="center"/>
                </w:tcPr>
                <w:p>
                  <w:pPr>
                    <w:keepNext/>
                    <w:keepLines w:val="0"/>
                    <w:pageBreakBefore w:val="0"/>
                    <w:widowControl w:val="0"/>
                    <w:kinsoku/>
                    <w:wordWrap/>
                    <w:overflowPunct/>
                    <w:topLinePunct w:val="0"/>
                    <w:autoSpaceDE/>
                    <w:autoSpaceDN/>
                    <w:bidi w:val="0"/>
                    <w:spacing w:line="30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浓度</w:t>
                  </w:r>
                </w:p>
                <w:p>
                  <w:pPr>
                    <w:keepNext/>
                    <w:keepLines w:val="0"/>
                    <w:pageBreakBefore w:val="0"/>
                    <w:widowControl w:val="0"/>
                    <w:kinsoku/>
                    <w:wordWrap/>
                    <w:overflowPunct/>
                    <w:topLinePunct w:val="0"/>
                    <w:autoSpaceDE/>
                    <w:autoSpaceDN/>
                    <w:bidi w:val="0"/>
                    <w:spacing w:line="300" w:lineRule="exact"/>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mg/L</w:t>
                  </w:r>
                  <w:r>
                    <w:rPr>
                      <w:rFonts w:hint="eastAsia" w:cs="Times New Roman"/>
                      <w:color w:val="auto"/>
                      <w:sz w:val="21"/>
                      <w:szCs w:val="21"/>
                      <w:highlight w:val="none"/>
                      <w:lang w:eastAsia="zh-CN"/>
                    </w:rPr>
                    <w:t>）</w:t>
                  </w:r>
                </w:p>
              </w:tc>
              <w:tc>
                <w:tcPr>
                  <w:tcW w:w="1492" w:type="dxa"/>
                  <w:tcBorders>
                    <w:tl2br w:val="nil"/>
                    <w:tr2bl w:val="nil"/>
                  </w:tcBorders>
                  <w:noWrap w:val="0"/>
                  <w:vAlign w:val="center"/>
                </w:tcPr>
                <w:p>
                  <w:pPr>
                    <w:keepNext/>
                    <w:keepLines w:val="0"/>
                    <w:pageBreakBefore w:val="0"/>
                    <w:widowControl w:val="0"/>
                    <w:kinsoku/>
                    <w:wordWrap/>
                    <w:overflowPunct/>
                    <w:topLinePunct w:val="0"/>
                    <w:autoSpaceDE/>
                    <w:autoSpaceDN/>
                    <w:bidi w:val="0"/>
                    <w:spacing w:line="30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产生量</w:t>
                  </w:r>
                </w:p>
                <w:p>
                  <w:pPr>
                    <w:keepNext/>
                    <w:keepLines w:val="0"/>
                    <w:pageBreakBefore w:val="0"/>
                    <w:widowControl w:val="0"/>
                    <w:kinsoku/>
                    <w:wordWrap/>
                    <w:overflowPunct/>
                    <w:topLinePunct w:val="0"/>
                    <w:autoSpaceDE/>
                    <w:autoSpaceDN/>
                    <w:bidi w:val="0"/>
                    <w:spacing w:line="30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t/a</w:t>
                  </w:r>
                  <w:r>
                    <w:rPr>
                      <w:rFonts w:hint="eastAsia" w:cs="Times New Roman"/>
                      <w:color w:val="auto"/>
                      <w:sz w:val="21"/>
                      <w:szCs w:val="21"/>
                      <w:highlight w:val="none"/>
                      <w:lang w:eastAsia="zh-CN"/>
                    </w:rPr>
                    <w:t>）</w:t>
                  </w:r>
                </w:p>
              </w:tc>
              <w:tc>
                <w:tcPr>
                  <w:tcW w:w="1111" w:type="dxa"/>
                  <w:vMerge w:val="restart"/>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连续</w:t>
                  </w:r>
                </w:p>
                <w:p>
                  <w:pPr>
                    <w:keepNext/>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排放 ，</w:t>
                  </w:r>
                </w:p>
                <w:p>
                  <w:pPr>
                    <w:keepNext/>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流量稳定</w:t>
                  </w:r>
                </w:p>
                <w:p>
                  <w:pPr>
                    <w:keepNext/>
                    <w:keepLines w:val="0"/>
                    <w:pageBreakBefore w:val="0"/>
                    <w:widowControl w:val="0"/>
                    <w:kinsoku/>
                    <w:wordWrap/>
                    <w:overflowPunct/>
                    <w:topLinePunct w:val="0"/>
                    <w:autoSpaceDE/>
                    <w:autoSpaceDN/>
                    <w:bidi w:val="0"/>
                    <w:spacing w:line="300" w:lineRule="exact"/>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198" w:type="dxa"/>
                  <w:vMerge w:val="restart"/>
                  <w:tcBorders>
                    <w:tl2br w:val="nil"/>
                    <w:tr2bl w:val="nil"/>
                  </w:tcBorders>
                  <w:noWrap w:val="0"/>
                  <w:vAlign w:val="center"/>
                </w:tcPr>
                <w:p>
                  <w:pPr>
                    <w:keepNext/>
                    <w:keepLines w:val="0"/>
                    <w:pageBreakBefore w:val="0"/>
                    <w:widowControl w:val="0"/>
                    <w:kinsoku/>
                    <w:wordWrap/>
                    <w:overflowPunct/>
                    <w:topLinePunct w:val="0"/>
                    <w:autoSpaceDE/>
                    <w:autoSpaceDN/>
                    <w:bidi w:val="0"/>
                    <w:spacing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羊市镇污水处理厂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9" w:hRule="atLeast"/>
                <w:jc w:val="center"/>
              </w:trPr>
              <w:tc>
                <w:tcPr>
                  <w:tcW w:w="638" w:type="dxa"/>
                  <w:vMerge w:val="restart"/>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both"/>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医院污水</w:t>
                  </w:r>
                </w:p>
              </w:tc>
              <w:tc>
                <w:tcPr>
                  <w:tcW w:w="877"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rPr>
                    <w:t>CODcr</w:t>
                  </w:r>
                </w:p>
              </w:tc>
              <w:tc>
                <w:tcPr>
                  <w:tcW w:w="962"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210" w:firstLineChars="10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b w:val="0"/>
                      <w:bCs w:val="0"/>
                      <w:color w:val="auto"/>
                      <w:sz w:val="21"/>
                      <w:szCs w:val="21"/>
                      <w:highlight w:val="none"/>
                      <w:lang w:val="en-US" w:eastAsia="zh-CN"/>
                    </w:rPr>
                    <w:t>300</w:t>
                  </w:r>
                </w:p>
              </w:tc>
              <w:tc>
                <w:tcPr>
                  <w:tcW w:w="962"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b w:val="0"/>
                      <w:bCs w:val="0"/>
                      <w:color w:val="auto"/>
                      <w:sz w:val="21"/>
                      <w:szCs w:val="21"/>
                      <w:highlight w:val="none"/>
                      <w:lang w:val="en-US" w:eastAsia="zh-CN"/>
                    </w:rPr>
                    <w:t>2.256</w:t>
                  </w:r>
                </w:p>
              </w:tc>
              <w:tc>
                <w:tcPr>
                  <w:tcW w:w="975" w:type="dxa"/>
                  <w:vMerge w:val="restart"/>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both"/>
                    <w:textAlignment w:val="auto"/>
                    <w:rPr>
                      <w:rFonts w:hint="default" w:ascii="Times New Roman" w:hAnsi="Times New Roman" w:eastAsia="宋体" w:cs="Times New Roman"/>
                      <w:bCs/>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格栅池→化粪池→调节池→缺氧池→好氧池→二沉池→氯片消毒</w:t>
                  </w:r>
                </w:p>
              </w:tc>
              <w:tc>
                <w:tcPr>
                  <w:tcW w:w="642" w:type="dxa"/>
                  <w:vMerge w:val="restart"/>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36</w:t>
                  </w:r>
                </w:p>
              </w:tc>
              <w:tc>
                <w:tcPr>
                  <w:tcW w:w="968"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17</w:t>
                  </w:r>
                </w:p>
              </w:tc>
              <w:tc>
                <w:tcPr>
                  <w:tcW w:w="832" w:type="dxa"/>
                  <w:vMerge w:val="restart"/>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210" w:firstLineChars="100"/>
                    <w:jc w:val="both"/>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是</w:t>
                  </w:r>
                </w:p>
              </w:tc>
              <w:tc>
                <w:tcPr>
                  <w:tcW w:w="1224"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 w:val="0"/>
                      <w:bCs w:val="0"/>
                      <w:color w:val="auto"/>
                      <w:kern w:val="2"/>
                      <w:sz w:val="21"/>
                      <w:szCs w:val="21"/>
                      <w:highlight w:val="none"/>
                      <w:lang w:val="en-US" w:eastAsia="zh-CN" w:bidi="ar-SA"/>
                    </w:rPr>
                    <w:t>250</w:t>
                  </w:r>
                </w:p>
              </w:tc>
              <w:tc>
                <w:tcPr>
                  <w:tcW w:w="1492"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 w:val="0"/>
                      <w:bCs w:val="0"/>
                      <w:color w:val="auto"/>
                      <w:kern w:val="2"/>
                      <w:sz w:val="21"/>
                      <w:szCs w:val="21"/>
                      <w:highlight w:val="none"/>
                      <w:lang w:val="en-US" w:eastAsia="zh-CN" w:bidi="ar-SA"/>
                    </w:rPr>
                    <w:t>1.880</w:t>
                  </w:r>
                </w:p>
              </w:tc>
              <w:tc>
                <w:tcPr>
                  <w:tcW w:w="1111"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1198"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5" w:hRule="atLeast"/>
                <w:jc w:val="center"/>
              </w:trPr>
              <w:tc>
                <w:tcPr>
                  <w:tcW w:w="638"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877"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rPr>
                    <w:t>BOD</w:t>
                  </w:r>
                  <w:r>
                    <w:rPr>
                      <w:rFonts w:hint="default" w:ascii="Times New Roman" w:hAnsi="Times New Roman" w:eastAsia="宋体" w:cs="Times New Roman"/>
                      <w:snapToGrid w:val="0"/>
                      <w:color w:val="auto"/>
                      <w:kern w:val="0"/>
                      <w:sz w:val="21"/>
                      <w:szCs w:val="21"/>
                      <w:highlight w:val="none"/>
                      <w:vertAlign w:val="subscript"/>
                      <w:lang w:val="en-US" w:eastAsia="zh-CN"/>
                    </w:rPr>
                    <w:t>5</w:t>
                  </w:r>
                </w:p>
              </w:tc>
              <w:tc>
                <w:tcPr>
                  <w:tcW w:w="962"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210" w:firstLineChars="10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b w:val="0"/>
                      <w:bCs w:val="0"/>
                      <w:color w:val="auto"/>
                      <w:sz w:val="21"/>
                      <w:szCs w:val="21"/>
                      <w:highlight w:val="none"/>
                      <w:lang w:val="en-US" w:eastAsia="zh-CN"/>
                    </w:rPr>
                    <w:t>150</w:t>
                  </w:r>
                </w:p>
              </w:tc>
              <w:tc>
                <w:tcPr>
                  <w:tcW w:w="962"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b w:val="0"/>
                      <w:bCs w:val="0"/>
                      <w:color w:val="auto"/>
                      <w:sz w:val="21"/>
                      <w:szCs w:val="21"/>
                      <w:highlight w:val="none"/>
                      <w:lang w:val="en-US" w:eastAsia="zh-CN"/>
                    </w:rPr>
                    <w:t>1.128</w:t>
                  </w:r>
                </w:p>
              </w:tc>
              <w:tc>
                <w:tcPr>
                  <w:tcW w:w="975"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642"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968"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33</w:t>
                  </w:r>
                </w:p>
              </w:tc>
              <w:tc>
                <w:tcPr>
                  <w:tcW w:w="832"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1224"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 w:val="0"/>
                      <w:bCs w:val="0"/>
                      <w:color w:val="auto"/>
                      <w:kern w:val="2"/>
                      <w:sz w:val="21"/>
                      <w:szCs w:val="21"/>
                      <w:highlight w:val="none"/>
                      <w:lang w:val="en-US" w:eastAsia="zh-CN" w:bidi="ar-SA"/>
                    </w:rPr>
                    <w:t>100</w:t>
                  </w:r>
                </w:p>
              </w:tc>
              <w:tc>
                <w:tcPr>
                  <w:tcW w:w="1492"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 w:val="0"/>
                      <w:bCs w:val="0"/>
                      <w:color w:val="auto"/>
                      <w:kern w:val="2"/>
                      <w:sz w:val="21"/>
                      <w:szCs w:val="21"/>
                      <w:highlight w:val="none"/>
                      <w:lang w:val="en-US" w:eastAsia="zh-CN" w:bidi="ar-SA"/>
                    </w:rPr>
                    <w:t>0.752</w:t>
                  </w:r>
                </w:p>
              </w:tc>
              <w:tc>
                <w:tcPr>
                  <w:tcW w:w="1111"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1198"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6" w:hRule="atLeast"/>
                <w:jc w:val="center"/>
              </w:trPr>
              <w:tc>
                <w:tcPr>
                  <w:tcW w:w="638"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877"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rPr>
                    <w:t>SS</w:t>
                  </w:r>
                </w:p>
              </w:tc>
              <w:tc>
                <w:tcPr>
                  <w:tcW w:w="962"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210" w:firstLineChars="10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b w:val="0"/>
                      <w:bCs w:val="0"/>
                      <w:color w:val="auto"/>
                      <w:sz w:val="21"/>
                      <w:szCs w:val="21"/>
                      <w:highlight w:val="none"/>
                      <w:lang w:val="en-US" w:eastAsia="zh-CN"/>
                    </w:rPr>
                    <w:t>120</w:t>
                  </w:r>
                </w:p>
              </w:tc>
              <w:tc>
                <w:tcPr>
                  <w:tcW w:w="962"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b w:val="0"/>
                      <w:bCs w:val="0"/>
                      <w:color w:val="auto"/>
                      <w:sz w:val="21"/>
                      <w:szCs w:val="21"/>
                      <w:highlight w:val="none"/>
                      <w:lang w:val="en-US" w:eastAsia="zh-CN"/>
                    </w:rPr>
                    <w:t>0.902</w:t>
                  </w:r>
                </w:p>
              </w:tc>
              <w:tc>
                <w:tcPr>
                  <w:tcW w:w="975"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642"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968"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60</w:t>
                  </w:r>
                </w:p>
              </w:tc>
              <w:tc>
                <w:tcPr>
                  <w:tcW w:w="832"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1224"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 w:val="0"/>
                      <w:bCs w:val="0"/>
                      <w:color w:val="auto"/>
                      <w:kern w:val="2"/>
                      <w:sz w:val="21"/>
                      <w:szCs w:val="21"/>
                      <w:highlight w:val="none"/>
                      <w:lang w:val="en-US" w:eastAsia="zh-CN" w:bidi="ar-SA"/>
                    </w:rPr>
                    <w:t>60</w:t>
                  </w:r>
                </w:p>
              </w:tc>
              <w:tc>
                <w:tcPr>
                  <w:tcW w:w="1492"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 w:val="0"/>
                      <w:bCs w:val="0"/>
                      <w:color w:val="auto"/>
                      <w:kern w:val="2"/>
                      <w:sz w:val="21"/>
                      <w:szCs w:val="21"/>
                      <w:highlight w:val="none"/>
                      <w:lang w:val="en-US" w:eastAsia="zh-CN" w:bidi="ar-SA"/>
                    </w:rPr>
                    <w:t>0.451</w:t>
                  </w:r>
                </w:p>
              </w:tc>
              <w:tc>
                <w:tcPr>
                  <w:tcW w:w="1111"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1198"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2" w:hRule="atLeast"/>
                <w:jc w:val="center"/>
              </w:trPr>
              <w:tc>
                <w:tcPr>
                  <w:tcW w:w="638"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877"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氨氮</w:t>
                  </w:r>
                </w:p>
              </w:tc>
              <w:tc>
                <w:tcPr>
                  <w:tcW w:w="962"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210" w:firstLineChars="10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b w:val="0"/>
                      <w:bCs w:val="0"/>
                      <w:color w:val="auto"/>
                      <w:sz w:val="21"/>
                      <w:szCs w:val="21"/>
                      <w:highlight w:val="none"/>
                      <w:lang w:val="en-US" w:eastAsia="zh-CN"/>
                    </w:rPr>
                    <w:t>50</w:t>
                  </w:r>
                </w:p>
              </w:tc>
              <w:tc>
                <w:tcPr>
                  <w:tcW w:w="962"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b w:val="0"/>
                      <w:bCs w:val="0"/>
                      <w:color w:val="auto"/>
                      <w:sz w:val="21"/>
                      <w:szCs w:val="21"/>
                      <w:highlight w:val="none"/>
                      <w:lang w:val="en-US" w:eastAsia="zh-CN"/>
                    </w:rPr>
                    <w:t>0.376</w:t>
                  </w:r>
                </w:p>
              </w:tc>
              <w:tc>
                <w:tcPr>
                  <w:tcW w:w="975"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642"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968"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10</w:t>
                  </w:r>
                </w:p>
              </w:tc>
              <w:tc>
                <w:tcPr>
                  <w:tcW w:w="832"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1224"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 w:val="0"/>
                      <w:bCs w:val="0"/>
                      <w:color w:val="auto"/>
                      <w:kern w:val="2"/>
                      <w:sz w:val="21"/>
                      <w:szCs w:val="21"/>
                      <w:highlight w:val="none"/>
                      <w:lang w:val="en-US" w:eastAsia="zh-CN" w:bidi="ar-SA"/>
                    </w:rPr>
                    <w:t>45</w:t>
                  </w:r>
                </w:p>
              </w:tc>
              <w:tc>
                <w:tcPr>
                  <w:tcW w:w="1492"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 w:val="0"/>
                      <w:bCs w:val="0"/>
                      <w:color w:val="auto"/>
                      <w:kern w:val="2"/>
                      <w:sz w:val="21"/>
                      <w:szCs w:val="21"/>
                      <w:highlight w:val="none"/>
                      <w:lang w:val="en-US" w:eastAsia="zh-CN" w:bidi="ar-SA"/>
                    </w:rPr>
                    <w:t>0.338</w:t>
                  </w:r>
                </w:p>
              </w:tc>
              <w:tc>
                <w:tcPr>
                  <w:tcW w:w="1111"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1198"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2" w:hRule="atLeast"/>
                <w:jc w:val="center"/>
              </w:trPr>
              <w:tc>
                <w:tcPr>
                  <w:tcW w:w="638"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877"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both"/>
                    <w:textAlignment w:val="auto"/>
                    <w:rPr>
                      <w:rFonts w:hint="default" w:ascii="Times New Roman" w:hAnsi="Times New Roman" w:eastAsia="宋体" w:cs="Times New Roman"/>
                      <w:bCs/>
                      <w:color w:val="auto"/>
                      <w:sz w:val="21"/>
                      <w:szCs w:val="21"/>
                      <w:highlight w:val="none"/>
                      <w:lang w:val="en-US" w:eastAsia="zh-CN"/>
                    </w:rPr>
                  </w:pPr>
                  <w:r>
                    <w:rPr>
                      <w:rFonts w:hint="eastAsia"/>
                      <w:b w:val="0"/>
                      <w:bCs w:val="0"/>
                      <w:color w:val="auto"/>
                      <w:sz w:val="21"/>
                      <w:szCs w:val="21"/>
                      <w:highlight w:val="none"/>
                      <w:lang w:val="en-US" w:eastAsia="zh-CN"/>
                    </w:rPr>
                    <w:t>粪大肠菌群</w:t>
                  </w:r>
                </w:p>
              </w:tc>
              <w:tc>
                <w:tcPr>
                  <w:tcW w:w="962"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b w:val="0"/>
                      <w:bCs w:val="0"/>
                      <w:color w:val="auto"/>
                      <w:sz w:val="21"/>
                      <w:szCs w:val="21"/>
                      <w:highlight w:val="none"/>
                      <w:lang w:val="en-US" w:eastAsia="zh-CN"/>
                    </w:rPr>
                    <w:t>1.6×10</w:t>
                  </w:r>
                  <w:r>
                    <w:rPr>
                      <w:rFonts w:hint="eastAsia"/>
                      <w:b w:val="0"/>
                      <w:bCs w:val="0"/>
                      <w:color w:val="auto"/>
                      <w:sz w:val="21"/>
                      <w:szCs w:val="21"/>
                      <w:highlight w:val="none"/>
                      <w:vertAlign w:val="superscript"/>
                      <w:lang w:val="en-US" w:eastAsia="zh-CN"/>
                    </w:rPr>
                    <w:t>8</w:t>
                  </w:r>
                  <w:r>
                    <w:rPr>
                      <w:rFonts w:hint="eastAsia"/>
                      <w:b w:val="0"/>
                      <w:bCs w:val="0"/>
                      <w:color w:val="auto"/>
                      <w:sz w:val="21"/>
                      <w:szCs w:val="21"/>
                      <w:highlight w:val="none"/>
                      <w:vertAlign w:val="baseline"/>
                      <w:lang w:val="en-US" w:eastAsia="zh-CN"/>
                    </w:rPr>
                    <w:t>MPN/L</w:t>
                  </w:r>
                </w:p>
              </w:tc>
              <w:tc>
                <w:tcPr>
                  <w:tcW w:w="962"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b w:val="0"/>
                      <w:bCs w:val="0"/>
                      <w:color w:val="auto"/>
                      <w:sz w:val="21"/>
                      <w:szCs w:val="21"/>
                      <w:highlight w:val="none"/>
                      <w:lang w:val="en-US" w:eastAsia="zh-CN"/>
                    </w:rPr>
                    <w:t>1.2×10</w:t>
                  </w:r>
                  <w:r>
                    <w:rPr>
                      <w:rFonts w:hint="eastAsia"/>
                      <w:b w:val="0"/>
                      <w:bCs w:val="0"/>
                      <w:color w:val="auto"/>
                      <w:sz w:val="21"/>
                      <w:szCs w:val="21"/>
                      <w:highlight w:val="none"/>
                      <w:vertAlign w:val="superscript"/>
                      <w:lang w:val="en-US" w:eastAsia="zh-CN"/>
                    </w:rPr>
                    <w:t>15</w:t>
                  </w:r>
                  <w:r>
                    <w:rPr>
                      <w:rFonts w:hint="eastAsia"/>
                      <w:b w:val="0"/>
                      <w:bCs w:val="0"/>
                      <w:color w:val="auto"/>
                      <w:sz w:val="21"/>
                      <w:szCs w:val="21"/>
                      <w:highlight w:val="none"/>
                      <w:vertAlign w:val="baseline"/>
                      <w:lang w:val="en-US" w:eastAsia="zh-CN"/>
                    </w:rPr>
                    <w:t>MPN</w:t>
                  </w:r>
                </w:p>
              </w:tc>
              <w:tc>
                <w:tcPr>
                  <w:tcW w:w="975"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642"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968"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100</w:t>
                  </w:r>
                </w:p>
              </w:tc>
              <w:tc>
                <w:tcPr>
                  <w:tcW w:w="832"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1224"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 w:val="0"/>
                      <w:bCs w:val="0"/>
                      <w:color w:val="auto"/>
                      <w:kern w:val="2"/>
                      <w:sz w:val="21"/>
                      <w:szCs w:val="21"/>
                      <w:highlight w:val="none"/>
                      <w:lang w:val="en-US" w:eastAsia="zh-CN" w:bidi="ar-SA"/>
                    </w:rPr>
                    <w:t>5000个/L</w:t>
                  </w:r>
                </w:p>
              </w:tc>
              <w:tc>
                <w:tcPr>
                  <w:tcW w:w="1492"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b w:val="0"/>
                      <w:bCs w:val="0"/>
                      <w:color w:val="auto"/>
                      <w:sz w:val="21"/>
                      <w:szCs w:val="21"/>
                      <w:highlight w:val="none"/>
                      <w:lang w:val="en-US" w:eastAsia="zh-CN"/>
                    </w:rPr>
                    <w:t>3.6×10</w:t>
                  </w:r>
                  <w:r>
                    <w:rPr>
                      <w:rFonts w:hint="eastAsia"/>
                      <w:b w:val="0"/>
                      <w:bCs w:val="0"/>
                      <w:color w:val="auto"/>
                      <w:sz w:val="21"/>
                      <w:szCs w:val="21"/>
                      <w:highlight w:val="none"/>
                      <w:vertAlign w:val="superscript"/>
                      <w:lang w:val="en-US" w:eastAsia="zh-CN"/>
                    </w:rPr>
                    <w:t>10</w:t>
                  </w:r>
                  <w:r>
                    <w:rPr>
                      <w:rFonts w:hint="eastAsia"/>
                      <w:b w:val="0"/>
                      <w:bCs w:val="0"/>
                      <w:color w:val="auto"/>
                      <w:sz w:val="21"/>
                      <w:szCs w:val="21"/>
                      <w:highlight w:val="none"/>
                      <w:vertAlign w:val="baseline"/>
                      <w:lang w:val="en-US" w:eastAsia="zh-CN"/>
                    </w:rPr>
                    <w:t>MPN</w:t>
                  </w:r>
                </w:p>
              </w:tc>
              <w:tc>
                <w:tcPr>
                  <w:tcW w:w="1111"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1198"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5" w:hRule="atLeast"/>
                <w:jc w:val="center"/>
              </w:trPr>
              <w:tc>
                <w:tcPr>
                  <w:tcW w:w="638"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877" w:type="dxa"/>
                  <w:tcBorders>
                    <w:tl2br w:val="nil"/>
                    <w:tr2bl w:val="nil"/>
                  </w:tcBorders>
                  <w:noWrap w:val="0"/>
                  <w:vAlign w:val="center"/>
                </w:tcPr>
                <w:p>
                  <w:pPr>
                    <w:bidi w:val="0"/>
                    <w:spacing w:line="240" w:lineRule="auto"/>
                    <w:ind w:left="0" w:leftChars="0"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b w:val="0"/>
                      <w:bCs w:val="0"/>
                      <w:color w:val="auto"/>
                      <w:sz w:val="21"/>
                      <w:szCs w:val="21"/>
                      <w:highlight w:val="none"/>
                      <w:lang w:val="en-US" w:eastAsia="zh-CN"/>
                    </w:rPr>
                    <w:t>LAS</w:t>
                  </w:r>
                </w:p>
              </w:tc>
              <w:tc>
                <w:tcPr>
                  <w:tcW w:w="962"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25</w:t>
                  </w:r>
                </w:p>
              </w:tc>
              <w:tc>
                <w:tcPr>
                  <w:tcW w:w="962"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0.188</w:t>
                  </w:r>
                </w:p>
              </w:tc>
              <w:tc>
                <w:tcPr>
                  <w:tcW w:w="975"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642"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968"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60</w:t>
                  </w:r>
                </w:p>
              </w:tc>
              <w:tc>
                <w:tcPr>
                  <w:tcW w:w="832"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1224"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b w:val="0"/>
                      <w:bCs w:val="0"/>
                      <w:color w:val="auto"/>
                      <w:sz w:val="21"/>
                      <w:szCs w:val="21"/>
                      <w:highlight w:val="none"/>
                      <w:lang w:val="en-US" w:eastAsia="zh-CN"/>
                    </w:rPr>
                    <w:t>10</w:t>
                  </w:r>
                </w:p>
              </w:tc>
              <w:tc>
                <w:tcPr>
                  <w:tcW w:w="1492"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b w:val="0"/>
                      <w:bCs w:val="0"/>
                      <w:color w:val="auto"/>
                      <w:sz w:val="21"/>
                      <w:szCs w:val="21"/>
                      <w:highlight w:val="none"/>
                      <w:lang w:val="en-US" w:eastAsia="zh-CN"/>
                    </w:rPr>
                    <w:t>0.075</w:t>
                  </w:r>
                </w:p>
              </w:tc>
              <w:tc>
                <w:tcPr>
                  <w:tcW w:w="1111"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1198"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5" w:hRule="atLeast"/>
                <w:jc w:val="center"/>
              </w:trPr>
              <w:tc>
                <w:tcPr>
                  <w:tcW w:w="638"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877"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b w:val="0"/>
                      <w:bCs w:val="0"/>
                      <w:color w:val="auto"/>
                      <w:sz w:val="21"/>
                      <w:szCs w:val="21"/>
                      <w:highlight w:val="none"/>
                      <w:lang w:val="en-US" w:eastAsia="zh-CN"/>
                    </w:rPr>
                    <w:t>总余氯</w:t>
                  </w:r>
                </w:p>
              </w:tc>
              <w:tc>
                <w:tcPr>
                  <w:tcW w:w="962"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10</w:t>
                  </w:r>
                </w:p>
              </w:tc>
              <w:tc>
                <w:tcPr>
                  <w:tcW w:w="962"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0.075</w:t>
                  </w:r>
                </w:p>
              </w:tc>
              <w:tc>
                <w:tcPr>
                  <w:tcW w:w="975"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642"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968"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20</w:t>
                  </w:r>
                </w:p>
              </w:tc>
              <w:tc>
                <w:tcPr>
                  <w:tcW w:w="832"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1224"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b w:val="0"/>
                      <w:bCs w:val="0"/>
                      <w:color w:val="auto"/>
                      <w:sz w:val="21"/>
                      <w:szCs w:val="21"/>
                      <w:highlight w:val="none"/>
                      <w:lang w:val="en-US" w:eastAsia="zh-CN"/>
                    </w:rPr>
                    <w:t>8</w:t>
                  </w:r>
                </w:p>
              </w:tc>
              <w:tc>
                <w:tcPr>
                  <w:tcW w:w="1492"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b w:val="0"/>
                      <w:bCs w:val="0"/>
                      <w:color w:val="auto"/>
                      <w:sz w:val="21"/>
                      <w:szCs w:val="21"/>
                      <w:highlight w:val="none"/>
                      <w:lang w:val="en-US" w:eastAsia="zh-CN"/>
                    </w:rPr>
                    <w:t>0.060</w:t>
                  </w:r>
                </w:p>
              </w:tc>
              <w:tc>
                <w:tcPr>
                  <w:tcW w:w="1111"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1198" w:type="dxa"/>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r>
          </w:tbl>
          <w:p>
            <w:pPr>
              <w:keepNext w:val="0"/>
              <w:keepLines w:val="0"/>
              <w:widowControl/>
              <w:suppressLineNumbers w:val="0"/>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表 4.12 废水类别、污染物及污染治理设施信息表</w:t>
            </w:r>
          </w:p>
          <w:tbl>
            <w:tblPr>
              <w:tblStyle w:val="29"/>
              <w:tblW w:w="1184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2"/>
              <w:gridCol w:w="698"/>
              <w:gridCol w:w="1985"/>
              <w:gridCol w:w="1402"/>
              <w:gridCol w:w="1095"/>
              <w:gridCol w:w="885"/>
              <w:gridCol w:w="908"/>
              <w:gridCol w:w="927"/>
              <w:gridCol w:w="883"/>
              <w:gridCol w:w="1047"/>
              <w:gridCol w:w="12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2" w:hRule="atLeast"/>
                <w:jc w:val="center"/>
              </w:trPr>
              <w:tc>
                <w:tcPr>
                  <w:tcW w:w="722" w:type="dxa"/>
                  <w:vMerge w:val="restart"/>
                  <w:tcBorders>
                    <w:tl2br w:val="nil"/>
                    <w:tr2bl w:val="nil"/>
                  </w:tcBorders>
                  <w:noWrap w:val="0"/>
                  <w:vAlign w:val="center"/>
                </w:tcPr>
                <w:p>
                  <w:pPr>
                    <w:pStyle w:val="62"/>
                    <w:adjustRightInd w:val="0"/>
                    <w:ind w:left="0" w:leftChars="0" w:firstLine="0" w:firstLineChars="0"/>
                    <w:jc w:val="both"/>
                    <w:textAlignment w:val="baseline"/>
                    <w:rPr>
                      <w:rFonts w:hint="eastAsia" w:ascii="Times New Roman"/>
                      <w:color w:val="auto"/>
                      <w:sz w:val="21"/>
                      <w:szCs w:val="21"/>
                      <w:highlight w:val="none"/>
                      <w:lang w:val="en-US" w:eastAsia="zh-CN"/>
                    </w:rPr>
                  </w:pPr>
                  <w:r>
                    <w:rPr>
                      <w:rFonts w:hint="eastAsia" w:ascii="Times New Roman"/>
                      <w:color w:val="auto"/>
                      <w:sz w:val="21"/>
                      <w:szCs w:val="21"/>
                      <w:highlight w:val="none"/>
                      <w:lang w:val="en-US" w:eastAsia="zh-CN"/>
                    </w:rPr>
                    <w:t>污水</w:t>
                  </w:r>
                </w:p>
                <w:p>
                  <w:pPr>
                    <w:pStyle w:val="62"/>
                    <w:adjustRightInd w:val="0"/>
                    <w:ind w:left="0" w:leftChars="0" w:firstLine="0" w:firstLineChars="0"/>
                    <w:jc w:val="both"/>
                    <w:textAlignment w:val="baseline"/>
                    <w:rPr>
                      <w:rFonts w:hint="default" w:ascii="Times New Roman" w:hAnsi="Times New Roman"/>
                      <w:color w:val="auto"/>
                      <w:sz w:val="21"/>
                      <w:szCs w:val="21"/>
                      <w:highlight w:val="none"/>
                      <w:lang w:val="en-US" w:eastAsia="zh-CN"/>
                    </w:rPr>
                  </w:pPr>
                  <w:r>
                    <w:rPr>
                      <w:rFonts w:hint="eastAsia" w:ascii="Times New Roman"/>
                      <w:color w:val="auto"/>
                      <w:sz w:val="21"/>
                      <w:szCs w:val="21"/>
                      <w:highlight w:val="none"/>
                      <w:lang w:val="en-US" w:eastAsia="zh-CN"/>
                    </w:rPr>
                    <w:t>来源</w:t>
                  </w:r>
                </w:p>
              </w:tc>
              <w:tc>
                <w:tcPr>
                  <w:tcW w:w="698" w:type="dxa"/>
                  <w:vMerge w:val="restart"/>
                  <w:tcBorders>
                    <w:tl2br w:val="nil"/>
                    <w:tr2bl w:val="nil"/>
                  </w:tcBorders>
                  <w:noWrap w:val="0"/>
                  <w:vAlign w:val="center"/>
                </w:tcPr>
                <w:p>
                  <w:pPr>
                    <w:pStyle w:val="62"/>
                    <w:adjustRightInd w:val="0"/>
                    <w:ind w:left="0" w:leftChars="0" w:firstLine="0" w:firstLineChars="0"/>
                    <w:jc w:val="both"/>
                    <w:textAlignment w:val="baseline"/>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废水类别</w:t>
                  </w:r>
                </w:p>
              </w:tc>
              <w:tc>
                <w:tcPr>
                  <w:tcW w:w="1985" w:type="dxa"/>
                  <w:vMerge w:val="restart"/>
                  <w:tcBorders>
                    <w:tl2br w:val="nil"/>
                    <w:tr2bl w:val="nil"/>
                  </w:tcBorders>
                  <w:noWrap w:val="0"/>
                  <w:vAlign w:val="center"/>
                </w:tcPr>
                <w:p>
                  <w:pPr>
                    <w:pStyle w:val="62"/>
                    <w:adjustRightInd w:val="0"/>
                    <w:ind w:left="0" w:leftChars="0" w:firstLine="0" w:firstLineChars="0"/>
                    <w:jc w:val="center"/>
                    <w:textAlignment w:val="baseline"/>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污染物种类</w:t>
                  </w:r>
                </w:p>
              </w:tc>
              <w:tc>
                <w:tcPr>
                  <w:tcW w:w="1402" w:type="dxa"/>
                  <w:vMerge w:val="restart"/>
                  <w:tcBorders>
                    <w:tl2br w:val="nil"/>
                    <w:tr2bl w:val="nil"/>
                  </w:tcBorders>
                  <w:noWrap w:val="0"/>
                  <w:vAlign w:val="center"/>
                </w:tcPr>
                <w:p>
                  <w:pPr>
                    <w:pStyle w:val="62"/>
                    <w:adjustRightInd w:val="0"/>
                    <w:ind w:left="0" w:leftChars="0" w:firstLine="0" w:firstLineChars="0"/>
                    <w:jc w:val="center"/>
                    <w:textAlignment w:val="baseline"/>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排放去向</w:t>
                  </w:r>
                </w:p>
              </w:tc>
              <w:tc>
                <w:tcPr>
                  <w:tcW w:w="1095" w:type="dxa"/>
                  <w:vMerge w:val="restart"/>
                  <w:tcBorders>
                    <w:tl2br w:val="nil"/>
                    <w:tr2bl w:val="nil"/>
                  </w:tcBorders>
                  <w:noWrap w:val="0"/>
                  <w:vAlign w:val="center"/>
                </w:tcPr>
                <w:p>
                  <w:pPr>
                    <w:pStyle w:val="62"/>
                    <w:adjustRightInd w:val="0"/>
                    <w:ind w:left="0" w:leftChars="0" w:firstLine="0" w:firstLineChars="0"/>
                    <w:jc w:val="center"/>
                    <w:textAlignment w:val="baseline"/>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排放规律</w:t>
                  </w:r>
                </w:p>
              </w:tc>
              <w:tc>
                <w:tcPr>
                  <w:tcW w:w="2720" w:type="dxa"/>
                  <w:gridSpan w:val="3"/>
                  <w:tcBorders>
                    <w:tl2br w:val="nil"/>
                    <w:tr2bl w:val="nil"/>
                  </w:tcBorders>
                  <w:noWrap w:val="0"/>
                  <w:vAlign w:val="center"/>
                </w:tcPr>
                <w:p>
                  <w:pPr>
                    <w:pStyle w:val="62"/>
                    <w:adjustRightInd w:val="0"/>
                    <w:jc w:val="both"/>
                    <w:textAlignment w:val="baseline"/>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污染治理设施</w:t>
                  </w:r>
                </w:p>
              </w:tc>
              <w:tc>
                <w:tcPr>
                  <w:tcW w:w="883" w:type="dxa"/>
                  <w:vMerge w:val="restart"/>
                  <w:tcBorders>
                    <w:tl2br w:val="nil"/>
                    <w:tr2bl w:val="nil"/>
                  </w:tcBorders>
                  <w:noWrap w:val="0"/>
                  <w:vAlign w:val="center"/>
                </w:tcPr>
                <w:p>
                  <w:pPr>
                    <w:pStyle w:val="62"/>
                    <w:adjustRightInd w:val="0"/>
                    <w:ind w:left="0" w:leftChars="0" w:firstLine="0" w:firstLineChars="0"/>
                    <w:jc w:val="center"/>
                    <w:textAlignment w:val="baseline"/>
                    <w:rPr>
                      <w:rFonts w:ascii="Times New Roman" w:hAnsi="Times New Roman"/>
                      <w:color w:val="auto"/>
                      <w:sz w:val="21"/>
                      <w:szCs w:val="21"/>
                      <w:highlight w:val="none"/>
                      <w:vertAlign w:val="superscript"/>
                      <w:lang w:val="en-US" w:eastAsia="zh-CN"/>
                    </w:rPr>
                  </w:pPr>
                  <w:r>
                    <w:rPr>
                      <w:rFonts w:ascii="Times New Roman" w:hAnsi="Times New Roman"/>
                      <w:color w:val="auto"/>
                      <w:sz w:val="21"/>
                      <w:szCs w:val="21"/>
                      <w:highlight w:val="none"/>
                      <w:lang w:val="en-US" w:eastAsia="zh-CN"/>
                    </w:rPr>
                    <w:t>排放口编号</w:t>
                  </w:r>
                </w:p>
              </w:tc>
              <w:tc>
                <w:tcPr>
                  <w:tcW w:w="1047" w:type="dxa"/>
                  <w:vMerge w:val="restart"/>
                  <w:tcBorders>
                    <w:tl2br w:val="nil"/>
                    <w:tr2bl w:val="nil"/>
                  </w:tcBorders>
                  <w:noWrap w:val="0"/>
                  <w:vAlign w:val="center"/>
                </w:tcPr>
                <w:p>
                  <w:pPr>
                    <w:pStyle w:val="62"/>
                    <w:adjustRightInd w:val="0"/>
                    <w:ind w:left="0" w:leftChars="0" w:firstLine="0" w:firstLineChars="0"/>
                    <w:jc w:val="center"/>
                    <w:textAlignment w:val="baseline"/>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排放口设置是否符合要求</w:t>
                  </w:r>
                </w:p>
              </w:tc>
              <w:tc>
                <w:tcPr>
                  <w:tcW w:w="1290" w:type="dxa"/>
                  <w:vMerge w:val="restart"/>
                  <w:tcBorders>
                    <w:tl2br w:val="nil"/>
                    <w:tr2bl w:val="nil"/>
                  </w:tcBorders>
                  <w:noWrap w:val="0"/>
                  <w:vAlign w:val="center"/>
                </w:tcPr>
                <w:p>
                  <w:pPr>
                    <w:pStyle w:val="62"/>
                    <w:adjustRightInd w:val="0"/>
                    <w:ind w:left="0" w:leftChars="0" w:firstLine="0" w:firstLineChars="0"/>
                    <w:jc w:val="center"/>
                    <w:textAlignment w:val="baseline"/>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排放口类型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1" w:hRule="atLeast"/>
                <w:jc w:val="center"/>
              </w:trPr>
              <w:tc>
                <w:tcPr>
                  <w:tcW w:w="722" w:type="dxa"/>
                  <w:vMerge w:val="continue"/>
                  <w:tcBorders>
                    <w:tl2br w:val="nil"/>
                    <w:tr2bl w:val="nil"/>
                  </w:tcBorders>
                  <w:noWrap w:val="0"/>
                  <w:vAlign w:val="center"/>
                </w:tcPr>
                <w:p>
                  <w:pPr>
                    <w:pStyle w:val="62"/>
                    <w:adjustRightInd w:val="0"/>
                    <w:ind w:left="1100" w:hanging="460"/>
                    <w:textAlignment w:val="baseline"/>
                    <w:rPr>
                      <w:rFonts w:ascii="Times New Roman" w:hAnsi="Times New Roman"/>
                      <w:color w:val="auto"/>
                      <w:sz w:val="21"/>
                      <w:szCs w:val="21"/>
                      <w:highlight w:val="none"/>
                      <w:lang w:val="en-US" w:eastAsia="zh-CN"/>
                    </w:rPr>
                  </w:pPr>
                </w:p>
              </w:tc>
              <w:tc>
                <w:tcPr>
                  <w:tcW w:w="698" w:type="dxa"/>
                  <w:vMerge w:val="continue"/>
                  <w:tcBorders>
                    <w:tl2br w:val="nil"/>
                    <w:tr2bl w:val="nil"/>
                  </w:tcBorders>
                  <w:noWrap w:val="0"/>
                  <w:vAlign w:val="center"/>
                </w:tcPr>
                <w:p>
                  <w:pPr>
                    <w:pStyle w:val="62"/>
                    <w:adjustRightInd w:val="0"/>
                    <w:ind w:left="1100" w:hanging="460"/>
                    <w:textAlignment w:val="baseline"/>
                    <w:rPr>
                      <w:rFonts w:ascii="Times New Roman" w:hAnsi="Times New Roman"/>
                      <w:color w:val="auto"/>
                      <w:sz w:val="21"/>
                      <w:szCs w:val="21"/>
                      <w:highlight w:val="none"/>
                      <w:lang w:val="en-US" w:eastAsia="zh-CN"/>
                    </w:rPr>
                  </w:pPr>
                </w:p>
              </w:tc>
              <w:tc>
                <w:tcPr>
                  <w:tcW w:w="1985" w:type="dxa"/>
                  <w:vMerge w:val="continue"/>
                  <w:tcBorders>
                    <w:tl2br w:val="nil"/>
                    <w:tr2bl w:val="nil"/>
                  </w:tcBorders>
                  <w:noWrap w:val="0"/>
                  <w:vAlign w:val="center"/>
                </w:tcPr>
                <w:p>
                  <w:pPr>
                    <w:pStyle w:val="62"/>
                    <w:adjustRightInd w:val="0"/>
                    <w:ind w:left="1100" w:hanging="460"/>
                    <w:textAlignment w:val="baseline"/>
                    <w:rPr>
                      <w:rFonts w:ascii="Times New Roman" w:hAnsi="Times New Roman"/>
                      <w:color w:val="auto"/>
                      <w:sz w:val="21"/>
                      <w:szCs w:val="21"/>
                      <w:highlight w:val="none"/>
                      <w:lang w:val="en-US" w:eastAsia="zh-CN"/>
                    </w:rPr>
                  </w:pPr>
                </w:p>
              </w:tc>
              <w:tc>
                <w:tcPr>
                  <w:tcW w:w="1402" w:type="dxa"/>
                  <w:vMerge w:val="continue"/>
                  <w:tcBorders>
                    <w:tl2br w:val="nil"/>
                    <w:tr2bl w:val="nil"/>
                  </w:tcBorders>
                  <w:noWrap w:val="0"/>
                  <w:vAlign w:val="center"/>
                </w:tcPr>
                <w:p>
                  <w:pPr>
                    <w:pStyle w:val="62"/>
                    <w:adjustRightInd w:val="0"/>
                    <w:ind w:left="1100" w:hanging="460"/>
                    <w:textAlignment w:val="baseline"/>
                    <w:rPr>
                      <w:rFonts w:ascii="Times New Roman" w:hAnsi="Times New Roman"/>
                      <w:color w:val="auto"/>
                      <w:sz w:val="21"/>
                      <w:szCs w:val="21"/>
                      <w:highlight w:val="none"/>
                      <w:lang w:val="en-US" w:eastAsia="zh-CN"/>
                    </w:rPr>
                  </w:pPr>
                </w:p>
              </w:tc>
              <w:tc>
                <w:tcPr>
                  <w:tcW w:w="1095" w:type="dxa"/>
                  <w:vMerge w:val="continue"/>
                  <w:tcBorders>
                    <w:tl2br w:val="nil"/>
                    <w:tr2bl w:val="nil"/>
                  </w:tcBorders>
                  <w:noWrap w:val="0"/>
                  <w:vAlign w:val="center"/>
                </w:tcPr>
                <w:p>
                  <w:pPr>
                    <w:pStyle w:val="62"/>
                    <w:adjustRightInd w:val="0"/>
                    <w:ind w:left="1100" w:hanging="460"/>
                    <w:textAlignment w:val="baseline"/>
                    <w:rPr>
                      <w:rFonts w:ascii="Times New Roman" w:hAnsi="Times New Roman"/>
                      <w:color w:val="auto"/>
                      <w:sz w:val="21"/>
                      <w:szCs w:val="21"/>
                      <w:highlight w:val="none"/>
                      <w:lang w:val="en-US" w:eastAsia="zh-CN"/>
                    </w:rPr>
                  </w:pPr>
                </w:p>
              </w:tc>
              <w:tc>
                <w:tcPr>
                  <w:tcW w:w="885" w:type="dxa"/>
                  <w:tcBorders>
                    <w:tl2br w:val="nil"/>
                    <w:tr2bl w:val="nil"/>
                  </w:tcBorders>
                  <w:noWrap w:val="0"/>
                  <w:vAlign w:val="center"/>
                </w:tcPr>
                <w:p>
                  <w:pPr>
                    <w:pStyle w:val="62"/>
                    <w:adjustRightInd w:val="0"/>
                    <w:ind w:left="0" w:leftChars="0" w:firstLine="0" w:firstLineChars="0"/>
                    <w:jc w:val="center"/>
                    <w:textAlignment w:val="baseline"/>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污染治理设施编号</w:t>
                  </w:r>
                </w:p>
              </w:tc>
              <w:tc>
                <w:tcPr>
                  <w:tcW w:w="908" w:type="dxa"/>
                  <w:tcBorders>
                    <w:tl2br w:val="nil"/>
                    <w:tr2bl w:val="nil"/>
                  </w:tcBorders>
                  <w:noWrap w:val="0"/>
                  <w:vAlign w:val="center"/>
                </w:tcPr>
                <w:p>
                  <w:pPr>
                    <w:pStyle w:val="62"/>
                    <w:adjustRightInd w:val="0"/>
                    <w:jc w:val="center"/>
                    <w:textAlignment w:val="baseline"/>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污染治理设施名称</w:t>
                  </w:r>
                </w:p>
              </w:tc>
              <w:tc>
                <w:tcPr>
                  <w:tcW w:w="927" w:type="dxa"/>
                  <w:tcBorders>
                    <w:tl2br w:val="nil"/>
                    <w:tr2bl w:val="nil"/>
                  </w:tcBorders>
                  <w:noWrap w:val="0"/>
                  <w:vAlign w:val="center"/>
                </w:tcPr>
                <w:p>
                  <w:pPr>
                    <w:pStyle w:val="62"/>
                    <w:adjustRightInd w:val="0"/>
                    <w:ind w:left="0" w:leftChars="0" w:firstLine="0" w:firstLineChars="0"/>
                    <w:jc w:val="center"/>
                    <w:textAlignment w:val="baseline"/>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污染治理设施工艺</w:t>
                  </w:r>
                </w:p>
              </w:tc>
              <w:tc>
                <w:tcPr>
                  <w:tcW w:w="883" w:type="dxa"/>
                  <w:vMerge w:val="continue"/>
                  <w:tcBorders>
                    <w:tl2br w:val="nil"/>
                    <w:tr2bl w:val="nil"/>
                  </w:tcBorders>
                  <w:noWrap w:val="0"/>
                  <w:vAlign w:val="center"/>
                </w:tcPr>
                <w:p>
                  <w:pPr>
                    <w:pStyle w:val="62"/>
                    <w:adjustRightInd w:val="0"/>
                    <w:ind w:left="1100" w:hanging="460"/>
                    <w:textAlignment w:val="baseline"/>
                    <w:rPr>
                      <w:rFonts w:ascii="Times New Roman" w:hAnsi="Times New Roman"/>
                      <w:color w:val="auto"/>
                      <w:sz w:val="21"/>
                      <w:szCs w:val="21"/>
                      <w:highlight w:val="none"/>
                      <w:lang w:val="en-US" w:eastAsia="zh-CN"/>
                    </w:rPr>
                  </w:pPr>
                </w:p>
              </w:tc>
              <w:tc>
                <w:tcPr>
                  <w:tcW w:w="1047" w:type="dxa"/>
                  <w:vMerge w:val="continue"/>
                  <w:tcBorders>
                    <w:tl2br w:val="nil"/>
                    <w:tr2bl w:val="nil"/>
                  </w:tcBorders>
                  <w:noWrap w:val="0"/>
                  <w:vAlign w:val="center"/>
                </w:tcPr>
                <w:p>
                  <w:pPr>
                    <w:pStyle w:val="62"/>
                    <w:adjustRightInd w:val="0"/>
                    <w:ind w:left="1100" w:hanging="460"/>
                    <w:textAlignment w:val="baseline"/>
                    <w:rPr>
                      <w:rFonts w:ascii="Times New Roman" w:hAnsi="Times New Roman"/>
                      <w:color w:val="auto"/>
                      <w:sz w:val="21"/>
                      <w:szCs w:val="21"/>
                      <w:highlight w:val="none"/>
                      <w:lang w:val="en-US" w:eastAsia="zh-CN"/>
                    </w:rPr>
                  </w:pPr>
                </w:p>
              </w:tc>
              <w:tc>
                <w:tcPr>
                  <w:tcW w:w="1290" w:type="dxa"/>
                  <w:vMerge w:val="continue"/>
                  <w:tcBorders>
                    <w:tl2br w:val="nil"/>
                    <w:tr2bl w:val="nil"/>
                  </w:tcBorders>
                  <w:noWrap w:val="0"/>
                  <w:vAlign w:val="center"/>
                </w:tcPr>
                <w:p>
                  <w:pPr>
                    <w:pStyle w:val="62"/>
                    <w:adjustRightInd w:val="0"/>
                    <w:ind w:left="1100" w:hanging="460"/>
                    <w:textAlignment w:val="baseline"/>
                    <w:rPr>
                      <w:rFonts w:ascii="Times New Roman" w:hAnsi="Times New Roman"/>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27" w:hRule="atLeast"/>
                <w:jc w:val="center"/>
              </w:trPr>
              <w:tc>
                <w:tcPr>
                  <w:tcW w:w="722" w:type="dxa"/>
                  <w:tcBorders>
                    <w:tl2br w:val="nil"/>
                    <w:tr2bl w:val="nil"/>
                  </w:tcBorders>
                  <w:noWrap w:val="0"/>
                  <w:vAlign w:val="center"/>
                </w:tcPr>
                <w:p>
                  <w:pPr>
                    <w:pStyle w:val="62"/>
                    <w:adjustRightInd w:val="0"/>
                    <w:ind w:left="0" w:leftChars="0" w:firstLine="0" w:firstLineChars="0"/>
                    <w:jc w:val="both"/>
                    <w:textAlignment w:val="baseline"/>
                    <w:rPr>
                      <w:rFonts w:ascii="Times New Roman" w:hAnsi="Times New Roman"/>
                      <w:color w:val="auto"/>
                      <w:sz w:val="18"/>
                      <w:szCs w:val="18"/>
                      <w:highlight w:val="none"/>
                      <w:lang w:val="en-US" w:eastAsia="zh-CN"/>
                    </w:rPr>
                  </w:pPr>
                  <w:r>
                    <w:rPr>
                      <w:rFonts w:hint="eastAsia" w:ascii="Times New Roman"/>
                      <w:color w:val="auto"/>
                      <w:sz w:val="18"/>
                      <w:szCs w:val="18"/>
                      <w:highlight w:val="none"/>
                      <w:lang w:val="en-US" w:eastAsia="zh-CN"/>
                    </w:rPr>
                    <w:t>医院</w:t>
                  </w:r>
                </w:p>
              </w:tc>
              <w:tc>
                <w:tcPr>
                  <w:tcW w:w="698" w:type="dxa"/>
                  <w:tcBorders>
                    <w:tl2br w:val="nil"/>
                    <w:tr2bl w:val="nil"/>
                  </w:tcBorders>
                  <w:noWrap w:val="0"/>
                  <w:vAlign w:val="center"/>
                </w:tcPr>
                <w:p>
                  <w:pPr>
                    <w:pStyle w:val="62"/>
                    <w:adjustRightInd w:val="0"/>
                    <w:ind w:left="0" w:leftChars="0" w:firstLine="0" w:firstLineChars="0"/>
                    <w:jc w:val="both"/>
                    <w:textAlignment w:val="baseline"/>
                    <w:rPr>
                      <w:rFonts w:hint="default" w:ascii="Times New Roman" w:hAnsi="Times New Roman"/>
                      <w:color w:val="auto"/>
                      <w:sz w:val="21"/>
                      <w:szCs w:val="21"/>
                      <w:highlight w:val="none"/>
                      <w:lang w:val="en-US" w:eastAsia="zh-CN"/>
                    </w:rPr>
                  </w:pPr>
                  <w:r>
                    <w:rPr>
                      <w:rFonts w:hint="eastAsia" w:ascii="Times New Roman"/>
                      <w:color w:val="auto"/>
                      <w:sz w:val="21"/>
                      <w:szCs w:val="21"/>
                      <w:highlight w:val="none"/>
                      <w:lang w:val="en-US" w:eastAsia="zh-CN"/>
                    </w:rPr>
                    <w:t>医院污水</w:t>
                  </w:r>
                </w:p>
              </w:tc>
              <w:tc>
                <w:tcPr>
                  <w:tcW w:w="1985" w:type="dxa"/>
                  <w:tcBorders>
                    <w:tl2br w:val="nil"/>
                    <w:tr2bl w:val="nil"/>
                  </w:tcBorders>
                  <w:noWrap w:val="0"/>
                  <w:vAlign w:val="center"/>
                </w:tcPr>
                <w:p>
                  <w:pPr>
                    <w:pStyle w:val="62"/>
                    <w:adjustRightInd w:val="0"/>
                    <w:ind w:left="0" w:leftChars="0" w:firstLine="0" w:firstLineChars="0"/>
                    <w:jc w:val="center"/>
                    <w:textAlignment w:val="baseline"/>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COD</w:t>
                  </w:r>
                  <w:r>
                    <w:rPr>
                      <w:rFonts w:hint="eastAsia" w:ascii="Times New Roman"/>
                      <w:color w:val="auto"/>
                      <w:sz w:val="21"/>
                      <w:szCs w:val="21"/>
                      <w:highlight w:val="none"/>
                      <w:lang w:val="en-US" w:eastAsia="zh-CN"/>
                    </w:rPr>
                    <w:t>、</w:t>
                  </w:r>
                  <w:r>
                    <w:rPr>
                      <w:rFonts w:ascii="Times New Roman" w:hAnsi="Times New Roman"/>
                      <w:color w:val="auto"/>
                      <w:sz w:val="21"/>
                      <w:szCs w:val="21"/>
                      <w:highlight w:val="none"/>
                      <w:lang w:val="en-US" w:eastAsia="zh-CN"/>
                    </w:rPr>
                    <w:t>BOD</w:t>
                  </w:r>
                  <w:r>
                    <w:rPr>
                      <w:rFonts w:ascii="Times New Roman" w:hAnsi="Times New Roman"/>
                      <w:color w:val="auto"/>
                      <w:sz w:val="21"/>
                      <w:szCs w:val="21"/>
                      <w:highlight w:val="none"/>
                      <w:vertAlign w:val="subscript"/>
                      <w:lang w:val="en-US" w:eastAsia="zh-CN"/>
                    </w:rPr>
                    <w:t>5</w:t>
                  </w:r>
                  <w:r>
                    <w:rPr>
                      <w:rFonts w:hint="eastAsia" w:ascii="Times New Roman"/>
                      <w:color w:val="auto"/>
                      <w:sz w:val="21"/>
                      <w:szCs w:val="21"/>
                      <w:highlight w:val="none"/>
                      <w:vertAlign w:val="subscript"/>
                      <w:lang w:val="en-US" w:eastAsia="zh-CN"/>
                    </w:rPr>
                    <w:t>、</w:t>
                  </w:r>
                  <w:r>
                    <w:rPr>
                      <w:rFonts w:ascii="Times New Roman" w:hAnsi="Times New Roman"/>
                      <w:color w:val="auto"/>
                      <w:sz w:val="21"/>
                      <w:szCs w:val="21"/>
                      <w:highlight w:val="none"/>
                      <w:lang w:val="en-US" w:eastAsia="zh-CN"/>
                    </w:rPr>
                    <w:t>SS</w:t>
                  </w:r>
                </w:p>
                <w:p>
                  <w:pPr>
                    <w:pStyle w:val="62"/>
                    <w:adjustRightInd w:val="0"/>
                    <w:ind w:left="0" w:leftChars="0" w:firstLine="0" w:firstLineChars="0"/>
                    <w:jc w:val="center"/>
                    <w:textAlignment w:val="baseline"/>
                    <w:rPr>
                      <w:rFonts w:hint="default"/>
                      <w:color w:val="auto"/>
                      <w:sz w:val="21"/>
                      <w:szCs w:val="21"/>
                      <w:highlight w:val="none"/>
                      <w:lang w:val="en-US" w:eastAsia="zh-CN"/>
                    </w:rPr>
                  </w:pPr>
                  <w:r>
                    <w:rPr>
                      <w:rFonts w:ascii="Times New Roman" w:hAnsi="Times New Roman"/>
                      <w:color w:val="auto"/>
                      <w:sz w:val="21"/>
                      <w:szCs w:val="21"/>
                      <w:highlight w:val="none"/>
                      <w:lang w:val="en-US" w:eastAsia="zh-CN"/>
                    </w:rPr>
                    <w:t>NH</w:t>
                  </w:r>
                  <w:r>
                    <w:rPr>
                      <w:rFonts w:ascii="Times New Roman" w:hAnsi="Times New Roman"/>
                      <w:color w:val="auto"/>
                      <w:sz w:val="21"/>
                      <w:szCs w:val="21"/>
                      <w:highlight w:val="none"/>
                      <w:vertAlign w:val="subscript"/>
                      <w:lang w:val="en-US" w:eastAsia="zh-CN"/>
                    </w:rPr>
                    <w:t>3</w:t>
                  </w:r>
                  <w:r>
                    <w:rPr>
                      <w:rFonts w:ascii="Times New Roman" w:hAnsi="Times New Roman"/>
                      <w:color w:val="auto"/>
                      <w:sz w:val="21"/>
                      <w:szCs w:val="21"/>
                      <w:highlight w:val="none"/>
                      <w:lang w:val="en-US" w:eastAsia="zh-CN"/>
                    </w:rPr>
                    <w:t>-N</w:t>
                  </w:r>
                  <w:r>
                    <w:rPr>
                      <w:rFonts w:hint="eastAsia" w:ascii="Times New Roman" w:hAnsi="Times New Roman"/>
                      <w:color w:val="auto"/>
                      <w:sz w:val="21"/>
                      <w:szCs w:val="21"/>
                      <w:highlight w:val="none"/>
                      <w:lang w:val="en-US" w:eastAsia="zh-CN"/>
                    </w:rPr>
                    <w:t>、</w:t>
                  </w:r>
                  <w:r>
                    <w:rPr>
                      <w:rFonts w:hint="eastAsia" w:ascii="Times New Roman"/>
                      <w:color w:val="auto"/>
                      <w:sz w:val="21"/>
                      <w:szCs w:val="21"/>
                      <w:highlight w:val="none"/>
                      <w:lang w:val="en-US" w:eastAsia="zh-CN"/>
                    </w:rPr>
                    <w:t>氨氮</w:t>
                  </w:r>
                  <w:r>
                    <w:rPr>
                      <w:rFonts w:hint="eastAsia" w:ascii="Times New Roman" w:hAnsi="Times New Roman"/>
                      <w:color w:val="auto"/>
                      <w:sz w:val="21"/>
                      <w:szCs w:val="21"/>
                      <w:highlight w:val="none"/>
                      <w:lang w:val="en-US" w:eastAsia="zh-CN"/>
                    </w:rPr>
                    <w:t>、</w:t>
                  </w:r>
                  <w:r>
                    <w:rPr>
                      <w:rFonts w:hint="eastAsia" w:ascii="Times New Roman"/>
                      <w:color w:val="auto"/>
                      <w:sz w:val="21"/>
                      <w:szCs w:val="21"/>
                      <w:highlight w:val="none"/>
                      <w:lang w:val="en-US" w:eastAsia="zh-CN"/>
                    </w:rPr>
                    <w:t>粪大肠菌群</w:t>
                  </w:r>
                  <w:r>
                    <w:rPr>
                      <w:rFonts w:hint="eastAsia" w:ascii="Times New Roman" w:hAnsi="Times New Roman"/>
                      <w:color w:val="auto"/>
                      <w:sz w:val="21"/>
                      <w:szCs w:val="21"/>
                      <w:highlight w:val="none"/>
                      <w:lang w:val="en-US" w:eastAsia="zh-CN"/>
                    </w:rPr>
                    <w:t>、LAS</w:t>
                  </w:r>
                  <w:r>
                    <w:rPr>
                      <w:rFonts w:hint="eastAsia" w:ascii="Times New Roman"/>
                      <w:color w:val="auto"/>
                      <w:sz w:val="21"/>
                      <w:szCs w:val="21"/>
                      <w:highlight w:val="none"/>
                      <w:lang w:val="en-US" w:eastAsia="zh-CN"/>
                    </w:rPr>
                    <w:t>、总余氯</w:t>
                  </w:r>
                </w:p>
                <w:p>
                  <w:pPr>
                    <w:pStyle w:val="62"/>
                    <w:adjustRightInd w:val="0"/>
                    <w:textAlignment w:val="baseline"/>
                    <w:rPr>
                      <w:rFonts w:hint="default"/>
                      <w:color w:val="auto"/>
                      <w:sz w:val="21"/>
                      <w:szCs w:val="21"/>
                      <w:highlight w:val="none"/>
                      <w:lang w:val="en-US" w:eastAsia="zh-CN"/>
                    </w:rPr>
                  </w:pPr>
                </w:p>
              </w:tc>
              <w:tc>
                <w:tcPr>
                  <w:tcW w:w="1402" w:type="dxa"/>
                  <w:tcBorders>
                    <w:tl2br w:val="nil"/>
                    <w:tr2bl w:val="nil"/>
                  </w:tcBorders>
                  <w:noWrap w:val="0"/>
                  <w:vAlign w:val="center"/>
                </w:tcPr>
                <w:p>
                  <w:pPr>
                    <w:pStyle w:val="62"/>
                    <w:adjustRightInd w:val="0"/>
                    <w:ind w:left="0" w:leftChars="0" w:firstLine="0" w:firstLineChars="0"/>
                    <w:jc w:val="both"/>
                    <w:textAlignment w:val="baseline"/>
                    <w:rPr>
                      <w:rFonts w:ascii="Times New Roman" w:hAnsi="Times New Roman"/>
                      <w:color w:val="auto"/>
                      <w:sz w:val="21"/>
                      <w:szCs w:val="21"/>
                      <w:highlight w:val="none"/>
                      <w:lang w:val="en-US" w:eastAsia="zh-CN"/>
                    </w:rPr>
                  </w:pPr>
                  <w:r>
                    <w:rPr>
                      <w:rFonts w:hint="eastAsia"/>
                      <w:color w:val="auto"/>
                      <w:sz w:val="21"/>
                      <w:szCs w:val="21"/>
                      <w:highlight w:val="none"/>
                      <w:lang w:val="en-US" w:eastAsia="zh-CN"/>
                    </w:rPr>
                    <w:t>羊市镇污水处理厂</w:t>
                  </w:r>
                </w:p>
              </w:tc>
              <w:tc>
                <w:tcPr>
                  <w:tcW w:w="1095" w:type="dxa"/>
                  <w:tcBorders>
                    <w:tl2br w:val="nil"/>
                    <w:tr2bl w:val="nil"/>
                  </w:tcBorders>
                  <w:noWrap w:val="0"/>
                  <w:vAlign w:val="center"/>
                </w:tcPr>
                <w:p>
                  <w:pPr>
                    <w:pStyle w:val="62"/>
                    <w:adjustRightInd w:val="0"/>
                    <w:ind w:left="0" w:leftChars="0" w:firstLine="0" w:firstLineChars="0"/>
                    <w:jc w:val="both"/>
                    <w:textAlignment w:val="baseline"/>
                    <w:rPr>
                      <w:rFonts w:hint="default" w:ascii="Times New Roman" w:hAnsi="Times New Roman"/>
                      <w:color w:val="auto"/>
                      <w:sz w:val="21"/>
                      <w:szCs w:val="21"/>
                      <w:highlight w:val="none"/>
                      <w:lang w:val="en-US" w:eastAsia="zh-CN"/>
                    </w:rPr>
                  </w:pPr>
                  <w:r>
                    <w:rPr>
                      <w:rFonts w:hint="eastAsia" w:ascii="Times New Roman"/>
                      <w:color w:val="auto"/>
                      <w:sz w:val="21"/>
                      <w:szCs w:val="21"/>
                      <w:highlight w:val="none"/>
                      <w:lang w:val="en-US" w:eastAsia="zh-CN"/>
                    </w:rPr>
                    <w:t>连续</w:t>
                  </w:r>
                </w:p>
              </w:tc>
              <w:tc>
                <w:tcPr>
                  <w:tcW w:w="885" w:type="dxa"/>
                  <w:tcBorders>
                    <w:tl2br w:val="nil"/>
                    <w:tr2bl w:val="nil"/>
                  </w:tcBorders>
                  <w:noWrap w:val="0"/>
                  <w:vAlign w:val="center"/>
                </w:tcPr>
                <w:p>
                  <w:pPr>
                    <w:pStyle w:val="62"/>
                    <w:adjustRightInd w:val="0"/>
                    <w:ind w:left="0" w:leftChars="0" w:firstLine="0" w:firstLineChars="0"/>
                    <w:jc w:val="both"/>
                    <w:textAlignment w:val="baseline"/>
                    <w:rPr>
                      <w:rFonts w:hint="default" w:ascii="Times New Roman" w:hAnsi="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TW001</w:t>
                  </w:r>
                </w:p>
              </w:tc>
              <w:tc>
                <w:tcPr>
                  <w:tcW w:w="908" w:type="dxa"/>
                  <w:tcBorders>
                    <w:tl2br w:val="nil"/>
                    <w:tr2bl w:val="nil"/>
                  </w:tcBorders>
                  <w:noWrap w:val="0"/>
                  <w:vAlign w:val="center"/>
                </w:tcPr>
                <w:p>
                  <w:pPr>
                    <w:pStyle w:val="62"/>
                    <w:adjustRightInd w:val="0"/>
                    <w:ind w:left="0" w:leftChars="0" w:firstLine="0" w:firstLineChars="0"/>
                    <w:jc w:val="both"/>
                    <w:textAlignment w:val="baseline"/>
                    <w:rPr>
                      <w:rFonts w:hint="default" w:ascii="Times New Roman" w:hAnsi="Times New Roman"/>
                      <w:color w:val="auto"/>
                      <w:sz w:val="21"/>
                      <w:szCs w:val="21"/>
                      <w:highlight w:val="none"/>
                      <w:lang w:val="en-US" w:eastAsia="zh-CN"/>
                    </w:rPr>
                  </w:pPr>
                  <w:r>
                    <w:rPr>
                      <w:rFonts w:hint="eastAsia" w:ascii="Times New Roman"/>
                      <w:color w:val="auto"/>
                      <w:sz w:val="21"/>
                      <w:szCs w:val="21"/>
                      <w:highlight w:val="none"/>
                      <w:lang w:val="en-US" w:eastAsia="zh-CN"/>
                    </w:rPr>
                    <w:t>医疗废水处理设施</w:t>
                  </w:r>
                </w:p>
              </w:tc>
              <w:tc>
                <w:tcPr>
                  <w:tcW w:w="927" w:type="dxa"/>
                  <w:tcBorders>
                    <w:tl2br w:val="nil"/>
                    <w:tr2bl w:val="nil"/>
                  </w:tcBorders>
                  <w:noWrap w:val="0"/>
                  <w:vAlign w:val="center"/>
                </w:tcPr>
                <w:p>
                  <w:pPr>
                    <w:pStyle w:val="62"/>
                    <w:adjustRightInd w:val="0"/>
                    <w:ind w:left="0" w:leftChars="0" w:firstLine="0" w:firstLineChars="0"/>
                    <w:jc w:val="both"/>
                    <w:textAlignment w:val="baseline"/>
                    <w:rPr>
                      <w:rFonts w:hint="default" w:ascii="Times New Roman" w:hAnsi="Times New Roman"/>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格栅池→化粪池→调节池→缺氧池→好氧池→二沉池→氯片消毒</w:t>
                  </w:r>
                </w:p>
              </w:tc>
              <w:tc>
                <w:tcPr>
                  <w:tcW w:w="883" w:type="dxa"/>
                  <w:tcBorders>
                    <w:tl2br w:val="nil"/>
                    <w:tr2bl w:val="nil"/>
                  </w:tcBorders>
                  <w:noWrap w:val="0"/>
                  <w:vAlign w:val="center"/>
                </w:tcPr>
                <w:p>
                  <w:pPr>
                    <w:pStyle w:val="62"/>
                    <w:adjustRightInd w:val="0"/>
                    <w:ind w:left="0" w:leftChars="0" w:firstLine="0" w:firstLineChars="0"/>
                    <w:jc w:val="both"/>
                    <w:textAlignment w:val="baseline"/>
                    <w:rPr>
                      <w:rFonts w:hint="default" w:ascii="Times New Roman" w:hAnsi="Times New Roman"/>
                      <w:color w:val="auto"/>
                      <w:sz w:val="21"/>
                      <w:szCs w:val="21"/>
                      <w:highlight w:val="none"/>
                      <w:vertAlign w:val="superscript"/>
                      <w:lang w:val="en-US" w:eastAsia="zh-CN"/>
                    </w:rPr>
                  </w:pPr>
                  <w:r>
                    <w:rPr>
                      <w:rFonts w:hint="eastAsia" w:ascii="Times New Roman" w:hAnsi="Times New Roman" w:eastAsia="宋体" w:cs="Times New Roman"/>
                      <w:color w:val="auto"/>
                      <w:kern w:val="0"/>
                      <w:sz w:val="21"/>
                      <w:szCs w:val="21"/>
                      <w:highlight w:val="none"/>
                      <w:lang w:val="en-US" w:eastAsia="zh-CN" w:bidi="ar-SA"/>
                    </w:rPr>
                    <w:t>DW001</w:t>
                  </w:r>
                </w:p>
              </w:tc>
              <w:tc>
                <w:tcPr>
                  <w:tcW w:w="1047" w:type="dxa"/>
                  <w:tcBorders>
                    <w:tl2br w:val="nil"/>
                    <w:tr2bl w:val="nil"/>
                  </w:tcBorders>
                  <w:noWrap w:val="0"/>
                  <w:vAlign w:val="center"/>
                </w:tcPr>
                <w:p>
                  <w:pPr>
                    <w:pStyle w:val="62"/>
                    <w:adjustRightInd w:val="0"/>
                    <w:ind w:left="0" w:leftChars="0" w:firstLine="0" w:firstLineChars="0"/>
                    <w:jc w:val="center"/>
                    <w:textAlignment w:val="baseline"/>
                    <w:rPr>
                      <w:rFonts w:ascii="Times New Roman" w:hAnsi="Times New Roman"/>
                      <w:color w:val="auto"/>
                      <w:sz w:val="21"/>
                      <w:szCs w:val="21"/>
                      <w:highlight w:val="none"/>
                      <w:lang w:val="en-US" w:eastAsia="zh-CN"/>
                    </w:rPr>
                  </w:pPr>
                  <w:r>
                    <w:rPr>
                      <w:rFonts w:hint="eastAsia" w:ascii="MS Mincho" w:hAnsi="MS Mincho" w:eastAsia="MS Mincho" w:cs="MS Mincho"/>
                      <w:color w:val="auto"/>
                      <w:sz w:val="21"/>
                      <w:szCs w:val="21"/>
                      <w:highlight w:val="none"/>
                    </w:rPr>
                    <w:t>☑</w:t>
                  </w:r>
                  <w:r>
                    <w:rPr>
                      <w:rFonts w:ascii="Times New Roman" w:hAnsi="Times New Roman"/>
                      <w:color w:val="auto"/>
                      <w:sz w:val="21"/>
                      <w:szCs w:val="21"/>
                      <w:highlight w:val="none"/>
                      <w:lang w:val="en-US" w:eastAsia="zh-CN"/>
                    </w:rPr>
                    <w:t>是</w:t>
                  </w:r>
                </w:p>
                <w:p>
                  <w:pPr>
                    <w:pStyle w:val="62"/>
                    <w:adjustRightInd w:val="0"/>
                    <w:ind w:left="0" w:leftChars="0" w:firstLine="0" w:firstLineChars="0"/>
                    <w:jc w:val="center"/>
                    <w:textAlignment w:val="baseline"/>
                    <w:rPr>
                      <w:rFonts w:ascii="Times New Roman" w:hAnsi="Times New Roman"/>
                      <w:color w:val="auto"/>
                      <w:sz w:val="21"/>
                      <w:szCs w:val="21"/>
                      <w:highlight w:val="none"/>
                      <w:lang w:val="en-US" w:eastAsia="zh-CN"/>
                    </w:rPr>
                  </w:pPr>
                  <w:r>
                    <w:rPr>
                      <w:rFonts w:ascii="Times New Roman" w:hAnsi="Times New Roman"/>
                      <w:color w:val="auto"/>
                      <w:sz w:val="21"/>
                      <w:szCs w:val="21"/>
                      <w:highlight w:val="none"/>
                    </w:rPr>
                    <w:t>□</w:t>
                  </w:r>
                  <w:r>
                    <w:rPr>
                      <w:rFonts w:ascii="Times New Roman" w:hAnsi="Times New Roman"/>
                      <w:color w:val="auto"/>
                      <w:sz w:val="21"/>
                      <w:szCs w:val="21"/>
                      <w:highlight w:val="none"/>
                      <w:lang w:val="en-US" w:eastAsia="zh-CN"/>
                    </w:rPr>
                    <w:t>否</w:t>
                  </w:r>
                </w:p>
              </w:tc>
              <w:tc>
                <w:tcPr>
                  <w:tcW w:w="1290" w:type="dxa"/>
                  <w:tcBorders>
                    <w:tl2br w:val="nil"/>
                    <w:tr2bl w:val="nil"/>
                  </w:tcBorders>
                  <w:noWrap w:val="0"/>
                  <w:vAlign w:val="center"/>
                </w:tcPr>
                <w:p>
                  <w:pPr>
                    <w:pStyle w:val="62"/>
                    <w:adjustRightInd w:val="0"/>
                    <w:ind w:left="0" w:leftChars="0" w:firstLine="0" w:firstLineChars="0"/>
                    <w:jc w:val="center"/>
                    <w:textAlignment w:val="baseline"/>
                    <w:rPr>
                      <w:rFonts w:ascii="Times New Roman" w:hAnsi="Times New Roman"/>
                      <w:color w:val="auto"/>
                      <w:sz w:val="21"/>
                      <w:szCs w:val="21"/>
                      <w:highlight w:val="none"/>
                      <w:lang w:val="en-US" w:eastAsia="zh-CN"/>
                    </w:rPr>
                  </w:pPr>
                  <w:r>
                    <w:rPr>
                      <w:rFonts w:hint="eastAsia" w:ascii="MS Mincho" w:hAnsi="MS Mincho" w:eastAsia="MS Mincho" w:cs="MS Mincho"/>
                      <w:color w:val="auto"/>
                      <w:sz w:val="21"/>
                      <w:szCs w:val="21"/>
                      <w:highlight w:val="none"/>
                    </w:rPr>
                    <w:t>☑</w:t>
                  </w:r>
                  <w:r>
                    <w:rPr>
                      <w:rFonts w:ascii="Times New Roman" w:hAnsi="Times New Roman"/>
                      <w:color w:val="auto"/>
                      <w:sz w:val="21"/>
                      <w:szCs w:val="21"/>
                      <w:highlight w:val="none"/>
                      <w:lang w:val="en-US" w:eastAsia="zh-CN"/>
                    </w:rPr>
                    <w:t>企业总排</w:t>
                  </w:r>
                </w:p>
                <w:p>
                  <w:pPr>
                    <w:pStyle w:val="62"/>
                    <w:adjustRightInd w:val="0"/>
                    <w:ind w:left="0" w:leftChars="0" w:firstLine="0" w:firstLineChars="0"/>
                    <w:jc w:val="center"/>
                    <w:textAlignment w:val="baseline"/>
                    <w:rPr>
                      <w:rFonts w:ascii="Times New Roman" w:hAnsi="Times New Roman"/>
                      <w:color w:val="auto"/>
                      <w:sz w:val="21"/>
                      <w:szCs w:val="21"/>
                      <w:highlight w:val="none"/>
                      <w:lang w:val="en-US" w:eastAsia="zh-CN"/>
                    </w:rPr>
                  </w:pPr>
                  <w:r>
                    <w:rPr>
                      <w:rFonts w:ascii="Times New Roman" w:hAnsi="Times New Roman"/>
                      <w:color w:val="auto"/>
                      <w:sz w:val="21"/>
                      <w:szCs w:val="21"/>
                      <w:highlight w:val="none"/>
                    </w:rPr>
                    <w:t>□</w:t>
                  </w:r>
                  <w:r>
                    <w:rPr>
                      <w:rFonts w:ascii="Times New Roman" w:hAnsi="Times New Roman"/>
                      <w:color w:val="auto"/>
                      <w:sz w:val="21"/>
                      <w:szCs w:val="21"/>
                      <w:highlight w:val="none"/>
                      <w:lang w:val="en-US" w:eastAsia="zh-CN"/>
                    </w:rPr>
                    <w:t>雨水排放</w:t>
                  </w:r>
                </w:p>
                <w:p>
                  <w:pPr>
                    <w:pStyle w:val="62"/>
                    <w:adjustRightInd w:val="0"/>
                    <w:ind w:left="0" w:leftChars="0" w:firstLine="0" w:firstLineChars="0"/>
                    <w:jc w:val="center"/>
                    <w:textAlignment w:val="baseline"/>
                    <w:rPr>
                      <w:rFonts w:ascii="Times New Roman" w:hAnsi="Times New Roman"/>
                      <w:color w:val="auto"/>
                      <w:sz w:val="21"/>
                      <w:szCs w:val="21"/>
                      <w:highlight w:val="none"/>
                      <w:lang w:val="en-US" w:eastAsia="zh-CN"/>
                    </w:rPr>
                  </w:pPr>
                  <w:r>
                    <w:rPr>
                      <w:rFonts w:ascii="Times New Roman" w:hAnsi="Times New Roman"/>
                      <w:color w:val="auto"/>
                      <w:sz w:val="21"/>
                      <w:szCs w:val="21"/>
                      <w:highlight w:val="none"/>
                    </w:rPr>
                    <w:t>□</w:t>
                  </w:r>
                  <w:r>
                    <w:rPr>
                      <w:rFonts w:ascii="Times New Roman" w:hAnsi="Times New Roman"/>
                      <w:color w:val="auto"/>
                      <w:sz w:val="21"/>
                      <w:szCs w:val="21"/>
                      <w:highlight w:val="none"/>
                      <w:lang w:val="en-US" w:eastAsia="zh-CN"/>
                    </w:rPr>
                    <w:t>温排水排放</w:t>
                  </w:r>
                </w:p>
                <w:p>
                  <w:pPr>
                    <w:pStyle w:val="62"/>
                    <w:adjustRightInd w:val="0"/>
                    <w:ind w:left="0" w:leftChars="0" w:firstLine="0" w:firstLineChars="0"/>
                    <w:jc w:val="center"/>
                    <w:textAlignment w:val="baseline"/>
                    <w:rPr>
                      <w:rFonts w:ascii="Times New Roman" w:hAnsi="Times New Roman"/>
                      <w:color w:val="auto"/>
                      <w:sz w:val="21"/>
                      <w:szCs w:val="21"/>
                      <w:highlight w:val="none"/>
                      <w:lang w:val="en-US" w:eastAsia="zh-CN"/>
                    </w:rPr>
                  </w:pPr>
                  <w:r>
                    <w:rPr>
                      <w:rFonts w:ascii="Times New Roman" w:hAnsi="Times New Roman"/>
                      <w:color w:val="auto"/>
                      <w:sz w:val="21"/>
                      <w:szCs w:val="21"/>
                      <w:highlight w:val="none"/>
                    </w:rPr>
                    <w:t>□</w:t>
                  </w:r>
                  <w:r>
                    <w:rPr>
                      <w:rFonts w:ascii="Times New Roman" w:hAnsi="Times New Roman"/>
                      <w:color w:val="auto"/>
                      <w:sz w:val="21"/>
                      <w:szCs w:val="21"/>
                      <w:highlight w:val="none"/>
                      <w:lang w:val="en-US" w:eastAsia="zh-CN"/>
                    </w:rPr>
                    <w:t>车间或车间处理设施排放口</w:t>
                  </w:r>
                </w:p>
              </w:tc>
            </w:tr>
          </w:tbl>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center"/>
              <w:textAlignment w:val="auto"/>
              <w:rPr>
                <w:rFonts w:hint="eastAsia" w:ascii="宋体" w:hAnsi="宋体" w:eastAsia="宋体" w:cs="宋体"/>
                <w:b/>
                <w:bCs w:val="0"/>
                <w:color w:val="auto"/>
                <w:kern w:val="0"/>
                <w:sz w:val="24"/>
                <w:szCs w:val="24"/>
                <w:highlight w:val="none"/>
                <w:lang w:val="en-US" w:eastAsia="zh-CN"/>
              </w:rPr>
            </w:pPr>
            <w:r>
              <w:rPr>
                <w:rFonts w:hint="eastAsia" w:ascii="宋体" w:hAnsi="宋体" w:eastAsia="宋体" w:cs="宋体"/>
                <w:b/>
                <w:bCs w:val="0"/>
                <w:color w:val="auto"/>
                <w:kern w:val="0"/>
                <w:sz w:val="24"/>
                <w:szCs w:val="24"/>
                <w:highlight w:val="none"/>
                <w:lang w:val="en-US" w:eastAsia="zh-CN"/>
              </w:rPr>
              <w:t>表4.13    废水间接排放口基本情况表</w:t>
            </w:r>
          </w:p>
          <w:tbl>
            <w:tblPr>
              <w:tblStyle w:val="29"/>
              <w:tblW w:w="119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839"/>
              <w:gridCol w:w="1192"/>
              <w:gridCol w:w="1290"/>
              <w:gridCol w:w="1365"/>
              <w:gridCol w:w="923"/>
              <w:gridCol w:w="690"/>
              <w:gridCol w:w="667"/>
              <w:gridCol w:w="798"/>
              <w:gridCol w:w="1327"/>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3" w:hRule="atLeast"/>
                <w:jc w:val="center"/>
              </w:trPr>
              <w:tc>
                <w:tcPr>
                  <w:tcW w:w="945" w:type="dxa"/>
                  <w:vMerge w:val="restart"/>
                  <w:tcBorders>
                    <w:tl2br w:val="nil"/>
                    <w:tr2bl w:val="nil"/>
                  </w:tcBorders>
                  <w:noWrap w:val="0"/>
                  <w:vAlign w:val="center"/>
                </w:tcPr>
                <w:p>
                  <w:pPr>
                    <w:adjustRightInd w:val="0"/>
                    <w:snapToGrid w:val="0"/>
                    <w:spacing w:line="240" w:lineRule="exact"/>
                    <w:ind w:left="0" w:leftChars="0" w:firstLine="0" w:firstLineChars="0"/>
                    <w:jc w:val="both"/>
                    <w:rPr>
                      <w:rFonts w:eastAsia="宋体"/>
                      <w:color w:val="auto"/>
                      <w:kern w:val="0"/>
                      <w:sz w:val="21"/>
                      <w:szCs w:val="21"/>
                      <w:highlight w:val="none"/>
                    </w:rPr>
                  </w:pPr>
                  <w:r>
                    <w:rPr>
                      <w:rFonts w:eastAsia="宋体"/>
                      <w:color w:val="auto"/>
                      <w:kern w:val="0"/>
                      <w:sz w:val="21"/>
                      <w:szCs w:val="21"/>
                      <w:highlight w:val="none"/>
                    </w:rPr>
                    <w:t>序号</w:t>
                  </w:r>
                </w:p>
              </w:tc>
              <w:tc>
                <w:tcPr>
                  <w:tcW w:w="839" w:type="dxa"/>
                  <w:vMerge w:val="restart"/>
                  <w:tcBorders>
                    <w:tl2br w:val="nil"/>
                    <w:tr2bl w:val="nil"/>
                  </w:tcBorders>
                  <w:noWrap w:val="0"/>
                  <w:vAlign w:val="center"/>
                </w:tcPr>
                <w:p>
                  <w:pPr>
                    <w:adjustRightInd w:val="0"/>
                    <w:snapToGrid w:val="0"/>
                    <w:spacing w:line="240" w:lineRule="exact"/>
                    <w:ind w:left="0" w:leftChars="0" w:firstLine="0" w:firstLineChars="0"/>
                    <w:jc w:val="both"/>
                    <w:rPr>
                      <w:rFonts w:eastAsia="宋体"/>
                      <w:color w:val="auto"/>
                      <w:kern w:val="0"/>
                      <w:sz w:val="21"/>
                      <w:szCs w:val="21"/>
                      <w:highlight w:val="none"/>
                    </w:rPr>
                  </w:pPr>
                  <w:r>
                    <w:rPr>
                      <w:rFonts w:eastAsia="宋体"/>
                      <w:color w:val="auto"/>
                      <w:kern w:val="0"/>
                      <w:sz w:val="21"/>
                      <w:szCs w:val="21"/>
                      <w:highlight w:val="none"/>
                    </w:rPr>
                    <w:t>排放口编号</w:t>
                  </w:r>
                </w:p>
              </w:tc>
              <w:tc>
                <w:tcPr>
                  <w:tcW w:w="2482" w:type="dxa"/>
                  <w:gridSpan w:val="2"/>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r>
                    <w:rPr>
                      <w:rFonts w:eastAsia="宋体"/>
                      <w:color w:val="auto"/>
                      <w:kern w:val="0"/>
                      <w:sz w:val="21"/>
                      <w:szCs w:val="21"/>
                      <w:highlight w:val="none"/>
                    </w:rPr>
                    <w:t>排放口地理坐标</w:t>
                  </w:r>
                </w:p>
              </w:tc>
              <w:tc>
                <w:tcPr>
                  <w:tcW w:w="1365" w:type="dxa"/>
                  <w:vMerge w:val="restart"/>
                  <w:tcBorders>
                    <w:tl2br w:val="nil"/>
                    <w:tr2bl w:val="nil"/>
                  </w:tcBorders>
                  <w:noWrap w:val="0"/>
                  <w:vAlign w:val="center"/>
                </w:tcPr>
                <w:p>
                  <w:pPr>
                    <w:adjustRightInd w:val="0"/>
                    <w:snapToGrid w:val="0"/>
                    <w:spacing w:line="240" w:lineRule="exact"/>
                    <w:ind w:left="0" w:leftChars="0" w:firstLine="0" w:firstLineChars="0"/>
                    <w:jc w:val="both"/>
                    <w:rPr>
                      <w:rFonts w:eastAsia="宋体"/>
                      <w:color w:val="auto"/>
                      <w:kern w:val="0"/>
                      <w:sz w:val="21"/>
                      <w:szCs w:val="21"/>
                      <w:highlight w:val="none"/>
                    </w:rPr>
                  </w:pPr>
                  <w:r>
                    <w:rPr>
                      <w:rFonts w:eastAsia="宋体"/>
                      <w:color w:val="auto"/>
                      <w:kern w:val="0"/>
                      <w:sz w:val="21"/>
                      <w:szCs w:val="21"/>
                      <w:highlight w:val="none"/>
                    </w:rPr>
                    <w:t>废水排放量（t/a）</w:t>
                  </w:r>
                </w:p>
              </w:tc>
              <w:tc>
                <w:tcPr>
                  <w:tcW w:w="923" w:type="dxa"/>
                  <w:vMerge w:val="restart"/>
                  <w:tcBorders>
                    <w:tl2br w:val="nil"/>
                    <w:tr2bl w:val="nil"/>
                  </w:tcBorders>
                  <w:noWrap w:val="0"/>
                  <w:vAlign w:val="center"/>
                </w:tcPr>
                <w:p>
                  <w:pPr>
                    <w:adjustRightInd w:val="0"/>
                    <w:snapToGrid w:val="0"/>
                    <w:spacing w:line="240" w:lineRule="exact"/>
                    <w:ind w:left="0" w:leftChars="0" w:firstLine="0" w:firstLineChars="0"/>
                    <w:jc w:val="both"/>
                    <w:rPr>
                      <w:rFonts w:eastAsia="宋体"/>
                      <w:color w:val="auto"/>
                      <w:kern w:val="0"/>
                      <w:sz w:val="21"/>
                      <w:szCs w:val="21"/>
                      <w:highlight w:val="none"/>
                    </w:rPr>
                  </w:pPr>
                  <w:r>
                    <w:rPr>
                      <w:rFonts w:eastAsia="宋体"/>
                      <w:color w:val="auto"/>
                      <w:kern w:val="0"/>
                      <w:sz w:val="21"/>
                      <w:szCs w:val="21"/>
                      <w:highlight w:val="none"/>
                    </w:rPr>
                    <w:t>排放去向</w:t>
                  </w:r>
                </w:p>
              </w:tc>
              <w:tc>
                <w:tcPr>
                  <w:tcW w:w="690" w:type="dxa"/>
                  <w:vMerge w:val="restart"/>
                  <w:tcBorders>
                    <w:tl2br w:val="nil"/>
                    <w:tr2bl w:val="nil"/>
                  </w:tcBorders>
                  <w:noWrap w:val="0"/>
                  <w:vAlign w:val="center"/>
                </w:tcPr>
                <w:p>
                  <w:pPr>
                    <w:adjustRightInd w:val="0"/>
                    <w:snapToGrid w:val="0"/>
                    <w:spacing w:line="240" w:lineRule="exact"/>
                    <w:ind w:left="0" w:leftChars="0" w:firstLine="0" w:firstLineChars="0"/>
                    <w:jc w:val="both"/>
                    <w:rPr>
                      <w:rFonts w:eastAsia="宋体"/>
                      <w:color w:val="auto"/>
                      <w:kern w:val="0"/>
                      <w:sz w:val="21"/>
                      <w:szCs w:val="21"/>
                      <w:highlight w:val="none"/>
                    </w:rPr>
                  </w:pPr>
                  <w:r>
                    <w:rPr>
                      <w:rFonts w:eastAsia="宋体"/>
                      <w:color w:val="auto"/>
                      <w:kern w:val="0"/>
                      <w:sz w:val="21"/>
                      <w:szCs w:val="21"/>
                      <w:highlight w:val="none"/>
                    </w:rPr>
                    <w:t>排放频率</w:t>
                  </w:r>
                </w:p>
              </w:tc>
              <w:tc>
                <w:tcPr>
                  <w:tcW w:w="667" w:type="dxa"/>
                  <w:vMerge w:val="restart"/>
                  <w:tcBorders>
                    <w:tl2br w:val="nil"/>
                    <w:tr2bl w:val="nil"/>
                  </w:tcBorders>
                  <w:noWrap w:val="0"/>
                  <w:vAlign w:val="center"/>
                </w:tcPr>
                <w:p>
                  <w:pPr>
                    <w:adjustRightInd w:val="0"/>
                    <w:snapToGrid w:val="0"/>
                    <w:spacing w:line="240" w:lineRule="exact"/>
                    <w:ind w:left="0" w:leftChars="0" w:firstLine="0" w:firstLineChars="0"/>
                    <w:jc w:val="both"/>
                    <w:rPr>
                      <w:rFonts w:eastAsia="宋体"/>
                      <w:color w:val="auto"/>
                      <w:kern w:val="0"/>
                      <w:sz w:val="21"/>
                      <w:szCs w:val="21"/>
                      <w:highlight w:val="none"/>
                    </w:rPr>
                  </w:pPr>
                  <w:r>
                    <w:rPr>
                      <w:rFonts w:eastAsia="宋体"/>
                      <w:color w:val="auto"/>
                      <w:kern w:val="0"/>
                      <w:sz w:val="21"/>
                      <w:szCs w:val="21"/>
                      <w:highlight w:val="none"/>
                    </w:rPr>
                    <w:t>间歇排放时段</w:t>
                  </w:r>
                </w:p>
              </w:tc>
              <w:tc>
                <w:tcPr>
                  <w:tcW w:w="4015" w:type="dxa"/>
                  <w:gridSpan w:val="3"/>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r>
                    <w:rPr>
                      <w:rFonts w:eastAsia="宋体"/>
                      <w:color w:val="auto"/>
                      <w:kern w:val="0"/>
                      <w:sz w:val="21"/>
                      <w:szCs w:val="21"/>
                      <w:highlight w:val="none"/>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945"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839"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192" w:type="dxa"/>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r>
                    <w:rPr>
                      <w:rFonts w:eastAsia="宋体"/>
                      <w:color w:val="auto"/>
                      <w:kern w:val="0"/>
                      <w:sz w:val="21"/>
                      <w:szCs w:val="21"/>
                      <w:highlight w:val="none"/>
                    </w:rPr>
                    <w:t>经度</w:t>
                  </w:r>
                </w:p>
              </w:tc>
              <w:tc>
                <w:tcPr>
                  <w:tcW w:w="1290" w:type="dxa"/>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r>
                    <w:rPr>
                      <w:rFonts w:eastAsia="宋体"/>
                      <w:color w:val="auto"/>
                      <w:kern w:val="0"/>
                      <w:sz w:val="21"/>
                      <w:szCs w:val="21"/>
                      <w:highlight w:val="none"/>
                    </w:rPr>
                    <w:t>纬度</w:t>
                  </w:r>
                </w:p>
              </w:tc>
              <w:tc>
                <w:tcPr>
                  <w:tcW w:w="1365"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923"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690"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667"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798" w:type="dxa"/>
                  <w:tcBorders>
                    <w:tl2br w:val="nil"/>
                    <w:tr2bl w:val="nil"/>
                  </w:tcBorders>
                  <w:noWrap w:val="0"/>
                  <w:vAlign w:val="center"/>
                </w:tcPr>
                <w:p>
                  <w:pPr>
                    <w:adjustRightInd w:val="0"/>
                    <w:snapToGrid w:val="0"/>
                    <w:spacing w:line="240" w:lineRule="exact"/>
                    <w:ind w:left="0" w:leftChars="0" w:firstLine="0" w:firstLineChars="0"/>
                    <w:jc w:val="both"/>
                    <w:rPr>
                      <w:rFonts w:eastAsia="宋体"/>
                      <w:color w:val="auto"/>
                      <w:kern w:val="0"/>
                      <w:sz w:val="21"/>
                      <w:szCs w:val="21"/>
                      <w:highlight w:val="none"/>
                    </w:rPr>
                  </w:pPr>
                  <w:r>
                    <w:rPr>
                      <w:rFonts w:eastAsia="宋体"/>
                      <w:color w:val="auto"/>
                      <w:kern w:val="0"/>
                      <w:sz w:val="21"/>
                      <w:szCs w:val="21"/>
                      <w:highlight w:val="none"/>
                    </w:rPr>
                    <w:t>名称</w:t>
                  </w:r>
                </w:p>
              </w:tc>
              <w:tc>
                <w:tcPr>
                  <w:tcW w:w="1327" w:type="dxa"/>
                  <w:tcBorders>
                    <w:tl2br w:val="nil"/>
                    <w:tr2bl w:val="nil"/>
                  </w:tcBorders>
                  <w:noWrap w:val="0"/>
                  <w:vAlign w:val="center"/>
                </w:tcPr>
                <w:p>
                  <w:pPr>
                    <w:adjustRightInd w:val="0"/>
                    <w:snapToGrid w:val="0"/>
                    <w:spacing w:line="240" w:lineRule="exact"/>
                    <w:ind w:left="0" w:leftChars="0" w:firstLine="0" w:firstLineChars="0"/>
                    <w:jc w:val="both"/>
                    <w:rPr>
                      <w:rFonts w:eastAsia="宋体"/>
                      <w:color w:val="auto"/>
                      <w:kern w:val="0"/>
                      <w:sz w:val="21"/>
                      <w:szCs w:val="21"/>
                      <w:highlight w:val="none"/>
                    </w:rPr>
                  </w:pPr>
                  <w:r>
                    <w:rPr>
                      <w:rFonts w:eastAsia="宋体"/>
                      <w:color w:val="auto"/>
                      <w:kern w:val="0"/>
                      <w:sz w:val="21"/>
                      <w:szCs w:val="21"/>
                      <w:highlight w:val="none"/>
                    </w:rPr>
                    <w:t>污染物种类</w:t>
                  </w:r>
                </w:p>
              </w:tc>
              <w:tc>
                <w:tcPr>
                  <w:tcW w:w="1890" w:type="dxa"/>
                  <w:tcBorders>
                    <w:tl2br w:val="nil"/>
                    <w:tr2bl w:val="nil"/>
                  </w:tcBorders>
                  <w:noWrap w:val="0"/>
                  <w:vAlign w:val="center"/>
                </w:tcPr>
                <w:p>
                  <w:pPr>
                    <w:adjustRightInd w:val="0"/>
                    <w:snapToGrid w:val="0"/>
                    <w:spacing w:line="240" w:lineRule="exact"/>
                    <w:ind w:left="0" w:leftChars="0" w:firstLine="0" w:firstLineChars="0"/>
                    <w:jc w:val="both"/>
                    <w:rPr>
                      <w:rFonts w:eastAsia="宋体"/>
                      <w:color w:val="auto"/>
                      <w:kern w:val="0"/>
                      <w:sz w:val="21"/>
                      <w:szCs w:val="21"/>
                      <w:highlight w:val="none"/>
                    </w:rPr>
                  </w:pPr>
                  <w:r>
                    <w:rPr>
                      <w:rFonts w:eastAsia="宋体"/>
                      <w:color w:val="auto"/>
                      <w:kern w:val="0"/>
                      <w:sz w:val="21"/>
                      <w:szCs w:val="21"/>
                      <w:highlight w:val="none"/>
                    </w:rPr>
                    <w:t>国家或地方污染物排放标准浓度限值（mg/L）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45" w:type="dxa"/>
                  <w:vMerge w:val="restart"/>
                  <w:tcBorders>
                    <w:tl2br w:val="nil"/>
                    <w:tr2bl w:val="nil"/>
                  </w:tcBorders>
                  <w:noWrap w:val="0"/>
                  <w:vAlign w:val="center"/>
                </w:tcPr>
                <w:p>
                  <w:pPr>
                    <w:adjustRightInd w:val="0"/>
                    <w:snapToGrid w:val="0"/>
                    <w:spacing w:line="240" w:lineRule="exact"/>
                    <w:ind w:left="0" w:leftChars="0" w:firstLine="0" w:firstLineChars="0"/>
                    <w:jc w:val="center"/>
                    <w:rPr>
                      <w:rFonts w:eastAsia="宋体"/>
                      <w:color w:val="auto"/>
                      <w:kern w:val="0"/>
                      <w:sz w:val="21"/>
                      <w:szCs w:val="21"/>
                      <w:highlight w:val="none"/>
                    </w:rPr>
                  </w:pPr>
                  <w:r>
                    <w:rPr>
                      <w:rFonts w:eastAsia="宋体"/>
                      <w:color w:val="auto"/>
                      <w:kern w:val="0"/>
                      <w:sz w:val="21"/>
                      <w:szCs w:val="21"/>
                      <w:highlight w:val="none"/>
                    </w:rPr>
                    <w:t>1</w:t>
                  </w:r>
                </w:p>
              </w:tc>
              <w:tc>
                <w:tcPr>
                  <w:tcW w:w="839" w:type="dxa"/>
                  <w:vMerge w:val="restart"/>
                  <w:tcBorders>
                    <w:tl2br w:val="nil"/>
                    <w:tr2bl w:val="nil"/>
                  </w:tcBorders>
                  <w:noWrap w:val="0"/>
                  <w:vAlign w:val="center"/>
                </w:tcPr>
                <w:p>
                  <w:pPr>
                    <w:adjustRightInd w:val="0"/>
                    <w:snapToGrid w:val="0"/>
                    <w:spacing w:line="240" w:lineRule="exact"/>
                    <w:ind w:left="0" w:leftChars="0" w:firstLine="0" w:firstLineChars="0"/>
                    <w:jc w:val="center"/>
                    <w:rPr>
                      <w:rFonts w:hint="default" w:eastAsia="宋体"/>
                      <w:color w:val="auto"/>
                      <w:kern w:val="0"/>
                      <w:sz w:val="21"/>
                      <w:szCs w:val="21"/>
                      <w:highlight w:val="none"/>
                      <w:lang w:val="en-US" w:eastAsia="zh-CN"/>
                    </w:rPr>
                  </w:pPr>
                  <w:r>
                    <w:rPr>
                      <w:rFonts w:hint="eastAsia" w:eastAsia="宋体"/>
                      <w:color w:val="auto"/>
                      <w:kern w:val="0"/>
                      <w:sz w:val="21"/>
                      <w:szCs w:val="21"/>
                      <w:highlight w:val="none"/>
                      <w:lang w:val="en-US" w:eastAsia="zh-CN"/>
                    </w:rPr>
                    <w:t>DW001</w:t>
                  </w:r>
                </w:p>
              </w:tc>
              <w:tc>
                <w:tcPr>
                  <w:tcW w:w="1192" w:type="dxa"/>
                  <w:vMerge w:val="restart"/>
                  <w:tcBorders>
                    <w:tl2br w:val="nil"/>
                    <w:tr2bl w:val="nil"/>
                  </w:tcBorders>
                  <w:noWrap w:val="0"/>
                  <w:vAlign w:val="center"/>
                </w:tcPr>
                <w:p>
                  <w:pPr>
                    <w:spacing w:line="240" w:lineRule="exact"/>
                    <w:ind w:left="0" w:leftChars="0" w:firstLine="0" w:firstLineChars="0"/>
                    <w:jc w:val="center"/>
                    <w:rPr>
                      <w:rFonts w:eastAsia="宋体"/>
                      <w:color w:val="auto"/>
                      <w:kern w:val="0"/>
                      <w:sz w:val="21"/>
                      <w:szCs w:val="21"/>
                      <w:highlight w:val="none"/>
                    </w:rPr>
                  </w:pPr>
                  <w:r>
                    <w:rPr>
                      <w:rFonts w:eastAsia="宋体"/>
                      <w:color w:val="auto"/>
                      <w:kern w:val="0"/>
                      <w:sz w:val="21"/>
                      <w:szCs w:val="21"/>
                      <w:highlight w:val="none"/>
                    </w:rPr>
                    <w:t>10</w:t>
                  </w:r>
                  <w:r>
                    <w:rPr>
                      <w:rFonts w:hint="eastAsia"/>
                      <w:color w:val="auto"/>
                      <w:kern w:val="0"/>
                      <w:sz w:val="21"/>
                      <w:szCs w:val="21"/>
                      <w:highlight w:val="none"/>
                      <w:lang w:val="en-US" w:eastAsia="zh-CN"/>
                    </w:rPr>
                    <w:t>9</w:t>
                  </w:r>
                  <w:r>
                    <w:rPr>
                      <w:rFonts w:eastAsia="宋体"/>
                      <w:color w:val="auto"/>
                      <w:kern w:val="0"/>
                      <w:sz w:val="21"/>
                      <w:szCs w:val="21"/>
                      <w:highlight w:val="none"/>
                    </w:rPr>
                    <w:t>°</w:t>
                  </w:r>
                  <w:r>
                    <w:rPr>
                      <w:rFonts w:hint="eastAsia"/>
                      <w:color w:val="auto"/>
                      <w:kern w:val="0"/>
                      <w:sz w:val="21"/>
                      <w:szCs w:val="21"/>
                      <w:highlight w:val="none"/>
                      <w:lang w:val="en-US" w:eastAsia="zh-CN"/>
                    </w:rPr>
                    <w:t>2</w:t>
                  </w:r>
                  <w:r>
                    <w:rPr>
                      <w:rFonts w:eastAsia="宋体"/>
                      <w:color w:val="auto"/>
                      <w:kern w:val="0"/>
                      <w:sz w:val="21"/>
                      <w:szCs w:val="21"/>
                      <w:highlight w:val="none"/>
                    </w:rPr>
                    <w:t>'</w:t>
                  </w:r>
                  <w:r>
                    <w:rPr>
                      <w:rFonts w:hint="eastAsia"/>
                      <w:color w:val="auto"/>
                      <w:kern w:val="0"/>
                      <w:sz w:val="21"/>
                      <w:szCs w:val="21"/>
                      <w:highlight w:val="none"/>
                      <w:lang w:val="en-US" w:eastAsia="zh-CN"/>
                    </w:rPr>
                    <w:t>45.460</w:t>
                  </w:r>
                  <w:r>
                    <w:rPr>
                      <w:rFonts w:eastAsia="宋体"/>
                      <w:color w:val="auto"/>
                      <w:kern w:val="0"/>
                      <w:sz w:val="21"/>
                      <w:szCs w:val="21"/>
                      <w:highlight w:val="none"/>
                    </w:rPr>
                    <w:t>"</w:t>
                  </w:r>
                </w:p>
              </w:tc>
              <w:tc>
                <w:tcPr>
                  <w:tcW w:w="1290" w:type="dxa"/>
                  <w:vMerge w:val="restart"/>
                  <w:tcBorders>
                    <w:tl2br w:val="nil"/>
                    <w:tr2bl w:val="nil"/>
                  </w:tcBorders>
                  <w:noWrap w:val="0"/>
                  <w:vAlign w:val="center"/>
                </w:tcPr>
                <w:p>
                  <w:pPr>
                    <w:spacing w:line="240" w:lineRule="exact"/>
                    <w:ind w:left="0" w:leftChars="0" w:firstLine="0" w:firstLineChars="0"/>
                    <w:jc w:val="center"/>
                    <w:rPr>
                      <w:rFonts w:eastAsia="宋体"/>
                      <w:color w:val="auto"/>
                      <w:kern w:val="0"/>
                      <w:sz w:val="21"/>
                      <w:szCs w:val="21"/>
                      <w:highlight w:val="none"/>
                    </w:rPr>
                  </w:pPr>
                  <w:r>
                    <w:rPr>
                      <w:rFonts w:hint="eastAsia"/>
                      <w:color w:val="auto"/>
                      <w:kern w:val="0"/>
                      <w:sz w:val="21"/>
                      <w:szCs w:val="21"/>
                      <w:highlight w:val="none"/>
                      <w:lang w:val="en-US" w:eastAsia="zh-CN"/>
                    </w:rPr>
                    <w:t>30</w:t>
                  </w:r>
                  <w:r>
                    <w:rPr>
                      <w:rFonts w:eastAsia="宋体"/>
                      <w:color w:val="auto"/>
                      <w:kern w:val="0"/>
                      <w:sz w:val="21"/>
                      <w:szCs w:val="21"/>
                      <w:highlight w:val="none"/>
                    </w:rPr>
                    <w:t>°</w:t>
                  </w:r>
                  <w:r>
                    <w:rPr>
                      <w:rFonts w:hint="eastAsia" w:eastAsia="宋体"/>
                      <w:color w:val="auto"/>
                      <w:kern w:val="0"/>
                      <w:sz w:val="21"/>
                      <w:szCs w:val="21"/>
                      <w:highlight w:val="none"/>
                      <w:lang w:val="en-US" w:eastAsia="zh-CN"/>
                    </w:rPr>
                    <w:t>4</w:t>
                  </w:r>
                  <w:r>
                    <w:rPr>
                      <w:rFonts w:hint="eastAsia"/>
                      <w:color w:val="auto"/>
                      <w:kern w:val="0"/>
                      <w:sz w:val="21"/>
                      <w:szCs w:val="21"/>
                      <w:highlight w:val="none"/>
                      <w:lang w:val="en-US" w:eastAsia="zh-CN"/>
                    </w:rPr>
                    <w:t>9</w:t>
                  </w:r>
                  <w:r>
                    <w:rPr>
                      <w:rFonts w:eastAsia="宋体"/>
                      <w:color w:val="auto"/>
                      <w:kern w:val="0"/>
                      <w:sz w:val="21"/>
                      <w:szCs w:val="21"/>
                      <w:highlight w:val="none"/>
                    </w:rPr>
                    <w:t>'</w:t>
                  </w:r>
                  <w:r>
                    <w:rPr>
                      <w:rFonts w:hint="eastAsia" w:eastAsia="宋体"/>
                      <w:color w:val="auto"/>
                      <w:kern w:val="0"/>
                      <w:sz w:val="21"/>
                      <w:szCs w:val="21"/>
                      <w:highlight w:val="none"/>
                      <w:lang w:val="en-US" w:eastAsia="zh-CN"/>
                    </w:rPr>
                    <w:t>2</w:t>
                  </w:r>
                  <w:r>
                    <w:rPr>
                      <w:rFonts w:hint="eastAsia"/>
                      <w:color w:val="auto"/>
                      <w:kern w:val="0"/>
                      <w:sz w:val="21"/>
                      <w:szCs w:val="21"/>
                      <w:highlight w:val="none"/>
                      <w:lang w:val="en-US" w:eastAsia="zh-CN"/>
                    </w:rPr>
                    <w:t>3</w:t>
                  </w:r>
                  <w:r>
                    <w:rPr>
                      <w:rFonts w:hint="eastAsia" w:eastAsia="宋体"/>
                      <w:color w:val="auto"/>
                      <w:kern w:val="0"/>
                      <w:sz w:val="21"/>
                      <w:szCs w:val="21"/>
                      <w:highlight w:val="none"/>
                      <w:lang w:val="en-US" w:eastAsia="zh-CN"/>
                    </w:rPr>
                    <w:t>.</w:t>
                  </w:r>
                  <w:r>
                    <w:rPr>
                      <w:rFonts w:hint="eastAsia"/>
                      <w:color w:val="auto"/>
                      <w:kern w:val="0"/>
                      <w:sz w:val="21"/>
                      <w:szCs w:val="21"/>
                      <w:highlight w:val="none"/>
                      <w:lang w:val="en-US" w:eastAsia="zh-CN"/>
                    </w:rPr>
                    <w:t>720</w:t>
                  </w:r>
                  <w:r>
                    <w:rPr>
                      <w:rFonts w:eastAsia="宋体"/>
                      <w:color w:val="auto"/>
                      <w:kern w:val="0"/>
                      <w:sz w:val="21"/>
                      <w:szCs w:val="21"/>
                      <w:highlight w:val="none"/>
                    </w:rPr>
                    <w:t>"</w:t>
                  </w:r>
                </w:p>
              </w:tc>
              <w:tc>
                <w:tcPr>
                  <w:tcW w:w="1365" w:type="dxa"/>
                  <w:vMerge w:val="restart"/>
                  <w:tcBorders>
                    <w:tl2br w:val="nil"/>
                    <w:tr2bl w:val="nil"/>
                  </w:tcBorders>
                  <w:noWrap w:val="0"/>
                  <w:vAlign w:val="center"/>
                </w:tcPr>
                <w:p>
                  <w:pPr>
                    <w:adjustRightInd w:val="0"/>
                    <w:snapToGrid w:val="0"/>
                    <w:spacing w:line="240" w:lineRule="exact"/>
                    <w:ind w:left="0" w:leftChars="0" w:firstLine="0" w:firstLineChars="0"/>
                    <w:jc w:val="center"/>
                    <w:rPr>
                      <w:rFonts w:hint="default" w:eastAsia="宋体"/>
                      <w:color w:val="auto"/>
                      <w:kern w:val="0"/>
                      <w:sz w:val="21"/>
                      <w:szCs w:val="21"/>
                      <w:highlight w:val="none"/>
                      <w:lang w:val="en-US" w:eastAsia="zh-CN"/>
                    </w:rPr>
                  </w:pPr>
                  <w:r>
                    <w:rPr>
                      <w:rFonts w:hint="eastAsia"/>
                      <w:b w:val="0"/>
                      <w:bCs w:val="0"/>
                      <w:color w:val="auto"/>
                      <w:sz w:val="21"/>
                      <w:szCs w:val="21"/>
                      <w:highlight w:val="none"/>
                      <w:lang w:val="en-US" w:eastAsia="zh-CN"/>
                    </w:rPr>
                    <w:t>7518.625</w:t>
                  </w:r>
                </w:p>
              </w:tc>
              <w:tc>
                <w:tcPr>
                  <w:tcW w:w="923" w:type="dxa"/>
                  <w:vMerge w:val="restart"/>
                  <w:tcBorders>
                    <w:tl2br w:val="nil"/>
                    <w:tr2bl w:val="nil"/>
                  </w:tcBorders>
                  <w:noWrap w:val="0"/>
                  <w:vAlign w:val="center"/>
                </w:tcPr>
                <w:p>
                  <w:pPr>
                    <w:adjustRightInd w:val="0"/>
                    <w:snapToGrid w:val="0"/>
                    <w:spacing w:line="240" w:lineRule="exact"/>
                    <w:ind w:left="0" w:leftChars="0" w:firstLine="0" w:firstLineChars="0"/>
                    <w:jc w:val="center"/>
                    <w:rPr>
                      <w:rFonts w:hint="default" w:eastAsia="宋体"/>
                      <w:color w:val="auto"/>
                      <w:kern w:val="0"/>
                      <w:sz w:val="21"/>
                      <w:szCs w:val="21"/>
                      <w:highlight w:val="none"/>
                      <w:lang w:val="en-US"/>
                    </w:rPr>
                  </w:pPr>
                  <w:r>
                    <w:rPr>
                      <w:rFonts w:hint="eastAsia"/>
                      <w:color w:val="auto"/>
                      <w:sz w:val="21"/>
                      <w:szCs w:val="21"/>
                      <w:highlight w:val="none"/>
                      <w:lang w:val="en-US" w:eastAsia="zh-CN"/>
                    </w:rPr>
                    <w:t>羊市镇污水处理厂</w:t>
                  </w:r>
                </w:p>
              </w:tc>
              <w:tc>
                <w:tcPr>
                  <w:tcW w:w="690" w:type="dxa"/>
                  <w:vMerge w:val="restart"/>
                  <w:tcBorders>
                    <w:tl2br w:val="nil"/>
                    <w:tr2bl w:val="nil"/>
                  </w:tcBorders>
                  <w:noWrap w:val="0"/>
                  <w:vAlign w:val="center"/>
                </w:tcPr>
                <w:p>
                  <w:pPr>
                    <w:adjustRightInd w:val="0"/>
                    <w:snapToGrid w:val="0"/>
                    <w:spacing w:line="240" w:lineRule="exact"/>
                    <w:ind w:left="0" w:leftChars="0" w:firstLine="0" w:firstLineChars="0"/>
                    <w:jc w:val="center"/>
                    <w:rPr>
                      <w:rFonts w:eastAsia="宋体"/>
                      <w:color w:val="auto"/>
                      <w:kern w:val="0"/>
                      <w:sz w:val="21"/>
                      <w:szCs w:val="21"/>
                      <w:highlight w:val="none"/>
                    </w:rPr>
                  </w:pPr>
                  <w:r>
                    <w:rPr>
                      <w:rFonts w:hint="eastAsia"/>
                      <w:color w:val="auto"/>
                      <w:kern w:val="0"/>
                      <w:sz w:val="21"/>
                      <w:szCs w:val="21"/>
                      <w:highlight w:val="none"/>
                      <w:lang w:val="en-US" w:eastAsia="zh-CN"/>
                    </w:rPr>
                    <w:t>连续</w:t>
                  </w:r>
                  <w:r>
                    <w:rPr>
                      <w:rFonts w:eastAsia="宋体"/>
                      <w:color w:val="auto"/>
                      <w:kern w:val="0"/>
                      <w:sz w:val="21"/>
                      <w:szCs w:val="21"/>
                      <w:highlight w:val="none"/>
                    </w:rPr>
                    <w:t>排放</w:t>
                  </w:r>
                </w:p>
              </w:tc>
              <w:tc>
                <w:tcPr>
                  <w:tcW w:w="667" w:type="dxa"/>
                  <w:vMerge w:val="restart"/>
                  <w:tcBorders>
                    <w:tl2br w:val="nil"/>
                    <w:tr2bl w:val="nil"/>
                  </w:tcBorders>
                  <w:noWrap w:val="0"/>
                  <w:vAlign w:val="center"/>
                </w:tcPr>
                <w:p>
                  <w:pPr>
                    <w:adjustRightInd w:val="0"/>
                    <w:snapToGrid w:val="0"/>
                    <w:spacing w:line="240" w:lineRule="exact"/>
                    <w:ind w:left="0" w:leftChars="0" w:firstLine="210" w:firstLineChars="100"/>
                    <w:jc w:val="both"/>
                    <w:rPr>
                      <w:rFonts w:hint="eastAsia" w:eastAsia="宋体"/>
                      <w:color w:val="auto"/>
                      <w:kern w:val="0"/>
                      <w:sz w:val="21"/>
                      <w:szCs w:val="21"/>
                      <w:highlight w:val="none"/>
                      <w:lang w:eastAsia="zh-CN"/>
                    </w:rPr>
                  </w:pPr>
                  <w:r>
                    <w:rPr>
                      <w:rFonts w:hint="eastAsia" w:eastAsia="宋体"/>
                      <w:color w:val="auto"/>
                      <w:kern w:val="0"/>
                      <w:sz w:val="21"/>
                      <w:szCs w:val="21"/>
                      <w:highlight w:val="none"/>
                      <w:lang w:val="en-US" w:eastAsia="zh-CN"/>
                    </w:rPr>
                    <w:t>/</w:t>
                  </w:r>
                </w:p>
              </w:tc>
              <w:tc>
                <w:tcPr>
                  <w:tcW w:w="798" w:type="dxa"/>
                  <w:vMerge w:val="restart"/>
                  <w:tcBorders>
                    <w:tl2br w:val="nil"/>
                    <w:tr2bl w:val="nil"/>
                  </w:tcBorders>
                  <w:noWrap w:val="0"/>
                  <w:vAlign w:val="center"/>
                </w:tcPr>
                <w:p>
                  <w:pPr>
                    <w:adjustRightInd w:val="0"/>
                    <w:snapToGrid w:val="0"/>
                    <w:spacing w:line="240" w:lineRule="exact"/>
                    <w:ind w:left="0" w:leftChars="0" w:firstLine="0" w:firstLineChars="0"/>
                    <w:jc w:val="center"/>
                    <w:rPr>
                      <w:rFonts w:eastAsia="宋体"/>
                      <w:color w:val="auto"/>
                      <w:kern w:val="0"/>
                      <w:sz w:val="21"/>
                      <w:szCs w:val="21"/>
                      <w:highlight w:val="none"/>
                    </w:rPr>
                  </w:pPr>
                  <w:r>
                    <w:rPr>
                      <w:rFonts w:hint="eastAsia"/>
                      <w:color w:val="auto"/>
                      <w:sz w:val="21"/>
                      <w:szCs w:val="21"/>
                      <w:highlight w:val="none"/>
                      <w:lang w:val="en-US" w:eastAsia="zh-CN"/>
                    </w:rPr>
                    <w:t>羊市镇污水处理厂</w:t>
                  </w:r>
                </w:p>
              </w:tc>
              <w:tc>
                <w:tcPr>
                  <w:tcW w:w="1327" w:type="dxa"/>
                  <w:tcBorders>
                    <w:tl2br w:val="nil"/>
                    <w:tr2bl w:val="nil"/>
                  </w:tcBorders>
                  <w:noWrap w:val="0"/>
                  <w:vAlign w:val="center"/>
                </w:tcPr>
                <w:p>
                  <w:pPr>
                    <w:adjustRightInd w:val="0"/>
                    <w:snapToGrid w:val="0"/>
                    <w:spacing w:line="240" w:lineRule="exact"/>
                    <w:ind w:left="0" w:leftChars="0"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pH</w:t>
                  </w:r>
                </w:p>
              </w:tc>
              <w:tc>
                <w:tcPr>
                  <w:tcW w:w="1890" w:type="dxa"/>
                  <w:tcBorders>
                    <w:tl2br w:val="nil"/>
                    <w:tr2bl w:val="nil"/>
                  </w:tcBorders>
                  <w:noWrap w:val="0"/>
                  <w:vAlign w:val="center"/>
                </w:tcPr>
                <w:p>
                  <w:pPr>
                    <w:adjustRightInd w:val="0"/>
                    <w:snapToGrid w:val="0"/>
                    <w:spacing w:line="240" w:lineRule="exact"/>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6-9（无量纲）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945"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839"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192" w:type="dxa"/>
                  <w:vMerge w:val="continue"/>
                  <w:tcBorders>
                    <w:tl2br w:val="nil"/>
                    <w:tr2bl w:val="nil"/>
                  </w:tcBorders>
                  <w:noWrap w:val="0"/>
                  <w:vAlign w:val="center"/>
                </w:tcPr>
                <w:p>
                  <w:pPr>
                    <w:spacing w:line="240" w:lineRule="exact"/>
                    <w:jc w:val="center"/>
                    <w:rPr>
                      <w:rFonts w:eastAsia="宋体"/>
                      <w:color w:val="auto"/>
                      <w:kern w:val="0"/>
                      <w:sz w:val="21"/>
                      <w:szCs w:val="21"/>
                      <w:highlight w:val="none"/>
                    </w:rPr>
                  </w:pPr>
                </w:p>
              </w:tc>
              <w:tc>
                <w:tcPr>
                  <w:tcW w:w="1290" w:type="dxa"/>
                  <w:vMerge w:val="continue"/>
                  <w:tcBorders>
                    <w:tl2br w:val="nil"/>
                    <w:tr2bl w:val="nil"/>
                  </w:tcBorders>
                  <w:noWrap w:val="0"/>
                  <w:vAlign w:val="center"/>
                </w:tcPr>
                <w:p>
                  <w:pPr>
                    <w:spacing w:line="240" w:lineRule="exact"/>
                    <w:jc w:val="center"/>
                    <w:rPr>
                      <w:rFonts w:eastAsia="宋体"/>
                      <w:color w:val="auto"/>
                      <w:kern w:val="0"/>
                      <w:sz w:val="21"/>
                      <w:szCs w:val="21"/>
                      <w:highlight w:val="none"/>
                    </w:rPr>
                  </w:pPr>
                </w:p>
              </w:tc>
              <w:tc>
                <w:tcPr>
                  <w:tcW w:w="1365"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923"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690"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667"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798"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327" w:type="dxa"/>
                  <w:tcBorders>
                    <w:tl2br w:val="nil"/>
                    <w:tr2bl w:val="nil"/>
                  </w:tcBorders>
                  <w:noWrap w:val="0"/>
                  <w:vAlign w:val="center"/>
                </w:tcPr>
                <w:p>
                  <w:pPr>
                    <w:adjustRightInd w:val="0"/>
                    <w:snapToGrid w:val="0"/>
                    <w:spacing w:line="240" w:lineRule="exact"/>
                    <w:ind w:left="0" w:leftChars="0" w:firstLine="0" w:firstLineChars="0"/>
                    <w:jc w:val="center"/>
                    <w:rPr>
                      <w:rFonts w:ascii="Times New Roman" w:hAnsi="Times New Roman" w:eastAsia="宋体" w:cs="Times New Roman"/>
                      <w:color w:val="auto"/>
                      <w:kern w:val="0"/>
                      <w:sz w:val="21"/>
                      <w:szCs w:val="21"/>
                      <w:highlight w:val="none"/>
                      <w:lang w:val="en-US" w:eastAsia="zh-CN" w:bidi="ar-SA"/>
                    </w:rPr>
                  </w:pPr>
                  <w:r>
                    <w:rPr>
                      <w:rFonts w:eastAsia="宋体"/>
                      <w:color w:val="auto"/>
                      <w:kern w:val="0"/>
                      <w:sz w:val="21"/>
                      <w:szCs w:val="21"/>
                      <w:highlight w:val="none"/>
                    </w:rPr>
                    <w:t>COD</w:t>
                  </w:r>
                </w:p>
              </w:tc>
              <w:tc>
                <w:tcPr>
                  <w:tcW w:w="1890" w:type="dxa"/>
                  <w:tcBorders>
                    <w:tl2br w:val="nil"/>
                    <w:tr2bl w:val="nil"/>
                  </w:tcBorders>
                  <w:noWrap w:val="0"/>
                  <w:vAlign w:val="center"/>
                </w:tcPr>
                <w:p>
                  <w:pPr>
                    <w:adjustRightInd w:val="0"/>
                    <w:snapToGrid w:val="0"/>
                    <w:spacing w:line="240" w:lineRule="exact"/>
                    <w:ind w:firstLine="420" w:firstLineChars="20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6</w:t>
                  </w:r>
                  <w:r>
                    <w:rPr>
                      <w:rFonts w:eastAsia="宋体"/>
                      <w:color w:val="auto"/>
                      <w:kern w:val="0"/>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945"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839"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192"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290"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365"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923"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690"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667"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798"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327" w:type="dxa"/>
                  <w:tcBorders>
                    <w:tl2br w:val="nil"/>
                    <w:tr2bl w:val="nil"/>
                  </w:tcBorders>
                  <w:noWrap w:val="0"/>
                  <w:vAlign w:val="center"/>
                </w:tcPr>
                <w:p>
                  <w:pPr>
                    <w:adjustRightInd w:val="0"/>
                    <w:snapToGrid w:val="0"/>
                    <w:spacing w:line="240" w:lineRule="exact"/>
                    <w:ind w:left="0" w:leftChars="0" w:firstLine="0" w:firstLineChars="0"/>
                    <w:jc w:val="center"/>
                    <w:rPr>
                      <w:rFonts w:ascii="Times New Roman" w:hAnsi="Times New Roman" w:eastAsia="宋体" w:cs="Times New Roman"/>
                      <w:color w:val="auto"/>
                      <w:kern w:val="0"/>
                      <w:sz w:val="21"/>
                      <w:szCs w:val="21"/>
                      <w:highlight w:val="none"/>
                      <w:lang w:val="en-US" w:eastAsia="zh-CN" w:bidi="ar-SA"/>
                    </w:rPr>
                  </w:pPr>
                  <w:r>
                    <w:rPr>
                      <w:rFonts w:eastAsia="宋体"/>
                      <w:color w:val="auto"/>
                      <w:kern w:val="0"/>
                      <w:sz w:val="21"/>
                      <w:szCs w:val="21"/>
                      <w:highlight w:val="none"/>
                    </w:rPr>
                    <w:t>BOD</w:t>
                  </w:r>
                  <w:r>
                    <w:rPr>
                      <w:rFonts w:eastAsia="宋体"/>
                      <w:color w:val="auto"/>
                      <w:kern w:val="0"/>
                      <w:sz w:val="21"/>
                      <w:szCs w:val="21"/>
                      <w:highlight w:val="none"/>
                      <w:vertAlign w:val="subscript"/>
                    </w:rPr>
                    <w:t>5</w:t>
                  </w:r>
                </w:p>
              </w:tc>
              <w:tc>
                <w:tcPr>
                  <w:tcW w:w="1890" w:type="dxa"/>
                  <w:tcBorders>
                    <w:tl2br w:val="nil"/>
                    <w:tr2bl w:val="nil"/>
                  </w:tcBorders>
                  <w:noWrap w:val="0"/>
                  <w:vAlign w:val="center"/>
                </w:tcPr>
                <w:p>
                  <w:pPr>
                    <w:adjustRightInd w:val="0"/>
                    <w:snapToGrid w:val="0"/>
                    <w:spacing w:line="240" w:lineRule="exact"/>
                    <w:ind w:firstLine="420" w:firstLineChars="20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2</w:t>
                  </w:r>
                  <w:r>
                    <w:rPr>
                      <w:rFonts w:eastAsia="宋体"/>
                      <w:color w:val="auto"/>
                      <w:kern w:val="0"/>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945"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839"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192"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290"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365"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923"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690"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667"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798"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327" w:type="dxa"/>
                  <w:tcBorders>
                    <w:tl2br w:val="nil"/>
                    <w:tr2bl w:val="nil"/>
                  </w:tcBorders>
                  <w:noWrap w:val="0"/>
                  <w:vAlign w:val="center"/>
                </w:tcPr>
                <w:p>
                  <w:pPr>
                    <w:adjustRightInd w:val="0"/>
                    <w:snapToGrid w:val="0"/>
                    <w:spacing w:line="240" w:lineRule="exact"/>
                    <w:ind w:left="0" w:leftChars="0" w:firstLine="0" w:firstLineChars="0"/>
                    <w:jc w:val="center"/>
                    <w:rPr>
                      <w:rFonts w:ascii="Times New Roman" w:hAnsi="Times New Roman" w:eastAsia="宋体" w:cs="Times New Roman"/>
                      <w:color w:val="auto"/>
                      <w:kern w:val="0"/>
                      <w:sz w:val="21"/>
                      <w:szCs w:val="21"/>
                      <w:highlight w:val="none"/>
                      <w:lang w:val="en-US" w:eastAsia="zh-CN" w:bidi="ar-SA"/>
                    </w:rPr>
                  </w:pPr>
                  <w:r>
                    <w:rPr>
                      <w:rFonts w:eastAsia="宋体"/>
                      <w:color w:val="auto"/>
                      <w:kern w:val="0"/>
                      <w:sz w:val="21"/>
                      <w:szCs w:val="21"/>
                      <w:highlight w:val="none"/>
                    </w:rPr>
                    <w:t>SS</w:t>
                  </w:r>
                </w:p>
              </w:tc>
              <w:tc>
                <w:tcPr>
                  <w:tcW w:w="1890" w:type="dxa"/>
                  <w:tcBorders>
                    <w:tl2br w:val="nil"/>
                    <w:tr2bl w:val="nil"/>
                  </w:tcBorders>
                  <w:noWrap w:val="0"/>
                  <w:vAlign w:val="center"/>
                </w:tcPr>
                <w:p>
                  <w:pPr>
                    <w:adjustRightInd w:val="0"/>
                    <w:snapToGrid w:val="0"/>
                    <w:spacing w:line="240" w:lineRule="exact"/>
                    <w:ind w:firstLine="420" w:firstLineChars="20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2</w:t>
                  </w:r>
                  <w:r>
                    <w:rPr>
                      <w:rFonts w:eastAsia="宋体"/>
                      <w:color w:val="auto"/>
                      <w:kern w:val="0"/>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945"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839"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192"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290"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365"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923"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690"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667"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798"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327" w:type="dxa"/>
                  <w:tcBorders>
                    <w:tl2br w:val="nil"/>
                    <w:tr2bl w:val="nil"/>
                  </w:tcBorders>
                  <w:noWrap w:val="0"/>
                  <w:vAlign w:val="center"/>
                </w:tcPr>
                <w:p>
                  <w:pPr>
                    <w:adjustRightInd w:val="0"/>
                    <w:snapToGrid w:val="0"/>
                    <w:spacing w:line="240" w:lineRule="exact"/>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eastAsia="宋体"/>
                      <w:color w:val="auto"/>
                      <w:kern w:val="0"/>
                      <w:sz w:val="21"/>
                      <w:szCs w:val="21"/>
                      <w:highlight w:val="none"/>
                    </w:rPr>
                    <w:t>氨氮</w:t>
                  </w:r>
                </w:p>
              </w:tc>
              <w:tc>
                <w:tcPr>
                  <w:tcW w:w="1890" w:type="dxa"/>
                  <w:tcBorders>
                    <w:tl2br w:val="nil"/>
                    <w:tr2bl w:val="nil"/>
                  </w:tcBorders>
                  <w:noWrap w:val="0"/>
                  <w:vAlign w:val="center"/>
                </w:tcPr>
                <w:p>
                  <w:pPr>
                    <w:adjustRightInd w:val="0"/>
                    <w:snapToGrid w:val="0"/>
                    <w:spacing w:line="240" w:lineRule="exact"/>
                    <w:ind w:firstLine="420" w:firstLineChars="20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945"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839"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192"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290"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365"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923"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690"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667"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798"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327" w:type="dxa"/>
                  <w:tcBorders>
                    <w:tl2br w:val="nil"/>
                    <w:tr2bl w:val="nil"/>
                  </w:tcBorders>
                  <w:noWrap w:val="0"/>
                  <w:vAlign w:val="center"/>
                </w:tcPr>
                <w:p>
                  <w:pPr>
                    <w:adjustRightInd w:val="0"/>
                    <w:snapToGrid w:val="0"/>
                    <w:spacing w:line="240" w:lineRule="exact"/>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粪大肠菌群（MPN/L）</w:t>
                  </w:r>
                </w:p>
              </w:tc>
              <w:tc>
                <w:tcPr>
                  <w:tcW w:w="1890" w:type="dxa"/>
                  <w:tcBorders>
                    <w:tl2br w:val="nil"/>
                    <w:tr2bl w:val="nil"/>
                  </w:tcBorders>
                  <w:noWrap w:val="0"/>
                  <w:vAlign w:val="center"/>
                </w:tcPr>
                <w:p>
                  <w:pPr>
                    <w:adjustRightInd w:val="0"/>
                    <w:snapToGrid w:val="0"/>
                    <w:spacing w:line="240" w:lineRule="exact"/>
                    <w:ind w:firstLine="420" w:firstLineChars="20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945"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839"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192"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290"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365"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923"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690"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667"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798"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327" w:type="dxa"/>
                  <w:tcBorders>
                    <w:tl2br w:val="nil"/>
                    <w:tr2bl w:val="nil"/>
                  </w:tcBorders>
                  <w:noWrap w:val="0"/>
                  <w:vAlign w:val="center"/>
                </w:tcPr>
                <w:p>
                  <w:pPr>
                    <w:adjustRightInd w:val="0"/>
                    <w:snapToGrid w:val="0"/>
                    <w:spacing w:line="240" w:lineRule="exact"/>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eastAsia="宋体"/>
                      <w:color w:val="auto"/>
                      <w:kern w:val="0"/>
                      <w:sz w:val="21"/>
                      <w:szCs w:val="21"/>
                      <w:highlight w:val="none"/>
                      <w:lang w:val="en-US" w:eastAsia="zh-CN"/>
                    </w:rPr>
                    <w:t>LAS</w:t>
                  </w:r>
                </w:p>
              </w:tc>
              <w:tc>
                <w:tcPr>
                  <w:tcW w:w="1890" w:type="dxa"/>
                  <w:tcBorders>
                    <w:tl2br w:val="nil"/>
                    <w:tr2bl w:val="nil"/>
                  </w:tcBorders>
                  <w:noWrap w:val="0"/>
                  <w:vAlign w:val="center"/>
                </w:tcPr>
                <w:p>
                  <w:pPr>
                    <w:adjustRightInd w:val="0"/>
                    <w:snapToGrid w:val="0"/>
                    <w:spacing w:line="240" w:lineRule="exact"/>
                    <w:ind w:firstLine="420" w:firstLineChars="20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945"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839"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192"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290"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365"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923"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690"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667"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798" w:type="dxa"/>
                  <w:vMerge w:val="continue"/>
                  <w:tcBorders>
                    <w:tl2br w:val="nil"/>
                    <w:tr2bl w:val="nil"/>
                  </w:tcBorders>
                  <w:noWrap w:val="0"/>
                  <w:vAlign w:val="center"/>
                </w:tcPr>
                <w:p>
                  <w:pPr>
                    <w:adjustRightInd w:val="0"/>
                    <w:snapToGrid w:val="0"/>
                    <w:spacing w:line="240" w:lineRule="exact"/>
                    <w:jc w:val="center"/>
                    <w:rPr>
                      <w:rFonts w:eastAsia="宋体"/>
                      <w:color w:val="auto"/>
                      <w:kern w:val="0"/>
                      <w:sz w:val="21"/>
                      <w:szCs w:val="21"/>
                      <w:highlight w:val="none"/>
                    </w:rPr>
                  </w:pPr>
                </w:p>
              </w:tc>
              <w:tc>
                <w:tcPr>
                  <w:tcW w:w="1327" w:type="dxa"/>
                  <w:tcBorders>
                    <w:tl2br w:val="nil"/>
                    <w:tr2bl w:val="nil"/>
                  </w:tcBorders>
                  <w:noWrap w:val="0"/>
                  <w:vAlign w:val="center"/>
                </w:tcPr>
                <w:p>
                  <w:pPr>
                    <w:adjustRightInd w:val="0"/>
                    <w:snapToGrid w:val="0"/>
                    <w:spacing w:line="240" w:lineRule="exact"/>
                    <w:ind w:left="0" w:leftChars="0"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总余氯</w:t>
                  </w:r>
                </w:p>
              </w:tc>
              <w:tc>
                <w:tcPr>
                  <w:tcW w:w="1890" w:type="dxa"/>
                  <w:tcBorders>
                    <w:tl2br w:val="nil"/>
                    <w:tr2bl w:val="nil"/>
                  </w:tcBorders>
                  <w:noWrap w:val="0"/>
                  <w:vAlign w:val="center"/>
                </w:tcPr>
                <w:p>
                  <w:pPr>
                    <w:adjustRightInd w:val="0"/>
                    <w:snapToGrid w:val="0"/>
                    <w:spacing w:line="240" w:lineRule="exact"/>
                    <w:ind w:firstLine="420" w:firstLineChars="20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center"/>
              <w:textAlignment w:val="auto"/>
              <w:rPr>
                <w:rFonts w:hint="default" w:ascii="Times New Roman" w:hAnsi="Times New Roman" w:eastAsia="宋体" w:cs="Times New Roman"/>
                <w:b/>
                <w:bCs w:val="0"/>
                <w:color w:val="auto"/>
                <w:kern w:val="0"/>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center"/>
              <w:textAlignment w:val="auto"/>
              <w:rPr>
                <w:rFonts w:hint="default" w:ascii="Times New Roman" w:hAnsi="Times New Roman" w:eastAsia="宋体" w:cs="Times New Roman"/>
                <w:b/>
                <w:bCs w:val="0"/>
                <w:color w:val="auto"/>
                <w:kern w:val="0"/>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center"/>
              <w:textAlignment w:val="auto"/>
              <w:rPr>
                <w:rFonts w:hint="eastAsia" w:ascii="宋体" w:hAnsi="宋体" w:eastAsia="宋体" w:cs="宋体"/>
                <w:b/>
                <w:bCs w:val="0"/>
                <w:color w:val="auto"/>
                <w:kern w:val="0"/>
                <w:sz w:val="24"/>
                <w:szCs w:val="24"/>
                <w:highlight w:val="none"/>
                <w:lang w:val="en-US" w:eastAsia="zh-CN"/>
              </w:rPr>
            </w:pPr>
            <w:r>
              <w:rPr>
                <w:rFonts w:hint="eastAsia" w:ascii="宋体" w:hAnsi="宋体" w:eastAsia="宋体" w:cs="宋体"/>
                <w:b/>
                <w:bCs w:val="0"/>
                <w:color w:val="auto"/>
                <w:kern w:val="0"/>
                <w:sz w:val="24"/>
                <w:szCs w:val="24"/>
                <w:highlight w:val="none"/>
                <w:lang w:val="en-US" w:eastAsia="zh-CN"/>
              </w:rPr>
              <w:t>表4.14    废水污染物排放执行标准</w:t>
            </w:r>
          </w:p>
          <w:tbl>
            <w:tblPr>
              <w:tblStyle w:val="29"/>
              <w:tblW w:w="119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1655"/>
              <w:gridCol w:w="2116"/>
              <w:gridCol w:w="3745"/>
              <w:gridCol w:w="3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1281" w:type="dxa"/>
                  <w:vMerge w:val="restart"/>
                  <w:tcBorders>
                    <w:tl2br w:val="nil"/>
                    <w:tr2bl w:val="nil"/>
                  </w:tcBorders>
                  <w:noWrap w:val="0"/>
                  <w:vAlign w:val="center"/>
                </w:tcPr>
                <w:p>
                  <w:pPr>
                    <w:pStyle w:val="62"/>
                    <w:spacing w:line="300" w:lineRule="exact"/>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序号</w:t>
                  </w:r>
                </w:p>
              </w:tc>
              <w:tc>
                <w:tcPr>
                  <w:tcW w:w="1655" w:type="dxa"/>
                  <w:vMerge w:val="restart"/>
                  <w:tcBorders>
                    <w:tl2br w:val="nil"/>
                    <w:tr2bl w:val="nil"/>
                  </w:tcBorders>
                  <w:noWrap w:val="0"/>
                  <w:vAlign w:val="center"/>
                </w:tcPr>
                <w:p>
                  <w:pPr>
                    <w:pStyle w:val="62"/>
                    <w:spacing w:line="300" w:lineRule="exact"/>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排放口编号</w:t>
                  </w:r>
                </w:p>
              </w:tc>
              <w:tc>
                <w:tcPr>
                  <w:tcW w:w="2116" w:type="dxa"/>
                  <w:vMerge w:val="restart"/>
                  <w:tcBorders>
                    <w:tl2br w:val="nil"/>
                    <w:tr2bl w:val="nil"/>
                  </w:tcBorders>
                  <w:noWrap w:val="0"/>
                  <w:vAlign w:val="center"/>
                </w:tcPr>
                <w:p>
                  <w:pPr>
                    <w:pStyle w:val="62"/>
                    <w:spacing w:line="300" w:lineRule="exact"/>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污染物种类</w:t>
                  </w:r>
                </w:p>
              </w:tc>
              <w:tc>
                <w:tcPr>
                  <w:tcW w:w="6876" w:type="dxa"/>
                  <w:gridSpan w:val="2"/>
                  <w:tcBorders>
                    <w:tl2br w:val="nil"/>
                    <w:tr2bl w:val="nil"/>
                  </w:tcBorders>
                  <w:noWrap w:val="0"/>
                  <w:vAlign w:val="center"/>
                </w:tcPr>
                <w:p>
                  <w:pPr>
                    <w:keepNext w:val="0"/>
                    <w:keepLines w:val="0"/>
                    <w:widowControl/>
                    <w:suppressLineNumbers w:val="0"/>
                    <w:ind w:left="0" w:leftChars="0" w:firstLine="0" w:firstLineChars="0"/>
                    <w:jc w:val="left"/>
                    <w:rPr>
                      <w:rFonts w:hint="default" w:ascii="Times New Roman" w:hAnsi="Times New Roman" w:cs="Times New Roman"/>
                      <w:color w:val="auto"/>
                      <w:sz w:val="21"/>
                      <w:szCs w:val="21"/>
                      <w:highlight w:val="none"/>
                      <w:lang w:val="en-US" w:eastAsia="zh-CN"/>
                    </w:rPr>
                  </w:pPr>
                  <w:r>
                    <w:rPr>
                      <w:rFonts w:hint="eastAsia" w:ascii="宋体" w:hAnsi="宋体" w:eastAsia="宋体" w:cs="宋体"/>
                      <w:color w:val="auto"/>
                      <w:kern w:val="0"/>
                      <w:sz w:val="20"/>
                      <w:szCs w:val="20"/>
                      <w:highlight w:val="none"/>
                      <w:lang w:val="en-US" w:eastAsia="zh-CN" w:bidi="ar"/>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1281" w:type="dxa"/>
                  <w:vMerge w:val="continue"/>
                  <w:tcBorders>
                    <w:tl2br w:val="nil"/>
                    <w:tr2bl w:val="nil"/>
                  </w:tcBorders>
                  <w:noWrap w:val="0"/>
                  <w:vAlign w:val="center"/>
                </w:tcPr>
                <w:p>
                  <w:pPr>
                    <w:pStyle w:val="62"/>
                    <w:spacing w:line="300" w:lineRule="exact"/>
                    <w:rPr>
                      <w:color w:val="auto"/>
                      <w:highlight w:val="none"/>
                    </w:rPr>
                  </w:pPr>
                </w:p>
              </w:tc>
              <w:tc>
                <w:tcPr>
                  <w:tcW w:w="1655" w:type="dxa"/>
                  <w:vMerge w:val="continue"/>
                  <w:tcBorders>
                    <w:tl2br w:val="nil"/>
                    <w:tr2bl w:val="nil"/>
                  </w:tcBorders>
                  <w:noWrap w:val="0"/>
                  <w:vAlign w:val="center"/>
                </w:tcPr>
                <w:p>
                  <w:pPr>
                    <w:pStyle w:val="62"/>
                    <w:spacing w:line="300" w:lineRule="exact"/>
                    <w:rPr>
                      <w:color w:val="auto"/>
                      <w:highlight w:val="none"/>
                    </w:rPr>
                  </w:pPr>
                </w:p>
              </w:tc>
              <w:tc>
                <w:tcPr>
                  <w:tcW w:w="2116" w:type="dxa"/>
                  <w:vMerge w:val="continue"/>
                  <w:tcBorders>
                    <w:tl2br w:val="nil"/>
                    <w:tr2bl w:val="nil"/>
                  </w:tcBorders>
                  <w:noWrap w:val="0"/>
                  <w:vAlign w:val="center"/>
                </w:tcPr>
                <w:p>
                  <w:pPr>
                    <w:pStyle w:val="62"/>
                    <w:spacing w:line="300" w:lineRule="exact"/>
                    <w:rPr>
                      <w:color w:val="auto"/>
                      <w:highlight w:val="none"/>
                    </w:rPr>
                  </w:pPr>
                </w:p>
              </w:tc>
              <w:tc>
                <w:tcPr>
                  <w:tcW w:w="3745" w:type="dxa"/>
                  <w:tcBorders>
                    <w:tl2br w:val="nil"/>
                    <w:tr2bl w:val="nil"/>
                  </w:tcBorders>
                  <w:noWrap w:val="0"/>
                  <w:vAlign w:val="center"/>
                </w:tcPr>
                <w:p>
                  <w:pPr>
                    <w:pStyle w:val="62"/>
                    <w:spacing w:line="300" w:lineRule="exact"/>
                    <w:rPr>
                      <w:rFonts w:hint="eastAsia" w:eastAsia="宋体"/>
                      <w:color w:val="auto"/>
                      <w:highlight w:val="none"/>
                      <w:lang w:val="en-US" w:eastAsia="zh-CN"/>
                    </w:rPr>
                  </w:pPr>
                  <w:r>
                    <w:rPr>
                      <w:rFonts w:hint="eastAsia" w:ascii="Times New Roman" w:hAnsi="Times New Roman" w:cs="Times New Roman"/>
                      <w:color w:val="auto"/>
                      <w:sz w:val="21"/>
                      <w:szCs w:val="21"/>
                      <w:highlight w:val="none"/>
                      <w:lang w:val="en-US" w:eastAsia="zh-CN"/>
                    </w:rPr>
                    <w:t>名称</w:t>
                  </w:r>
                </w:p>
              </w:tc>
              <w:tc>
                <w:tcPr>
                  <w:tcW w:w="3131" w:type="dxa"/>
                  <w:tcBorders>
                    <w:tl2br w:val="nil"/>
                    <w:tr2bl w:val="nil"/>
                  </w:tcBorders>
                  <w:noWrap w:val="0"/>
                  <w:vAlign w:val="center"/>
                </w:tcPr>
                <w:p>
                  <w:pPr>
                    <w:pStyle w:val="62"/>
                    <w:spacing w:line="300" w:lineRule="exac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浓度</w:t>
                  </w:r>
                  <w:r>
                    <w:rPr>
                      <w:rFonts w:hint="eastAsia" w:ascii="Times New Roman" w:cs="Times New Roman"/>
                      <w:color w:val="auto"/>
                      <w:sz w:val="21"/>
                      <w:szCs w:val="21"/>
                      <w:highlight w:val="none"/>
                      <w:lang w:val="en-US" w:eastAsia="zh-CN"/>
                    </w:rPr>
                    <w:t>限值/</w:t>
                  </w:r>
                  <w:r>
                    <w:rPr>
                      <w:rFonts w:hint="default" w:ascii="Times New Roman" w:hAnsi="Times New Roman" w:cs="Times New Roman"/>
                      <w:color w:val="auto"/>
                      <w:sz w:val="21"/>
                      <w:szCs w:val="21"/>
                      <w:highlight w:val="no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1281" w:type="dxa"/>
                  <w:tcBorders>
                    <w:tl2br w:val="nil"/>
                    <w:tr2bl w:val="nil"/>
                  </w:tcBorders>
                  <w:noWrap w:val="0"/>
                  <w:vAlign w:val="center"/>
                </w:tcPr>
                <w:p>
                  <w:pPr>
                    <w:pStyle w:val="62"/>
                    <w:spacing w:line="300" w:lineRule="exact"/>
                    <w:jc w:val="both"/>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w:t>
                  </w:r>
                </w:p>
              </w:tc>
              <w:tc>
                <w:tcPr>
                  <w:tcW w:w="1655" w:type="dxa"/>
                  <w:vMerge w:val="restart"/>
                  <w:tcBorders>
                    <w:tl2br w:val="nil"/>
                    <w:tr2bl w:val="nil"/>
                  </w:tcBorders>
                  <w:noWrap w:val="0"/>
                  <w:vAlign w:val="center"/>
                </w:tcPr>
                <w:p>
                  <w:pPr>
                    <w:pStyle w:val="62"/>
                    <w:spacing w:line="300" w:lineRule="exact"/>
                    <w:ind w:left="0" w:leftChars="0" w:firstLine="180" w:firstLineChars="10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kern w:val="0"/>
                      <w:sz w:val="18"/>
                      <w:szCs w:val="18"/>
                      <w:highlight w:val="none"/>
                      <w:lang w:val="en-US" w:eastAsia="zh-CN" w:bidi="ar-SA"/>
                    </w:rPr>
                    <w:t>DW001</w:t>
                  </w:r>
                </w:p>
              </w:tc>
              <w:tc>
                <w:tcPr>
                  <w:tcW w:w="2116" w:type="dxa"/>
                  <w:tcBorders>
                    <w:tl2br w:val="nil"/>
                    <w:tr2bl w:val="nil"/>
                  </w:tcBorders>
                  <w:noWrap w:val="0"/>
                  <w:vAlign w:val="center"/>
                </w:tcPr>
                <w:p>
                  <w:pPr>
                    <w:adjustRightInd w:val="0"/>
                    <w:snapToGrid w:val="0"/>
                    <w:spacing w:line="240" w:lineRule="exact"/>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color w:val="auto"/>
                      <w:kern w:val="0"/>
                      <w:sz w:val="21"/>
                      <w:szCs w:val="21"/>
                      <w:highlight w:val="none"/>
                      <w:lang w:val="en-US" w:eastAsia="zh-CN"/>
                    </w:rPr>
                    <w:t>pH</w:t>
                  </w:r>
                </w:p>
              </w:tc>
              <w:tc>
                <w:tcPr>
                  <w:tcW w:w="374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eastAsia="宋体"/>
                      <w:color w:val="auto"/>
                      <w:kern w:val="0"/>
                      <w:sz w:val="21"/>
                      <w:szCs w:val="21"/>
                      <w:highlight w:val="none"/>
                    </w:rPr>
                  </w:pPr>
                  <w:r>
                    <w:rPr>
                      <w:rFonts w:hint="eastAsia" w:eastAsia="宋体"/>
                      <w:color w:val="auto"/>
                      <w:kern w:val="0"/>
                      <w:sz w:val="21"/>
                      <w:szCs w:val="21"/>
                      <w:highlight w:val="none"/>
                      <w:lang w:val="en-US" w:eastAsia="zh-CN"/>
                    </w:rPr>
                    <w:t xml:space="preserve">《医疗机构水污染物排放标准》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eastAsia="宋体"/>
                      <w:color w:val="auto"/>
                      <w:kern w:val="0"/>
                      <w:sz w:val="21"/>
                      <w:szCs w:val="21"/>
                      <w:highlight w:val="none"/>
                    </w:rPr>
                  </w:pPr>
                  <w:r>
                    <w:rPr>
                      <w:rFonts w:hint="eastAsia" w:eastAsia="宋体"/>
                      <w:color w:val="auto"/>
                      <w:kern w:val="0"/>
                      <w:sz w:val="21"/>
                      <w:szCs w:val="21"/>
                      <w:highlight w:val="none"/>
                      <w:lang w:val="en-US" w:eastAsia="zh-CN"/>
                    </w:rPr>
                    <w:t>（</w:t>
                  </w:r>
                  <w:r>
                    <w:rPr>
                      <w:rFonts w:hint="default" w:eastAsia="宋体"/>
                      <w:color w:val="auto"/>
                      <w:kern w:val="0"/>
                      <w:sz w:val="21"/>
                      <w:szCs w:val="21"/>
                      <w:highlight w:val="none"/>
                      <w:lang w:val="en-US" w:eastAsia="zh-CN"/>
                    </w:rPr>
                    <w:t>GB18466-2005</w:t>
                  </w:r>
                  <w:r>
                    <w:rPr>
                      <w:rFonts w:hint="eastAsia" w:eastAsia="宋体"/>
                      <w:color w:val="auto"/>
                      <w:kern w:val="0"/>
                      <w:sz w:val="21"/>
                      <w:szCs w:val="21"/>
                      <w:highlight w:val="none"/>
                      <w:lang w:val="en-US" w:eastAsia="zh-CN"/>
                    </w:rPr>
                    <w:t>）预处理标准</w:t>
                  </w:r>
                </w:p>
                <w:p>
                  <w:pPr>
                    <w:jc w:val="center"/>
                    <w:rPr>
                      <w:rFonts w:hint="default" w:ascii="Times New Roman" w:hAnsi="Times New Roman" w:eastAsia="宋体" w:cs="Times New Roman"/>
                      <w:color w:val="auto"/>
                      <w:szCs w:val="21"/>
                      <w:highlight w:val="none"/>
                      <w:lang w:val="en-US" w:eastAsia="zh-CN"/>
                    </w:rPr>
                  </w:pPr>
                </w:p>
              </w:tc>
              <w:tc>
                <w:tcPr>
                  <w:tcW w:w="3131" w:type="dxa"/>
                  <w:tcBorders>
                    <w:tl2br w:val="nil"/>
                    <w:tr2bl w:val="nil"/>
                  </w:tcBorders>
                  <w:noWrap w:val="0"/>
                  <w:vAlign w:val="top"/>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6-9（无量纲）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1" w:hRule="atLeast"/>
                <w:jc w:val="center"/>
              </w:trPr>
              <w:tc>
                <w:tcPr>
                  <w:tcW w:w="1281" w:type="dxa"/>
                  <w:tcBorders>
                    <w:tl2br w:val="nil"/>
                    <w:tr2bl w:val="nil"/>
                  </w:tcBorders>
                  <w:noWrap w:val="0"/>
                  <w:vAlign w:val="center"/>
                </w:tcPr>
                <w:p>
                  <w:pPr>
                    <w:pStyle w:val="62"/>
                    <w:spacing w:line="300" w:lineRule="exact"/>
                    <w:jc w:val="both"/>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w:t>
                  </w:r>
                </w:p>
              </w:tc>
              <w:tc>
                <w:tcPr>
                  <w:tcW w:w="1655" w:type="dxa"/>
                  <w:vMerge w:val="continue"/>
                  <w:tcBorders>
                    <w:tl2br w:val="nil"/>
                    <w:tr2bl w:val="nil"/>
                  </w:tcBorders>
                  <w:noWrap w:val="0"/>
                  <w:vAlign w:val="center"/>
                </w:tcPr>
                <w:p>
                  <w:pPr>
                    <w:pStyle w:val="62"/>
                    <w:spacing w:line="300" w:lineRule="exact"/>
                    <w:rPr>
                      <w:rFonts w:hint="default" w:ascii="Times New Roman" w:hAnsi="Times New Roman" w:cs="Times New Roman"/>
                      <w:color w:val="auto"/>
                      <w:sz w:val="21"/>
                      <w:szCs w:val="21"/>
                      <w:highlight w:val="none"/>
                      <w:lang w:val="en-US" w:eastAsia="zh-CN"/>
                    </w:rPr>
                  </w:pPr>
                </w:p>
              </w:tc>
              <w:tc>
                <w:tcPr>
                  <w:tcW w:w="2116" w:type="dxa"/>
                  <w:tcBorders>
                    <w:tl2br w:val="nil"/>
                    <w:tr2bl w:val="nil"/>
                  </w:tcBorders>
                  <w:noWrap w:val="0"/>
                  <w:vAlign w:val="center"/>
                </w:tcPr>
                <w:p>
                  <w:pPr>
                    <w:adjustRightInd w:val="0"/>
                    <w:snapToGrid w:val="0"/>
                    <w:spacing w:line="240" w:lineRule="exact"/>
                    <w:ind w:left="0" w:leftChars="0" w:firstLine="0" w:firstLineChars="0"/>
                    <w:jc w:val="center"/>
                    <w:rPr>
                      <w:rFonts w:hint="default" w:ascii="Times New Roman" w:hAnsi="Times New Roman" w:cs="Times New Roman"/>
                      <w:color w:val="auto"/>
                      <w:szCs w:val="21"/>
                      <w:highlight w:val="none"/>
                    </w:rPr>
                  </w:pPr>
                  <w:r>
                    <w:rPr>
                      <w:rFonts w:eastAsia="宋体"/>
                      <w:color w:val="auto"/>
                      <w:kern w:val="0"/>
                      <w:sz w:val="21"/>
                      <w:szCs w:val="21"/>
                      <w:highlight w:val="none"/>
                    </w:rPr>
                    <w:t>COD</w:t>
                  </w:r>
                </w:p>
              </w:tc>
              <w:tc>
                <w:tcPr>
                  <w:tcW w:w="3745"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p>
              </w:tc>
              <w:tc>
                <w:tcPr>
                  <w:tcW w:w="3131" w:type="dxa"/>
                  <w:tcBorders>
                    <w:tl2br w:val="nil"/>
                    <w:tr2bl w:val="nil"/>
                  </w:tcBorders>
                  <w:noWrap w:val="0"/>
                  <w:vAlign w:val="top"/>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1" w:hRule="atLeast"/>
                <w:jc w:val="center"/>
              </w:trPr>
              <w:tc>
                <w:tcPr>
                  <w:tcW w:w="1281" w:type="dxa"/>
                  <w:tcBorders>
                    <w:tl2br w:val="nil"/>
                    <w:tr2bl w:val="nil"/>
                  </w:tcBorders>
                  <w:noWrap w:val="0"/>
                  <w:vAlign w:val="center"/>
                </w:tcPr>
                <w:p>
                  <w:pPr>
                    <w:pStyle w:val="62"/>
                    <w:spacing w:line="300" w:lineRule="exact"/>
                    <w:jc w:val="both"/>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w:t>
                  </w:r>
                </w:p>
              </w:tc>
              <w:tc>
                <w:tcPr>
                  <w:tcW w:w="1655" w:type="dxa"/>
                  <w:vMerge w:val="continue"/>
                  <w:tcBorders>
                    <w:tl2br w:val="nil"/>
                    <w:tr2bl w:val="nil"/>
                  </w:tcBorders>
                  <w:noWrap w:val="0"/>
                  <w:vAlign w:val="center"/>
                </w:tcPr>
                <w:p>
                  <w:pPr>
                    <w:pStyle w:val="62"/>
                    <w:spacing w:line="300" w:lineRule="exact"/>
                    <w:ind w:left="1100" w:hanging="460"/>
                    <w:rPr>
                      <w:rFonts w:hint="default" w:ascii="Times New Roman" w:hAnsi="Times New Roman" w:cs="Times New Roman"/>
                      <w:color w:val="auto"/>
                      <w:sz w:val="21"/>
                      <w:szCs w:val="21"/>
                      <w:highlight w:val="none"/>
                      <w:lang w:val="en-US" w:eastAsia="zh-CN"/>
                    </w:rPr>
                  </w:pPr>
                </w:p>
              </w:tc>
              <w:tc>
                <w:tcPr>
                  <w:tcW w:w="2116" w:type="dxa"/>
                  <w:tcBorders>
                    <w:tl2br w:val="nil"/>
                    <w:tr2bl w:val="nil"/>
                  </w:tcBorders>
                  <w:noWrap w:val="0"/>
                  <w:vAlign w:val="center"/>
                </w:tcPr>
                <w:p>
                  <w:pPr>
                    <w:adjustRightInd w:val="0"/>
                    <w:snapToGrid w:val="0"/>
                    <w:spacing w:line="240" w:lineRule="exact"/>
                    <w:ind w:left="0" w:leftChars="0" w:firstLine="0" w:firstLineChars="0"/>
                    <w:jc w:val="center"/>
                    <w:rPr>
                      <w:rFonts w:hint="default" w:ascii="Times New Roman" w:hAnsi="Times New Roman" w:cs="Times New Roman"/>
                      <w:color w:val="auto"/>
                      <w:sz w:val="21"/>
                      <w:szCs w:val="21"/>
                      <w:highlight w:val="none"/>
                      <w:lang w:val="en-US" w:eastAsia="zh-CN"/>
                    </w:rPr>
                  </w:pPr>
                  <w:r>
                    <w:rPr>
                      <w:rFonts w:eastAsia="宋体"/>
                      <w:color w:val="auto"/>
                      <w:kern w:val="0"/>
                      <w:sz w:val="21"/>
                      <w:szCs w:val="21"/>
                      <w:highlight w:val="none"/>
                    </w:rPr>
                    <w:t>BOD</w:t>
                  </w:r>
                  <w:r>
                    <w:rPr>
                      <w:rFonts w:eastAsia="宋体"/>
                      <w:color w:val="auto"/>
                      <w:kern w:val="0"/>
                      <w:sz w:val="21"/>
                      <w:szCs w:val="21"/>
                      <w:highlight w:val="none"/>
                      <w:vertAlign w:val="subscript"/>
                    </w:rPr>
                    <w:t>5</w:t>
                  </w:r>
                </w:p>
              </w:tc>
              <w:tc>
                <w:tcPr>
                  <w:tcW w:w="3745"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US"/>
                    </w:rPr>
                  </w:pPr>
                </w:p>
              </w:tc>
              <w:tc>
                <w:tcPr>
                  <w:tcW w:w="3131" w:type="dxa"/>
                  <w:tcBorders>
                    <w:tl2br w:val="nil"/>
                    <w:tr2bl w:val="nil"/>
                  </w:tcBorders>
                  <w:noWrap w:val="0"/>
                  <w:vAlign w:val="top"/>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1" w:hRule="atLeast"/>
                <w:jc w:val="center"/>
              </w:trPr>
              <w:tc>
                <w:tcPr>
                  <w:tcW w:w="1281" w:type="dxa"/>
                  <w:tcBorders>
                    <w:tl2br w:val="nil"/>
                    <w:tr2bl w:val="nil"/>
                  </w:tcBorders>
                  <w:noWrap w:val="0"/>
                  <w:vAlign w:val="center"/>
                </w:tcPr>
                <w:p>
                  <w:pPr>
                    <w:pStyle w:val="62"/>
                    <w:spacing w:line="300" w:lineRule="exact"/>
                    <w:jc w:val="both"/>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4</w:t>
                  </w:r>
                </w:p>
              </w:tc>
              <w:tc>
                <w:tcPr>
                  <w:tcW w:w="1655" w:type="dxa"/>
                  <w:vMerge w:val="continue"/>
                  <w:tcBorders>
                    <w:tl2br w:val="nil"/>
                    <w:tr2bl w:val="nil"/>
                  </w:tcBorders>
                  <w:noWrap w:val="0"/>
                  <w:vAlign w:val="center"/>
                </w:tcPr>
                <w:p>
                  <w:pPr>
                    <w:pStyle w:val="62"/>
                    <w:spacing w:line="300" w:lineRule="exact"/>
                    <w:ind w:left="1100" w:hanging="460"/>
                    <w:rPr>
                      <w:rFonts w:hint="default" w:ascii="Times New Roman" w:hAnsi="Times New Roman" w:cs="Times New Roman"/>
                      <w:color w:val="auto"/>
                      <w:sz w:val="21"/>
                      <w:szCs w:val="21"/>
                      <w:highlight w:val="none"/>
                      <w:lang w:val="en-US" w:eastAsia="zh-CN"/>
                    </w:rPr>
                  </w:pPr>
                </w:p>
              </w:tc>
              <w:tc>
                <w:tcPr>
                  <w:tcW w:w="2116" w:type="dxa"/>
                  <w:tcBorders>
                    <w:tl2br w:val="nil"/>
                    <w:tr2bl w:val="nil"/>
                  </w:tcBorders>
                  <w:noWrap w:val="0"/>
                  <w:vAlign w:val="center"/>
                </w:tcPr>
                <w:p>
                  <w:pPr>
                    <w:adjustRightInd w:val="0"/>
                    <w:snapToGrid w:val="0"/>
                    <w:spacing w:line="240" w:lineRule="exact"/>
                    <w:ind w:left="0" w:leftChars="0" w:firstLine="0" w:firstLineChars="0"/>
                    <w:jc w:val="center"/>
                    <w:rPr>
                      <w:rFonts w:hint="default" w:ascii="Times New Roman" w:hAnsi="Times New Roman" w:cs="Times New Roman"/>
                      <w:color w:val="auto"/>
                      <w:sz w:val="21"/>
                      <w:szCs w:val="21"/>
                      <w:highlight w:val="none"/>
                      <w:lang w:val="en-US" w:eastAsia="zh-CN"/>
                    </w:rPr>
                  </w:pPr>
                  <w:r>
                    <w:rPr>
                      <w:rFonts w:eastAsia="宋体"/>
                      <w:color w:val="auto"/>
                      <w:kern w:val="0"/>
                      <w:sz w:val="21"/>
                      <w:szCs w:val="21"/>
                      <w:highlight w:val="none"/>
                    </w:rPr>
                    <w:t>SS</w:t>
                  </w:r>
                </w:p>
              </w:tc>
              <w:tc>
                <w:tcPr>
                  <w:tcW w:w="3745" w:type="dxa"/>
                  <w:vMerge w:val="continue"/>
                  <w:tcBorders>
                    <w:tl2br w:val="nil"/>
                    <w:tr2bl w:val="nil"/>
                  </w:tcBorders>
                  <w:noWrap w:val="0"/>
                  <w:vAlign w:val="center"/>
                </w:tcPr>
                <w:p>
                  <w:pPr>
                    <w:jc w:val="center"/>
                    <w:rPr>
                      <w:rFonts w:hint="default" w:ascii="Times New Roman" w:hAnsi="Times New Roman" w:cs="Times New Roman"/>
                      <w:color w:val="auto"/>
                      <w:szCs w:val="21"/>
                      <w:highlight w:val="none"/>
                      <w:lang w:val="en-US"/>
                    </w:rPr>
                  </w:pPr>
                </w:p>
              </w:tc>
              <w:tc>
                <w:tcPr>
                  <w:tcW w:w="3131" w:type="dxa"/>
                  <w:tcBorders>
                    <w:tl2br w:val="nil"/>
                    <w:tr2bl w:val="nil"/>
                  </w:tcBorders>
                  <w:noWrap w:val="0"/>
                  <w:vAlign w:val="top"/>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1" w:hRule="atLeast"/>
                <w:jc w:val="center"/>
              </w:trPr>
              <w:tc>
                <w:tcPr>
                  <w:tcW w:w="1281" w:type="dxa"/>
                  <w:tcBorders>
                    <w:tl2br w:val="nil"/>
                    <w:tr2bl w:val="nil"/>
                  </w:tcBorders>
                  <w:noWrap w:val="0"/>
                  <w:vAlign w:val="center"/>
                </w:tcPr>
                <w:p>
                  <w:pPr>
                    <w:pStyle w:val="62"/>
                    <w:spacing w:line="300" w:lineRule="exact"/>
                    <w:jc w:val="both"/>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5</w:t>
                  </w:r>
                </w:p>
              </w:tc>
              <w:tc>
                <w:tcPr>
                  <w:tcW w:w="1655" w:type="dxa"/>
                  <w:vMerge w:val="continue"/>
                  <w:tcBorders>
                    <w:tl2br w:val="nil"/>
                    <w:tr2bl w:val="nil"/>
                  </w:tcBorders>
                  <w:noWrap w:val="0"/>
                  <w:vAlign w:val="center"/>
                </w:tcPr>
                <w:p>
                  <w:pPr>
                    <w:pStyle w:val="62"/>
                    <w:spacing w:line="300" w:lineRule="exact"/>
                    <w:ind w:left="1100" w:hanging="460"/>
                    <w:rPr>
                      <w:rFonts w:hint="default" w:ascii="Times New Roman" w:hAnsi="Times New Roman" w:cs="Times New Roman"/>
                      <w:color w:val="auto"/>
                      <w:sz w:val="21"/>
                      <w:szCs w:val="21"/>
                      <w:highlight w:val="none"/>
                      <w:lang w:val="en-US" w:eastAsia="zh-CN"/>
                    </w:rPr>
                  </w:pPr>
                </w:p>
              </w:tc>
              <w:tc>
                <w:tcPr>
                  <w:tcW w:w="2116" w:type="dxa"/>
                  <w:tcBorders>
                    <w:tl2br w:val="nil"/>
                    <w:tr2bl w:val="nil"/>
                  </w:tcBorders>
                  <w:noWrap w:val="0"/>
                  <w:vAlign w:val="center"/>
                </w:tcPr>
                <w:p>
                  <w:pPr>
                    <w:adjustRightInd w:val="0"/>
                    <w:snapToGrid w:val="0"/>
                    <w:spacing w:line="240" w:lineRule="exact"/>
                    <w:ind w:left="0" w:leftChars="0" w:firstLine="0" w:firstLineChars="0"/>
                    <w:jc w:val="center"/>
                    <w:rPr>
                      <w:rFonts w:hint="default" w:ascii="Times New Roman" w:hAnsi="Times New Roman" w:cs="Times New Roman"/>
                      <w:color w:val="auto"/>
                      <w:kern w:val="2"/>
                      <w:sz w:val="21"/>
                      <w:szCs w:val="21"/>
                      <w:highlight w:val="none"/>
                      <w:lang w:val="en-US" w:eastAsia="zh-CN" w:bidi="ar-SA"/>
                    </w:rPr>
                  </w:pPr>
                  <w:r>
                    <w:rPr>
                      <w:rFonts w:eastAsia="宋体"/>
                      <w:color w:val="auto"/>
                      <w:kern w:val="0"/>
                      <w:sz w:val="21"/>
                      <w:szCs w:val="21"/>
                      <w:highlight w:val="none"/>
                    </w:rPr>
                    <w:t>氨氮</w:t>
                  </w:r>
                </w:p>
              </w:tc>
              <w:tc>
                <w:tcPr>
                  <w:tcW w:w="3745"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p>
              </w:tc>
              <w:tc>
                <w:tcPr>
                  <w:tcW w:w="3131" w:type="dxa"/>
                  <w:tcBorders>
                    <w:tl2br w:val="nil"/>
                    <w:tr2bl w:val="nil"/>
                  </w:tcBorders>
                  <w:noWrap w:val="0"/>
                  <w:vAlign w:val="top"/>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jc w:val="center"/>
              </w:trPr>
              <w:tc>
                <w:tcPr>
                  <w:tcW w:w="1281" w:type="dxa"/>
                  <w:tcBorders>
                    <w:tl2br w:val="nil"/>
                    <w:tr2bl w:val="nil"/>
                  </w:tcBorders>
                  <w:noWrap w:val="0"/>
                  <w:vAlign w:val="center"/>
                </w:tcPr>
                <w:p>
                  <w:pPr>
                    <w:pStyle w:val="62"/>
                    <w:spacing w:line="300" w:lineRule="exact"/>
                    <w:jc w:val="both"/>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1655" w:type="dxa"/>
                  <w:vMerge w:val="continue"/>
                  <w:tcBorders>
                    <w:tl2br w:val="nil"/>
                    <w:tr2bl w:val="nil"/>
                  </w:tcBorders>
                  <w:noWrap w:val="0"/>
                  <w:vAlign w:val="center"/>
                </w:tcPr>
                <w:p>
                  <w:pPr>
                    <w:pStyle w:val="62"/>
                    <w:spacing w:line="300" w:lineRule="exact"/>
                    <w:ind w:left="1100" w:hanging="460"/>
                    <w:rPr>
                      <w:rFonts w:hint="default" w:ascii="Times New Roman" w:hAnsi="Times New Roman" w:cs="Times New Roman"/>
                      <w:color w:val="auto"/>
                      <w:sz w:val="21"/>
                      <w:szCs w:val="21"/>
                      <w:highlight w:val="none"/>
                      <w:lang w:val="en-US" w:eastAsia="zh-CN"/>
                    </w:rPr>
                  </w:pPr>
                </w:p>
              </w:tc>
              <w:tc>
                <w:tcPr>
                  <w:tcW w:w="2116" w:type="dxa"/>
                  <w:tcBorders>
                    <w:tl2br w:val="nil"/>
                    <w:tr2bl w:val="nil"/>
                  </w:tcBorders>
                  <w:noWrap w:val="0"/>
                  <w:vAlign w:val="center"/>
                </w:tcPr>
                <w:p>
                  <w:pPr>
                    <w:adjustRightInd w:val="0"/>
                    <w:snapToGrid w:val="0"/>
                    <w:spacing w:line="240" w:lineRule="exact"/>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bidi="ar-SA"/>
                    </w:rPr>
                    <w:t>粪大肠菌群（MPN/L）</w:t>
                  </w:r>
                </w:p>
              </w:tc>
              <w:tc>
                <w:tcPr>
                  <w:tcW w:w="3745"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p>
              </w:tc>
              <w:tc>
                <w:tcPr>
                  <w:tcW w:w="3131" w:type="dxa"/>
                  <w:tcBorders>
                    <w:tl2br w:val="nil"/>
                    <w:tr2bl w:val="nil"/>
                  </w:tcBorders>
                  <w:noWrap w:val="0"/>
                  <w:vAlign w:val="top"/>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33" w:hRule="atLeast"/>
                <w:jc w:val="center"/>
              </w:trPr>
              <w:tc>
                <w:tcPr>
                  <w:tcW w:w="1281" w:type="dxa"/>
                  <w:tcBorders>
                    <w:tl2br w:val="nil"/>
                    <w:tr2bl w:val="nil"/>
                  </w:tcBorders>
                  <w:noWrap w:val="0"/>
                  <w:vAlign w:val="center"/>
                </w:tcPr>
                <w:p>
                  <w:pPr>
                    <w:pStyle w:val="62"/>
                    <w:spacing w:line="300" w:lineRule="exact"/>
                    <w:jc w:val="both"/>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7</w:t>
                  </w:r>
                </w:p>
              </w:tc>
              <w:tc>
                <w:tcPr>
                  <w:tcW w:w="1655" w:type="dxa"/>
                  <w:vMerge w:val="continue"/>
                  <w:tcBorders>
                    <w:tl2br w:val="nil"/>
                    <w:tr2bl w:val="nil"/>
                  </w:tcBorders>
                  <w:noWrap w:val="0"/>
                  <w:vAlign w:val="center"/>
                </w:tcPr>
                <w:p>
                  <w:pPr>
                    <w:pStyle w:val="62"/>
                    <w:spacing w:line="300" w:lineRule="exact"/>
                    <w:ind w:left="1100" w:hanging="460"/>
                    <w:rPr>
                      <w:rFonts w:hint="default" w:ascii="Times New Roman" w:hAnsi="Times New Roman" w:cs="Times New Roman"/>
                      <w:color w:val="auto"/>
                      <w:sz w:val="21"/>
                      <w:szCs w:val="21"/>
                      <w:highlight w:val="none"/>
                      <w:lang w:val="en-US" w:eastAsia="zh-CN"/>
                    </w:rPr>
                  </w:pPr>
                </w:p>
              </w:tc>
              <w:tc>
                <w:tcPr>
                  <w:tcW w:w="2116" w:type="dxa"/>
                  <w:tcBorders>
                    <w:tl2br w:val="nil"/>
                    <w:tr2bl w:val="nil"/>
                  </w:tcBorders>
                  <w:noWrap w:val="0"/>
                  <w:vAlign w:val="center"/>
                </w:tcPr>
                <w:p>
                  <w:pPr>
                    <w:adjustRightInd w:val="0"/>
                    <w:snapToGrid w:val="0"/>
                    <w:spacing w:line="240" w:lineRule="exact"/>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eastAsia="宋体"/>
                      <w:color w:val="auto"/>
                      <w:kern w:val="0"/>
                      <w:sz w:val="21"/>
                      <w:szCs w:val="21"/>
                      <w:highlight w:val="none"/>
                      <w:lang w:val="en-US" w:eastAsia="zh-CN"/>
                    </w:rPr>
                    <w:t>LAS</w:t>
                  </w:r>
                </w:p>
              </w:tc>
              <w:tc>
                <w:tcPr>
                  <w:tcW w:w="3745" w:type="dxa"/>
                  <w:vMerge w:val="continue"/>
                  <w:tcBorders>
                    <w:tl2br w:val="nil"/>
                    <w:tr2bl w:val="nil"/>
                  </w:tcBorders>
                  <w:noWrap w:val="0"/>
                  <w:vAlign w:val="center"/>
                </w:tcPr>
                <w:p>
                  <w:pPr>
                    <w:jc w:val="center"/>
                    <w:rPr>
                      <w:rFonts w:hint="default" w:cs="Times New Roman"/>
                      <w:color w:val="auto"/>
                      <w:szCs w:val="21"/>
                      <w:highlight w:val="none"/>
                      <w:lang w:val="en-US" w:eastAsia="zh-CN"/>
                    </w:rPr>
                  </w:pPr>
                </w:p>
              </w:tc>
              <w:tc>
                <w:tcPr>
                  <w:tcW w:w="3131" w:type="dxa"/>
                  <w:tcBorders>
                    <w:tl2br w:val="nil"/>
                    <w:tr2bl w:val="nil"/>
                  </w:tcBorders>
                  <w:noWrap w:val="0"/>
                  <w:vAlign w:val="top"/>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33" w:hRule="atLeast"/>
                <w:jc w:val="center"/>
              </w:trPr>
              <w:tc>
                <w:tcPr>
                  <w:tcW w:w="1281" w:type="dxa"/>
                  <w:tcBorders>
                    <w:tl2br w:val="nil"/>
                    <w:tr2bl w:val="nil"/>
                  </w:tcBorders>
                  <w:noWrap w:val="0"/>
                  <w:vAlign w:val="center"/>
                </w:tcPr>
                <w:p>
                  <w:pPr>
                    <w:pStyle w:val="62"/>
                    <w:spacing w:line="300" w:lineRule="exact"/>
                    <w:jc w:val="both"/>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8</w:t>
                  </w:r>
                </w:p>
              </w:tc>
              <w:tc>
                <w:tcPr>
                  <w:tcW w:w="1655" w:type="dxa"/>
                  <w:vMerge w:val="continue"/>
                  <w:tcBorders>
                    <w:tl2br w:val="nil"/>
                    <w:tr2bl w:val="nil"/>
                  </w:tcBorders>
                  <w:noWrap w:val="0"/>
                  <w:vAlign w:val="center"/>
                </w:tcPr>
                <w:p>
                  <w:pPr>
                    <w:pStyle w:val="62"/>
                    <w:spacing w:line="300" w:lineRule="exact"/>
                    <w:ind w:left="1100" w:hanging="460"/>
                    <w:rPr>
                      <w:rFonts w:hint="default" w:ascii="Times New Roman" w:hAnsi="Times New Roman" w:cs="Times New Roman"/>
                      <w:color w:val="auto"/>
                      <w:sz w:val="21"/>
                      <w:szCs w:val="21"/>
                      <w:highlight w:val="none"/>
                      <w:lang w:val="en-US" w:eastAsia="zh-CN"/>
                    </w:rPr>
                  </w:pPr>
                </w:p>
              </w:tc>
              <w:tc>
                <w:tcPr>
                  <w:tcW w:w="2116" w:type="dxa"/>
                  <w:tcBorders>
                    <w:tl2br w:val="nil"/>
                    <w:tr2bl w:val="nil"/>
                  </w:tcBorders>
                  <w:noWrap w:val="0"/>
                  <w:vAlign w:val="center"/>
                </w:tcPr>
                <w:p>
                  <w:pPr>
                    <w:adjustRightInd w:val="0"/>
                    <w:snapToGrid w:val="0"/>
                    <w:spacing w:line="240" w:lineRule="exact"/>
                    <w:ind w:left="0" w:leftChars="0"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总余氯</w:t>
                  </w:r>
                </w:p>
              </w:tc>
              <w:tc>
                <w:tcPr>
                  <w:tcW w:w="3745" w:type="dxa"/>
                  <w:vMerge w:val="continue"/>
                  <w:tcBorders>
                    <w:tl2br w:val="nil"/>
                    <w:tr2bl w:val="nil"/>
                  </w:tcBorders>
                  <w:noWrap w:val="0"/>
                  <w:vAlign w:val="center"/>
                </w:tcPr>
                <w:p>
                  <w:pPr>
                    <w:jc w:val="center"/>
                    <w:rPr>
                      <w:rFonts w:hint="default" w:cs="Times New Roman"/>
                      <w:color w:val="auto"/>
                      <w:szCs w:val="21"/>
                      <w:highlight w:val="none"/>
                      <w:lang w:val="en-US" w:eastAsia="zh-CN"/>
                    </w:rPr>
                  </w:pPr>
                </w:p>
              </w:tc>
              <w:tc>
                <w:tcPr>
                  <w:tcW w:w="3131" w:type="dxa"/>
                  <w:tcBorders>
                    <w:tl2br w:val="nil"/>
                    <w:tr2bl w:val="nil"/>
                  </w:tcBorders>
                  <w:noWrap w:val="0"/>
                  <w:vAlign w:val="top"/>
                </w:tcPr>
                <w:p>
                  <w:pPr>
                    <w:keepNext/>
                    <w:keepLines w:val="0"/>
                    <w:pageBreakBefore w:val="0"/>
                    <w:widowControl w:val="0"/>
                    <w:kinsoku/>
                    <w:wordWrap/>
                    <w:overflowPunct/>
                    <w:topLinePunct w:val="0"/>
                    <w:autoSpaceDE/>
                    <w:autoSpaceDN/>
                    <w:bidi w:val="0"/>
                    <w:snapToGrid/>
                    <w:spacing w:line="240" w:lineRule="auto"/>
                    <w:jc w:val="center"/>
                    <w:textAlignment w:val="auto"/>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8</w:t>
                  </w:r>
                </w:p>
              </w:tc>
            </w:tr>
          </w:tbl>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center"/>
              <w:textAlignment w:val="auto"/>
              <w:rPr>
                <w:rFonts w:hint="default" w:ascii="Times New Roman" w:hAnsi="Times New Roman" w:eastAsia="宋体" w:cs="Times New Roman"/>
                <w:b/>
                <w:bCs w:val="0"/>
                <w:color w:val="auto"/>
                <w:kern w:val="0"/>
                <w:sz w:val="24"/>
                <w:szCs w:val="24"/>
                <w:highlight w:val="none"/>
                <w:lang w:val="en-US" w:eastAsia="zh-CN"/>
              </w:rPr>
            </w:pPr>
            <w:r>
              <w:rPr>
                <w:rFonts w:hint="eastAsia" w:ascii="宋体" w:hAnsi="宋体" w:eastAsia="宋体" w:cs="宋体"/>
                <w:b/>
                <w:bCs w:val="0"/>
                <w:color w:val="auto"/>
                <w:kern w:val="0"/>
                <w:sz w:val="24"/>
                <w:szCs w:val="24"/>
                <w:highlight w:val="none"/>
                <w:lang w:val="en-US" w:eastAsia="zh-CN"/>
              </w:rPr>
              <w:t>表4.15   废水污染物排放信息表（新建项目）</w:t>
            </w:r>
          </w:p>
          <w:tbl>
            <w:tblPr>
              <w:tblStyle w:val="29"/>
              <w:tblW w:w="119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1851"/>
              <w:gridCol w:w="1909"/>
              <w:gridCol w:w="2027"/>
              <w:gridCol w:w="2564"/>
              <w:gridCol w:w="2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969" w:type="dxa"/>
                  <w:tcBorders>
                    <w:tl2br w:val="nil"/>
                    <w:tr2bl w:val="nil"/>
                  </w:tcBorders>
                  <w:noWrap w:val="0"/>
                  <w:vAlign w:val="center"/>
                </w:tcPr>
                <w:p>
                  <w:pPr>
                    <w:pStyle w:val="62"/>
                    <w:spacing w:line="300" w:lineRule="exact"/>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序号</w:t>
                  </w:r>
                </w:p>
              </w:tc>
              <w:tc>
                <w:tcPr>
                  <w:tcW w:w="1851" w:type="dxa"/>
                  <w:tcBorders>
                    <w:tl2br w:val="nil"/>
                    <w:tr2bl w:val="nil"/>
                  </w:tcBorders>
                  <w:noWrap w:val="0"/>
                  <w:vAlign w:val="center"/>
                </w:tcPr>
                <w:p>
                  <w:pPr>
                    <w:pStyle w:val="62"/>
                    <w:spacing w:line="30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排放口编号</w:t>
                  </w:r>
                </w:p>
              </w:tc>
              <w:tc>
                <w:tcPr>
                  <w:tcW w:w="1909" w:type="dxa"/>
                  <w:tcBorders>
                    <w:tl2br w:val="nil"/>
                    <w:tr2bl w:val="nil"/>
                  </w:tcBorders>
                  <w:noWrap w:val="0"/>
                  <w:vAlign w:val="center"/>
                </w:tcPr>
                <w:p>
                  <w:pPr>
                    <w:pStyle w:val="62"/>
                    <w:spacing w:line="30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污染物种类</w:t>
                  </w:r>
                </w:p>
              </w:tc>
              <w:tc>
                <w:tcPr>
                  <w:tcW w:w="2027" w:type="dxa"/>
                  <w:tcBorders>
                    <w:tl2br w:val="nil"/>
                    <w:tr2bl w:val="nil"/>
                  </w:tcBorders>
                  <w:noWrap w:val="0"/>
                  <w:vAlign w:val="center"/>
                </w:tcPr>
                <w:p>
                  <w:pPr>
                    <w:pStyle w:val="62"/>
                    <w:spacing w:line="300" w:lineRule="exact"/>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排放浓度（mg/L）</w:t>
                  </w:r>
                </w:p>
              </w:tc>
              <w:tc>
                <w:tcPr>
                  <w:tcW w:w="2564" w:type="dxa"/>
                  <w:tcBorders>
                    <w:tl2br w:val="nil"/>
                    <w:tr2bl w:val="nil"/>
                  </w:tcBorders>
                  <w:noWrap w:val="0"/>
                  <w:vAlign w:val="center"/>
                </w:tcPr>
                <w:p>
                  <w:pPr>
                    <w:pStyle w:val="62"/>
                    <w:spacing w:line="30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日排放量（t/d）</w:t>
                  </w:r>
                </w:p>
              </w:tc>
              <w:tc>
                <w:tcPr>
                  <w:tcW w:w="2608" w:type="dxa"/>
                  <w:tcBorders>
                    <w:tl2br w:val="nil"/>
                    <w:tr2bl w:val="nil"/>
                  </w:tcBorders>
                  <w:noWrap w:val="0"/>
                  <w:vAlign w:val="center"/>
                </w:tcPr>
                <w:p>
                  <w:pPr>
                    <w:pStyle w:val="62"/>
                    <w:spacing w:line="30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969" w:type="dxa"/>
                  <w:vMerge w:val="restart"/>
                  <w:tcBorders>
                    <w:tl2br w:val="nil"/>
                    <w:tr2bl w:val="nil"/>
                  </w:tcBorders>
                  <w:noWrap w:val="0"/>
                  <w:vAlign w:val="center"/>
                </w:tcPr>
                <w:p>
                  <w:pPr>
                    <w:pStyle w:val="62"/>
                    <w:spacing w:line="300" w:lineRule="exac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851" w:type="dxa"/>
                  <w:vMerge w:val="restart"/>
                  <w:tcBorders>
                    <w:tl2br w:val="nil"/>
                    <w:tr2bl w:val="nil"/>
                  </w:tcBorders>
                  <w:noWrap w:val="0"/>
                  <w:vAlign w:val="center"/>
                </w:tcPr>
                <w:p>
                  <w:pPr>
                    <w:pStyle w:val="62"/>
                    <w:spacing w:line="300" w:lineRule="exact"/>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DW001</w:t>
                  </w:r>
                </w:p>
              </w:tc>
              <w:tc>
                <w:tcPr>
                  <w:tcW w:w="1909"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rPr>
                    <w:t>CODcr</w:t>
                  </w:r>
                </w:p>
              </w:tc>
              <w:tc>
                <w:tcPr>
                  <w:tcW w:w="2027"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b w:val="0"/>
                      <w:bCs w:val="0"/>
                      <w:color w:val="auto"/>
                      <w:kern w:val="2"/>
                      <w:sz w:val="21"/>
                      <w:szCs w:val="21"/>
                      <w:highlight w:val="none"/>
                      <w:lang w:val="en-US" w:eastAsia="zh-CN" w:bidi="ar-SA"/>
                    </w:rPr>
                    <w:t>250</w:t>
                  </w:r>
                </w:p>
              </w:tc>
              <w:tc>
                <w:tcPr>
                  <w:tcW w:w="256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5.151</w:t>
                  </w:r>
                </w:p>
              </w:tc>
              <w:tc>
                <w:tcPr>
                  <w:tcW w:w="2608"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969" w:type="dxa"/>
                  <w:vMerge w:val="continue"/>
                  <w:tcBorders>
                    <w:tl2br w:val="nil"/>
                    <w:tr2bl w:val="nil"/>
                  </w:tcBorders>
                  <w:noWrap w:val="0"/>
                  <w:vAlign w:val="center"/>
                </w:tcPr>
                <w:p>
                  <w:pPr>
                    <w:pStyle w:val="62"/>
                    <w:spacing w:line="300" w:lineRule="exact"/>
                    <w:rPr>
                      <w:rFonts w:hint="default" w:ascii="Times New Roman" w:hAnsi="Times New Roman" w:cs="Times New Roman"/>
                      <w:color w:val="auto"/>
                      <w:sz w:val="21"/>
                      <w:szCs w:val="21"/>
                      <w:highlight w:val="none"/>
                      <w:lang w:val="en-US" w:eastAsia="zh-CN"/>
                    </w:rPr>
                  </w:pPr>
                </w:p>
              </w:tc>
              <w:tc>
                <w:tcPr>
                  <w:tcW w:w="1851" w:type="dxa"/>
                  <w:vMerge w:val="continue"/>
                  <w:tcBorders>
                    <w:tl2br w:val="nil"/>
                    <w:tr2bl w:val="nil"/>
                  </w:tcBorders>
                  <w:noWrap w:val="0"/>
                  <w:vAlign w:val="center"/>
                </w:tcPr>
                <w:p>
                  <w:pPr>
                    <w:pStyle w:val="62"/>
                    <w:spacing w:line="300" w:lineRule="exact"/>
                    <w:rPr>
                      <w:rFonts w:hint="default" w:ascii="Times New Roman" w:hAnsi="Times New Roman" w:cs="Times New Roman"/>
                      <w:color w:val="auto"/>
                      <w:sz w:val="21"/>
                      <w:szCs w:val="21"/>
                      <w:highlight w:val="none"/>
                      <w:lang w:val="en-US" w:eastAsia="zh-CN"/>
                    </w:rPr>
                  </w:pPr>
                </w:p>
              </w:tc>
              <w:tc>
                <w:tcPr>
                  <w:tcW w:w="1909"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rPr>
                    <w:t>BOD</w:t>
                  </w:r>
                  <w:r>
                    <w:rPr>
                      <w:rFonts w:hint="default" w:ascii="Times New Roman" w:hAnsi="Times New Roman" w:eastAsia="宋体" w:cs="Times New Roman"/>
                      <w:snapToGrid w:val="0"/>
                      <w:color w:val="auto"/>
                      <w:kern w:val="0"/>
                      <w:sz w:val="21"/>
                      <w:szCs w:val="21"/>
                      <w:highlight w:val="none"/>
                      <w:vertAlign w:val="subscript"/>
                      <w:lang w:val="en-US" w:eastAsia="zh-CN"/>
                    </w:rPr>
                    <w:t>5</w:t>
                  </w:r>
                </w:p>
              </w:tc>
              <w:tc>
                <w:tcPr>
                  <w:tcW w:w="2027"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b w:val="0"/>
                      <w:bCs w:val="0"/>
                      <w:color w:val="auto"/>
                      <w:kern w:val="2"/>
                      <w:sz w:val="21"/>
                      <w:szCs w:val="21"/>
                      <w:highlight w:val="none"/>
                      <w:lang w:val="en-US" w:eastAsia="zh-CN" w:bidi="ar-SA"/>
                    </w:rPr>
                    <w:t>100</w:t>
                  </w:r>
                </w:p>
              </w:tc>
              <w:tc>
                <w:tcPr>
                  <w:tcW w:w="256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2.060</w:t>
                  </w:r>
                </w:p>
              </w:tc>
              <w:tc>
                <w:tcPr>
                  <w:tcW w:w="2608"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1" w:hRule="atLeast"/>
                <w:jc w:val="center"/>
              </w:trPr>
              <w:tc>
                <w:tcPr>
                  <w:tcW w:w="969" w:type="dxa"/>
                  <w:vMerge w:val="continue"/>
                  <w:tcBorders>
                    <w:tl2br w:val="nil"/>
                    <w:tr2bl w:val="nil"/>
                  </w:tcBorders>
                  <w:noWrap w:val="0"/>
                  <w:vAlign w:val="center"/>
                </w:tcPr>
                <w:p>
                  <w:pPr>
                    <w:pStyle w:val="62"/>
                    <w:spacing w:line="300" w:lineRule="exact"/>
                    <w:ind w:left="1100" w:hanging="460"/>
                    <w:rPr>
                      <w:rFonts w:hint="default" w:ascii="Times New Roman" w:hAnsi="Times New Roman" w:cs="Times New Roman"/>
                      <w:color w:val="auto"/>
                      <w:sz w:val="21"/>
                      <w:szCs w:val="21"/>
                      <w:highlight w:val="none"/>
                      <w:lang w:val="en-US" w:eastAsia="zh-CN"/>
                    </w:rPr>
                  </w:pPr>
                </w:p>
              </w:tc>
              <w:tc>
                <w:tcPr>
                  <w:tcW w:w="1851" w:type="dxa"/>
                  <w:vMerge w:val="continue"/>
                  <w:tcBorders>
                    <w:tl2br w:val="nil"/>
                    <w:tr2bl w:val="nil"/>
                  </w:tcBorders>
                  <w:noWrap w:val="0"/>
                  <w:vAlign w:val="center"/>
                </w:tcPr>
                <w:p>
                  <w:pPr>
                    <w:pStyle w:val="62"/>
                    <w:spacing w:line="300" w:lineRule="exact"/>
                    <w:ind w:left="1100" w:hanging="460"/>
                    <w:rPr>
                      <w:rFonts w:hint="default" w:ascii="Times New Roman" w:hAnsi="Times New Roman" w:cs="Times New Roman"/>
                      <w:color w:val="auto"/>
                      <w:sz w:val="21"/>
                      <w:szCs w:val="21"/>
                      <w:highlight w:val="none"/>
                      <w:lang w:val="en-US" w:eastAsia="zh-CN"/>
                    </w:rPr>
                  </w:pPr>
                </w:p>
              </w:tc>
              <w:tc>
                <w:tcPr>
                  <w:tcW w:w="1909"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rPr>
                    <w:t>SS</w:t>
                  </w:r>
                </w:p>
              </w:tc>
              <w:tc>
                <w:tcPr>
                  <w:tcW w:w="2027"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b w:val="0"/>
                      <w:bCs w:val="0"/>
                      <w:color w:val="auto"/>
                      <w:kern w:val="2"/>
                      <w:sz w:val="21"/>
                      <w:szCs w:val="21"/>
                      <w:highlight w:val="none"/>
                      <w:lang w:val="en-US" w:eastAsia="zh-CN" w:bidi="ar-SA"/>
                    </w:rPr>
                    <w:t>60</w:t>
                  </w:r>
                </w:p>
              </w:tc>
              <w:tc>
                <w:tcPr>
                  <w:tcW w:w="256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1.236</w:t>
                  </w:r>
                </w:p>
              </w:tc>
              <w:tc>
                <w:tcPr>
                  <w:tcW w:w="2608"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1" w:hRule="atLeast"/>
                <w:jc w:val="center"/>
              </w:trPr>
              <w:tc>
                <w:tcPr>
                  <w:tcW w:w="969" w:type="dxa"/>
                  <w:vMerge w:val="continue"/>
                  <w:tcBorders>
                    <w:tl2br w:val="nil"/>
                    <w:tr2bl w:val="nil"/>
                  </w:tcBorders>
                  <w:noWrap w:val="0"/>
                  <w:vAlign w:val="center"/>
                </w:tcPr>
                <w:p>
                  <w:pPr>
                    <w:pStyle w:val="62"/>
                    <w:spacing w:line="300" w:lineRule="exact"/>
                    <w:ind w:left="1100" w:hanging="460"/>
                    <w:rPr>
                      <w:rFonts w:hint="default" w:ascii="Times New Roman" w:hAnsi="Times New Roman" w:cs="Times New Roman"/>
                      <w:color w:val="auto"/>
                      <w:sz w:val="21"/>
                      <w:szCs w:val="21"/>
                      <w:highlight w:val="none"/>
                      <w:lang w:val="en-US" w:eastAsia="zh-CN"/>
                    </w:rPr>
                  </w:pPr>
                </w:p>
              </w:tc>
              <w:tc>
                <w:tcPr>
                  <w:tcW w:w="1851" w:type="dxa"/>
                  <w:vMerge w:val="continue"/>
                  <w:tcBorders>
                    <w:tl2br w:val="nil"/>
                    <w:tr2bl w:val="nil"/>
                  </w:tcBorders>
                  <w:noWrap w:val="0"/>
                  <w:vAlign w:val="center"/>
                </w:tcPr>
                <w:p>
                  <w:pPr>
                    <w:pStyle w:val="62"/>
                    <w:spacing w:line="300" w:lineRule="exact"/>
                    <w:ind w:left="1100" w:hanging="460"/>
                    <w:rPr>
                      <w:rFonts w:hint="default" w:ascii="Times New Roman" w:hAnsi="Times New Roman" w:cs="Times New Roman"/>
                      <w:color w:val="auto"/>
                      <w:sz w:val="21"/>
                      <w:szCs w:val="21"/>
                      <w:highlight w:val="none"/>
                      <w:lang w:val="en-US" w:eastAsia="zh-CN"/>
                    </w:rPr>
                  </w:pPr>
                </w:p>
              </w:tc>
              <w:tc>
                <w:tcPr>
                  <w:tcW w:w="1909"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氨氮</w:t>
                  </w:r>
                </w:p>
              </w:tc>
              <w:tc>
                <w:tcPr>
                  <w:tcW w:w="2027"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b w:val="0"/>
                      <w:bCs w:val="0"/>
                      <w:color w:val="auto"/>
                      <w:kern w:val="2"/>
                      <w:sz w:val="21"/>
                      <w:szCs w:val="21"/>
                      <w:highlight w:val="none"/>
                      <w:lang w:val="en-US" w:eastAsia="zh-CN" w:bidi="ar-SA"/>
                    </w:rPr>
                    <w:t>45</w:t>
                  </w:r>
                </w:p>
              </w:tc>
              <w:tc>
                <w:tcPr>
                  <w:tcW w:w="256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0.926</w:t>
                  </w:r>
                </w:p>
              </w:tc>
              <w:tc>
                <w:tcPr>
                  <w:tcW w:w="2608"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1" w:hRule="atLeast"/>
                <w:jc w:val="center"/>
              </w:trPr>
              <w:tc>
                <w:tcPr>
                  <w:tcW w:w="969" w:type="dxa"/>
                  <w:vMerge w:val="continue"/>
                  <w:tcBorders>
                    <w:tl2br w:val="nil"/>
                    <w:tr2bl w:val="nil"/>
                  </w:tcBorders>
                  <w:noWrap w:val="0"/>
                  <w:vAlign w:val="center"/>
                </w:tcPr>
                <w:p>
                  <w:pPr>
                    <w:pStyle w:val="62"/>
                    <w:spacing w:line="300" w:lineRule="exact"/>
                    <w:ind w:left="1100" w:hanging="460"/>
                    <w:rPr>
                      <w:rFonts w:hint="default" w:ascii="Times New Roman" w:hAnsi="Times New Roman" w:cs="Times New Roman"/>
                      <w:color w:val="auto"/>
                      <w:sz w:val="21"/>
                      <w:szCs w:val="21"/>
                      <w:highlight w:val="none"/>
                      <w:lang w:val="en-US" w:eastAsia="zh-CN"/>
                    </w:rPr>
                  </w:pPr>
                </w:p>
              </w:tc>
              <w:tc>
                <w:tcPr>
                  <w:tcW w:w="1851" w:type="dxa"/>
                  <w:vMerge w:val="continue"/>
                  <w:tcBorders>
                    <w:tl2br w:val="nil"/>
                    <w:tr2bl w:val="nil"/>
                  </w:tcBorders>
                  <w:noWrap w:val="0"/>
                  <w:vAlign w:val="center"/>
                </w:tcPr>
                <w:p>
                  <w:pPr>
                    <w:pStyle w:val="62"/>
                    <w:spacing w:line="300" w:lineRule="exact"/>
                    <w:ind w:left="1100" w:hanging="460"/>
                    <w:rPr>
                      <w:rFonts w:hint="default" w:ascii="Times New Roman" w:hAnsi="Times New Roman" w:cs="Times New Roman"/>
                      <w:color w:val="auto"/>
                      <w:sz w:val="21"/>
                      <w:szCs w:val="21"/>
                      <w:highlight w:val="none"/>
                      <w:lang w:val="en-US" w:eastAsia="zh-CN"/>
                    </w:rPr>
                  </w:pPr>
                </w:p>
              </w:tc>
              <w:tc>
                <w:tcPr>
                  <w:tcW w:w="1909" w:type="dxa"/>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both"/>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b w:val="0"/>
                      <w:bCs w:val="0"/>
                      <w:color w:val="auto"/>
                      <w:sz w:val="21"/>
                      <w:szCs w:val="21"/>
                      <w:highlight w:val="none"/>
                      <w:lang w:val="en-US" w:eastAsia="zh-CN"/>
                    </w:rPr>
                    <w:t>粪大肠菌群</w:t>
                  </w:r>
                </w:p>
              </w:tc>
              <w:tc>
                <w:tcPr>
                  <w:tcW w:w="2027"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b w:val="0"/>
                      <w:bCs w:val="0"/>
                      <w:color w:val="auto"/>
                      <w:kern w:val="2"/>
                      <w:sz w:val="21"/>
                      <w:szCs w:val="21"/>
                      <w:highlight w:val="none"/>
                      <w:lang w:val="en-US" w:eastAsia="zh-CN" w:bidi="ar-SA"/>
                    </w:rPr>
                    <w:t>5000个/L</w:t>
                  </w:r>
                </w:p>
              </w:tc>
              <w:tc>
                <w:tcPr>
                  <w:tcW w:w="256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98630136</w:t>
                  </w:r>
                </w:p>
              </w:tc>
              <w:tc>
                <w:tcPr>
                  <w:tcW w:w="2608"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 w:val="0"/>
                      <w:bCs w:val="0"/>
                      <w:color w:val="auto"/>
                      <w:sz w:val="21"/>
                      <w:szCs w:val="21"/>
                      <w:highlight w:val="none"/>
                      <w:lang w:val="en-US" w:eastAsia="zh-CN"/>
                    </w:rPr>
                    <w:t>3.6×10</w:t>
                  </w:r>
                  <w:r>
                    <w:rPr>
                      <w:rFonts w:hint="eastAsia"/>
                      <w:b w:val="0"/>
                      <w:bCs w:val="0"/>
                      <w:color w:val="auto"/>
                      <w:sz w:val="21"/>
                      <w:szCs w:val="21"/>
                      <w:highlight w:val="none"/>
                      <w:vertAlign w:val="superscript"/>
                      <w:lang w:val="en-US" w:eastAsia="zh-CN"/>
                    </w:rPr>
                    <w:t>10</w:t>
                  </w:r>
                  <w:r>
                    <w:rPr>
                      <w:rFonts w:hint="eastAsia"/>
                      <w:b w:val="0"/>
                      <w:bCs w:val="0"/>
                      <w:color w:val="auto"/>
                      <w:sz w:val="21"/>
                      <w:szCs w:val="21"/>
                      <w:highlight w:val="none"/>
                      <w:vertAlign w:val="baseline"/>
                      <w:lang w:val="en-US" w:eastAsia="zh-CN"/>
                    </w:rPr>
                    <w:t>MPN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jc w:val="center"/>
              </w:trPr>
              <w:tc>
                <w:tcPr>
                  <w:tcW w:w="969" w:type="dxa"/>
                  <w:vMerge w:val="continue"/>
                  <w:tcBorders>
                    <w:tl2br w:val="nil"/>
                    <w:tr2bl w:val="nil"/>
                  </w:tcBorders>
                  <w:noWrap w:val="0"/>
                  <w:vAlign w:val="center"/>
                </w:tcPr>
                <w:p>
                  <w:pPr>
                    <w:pStyle w:val="62"/>
                    <w:spacing w:line="300" w:lineRule="exact"/>
                    <w:ind w:left="1100" w:hanging="460"/>
                    <w:rPr>
                      <w:rFonts w:hint="default" w:ascii="Times New Roman" w:hAnsi="Times New Roman" w:cs="Times New Roman"/>
                      <w:color w:val="auto"/>
                      <w:sz w:val="21"/>
                      <w:szCs w:val="21"/>
                      <w:highlight w:val="none"/>
                      <w:lang w:val="en-US" w:eastAsia="zh-CN"/>
                    </w:rPr>
                  </w:pPr>
                </w:p>
              </w:tc>
              <w:tc>
                <w:tcPr>
                  <w:tcW w:w="1851" w:type="dxa"/>
                  <w:vMerge w:val="continue"/>
                  <w:tcBorders>
                    <w:tl2br w:val="nil"/>
                    <w:tr2bl w:val="nil"/>
                  </w:tcBorders>
                  <w:noWrap w:val="0"/>
                  <w:vAlign w:val="center"/>
                </w:tcPr>
                <w:p>
                  <w:pPr>
                    <w:pStyle w:val="62"/>
                    <w:spacing w:line="300" w:lineRule="exact"/>
                    <w:ind w:left="1100" w:hanging="460"/>
                    <w:rPr>
                      <w:rFonts w:hint="default" w:ascii="Times New Roman" w:hAnsi="Times New Roman" w:cs="Times New Roman"/>
                      <w:color w:val="auto"/>
                      <w:sz w:val="21"/>
                      <w:szCs w:val="21"/>
                      <w:highlight w:val="none"/>
                      <w:lang w:val="en-US" w:eastAsia="zh-CN"/>
                    </w:rPr>
                  </w:pPr>
                </w:p>
              </w:tc>
              <w:tc>
                <w:tcPr>
                  <w:tcW w:w="1909"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 w:val="0"/>
                      <w:bCs w:val="0"/>
                      <w:color w:val="auto"/>
                      <w:sz w:val="21"/>
                      <w:szCs w:val="21"/>
                      <w:highlight w:val="none"/>
                      <w:lang w:val="en-US" w:eastAsia="zh-CN"/>
                    </w:rPr>
                    <w:t>LAS</w:t>
                  </w:r>
                </w:p>
              </w:tc>
              <w:tc>
                <w:tcPr>
                  <w:tcW w:w="2027"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cs="Times New Roman"/>
                      <w:color w:val="auto"/>
                      <w:spacing w:val="10"/>
                      <w:kern w:val="0"/>
                      <w:sz w:val="21"/>
                      <w:szCs w:val="21"/>
                      <w:highlight w:val="none"/>
                      <w:lang w:val="en-US" w:eastAsia="zh-CN" w:bidi="ar-SA"/>
                    </w:rPr>
                  </w:pPr>
                  <w:r>
                    <w:rPr>
                      <w:rFonts w:hint="eastAsia"/>
                      <w:b w:val="0"/>
                      <w:bCs w:val="0"/>
                      <w:color w:val="auto"/>
                      <w:sz w:val="21"/>
                      <w:szCs w:val="21"/>
                      <w:highlight w:val="none"/>
                      <w:lang w:val="en-US" w:eastAsia="zh-CN"/>
                    </w:rPr>
                    <w:t>10</w:t>
                  </w:r>
                </w:p>
              </w:tc>
              <w:tc>
                <w:tcPr>
                  <w:tcW w:w="256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0.205</w:t>
                  </w:r>
                </w:p>
              </w:tc>
              <w:tc>
                <w:tcPr>
                  <w:tcW w:w="2608"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 w:val="0"/>
                      <w:bCs w:val="0"/>
                      <w:color w:val="auto"/>
                      <w:sz w:val="21"/>
                      <w:szCs w:val="21"/>
                      <w:highlight w:val="none"/>
                      <w:lang w:val="en-US" w:eastAsia="zh-CN"/>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1" w:hRule="atLeast"/>
                <w:jc w:val="center"/>
              </w:trPr>
              <w:tc>
                <w:tcPr>
                  <w:tcW w:w="969" w:type="dxa"/>
                  <w:vMerge w:val="continue"/>
                  <w:tcBorders>
                    <w:tl2br w:val="nil"/>
                    <w:tr2bl w:val="nil"/>
                  </w:tcBorders>
                  <w:noWrap w:val="0"/>
                  <w:vAlign w:val="center"/>
                </w:tcPr>
                <w:p>
                  <w:pPr>
                    <w:pStyle w:val="62"/>
                    <w:spacing w:line="300" w:lineRule="exact"/>
                    <w:ind w:left="1100" w:hanging="460"/>
                    <w:rPr>
                      <w:rFonts w:hint="default" w:ascii="Times New Roman" w:hAnsi="Times New Roman" w:cs="Times New Roman"/>
                      <w:color w:val="auto"/>
                      <w:sz w:val="21"/>
                      <w:szCs w:val="21"/>
                      <w:highlight w:val="none"/>
                      <w:lang w:val="en-US" w:eastAsia="zh-CN"/>
                    </w:rPr>
                  </w:pPr>
                </w:p>
              </w:tc>
              <w:tc>
                <w:tcPr>
                  <w:tcW w:w="1851" w:type="dxa"/>
                  <w:vMerge w:val="continue"/>
                  <w:tcBorders>
                    <w:tl2br w:val="nil"/>
                    <w:tr2bl w:val="nil"/>
                  </w:tcBorders>
                  <w:noWrap w:val="0"/>
                  <w:vAlign w:val="center"/>
                </w:tcPr>
                <w:p>
                  <w:pPr>
                    <w:pStyle w:val="62"/>
                    <w:spacing w:line="300" w:lineRule="exact"/>
                    <w:ind w:left="1100" w:hanging="460"/>
                    <w:rPr>
                      <w:rFonts w:hint="default" w:ascii="Times New Roman" w:hAnsi="Times New Roman" w:cs="Times New Roman"/>
                      <w:color w:val="auto"/>
                      <w:sz w:val="21"/>
                      <w:szCs w:val="21"/>
                      <w:highlight w:val="none"/>
                      <w:lang w:val="en-US" w:eastAsia="zh-CN"/>
                    </w:rPr>
                  </w:pPr>
                </w:p>
              </w:tc>
              <w:tc>
                <w:tcPr>
                  <w:tcW w:w="1909"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 w:val="0"/>
                      <w:bCs w:val="0"/>
                      <w:color w:val="auto"/>
                      <w:sz w:val="21"/>
                      <w:szCs w:val="21"/>
                      <w:highlight w:val="none"/>
                      <w:lang w:val="en-US" w:eastAsia="zh-CN"/>
                    </w:rPr>
                    <w:t>总余氯</w:t>
                  </w:r>
                </w:p>
              </w:tc>
              <w:tc>
                <w:tcPr>
                  <w:tcW w:w="2027"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b w:val="0"/>
                      <w:bCs w:val="0"/>
                      <w:color w:val="auto"/>
                      <w:sz w:val="21"/>
                      <w:szCs w:val="21"/>
                      <w:highlight w:val="none"/>
                      <w:lang w:val="en-US" w:eastAsia="zh-CN"/>
                    </w:rPr>
                    <w:t>8</w:t>
                  </w:r>
                </w:p>
              </w:tc>
              <w:tc>
                <w:tcPr>
                  <w:tcW w:w="2564" w:type="dxa"/>
                  <w:tcBorders>
                    <w:tl2br w:val="nil"/>
                    <w:tr2bl w:val="nil"/>
                  </w:tcBorders>
                  <w:noWrap w:val="0"/>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0.164</w:t>
                  </w:r>
                </w:p>
              </w:tc>
              <w:tc>
                <w:tcPr>
                  <w:tcW w:w="2608" w:type="dxa"/>
                  <w:tcBorders>
                    <w:tl2br w:val="nil"/>
                    <w:tr2bl w:val="nil"/>
                  </w:tcBorders>
                  <w:noWrap w:val="0"/>
                  <w:vAlign w:val="center"/>
                </w:tcPr>
                <w:p>
                  <w:pPr>
                    <w:bidi w:val="0"/>
                    <w:spacing w:line="240" w:lineRule="auto"/>
                    <w:ind w:left="0" w:leftChars="0"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 w:val="0"/>
                      <w:bCs w:val="0"/>
                      <w:color w:val="auto"/>
                      <w:sz w:val="21"/>
                      <w:szCs w:val="21"/>
                      <w:highlight w:val="none"/>
                      <w:lang w:val="en-US" w:eastAsia="zh-CN"/>
                    </w:rPr>
                    <w:t>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1" w:hRule="atLeast"/>
                <w:jc w:val="center"/>
              </w:trPr>
              <w:tc>
                <w:tcPr>
                  <w:tcW w:w="2820" w:type="dxa"/>
                  <w:gridSpan w:val="2"/>
                  <w:vMerge w:val="restart"/>
                  <w:tcBorders>
                    <w:tl2br w:val="nil"/>
                    <w:tr2bl w:val="nil"/>
                  </w:tcBorders>
                  <w:noWrap w:val="0"/>
                  <w:vAlign w:val="center"/>
                </w:tcPr>
                <w:p>
                  <w:pPr>
                    <w:pStyle w:val="62"/>
                    <w:spacing w:line="300" w:lineRule="exact"/>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全院</w:t>
                  </w:r>
                  <w:r>
                    <w:rPr>
                      <w:rFonts w:hint="default" w:ascii="Times New Roman" w:hAnsi="Times New Roman" w:cs="Times New Roman"/>
                      <w:color w:val="auto"/>
                      <w:sz w:val="21"/>
                      <w:szCs w:val="21"/>
                      <w:highlight w:val="none"/>
                      <w:lang w:val="en-US" w:eastAsia="zh-CN"/>
                    </w:rPr>
                    <w:t>排放口合计</w:t>
                  </w:r>
                </w:p>
              </w:tc>
              <w:tc>
                <w:tcPr>
                  <w:tcW w:w="6500" w:type="dxa"/>
                  <w:gridSpan w:val="3"/>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CODcr</w:t>
                  </w:r>
                </w:p>
              </w:tc>
              <w:tc>
                <w:tcPr>
                  <w:tcW w:w="2608"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1" w:hRule="atLeast"/>
                <w:jc w:val="center"/>
              </w:trPr>
              <w:tc>
                <w:tcPr>
                  <w:tcW w:w="2820" w:type="dxa"/>
                  <w:gridSpan w:val="2"/>
                  <w:vMerge w:val="continue"/>
                  <w:tcBorders>
                    <w:tl2br w:val="nil"/>
                    <w:tr2bl w:val="nil"/>
                  </w:tcBorders>
                  <w:noWrap w:val="0"/>
                  <w:vAlign w:val="center"/>
                </w:tcPr>
                <w:p>
                  <w:pPr>
                    <w:pStyle w:val="62"/>
                    <w:spacing w:line="300" w:lineRule="exact"/>
                    <w:ind w:left="1100" w:hanging="460"/>
                    <w:rPr>
                      <w:rFonts w:hint="default" w:ascii="Times New Roman" w:hAnsi="Times New Roman" w:cs="Times New Roman"/>
                      <w:color w:val="auto"/>
                      <w:sz w:val="21"/>
                      <w:szCs w:val="21"/>
                      <w:highlight w:val="none"/>
                      <w:lang w:val="en-US" w:eastAsia="zh-CN"/>
                    </w:rPr>
                  </w:pPr>
                </w:p>
              </w:tc>
              <w:tc>
                <w:tcPr>
                  <w:tcW w:w="6500" w:type="dxa"/>
                  <w:gridSpan w:val="3"/>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BOD</w:t>
                  </w:r>
                  <w:r>
                    <w:rPr>
                      <w:rFonts w:hint="default" w:ascii="Times New Roman" w:hAnsi="Times New Roman" w:eastAsia="宋体" w:cs="Times New Roman"/>
                      <w:snapToGrid w:val="0"/>
                      <w:color w:val="auto"/>
                      <w:kern w:val="0"/>
                      <w:sz w:val="21"/>
                      <w:szCs w:val="21"/>
                      <w:highlight w:val="none"/>
                      <w:vertAlign w:val="subscript"/>
                      <w:lang w:val="en-US" w:eastAsia="zh-CN"/>
                    </w:rPr>
                    <w:t>5</w:t>
                  </w:r>
                </w:p>
              </w:tc>
              <w:tc>
                <w:tcPr>
                  <w:tcW w:w="2608"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1" w:hRule="atLeast"/>
                <w:jc w:val="center"/>
              </w:trPr>
              <w:tc>
                <w:tcPr>
                  <w:tcW w:w="2820" w:type="dxa"/>
                  <w:gridSpan w:val="2"/>
                  <w:vMerge w:val="continue"/>
                  <w:tcBorders>
                    <w:tl2br w:val="nil"/>
                    <w:tr2bl w:val="nil"/>
                  </w:tcBorders>
                  <w:noWrap w:val="0"/>
                  <w:vAlign w:val="center"/>
                </w:tcPr>
                <w:p>
                  <w:pPr>
                    <w:pStyle w:val="62"/>
                    <w:spacing w:line="300" w:lineRule="exact"/>
                    <w:ind w:left="1100" w:hanging="460"/>
                    <w:rPr>
                      <w:rFonts w:hint="default" w:ascii="Times New Roman" w:hAnsi="Times New Roman" w:cs="Times New Roman"/>
                      <w:color w:val="auto"/>
                      <w:sz w:val="21"/>
                      <w:szCs w:val="21"/>
                      <w:highlight w:val="none"/>
                      <w:lang w:val="en-US" w:eastAsia="zh-CN"/>
                    </w:rPr>
                  </w:pPr>
                </w:p>
              </w:tc>
              <w:tc>
                <w:tcPr>
                  <w:tcW w:w="6500" w:type="dxa"/>
                  <w:gridSpan w:val="3"/>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SS</w:t>
                  </w:r>
                </w:p>
              </w:tc>
              <w:tc>
                <w:tcPr>
                  <w:tcW w:w="2608"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1" w:hRule="atLeast"/>
                <w:jc w:val="center"/>
              </w:trPr>
              <w:tc>
                <w:tcPr>
                  <w:tcW w:w="2820" w:type="dxa"/>
                  <w:gridSpan w:val="2"/>
                  <w:vMerge w:val="continue"/>
                  <w:tcBorders>
                    <w:tl2br w:val="nil"/>
                    <w:tr2bl w:val="nil"/>
                  </w:tcBorders>
                  <w:noWrap w:val="0"/>
                  <w:vAlign w:val="center"/>
                </w:tcPr>
                <w:p>
                  <w:pPr>
                    <w:pStyle w:val="62"/>
                    <w:spacing w:line="300" w:lineRule="exact"/>
                    <w:ind w:left="1100" w:hanging="460"/>
                    <w:rPr>
                      <w:rFonts w:hint="default" w:ascii="Times New Roman" w:hAnsi="Times New Roman" w:cs="Times New Roman"/>
                      <w:color w:val="auto"/>
                      <w:sz w:val="21"/>
                      <w:szCs w:val="21"/>
                      <w:highlight w:val="none"/>
                      <w:lang w:val="en-US" w:eastAsia="zh-CN"/>
                    </w:rPr>
                  </w:pPr>
                </w:p>
              </w:tc>
              <w:tc>
                <w:tcPr>
                  <w:tcW w:w="6500" w:type="dxa"/>
                  <w:gridSpan w:val="3"/>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氨氮</w:t>
                  </w:r>
                </w:p>
              </w:tc>
              <w:tc>
                <w:tcPr>
                  <w:tcW w:w="2608"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1" w:hRule="atLeast"/>
                <w:jc w:val="center"/>
              </w:trPr>
              <w:tc>
                <w:tcPr>
                  <w:tcW w:w="2820" w:type="dxa"/>
                  <w:gridSpan w:val="2"/>
                  <w:vMerge w:val="continue"/>
                  <w:tcBorders>
                    <w:tl2br w:val="nil"/>
                    <w:tr2bl w:val="nil"/>
                  </w:tcBorders>
                  <w:noWrap w:val="0"/>
                  <w:vAlign w:val="center"/>
                </w:tcPr>
                <w:p>
                  <w:pPr>
                    <w:pStyle w:val="62"/>
                    <w:spacing w:line="300" w:lineRule="exact"/>
                    <w:ind w:left="1100" w:hanging="460"/>
                    <w:rPr>
                      <w:rFonts w:hint="default" w:ascii="Times New Roman" w:hAnsi="Times New Roman" w:cs="Times New Roman"/>
                      <w:color w:val="auto"/>
                      <w:sz w:val="21"/>
                      <w:szCs w:val="21"/>
                      <w:highlight w:val="none"/>
                      <w:lang w:val="en-US" w:eastAsia="zh-CN"/>
                    </w:rPr>
                  </w:pPr>
                </w:p>
              </w:tc>
              <w:tc>
                <w:tcPr>
                  <w:tcW w:w="6500" w:type="dxa"/>
                  <w:gridSpan w:val="3"/>
                  <w:tcBorders>
                    <w:tl2br w:val="nil"/>
                    <w:tr2bl w:val="nil"/>
                  </w:tcBorders>
                  <w:noWrap w:val="0"/>
                  <w:vAlign w:val="center"/>
                </w:tcPr>
                <w:p>
                  <w:pPr>
                    <w:keepNext/>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b w:val="0"/>
                      <w:bCs w:val="0"/>
                      <w:color w:val="auto"/>
                      <w:sz w:val="21"/>
                      <w:szCs w:val="21"/>
                      <w:highlight w:val="none"/>
                      <w:lang w:val="en-US" w:eastAsia="zh-CN"/>
                    </w:rPr>
                    <w:t>粪大肠菌群</w:t>
                  </w:r>
                </w:p>
              </w:tc>
              <w:tc>
                <w:tcPr>
                  <w:tcW w:w="2608"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 w:val="0"/>
                      <w:bCs w:val="0"/>
                      <w:color w:val="auto"/>
                      <w:sz w:val="21"/>
                      <w:szCs w:val="21"/>
                      <w:highlight w:val="none"/>
                      <w:lang w:val="en-US" w:eastAsia="zh-CN"/>
                    </w:rPr>
                    <w:t>3.6×10</w:t>
                  </w:r>
                  <w:r>
                    <w:rPr>
                      <w:rFonts w:hint="eastAsia"/>
                      <w:b w:val="0"/>
                      <w:bCs w:val="0"/>
                      <w:color w:val="auto"/>
                      <w:sz w:val="21"/>
                      <w:szCs w:val="21"/>
                      <w:highlight w:val="none"/>
                      <w:vertAlign w:val="superscript"/>
                      <w:lang w:val="en-US" w:eastAsia="zh-CN"/>
                    </w:rPr>
                    <w:t>10</w:t>
                  </w:r>
                  <w:r>
                    <w:rPr>
                      <w:rFonts w:hint="eastAsia"/>
                      <w:b w:val="0"/>
                      <w:bCs w:val="0"/>
                      <w:color w:val="auto"/>
                      <w:sz w:val="21"/>
                      <w:szCs w:val="21"/>
                      <w:highlight w:val="none"/>
                      <w:vertAlign w:val="baseline"/>
                      <w:lang w:val="en-US" w:eastAsia="zh-CN"/>
                    </w:rPr>
                    <w:t>MPN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1" w:hRule="atLeast"/>
                <w:jc w:val="center"/>
              </w:trPr>
              <w:tc>
                <w:tcPr>
                  <w:tcW w:w="2820" w:type="dxa"/>
                  <w:gridSpan w:val="2"/>
                  <w:vMerge w:val="continue"/>
                  <w:tcBorders>
                    <w:tl2br w:val="nil"/>
                    <w:tr2bl w:val="nil"/>
                  </w:tcBorders>
                  <w:noWrap w:val="0"/>
                  <w:vAlign w:val="center"/>
                </w:tcPr>
                <w:p>
                  <w:pPr>
                    <w:pStyle w:val="62"/>
                    <w:spacing w:line="300" w:lineRule="exact"/>
                    <w:ind w:left="1100" w:hanging="460"/>
                    <w:rPr>
                      <w:rFonts w:hint="default" w:ascii="Times New Roman" w:hAnsi="Times New Roman" w:cs="Times New Roman"/>
                      <w:color w:val="auto"/>
                      <w:sz w:val="21"/>
                      <w:szCs w:val="21"/>
                      <w:highlight w:val="none"/>
                      <w:lang w:val="en-US" w:eastAsia="zh-CN"/>
                    </w:rPr>
                  </w:pPr>
                </w:p>
              </w:tc>
              <w:tc>
                <w:tcPr>
                  <w:tcW w:w="6500" w:type="dxa"/>
                  <w:gridSpan w:val="3"/>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eastAsia"/>
                      <w:b w:val="0"/>
                      <w:bCs w:val="0"/>
                      <w:color w:val="auto"/>
                      <w:sz w:val="21"/>
                      <w:szCs w:val="21"/>
                      <w:highlight w:val="none"/>
                      <w:lang w:val="en-US" w:eastAsia="zh-CN"/>
                    </w:rPr>
                    <w:t>LAS</w:t>
                  </w:r>
                </w:p>
              </w:tc>
              <w:tc>
                <w:tcPr>
                  <w:tcW w:w="2608" w:type="dxa"/>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 w:val="0"/>
                      <w:bCs w:val="0"/>
                      <w:color w:val="auto"/>
                      <w:sz w:val="21"/>
                      <w:szCs w:val="21"/>
                      <w:highlight w:val="none"/>
                      <w:lang w:val="en-US" w:eastAsia="zh-CN"/>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1" w:hRule="atLeast"/>
                <w:jc w:val="center"/>
              </w:trPr>
              <w:tc>
                <w:tcPr>
                  <w:tcW w:w="2820" w:type="dxa"/>
                  <w:gridSpan w:val="2"/>
                  <w:vMerge w:val="continue"/>
                  <w:tcBorders>
                    <w:tl2br w:val="nil"/>
                    <w:tr2bl w:val="nil"/>
                  </w:tcBorders>
                  <w:noWrap w:val="0"/>
                  <w:vAlign w:val="center"/>
                </w:tcPr>
                <w:p>
                  <w:pPr>
                    <w:pStyle w:val="62"/>
                    <w:spacing w:line="300" w:lineRule="exact"/>
                    <w:ind w:left="1100" w:hanging="460"/>
                    <w:rPr>
                      <w:rFonts w:hint="default" w:ascii="Times New Roman" w:hAnsi="Times New Roman" w:cs="Times New Roman"/>
                      <w:color w:val="auto"/>
                      <w:sz w:val="21"/>
                      <w:szCs w:val="21"/>
                      <w:highlight w:val="none"/>
                      <w:lang w:val="en-US" w:eastAsia="zh-CN"/>
                    </w:rPr>
                  </w:pPr>
                </w:p>
              </w:tc>
              <w:tc>
                <w:tcPr>
                  <w:tcW w:w="6500" w:type="dxa"/>
                  <w:gridSpan w:val="3"/>
                  <w:tcBorders>
                    <w:tl2br w:val="nil"/>
                    <w:tr2bl w:val="nil"/>
                  </w:tcBorders>
                  <w:noWrap w:val="0"/>
                  <w:vAlign w:val="center"/>
                </w:tcPr>
                <w:p>
                  <w:pPr>
                    <w:bidi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b w:val="0"/>
                      <w:bCs w:val="0"/>
                      <w:color w:val="auto"/>
                      <w:sz w:val="21"/>
                      <w:szCs w:val="21"/>
                      <w:highlight w:val="none"/>
                      <w:lang w:val="en-US" w:eastAsia="zh-CN"/>
                    </w:rPr>
                    <w:t>总余氯</w:t>
                  </w:r>
                </w:p>
              </w:tc>
              <w:tc>
                <w:tcPr>
                  <w:tcW w:w="2608" w:type="dxa"/>
                  <w:tcBorders>
                    <w:tl2br w:val="nil"/>
                    <w:tr2bl w:val="nil"/>
                  </w:tcBorders>
                  <w:noWrap w:val="0"/>
                  <w:vAlign w:val="center"/>
                </w:tcPr>
                <w:p>
                  <w:pPr>
                    <w:bidi w:val="0"/>
                    <w:spacing w:line="240" w:lineRule="auto"/>
                    <w:ind w:left="0" w:leftChars="0"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 w:val="0"/>
                      <w:bCs w:val="0"/>
                      <w:color w:val="auto"/>
                      <w:sz w:val="21"/>
                      <w:szCs w:val="21"/>
                      <w:highlight w:val="none"/>
                      <w:lang w:val="en-US" w:eastAsia="zh-CN"/>
                    </w:rPr>
                    <w:t>0.060</w:t>
                  </w:r>
                </w:p>
              </w:tc>
            </w:tr>
          </w:tbl>
          <w:p>
            <w:pPr>
              <w:keepNext w:val="0"/>
              <w:keepLines w:val="0"/>
              <w:widowControl/>
              <w:suppressLineNumbers w:val="0"/>
              <w:ind w:left="0" w:leftChars="0" w:firstLine="0" w:firstLineChars="0"/>
              <w:jc w:val="left"/>
              <w:rPr>
                <w:rFonts w:hint="default"/>
                <w:color w:val="auto"/>
                <w:highlight w:val="none"/>
                <w:lang w:val="en-US"/>
              </w:rPr>
            </w:pPr>
            <w:r>
              <w:rPr>
                <w:rFonts w:hint="default" w:ascii="Times New Roman" w:hAnsi="Times New Roman" w:eastAsia="宋体" w:cs="Times New Roman"/>
                <w:b/>
                <w:bCs/>
                <w:color w:val="auto"/>
                <w:kern w:val="0"/>
                <w:sz w:val="24"/>
                <w:szCs w:val="24"/>
                <w:highlight w:val="none"/>
                <w:lang w:val="en-US" w:eastAsia="zh-CN" w:bidi="ar"/>
              </w:rPr>
              <w:t>4.3.</w:t>
            </w:r>
            <w:r>
              <w:rPr>
                <w:rFonts w:hint="eastAsia"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 xml:space="preserve"> </w:t>
            </w:r>
            <w:r>
              <w:rPr>
                <w:rFonts w:hint="eastAsia" w:cs="Times New Roman"/>
                <w:b/>
                <w:bCs/>
                <w:color w:val="auto"/>
                <w:kern w:val="0"/>
                <w:sz w:val="24"/>
                <w:szCs w:val="24"/>
                <w:highlight w:val="none"/>
                <w:lang w:val="en-US" w:eastAsia="zh-CN" w:bidi="ar"/>
              </w:rPr>
              <w:t>监测要求</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根据《排污许可证申请与核发技术规范医疗机构》（</w:t>
            </w:r>
            <w:r>
              <w:rPr>
                <w:rFonts w:hint="default" w:ascii="Times New Roman" w:hAnsi="Times New Roman" w:eastAsia="宋体" w:cs="Times New Roman"/>
                <w:color w:val="auto"/>
                <w:kern w:val="0"/>
                <w:sz w:val="24"/>
                <w:szCs w:val="24"/>
                <w:highlight w:val="none"/>
                <w:lang w:val="en-US" w:eastAsia="zh-CN" w:bidi="ar"/>
              </w:rPr>
              <w:t>HJ1105-2020</w:t>
            </w:r>
            <w:r>
              <w:rPr>
                <w:rFonts w:hint="eastAsia" w:ascii="宋体" w:hAnsi="宋体" w:eastAsia="宋体" w:cs="宋体"/>
                <w:color w:val="auto"/>
                <w:kern w:val="0"/>
                <w:sz w:val="24"/>
                <w:szCs w:val="24"/>
                <w:highlight w:val="none"/>
                <w:lang w:val="en-US" w:eastAsia="zh-CN" w:bidi="ar"/>
              </w:rPr>
              <w:t>）及《排污单位自行监测技术指南总则》（</w:t>
            </w:r>
            <w:r>
              <w:rPr>
                <w:rFonts w:hint="default" w:ascii="Times New Roman" w:hAnsi="Times New Roman" w:eastAsia="宋体" w:cs="Times New Roman"/>
                <w:color w:val="auto"/>
                <w:kern w:val="0"/>
                <w:sz w:val="24"/>
                <w:szCs w:val="24"/>
                <w:highlight w:val="none"/>
                <w:lang w:val="en-US" w:eastAsia="zh-CN" w:bidi="ar"/>
              </w:rPr>
              <w:t>HJ819-2017</w:t>
            </w:r>
            <w:r>
              <w:rPr>
                <w:rFonts w:hint="eastAsia" w:ascii="宋体" w:hAnsi="宋体" w:eastAsia="宋体" w:cs="宋体"/>
                <w:color w:val="auto"/>
                <w:kern w:val="0"/>
                <w:sz w:val="24"/>
                <w:szCs w:val="24"/>
                <w:highlight w:val="none"/>
                <w:lang w:val="en-US" w:eastAsia="zh-CN" w:bidi="ar"/>
              </w:rPr>
              <w:t>）可知，项目废水监测要求如下表。</w:t>
            </w:r>
          </w:p>
          <w:p>
            <w:pPr>
              <w:adjustRightInd w:val="0"/>
              <w:snapToGrid w:val="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val="0"/>
                <w:color w:val="auto"/>
                <w:kern w:val="0"/>
                <w:sz w:val="24"/>
                <w:szCs w:val="24"/>
                <w:highlight w:val="none"/>
                <w:lang w:val="en-US" w:eastAsia="zh-CN"/>
              </w:rPr>
              <w:t>表4.16   废水污染物排放信息表（新建项目）</w:t>
            </w:r>
          </w:p>
          <w:tbl>
            <w:tblPr>
              <w:tblStyle w:val="29"/>
              <w:tblW w:w="119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2619"/>
              <w:gridCol w:w="2700"/>
              <w:gridCol w:w="3508"/>
              <w:gridCol w:w="1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210" w:firstLineChars="100"/>
                    <w:contextualSpacing/>
                    <w:jc w:val="both"/>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类别</w:t>
                  </w:r>
                </w:p>
              </w:tc>
              <w:tc>
                <w:tcPr>
                  <w:tcW w:w="261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监测</w:t>
                  </w:r>
                  <w:r>
                    <w:rPr>
                      <w:rFonts w:hint="eastAsia" w:cs="Times New Roman"/>
                      <w:color w:val="auto"/>
                      <w:sz w:val="21"/>
                      <w:szCs w:val="21"/>
                      <w:highlight w:val="none"/>
                      <w:lang w:val="en-US" w:eastAsia="zh-CN"/>
                    </w:rPr>
                    <w:t>点位</w:t>
                  </w:r>
                </w:p>
              </w:tc>
              <w:tc>
                <w:tcPr>
                  <w:tcW w:w="270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监测因子</w:t>
                  </w:r>
                </w:p>
              </w:tc>
              <w:tc>
                <w:tcPr>
                  <w:tcW w:w="3508"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执行标准</w:t>
                  </w:r>
                </w:p>
              </w:tc>
              <w:tc>
                <w:tcPr>
                  <w:tcW w:w="176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332"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医疗</w:t>
                  </w:r>
                  <w:r>
                    <w:rPr>
                      <w:rFonts w:hint="default" w:cs="Times New Roman"/>
                      <w:color w:val="auto"/>
                      <w:sz w:val="21"/>
                      <w:szCs w:val="21"/>
                      <w:highlight w:val="none"/>
                      <w:lang w:val="en-US" w:eastAsia="zh-CN"/>
                    </w:rPr>
                    <w:t>废水</w:t>
                  </w:r>
                </w:p>
              </w:tc>
              <w:tc>
                <w:tcPr>
                  <w:tcW w:w="2619" w:type="dxa"/>
                  <w:vMerge w:val="restart"/>
                  <w:tcBorders>
                    <w:top w:val="single" w:color="auto" w:sz="4" w:space="0"/>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医疗废水处理设施出口</w:t>
                  </w:r>
                </w:p>
              </w:tc>
              <w:tc>
                <w:tcPr>
                  <w:tcW w:w="270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流量</w:t>
                  </w:r>
                </w:p>
              </w:tc>
              <w:tc>
                <w:tcPr>
                  <w:tcW w:w="3508" w:type="dxa"/>
                  <w:vMerge w:val="restart"/>
                  <w:tcBorders>
                    <w:top w:val="single" w:color="auto" w:sz="4" w:space="0"/>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《医疗机构水污染物排放标准》（</w:t>
                  </w:r>
                  <w:r>
                    <w:rPr>
                      <w:rFonts w:hint="default" w:cs="Times New Roman"/>
                      <w:color w:val="auto"/>
                      <w:sz w:val="21"/>
                      <w:szCs w:val="21"/>
                      <w:highlight w:val="none"/>
                      <w:lang w:val="en-US" w:eastAsia="zh-CN"/>
                    </w:rPr>
                    <w:t>GB18466-2005</w:t>
                  </w:r>
                  <w:r>
                    <w:rPr>
                      <w:rFonts w:hint="eastAsia" w:cs="Times New Roman"/>
                      <w:color w:val="auto"/>
                      <w:sz w:val="21"/>
                      <w:szCs w:val="21"/>
                      <w:highlight w:val="none"/>
                      <w:lang w:val="en-US" w:eastAsia="zh-CN"/>
                    </w:rPr>
                    <w:t>）预处理标准（氨氮达《污水排入城镇下水道水质标准 》（</w:t>
                  </w:r>
                  <w:r>
                    <w:rPr>
                      <w:rFonts w:hint="default" w:cs="Times New Roman"/>
                      <w:color w:val="auto"/>
                      <w:sz w:val="21"/>
                      <w:szCs w:val="21"/>
                      <w:highlight w:val="none"/>
                      <w:lang w:val="en-US" w:eastAsia="zh-CN"/>
                    </w:rPr>
                    <w:t>GB/T31962-2015</w:t>
                  </w:r>
                  <w:r>
                    <w:rPr>
                      <w:rFonts w:hint="eastAsia" w:cs="Times New Roman"/>
                      <w:color w:val="auto"/>
                      <w:sz w:val="21"/>
                      <w:szCs w:val="21"/>
                      <w:highlight w:val="none"/>
                      <w:lang w:val="en-US" w:eastAsia="zh-CN"/>
                    </w:rPr>
                    <w:t>）</w:t>
                  </w:r>
                  <w:r>
                    <w:rPr>
                      <w:rFonts w:hint="default" w:cs="Times New Roman"/>
                      <w:color w:val="auto"/>
                      <w:sz w:val="21"/>
                      <w:szCs w:val="21"/>
                      <w:highlight w:val="none"/>
                      <w:lang w:val="en-US" w:eastAsia="zh-CN"/>
                    </w:rPr>
                    <w:t>B</w:t>
                  </w:r>
                  <w:r>
                    <w:rPr>
                      <w:rFonts w:hint="eastAsia" w:cs="Times New Roman"/>
                      <w:color w:val="auto"/>
                      <w:sz w:val="21"/>
                      <w:szCs w:val="21"/>
                      <w:highlight w:val="none"/>
                      <w:lang w:val="en-US" w:eastAsia="zh-CN"/>
                    </w:rPr>
                    <w:t>级标准）</w:t>
                  </w:r>
                </w:p>
              </w:tc>
              <w:tc>
                <w:tcPr>
                  <w:tcW w:w="176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自动监测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jc w:val="center"/>
              </w:trPr>
              <w:tc>
                <w:tcPr>
                  <w:tcW w:w="1332"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2619"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270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pH、</w:t>
                  </w:r>
                  <w:r>
                    <w:rPr>
                      <w:rFonts w:hint="eastAsia" w:ascii="Times New Roman" w:hAnsi="Times New Roman" w:eastAsia="宋体" w:cs="Times New Roman"/>
                      <w:color w:val="auto"/>
                      <w:kern w:val="0"/>
                      <w:sz w:val="21"/>
                      <w:szCs w:val="21"/>
                      <w:highlight w:val="none"/>
                      <w:lang w:val="en-US" w:eastAsia="zh-CN" w:bidi="ar"/>
                    </w:rPr>
                    <w:t>总余氯</w:t>
                  </w:r>
                </w:p>
              </w:tc>
              <w:tc>
                <w:tcPr>
                  <w:tcW w:w="3508"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1769"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left"/>
                    <w:rPr>
                      <w:rFonts w:hint="eastAsia"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 xml:space="preserve">1 </w:t>
                  </w:r>
                  <w:r>
                    <w:rPr>
                      <w:rFonts w:hint="eastAsia" w:ascii="宋体" w:hAnsi="宋体" w:eastAsia="宋体" w:cs="宋体"/>
                      <w:color w:val="auto"/>
                      <w:kern w:val="0"/>
                      <w:sz w:val="21"/>
                      <w:szCs w:val="21"/>
                      <w:highlight w:val="none"/>
                      <w:lang w:val="en-US" w:eastAsia="zh-CN" w:bidi="ar"/>
                    </w:rPr>
                    <w:t>次</w:t>
                  </w:r>
                  <w:r>
                    <w:rPr>
                      <w:rFonts w:hint="default" w:ascii="Times New Roman" w:hAnsi="Times New Roman" w:eastAsia="宋体" w:cs="Times New Roman"/>
                      <w:color w:val="auto"/>
                      <w:kern w:val="0"/>
                      <w:sz w:val="21"/>
                      <w:szCs w:val="21"/>
                      <w:highlight w:val="none"/>
                      <w:lang w:val="en-US" w:eastAsia="zh-CN" w:bidi="ar"/>
                    </w:rPr>
                    <w:t>/12h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332"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2619"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270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COD、SS</w:t>
                  </w:r>
                </w:p>
              </w:tc>
              <w:tc>
                <w:tcPr>
                  <w:tcW w:w="3508"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1769"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left"/>
                    <w:rPr>
                      <w:rFonts w:hint="eastAsia"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 xml:space="preserve">1 </w:t>
                  </w:r>
                  <w:r>
                    <w:rPr>
                      <w:rFonts w:hint="eastAsia" w:ascii="宋体" w:hAnsi="宋体" w:eastAsia="宋体" w:cs="宋体"/>
                      <w:color w:val="auto"/>
                      <w:kern w:val="0"/>
                      <w:sz w:val="21"/>
                      <w:szCs w:val="21"/>
                      <w:highlight w:val="none"/>
                      <w:lang w:val="en-US" w:eastAsia="zh-CN" w:bidi="ar"/>
                    </w:rPr>
                    <w:t>次</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1332"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2619"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2700" w:type="dxa"/>
                  <w:tcBorders>
                    <w:top w:val="single" w:color="auto" w:sz="4" w:space="0"/>
                    <w:left w:val="nil"/>
                    <w:right w:val="single" w:color="auto" w:sz="4" w:space="0"/>
                  </w:tcBorders>
                  <w:noWrap w:val="0"/>
                  <w:vAlign w:val="center"/>
                </w:tcPr>
                <w:p>
                  <w:pPr>
                    <w:keepNext w:val="0"/>
                    <w:keepLines w:val="0"/>
                    <w:widowControl/>
                    <w:suppressLineNumbers w:val="0"/>
                    <w:ind w:left="0" w:leftChars="0" w:firstLine="0" w:firstLineChars="0"/>
                    <w:jc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BOD</w:t>
                  </w:r>
                  <w:r>
                    <w:rPr>
                      <w:rFonts w:hint="default" w:ascii="Times New Roman" w:hAnsi="Times New Roman" w:eastAsia="宋体" w:cs="Times New Roman"/>
                      <w:color w:val="auto"/>
                      <w:kern w:val="0"/>
                      <w:sz w:val="21"/>
                      <w:szCs w:val="21"/>
                      <w:highlight w:val="none"/>
                      <w:vertAlign w:val="subscript"/>
                      <w:lang w:val="en-US" w:eastAsia="zh-CN" w:bidi="ar"/>
                    </w:rPr>
                    <w:t>5</w:t>
                  </w:r>
                  <w:r>
                    <w:rPr>
                      <w:rFonts w:hint="eastAsia" w:ascii="宋体" w:hAnsi="宋体" w:eastAsia="宋体" w:cs="宋体"/>
                      <w:color w:val="auto"/>
                      <w:kern w:val="0"/>
                      <w:sz w:val="21"/>
                      <w:szCs w:val="21"/>
                      <w:highlight w:val="none"/>
                      <w:lang w:val="en-US" w:eastAsia="zh-CN" w:bidi="ar"/>
                    </w:rPr>
                    <w:t>、氨氮、</w:t>
                  </w:r>
                  <w:r>
                    <w:rPr>
                      <w:rFonts w:hint="default" w:ascii="Times New Roman" w:hAnsi="Times New Roman" w:eastAsia="宋体" w:cs="Times New Roman"/>
                      <w:color w:val="auto"/>
                      <w:kern w:val="0"/>
                      <w:sz w:val="21"/>
                      <w:szCs w:val="21"/>
                      <w:highlight w:val="none"/>
                      <w:lang w:val="en-US" w:eastAsia="zh-CN" w:bidi="ar"/>
                    </w:rPr>
                    <w:t>LAS</w:t>
                  </w:r>
                </w:p>
              </w:tc>
              <w:tc>
                <w:tcPr>
                  <w:tcW w:w="3508"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1769" w:type="dxa"/>
                  <w:tcBorders>
                    <w:top w:val="single" w:color="auto" w:sz="4" w:space="0"/>
                    <w:left w:val="nil"/>
                    <w:right w:val="single" w:color="auto" w:sz="4" w:space="0"/>
                  </w:tcBorders>
                  <w:noWrap w:val="0"/>
                  <w:vAlign w:val="center"/>
                </w:tcPr>
                <w:p>
                  <w:pPr>
                    <w:keepNext w:val="0"/>
                    <w:keepLines w:val="0"/>
                    <w:widowControl/>
                    <w:suppressLineNumbers w:val="0"/>
                    <w:jc w:val="left"/>
                    <w:rPr>
                      <w:rFonts w:hint="eastAsia"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 xml:space="preserve">1 </w:t>
                  </w:r>
                  <w:r>
                    <w:rPr>
                      <w:rFonts w:hint="eastAsia" w:ascii="宋体" w:hAnsi="宋体" w:eastAsia="宋体" w:cs="宋体"/>
                      <w:color w:val="auto"/>
                      <w:kern w:val="0"/>
                      <w:sz w:val="21"/>
                      <w:szCs w:val="21"/>
                      <w:highlight w:val="none"/>
                      <w:lang w:val="en-US" w:eastAsia="zh-CN" w:bidi="ar"/>
                    </w:rPr>
                    <w:t>次</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季度</w:t>
                  </w:r>
                </w:p>
              </w:tc>
            </w:tr>
          </w:tbl>
          <w:p>
            <w:pPr>
              <w:pStyle w:val="24"/>
              <w:spacing w:before="0" w:beforeAutospacing="0" w:after="0" w:afterAutospacing="0" w:line="360" w:lineRule="auto"/>
              <w:ind w:left="0" w:leftChars="0" w:firstLine="0" w:firstLineChars="0"/>
              <w:outlineLvl w:val="0"/>
              <w:rPr>
                <w:rFonts w:hint="eastAsia" w:ascii="Times New Roman" w:hAnsi="Times New Roman"/>
                <w:snapToGrid w:val="0"/>
                <w:color w:val="auto"/>
                <w:szCs w:val="24"/>
                <w:highlight w:val="none"/>
                <w:lang w:val="en-US" w:eastAsia="zh-CN"/>
              </w:rPr>
            </w:pPr>
          </w:p>
          <w:p>
            <w:pPr>
              <w:pStyle w:val="24"/>
              <w:spacing w:before="0" w:beforeAutospacing="0" w:after="0" w:afterAutospacing="0" w:line="360" w:lineRule="auto"/>
              <w:outlineLvl w:val="0"/>
              <w:rPr>
                <w:rFonts w:hint="eastAsia" w:ascii="Times New Roman" w:hAnsi="Times New Roman"/>
                <w:snapToGrid w:val="0"/>
                <w:color w:val="auto"/>
                <w:szCs w:val="24"/>
                <w:highlight w:val="none"/>
                <w:lang w:val="en-US" w:eastAsia="zh-CN"/>
              </w:rPr>
            </w:pPr>
          </w:p>
          <w:p>
            <w:pPr>
              <w:pStyle w:val="24"/>
              <w:spacing w:before="0" w:beforeAutospacing="0" w:after="0" w:afterAutospacing="0" w:line="360" w:lineRule="auto"/>
              <w:outlineLvl w:val="0"/>
              <w:rPr>
                <w:rFonts w:hint="eastAsia" w:ascii="Times New Roman" w:hAnsi="Times New Roman"/>
                <w:snapToGrid w:val="0"/>
                <w:color w:val="auto"/>
                <w:szCs w:val="24"/>
                <w:highlight w:val="none"/>
                <w:lang w:val="en-US" w:eastAsia="zh-CN"/>
              </w:rPr>
            </w:pPr>
          </w:p>
          <w:p>
            <w:pPr>
              <w:pStyle w:val="24"/>
              <w:spacing w:before="0" w:beforeAutospacing="0" w:after="0" w:afterAutospacing="0" w:line="360" w:lineRule="auto"/>
              <w:outlineLvl w:val="0"/>
              <w:rPr>
                <w:rFonts w:hint="eastAsia" w:ascii="Times New Roman" w:hAnsi="Times New Roman"/>
                <w:snapToGrid w:val="0"/>
                <w:color w:val="auto"/>
                <w:szCs w:val="24"/>
                <w:highlight w:val="none"/>
                <w:lang w:val="en-US" w:eastAsia="zh-CN"/>
              </w:rPr>
            </w:pPr>
          </w:p>
          <w:p>
            <w:pPr>
              <w:pStyle w:val="24"/>
              <w:spacing w:before="0" w:beforeAutospacing="0" w:after="0" w:afterAutospacing="0" w:line="360" w:lineRule="auto"/>
              <w:outlineLvl w:val="0"/>
              <w:rPr>
                <w:rFonts w:hint="eastAsia" w:ascii="Times New Roman" w:hAnsi="Times New Roman"/>
                <w:snapToGrid w:val="0"/>
                <w:color w:val="auto"/>
                <w:szCs w:val="24"/>
                <w:highlight w:val="none"/>
                <w:lang w:val="en-US" w:eastAsia="zh-CN"/>
              </w:rPr>
            </w:pPr>
          </w:p>
          <w:p>
            <w:pPr>
              <w:pStyle w:val="24"/>
              <w:spacing w:before="0" w:beforeAutospacing="0" w:after="0" w:afterAutospacing="0" w:line="360" w:lineRule="auto"/>
              <w:outlineLvl w:val="0"/>
              <w:rPr>
                <w:rFonts w:hint="eastAsia" w:ascii="Times New Roman" w:hAnsi="Times New Roman"/>
                <w:snapToGrid w:val="0"/>
                <w:color w:val="auto"/>
                <w:szCs w:val="24"/>
                <w:highlight w:val="none"/>
                <w:lang w:val="en-US" w:eastAsia="zh-CN"/>
              </w:rPr>
            </w:pPr>
          </w:p>
          <w:p>
            <w:pPr>
              <w:pStyle w:val="24"/>
              <w:spacing w:before="0" w:beforeAutospacing="0" w:after="0" w:afterAutospacing="0" w:line="360" w:lineRule="auto"/>
              <w:outlineLvl w:val="0"/>
              <w:rPr>
                <w:rFonts w:hint="eastAsia" w:ascii="Times New Roman" w:hAnsi="Times New Roman"/>
                <w:snapToGrid w:val="0"/>
                <w:color w:val="auto"/>
                <w:szCs w:val="24"/>
                <w:highlight w:val="none"/>
                <w:lang w:val="en-US" w:eastAsia="zh-CN"/>
              </w:rPr>
            </w:pPr>
          </w:p>
          <w:p>
            <w:pPr>
              <w:pStyle w:val="24"/>
              <w:spacing w:before="0" w:beforeAutospacing="0" w:after="0" w:afterAutospacing="0" w:line="360" w:lineRule="auto"/>
              <w:outlineLvl w:val="0"/>
              <w:rPr>
                <w:rFonts w:hint="eastAsia" w:ascii="Times New Roman" w:hAnsi="Times New Roman"/>
                <w:snapToGrid w:val="0"/>
                <w:color w:val="auto"/>
                <w:szCs w:val="24"/>
                <w:highlight w:val="none"/>
                <w:lang w:val="en-US" w:eastAsia="zh-CN"/>
              </w:rPr>
            </w:pPr>
          </w:p>
          <w:p>
            <w:pPr>
              <w:pStyle w:val="24"/>
              <w:spacing w:before="0" w:beforeAutospacing="0" w:after="0" w:afterAutospacing="0" w:line="360" w:lineRule="auto"/>
              <w:ind w:left="0" w:leftChars="0" w:firstLine="0" w:firstLineChars="0"/>
              <w:outlineLvl w:val="0"/>
              <w:rPr>
                <w:rFonts w:hint="eastAsia" w:ascii="Times New Roman" w:hAnsi="Times New Roman"/>
                <w:snapToGrid w:val="0"/>
                <w:color w:val="auto"/>
                <w:szCs w:val="24"/>
                <w:highlight w:val="none"/>
                <w:lang w:val="en-US" w:eastAsia="zh-CN"/>
              </w:rPr>
            </w:pPr>
          </w:p>
        </w:tc>
      </w:tr>
    </w:tbl>
    <w:p>
      <w:pPr>
        <w:pStyle w:val="24"/>
        <w:jc w:val="center"/>
        <w:outlineLvl w:val="0"/>
        <w:rPr>
          <w:rFonts w:ascii="Times New Roman" w:hAnsi="Times New Roman" w:eastAsia="黑体"/>
          <w:snapToGrid w:val="0"/>
          <w:color w:val="auto"/>
          <w:sz w:val="30"/>
          <w:szCs w:val="30"/>
          <w:highlight w:val="none"/>
        </w:rPr>
        <w:sectPr>
          <w:pgSz w:w="16838" w:h="11906" w:orient="landscape"/>
          <w:pgMar w:top="1531" w:right="1701" w:bottom="1531" w:left="1701"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9"/>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8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36" w:hRule="atLeast"/>
          <w:jc w:val="center"/>
        </w:trPr>
        <w:tc>
          <w:tcPr>
            <w:tcW w:w="547" w:type="dxa"/>
            <w:tcBorders>
              <w:tl2br w:val="nil"/>
              <w:tr2bl w:val="nil"/>
            </w:tcBorders>
            <w:vAlign w:val="center"/>
          </w:tcPr>
          <w:p>
            <w:pPr>
              <w:adjustRightInd w:val="0"/>
              <w:snapToGrid w:val="0"/>
              <w:ind w:left="0" w:leftChars="0" w:firstLine="0" w:firstLineChars="0"/>
              <w:jc w:val="center"/>
              <w:rPr>
                <w:color w:val="auto"/>
                <w:kern w:val="0"/>
                <w:szCs w:val="21"/>
                <w:highlight w:val="none"/>
              </w:rPr>
            </w:pPr>
          </w:p>
        </w:tc>
        <w:tc>
          <w:tcPr>
            <w:tcW w:w="8513" w:type="dxa"/>
            <w:tcBorders>
              <w:tl2br w:val="nil"/>
              <w:tr2bl w:val="nil"/>
            </w:tcBorders>
            <w:vAlign w:val="center"/>
          </w:tcPr>
          <w:p>
            <w:pPr>
              <w:pStyle w:val="3"/>
              <w:bidi w:val="0"/>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4.</w:t>
            </w:r>
            <w:r>
              <w:rPr>
                <w:rFonts w:hint="eastAsia" w:ascii="Times New Roman" w:hAnsi="Times New Roman" w:cs="Times New Roman"/>
                <w:b/>
                <w:bCs/>
                <w:color w:val="auto"/>
                <w:kern w:val="2"/>
                <w:sz w:val="24"/>
                <w:szCs w:val="24"/>
                <w:highlight w:val="none"/>
                <w:lang w:val="en-US" w:eastAsia="zh-CN" w:bidi="ar-SA"/>
              </w:rPr>
              <w:t>4</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eastAsia" w:ascii="Times New Roman" w:hAnsi="Times New Roman" w:cs="Times New Roman"/>
                <w:b/>
                <w:bCs/>
                <w:color w:val="auto"/>
                <w:kern w:val="2"/>
                <w:sz w:val="24"/>
                <w:szCs w:val="24"/>
                <w:highlight w:val="none"/>
                <w:lang w:val="en-US" w:eastAsia="zh-CN" w:bidi="ar-SA"/>
              </w:rPr>
              <w:t>噪声</w:t>
            </w:r>
            <w:r>
              <w:rPr>
                <w:rFonts w:hint="eastAsia" w:ascii="Times New Roman" w:hAnsi="Times New Roman" w:eastAsia="宋体" w:cs="Times New Roman"/>
                <w:b/>
                <w:bCs/>
                <w:color w:val="auto"/>
                <w:kern w:val="2"/>
                <w:sz w:val="24"/>
                <w:szCs w:val="24"/>
                <w:highlight w:val="none"/>
                <w:lang w:val="en-US" w:eastAsia="zh-CN" w:bidi="ar-SA"/>
              </w:rPr>
              <w:t>环境影响分析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contextualSpacing/>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噪声源强</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项目医疗服务噪声主要来源于风机、空调外机等运行时的噪声及人员活动噪声，噪声源强</w:t>
            </w:r>
            <w:r>
              <w:rPr>
                <w:rFonts w:hint="eastAsia" w:ascii="Times New Roman" w:hAnsi="Times New Roman" w:eastAsia="宋体"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0</w:t>
            </w:r>
            <w:r>
              <w:rPr>
                <w:rFonts w:hint="eastAsia" w:ascii="宋体" w:hAnsi="宋体" w:eastAsia="宋体" w:cs="宋体"/>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85</w:t>
            </w:r>
            <w:r>
              <w:rPr>
                <w:rFonts w:hint="default" w:ascii="Times New Roman" w:hAnsi="Times New Roman" w:eastAsia="宋体" w:cs="Times New Roman"/>
                <w:color w:val="auto"/>
                <w:kern w:val="0"/>
                <w:sz w:val="24"/>
                <w:szCs w:val="24"/>
                <w:highlight w:val="none"/>
                <w:lang w:val="en-US" w:eastAsia="zh-CN" w:bidi="ar"/>
              </w:rPr>
              <w:t>dB</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contextualSpacing/>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（2）噪声影响及达标分析</w:t>
            </w:r>
          </w:p>
          <w:p>
            <w:pPr>
              <w:keepNext w:val="0"/>
              <w:keepLines w:val="0"/>
              <w:pageBreakBefore w:val="0"/>
              <w:widowControl w:val="0"/>
              <w:kinsoku/>
              <w:wordWrap/>
              <w:overflowPunct/>
              <w:topLinePunct w:val="0"/>
              <w:autoSpaceDE/>
              <w:autoSpaceDN/>
              <w:bidi w:val="0"/>
              <w:spacing w:line="460" w:lineRule="exact"/>
              <w:ind w:firstLine="480" w:firstLineChars="200"/>
              <w:textAlignment w:val="auto"/>
              <w:rPr>
                <w:bCs/>
                <w:color w:val="auto"/>
                <w:sz w:val="24"/>
                <w:szCs w:val="24"/>
                <w:highlight w:val="none"/>
              </w:rPr>
            </w:pPr>
            <w:r>
              <w:rPr>
                <w:color w:val="auto"/>
                <w:sz w:val="24"/>
                <w:szCs w:val="24"/>
                <w:highlight w:val="none"/>
              </w:rPr>
              <w:t>根据《环境影响评价技术导则 声环境》（HJ2.4－2021）中推荐的以下公式，对项目的声环境影响进行预测。</w:t>
            </w:r>
          </w:p>
          <w:p>
            <w:pPr>
              <w:pStyle w:val="142"/>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ascii="Times New Roman" w:hAnsi="Times New Roman" w:cs="Times New Roman"/>
                <w:bCs/>
                <w:color w:val="auto"/>
                <w:sz w:val="24"/>
                <w:szCs w:val="24"/>
                <w:highlight w:val="none"/>
              </w:rPr>
            </w:pPr>
            <w:r>
              <w:rPr>
                <w:rFonts w:ascii="Times New Roman" w:hAnsi="Times New Roman" w:cs="Times New Roman"/>
                <w:color w:val="auto"/>
                <w:sz w:val="24"/>
                <w:szCs w:val="24"/>
                <w:highlight w:val="none"/>
              </w:rPr>
              <w:t>室内声源等效室外声源声功率级计算方法：</w:t>
            </w:r>
          </w:p>
          <w:p>
            <w:pPr>
              <w:pStyle w:val="142"/>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ascii="Times New Roman" w:hAnsi="Times New Roman" w:cs="Times New Roman"/>
                <w:color w:val="auto"/>
                <w:sz w:val="24"/>
                <w:szCs w:val="24"/>
                <w:highlight w:val="none"/>
              </w:rPr>
            </w:pPr>
            <w:r>
              <w:rPr>
                <w:rFonts w:ascii="Times New Roman" w:hAnsi="Times New Roman" w:cs="Times New Roman"/>
                <w:bCs/>
                <w:color w:val="auto"/>
                <w:sz w:val="24"/>
                <w:szCs w:val="24"/>
                <w:highlight w:val="none"/>
              </w:rPr>
              <w:t>A</w:t>
            </w:r>
            <w:r>
              <w:rPr>
                <w:rFonts w:hint="eastAsia" w:ascii="Times New Roman" w:hAnsi="Times New Roman" w:cs="Times New Roman"/>
                <w:bCs/>
                <w:color w:val="auto"/>
                <w:sz w:val="24"/>
                <w:szCs w:val="24"/>
                <w:highlight w:val="none"/>
                <w:lang w:eastAsia="zh-CN"/>
              </w:rPr>
              <w:t>.</w:t>
            </w:r>
            <w:r>
              <w:rPr>
                <w:rFonts w:ascii="Times New Roman" w:hAnsi="Times New Roman" w:cs="Times New Roman"/>
                <w:bCs/>
                <w:color w:val="auto"/>
                <w:sz w:val="24"/>
                <w:szCs w:val="24"/>
                <w:highlight w:val="none"/>
              </w:rPr>
              <w:t>室内声源靠近围护结构处的倍频带声压级或A声级</w:t>
            </w:r>
          </w:p>
          <w:p>
            <w:pPr>
              <w:spacing w:line="360" w:lineRule="auto"/>
              <w:ind w:firstLine="420" w:firstLineChars="200"/>
              <w:jc w:val="center"/>
              <w:rPr>
                <w:color w:val="auto"/>
                <w:sz w:val="21"/>
                <w:szCs w:val="21"/>
                <w:highlight w:val="none"/>
              </w:rPr>
            </w:pPr>
            <w:r>
              <w:rPr>
                <w:bCs/>
                <w:color w:val="auto"/>
                <w:sz w:val="21"/>
                <w:szCs w:val="21"/>
                <w:highlight w:val="none"/>
              </w:rPr>
              <w:object>
                <v:shape id="_x0000_i1025" o:spt="75" type="#_x0000_t75" style="height:33.5pt;width:137.25pt;" o:ole="t" filled="f" o:preferrelative="t" stroked="f" coordsize="21600,21600">
                  <v:path/>
                  <v:fill on="f" focussize="0,0"/>
                  <v:stroke on="f"/>
                  <v:imagedata r:id="rId20" o:title=""/>
                  <o:lock v:ext="edit" aspectratio="t"/>
                  <w10:wrap type="none"/>
                  <w10:anchorlock/>
                </v:shape>
                <o:OLEObject Type="Embed" ProgID="Equations" ShapeID="_x0000_i1025" DrawAspect="Content" ObjectID="_1468075725" r:id="rId19">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color w:val="auto"/>
                <w:sz w:val="24"/>
                <w:szCs w:val="24"/>
                <w:highlight w:val="none"/>
              </w:rPr>
            </w:pPr>
            <w:r>
              <w:rPr>
                <w:bCs/>
                <w:color w:val="auto"/>
                <w:sz w:val="24"/>
                <w:szCs w:val="24"/>
                <w:highlight w:val="none"/>
              </w:rPr>
              <w:t>式中：L</w:t>
            </w:r>
            <w:r>
              <w:rPr>
                <w:bCs/>
                <w:color w:val="auto"/>
                <w:sz w:val="24"/>
                <w:szCs w:val="24"/>
                <w:highlight w:val="none"/>
                <w:vertAlign w:val="subscript"/>
              </w:rPr>
              <w:t>p1</w:t>
            </w:r>
            <w:r>
              <w:rPr>
                <w:bCs/>
                <w:color w:val="auto"/>
                <w:sz w:val="24"/>
                <w:szCs w:val="24"/>
                <w:highlight w:val="none"/>
              </w:rPr>
              <w:t>——靠近开口处（或窗户）室内某倍频带的声压级或A声级，</w:t>
            </w:r>
            <w:r>
              <w:rPr>
                <w:color w:val="auto"/>
                <w:sz w:val="24"/>
                <w:szCs w:val="24"/>
                <w:highlight w:val="none"/>
              </w:rPr>
              <w:t>dB；</w:t>
            </w:r>
          </w:p>
          <w:p>
            <w:pPr>
              <w:keepNext w:val="0"/>
              <w:keepLines w:val="0"/>
              <w:pageBreakBefore w:val="0"/>
              <w:widowControl w:val="0"/>
              <w:kinsoku/>
              <w:wordWrap/>
              <w:overflowPunct/>
              <w:topLinePunct w:val="0"/>
              <w:autoSpaceDE/>
              <w:autoSpaceDN/>
              <w:bidi w:val="0"/>
              <w:adjustRightInd w:val="0"/>
              <w:snapToGrid w:val="0"/>
              <w:spacing w:line="460" w:lineRule="exact"/>
              <w:ind w:firstLine="1200" w:firstLineChars="500"/>
              <w:textAlignment w:val="auto"/>
              <w:rPr>
                <w:bCs/>
                <w:color w:val="auto"/>
                <w:sz w:val="24"/>
                <w:szCs w:val="24"/>
                <w:highlight w:val="none"/>
              </w:rPr>
            </w:pPr>
            <w:r>
              <w:rPr>
                <w:bCs/>
                <w:color w:val="auto"/>
                <w:sz w:val="24"/>
                <w:szCs w:val="24"/>
                <w:highlight w:val="none"/>
              </w:rPr>
              <w:t>L</w:t>
            </w:r>
            <w:r>
              <w:rPr>
                <w:bCs/>
                <w:color w:val="auto"/>
                <w:sz w:val="24"/>
                <w:szCs w:val="24"/>
                <w:highlight w:val="none"/>
                <w:vertAlign w:val="subscript"/>
              </w:rPr>
              <w:t>w</w:t>
            </w:r>
            <w:r>
              <w:rPr>
                <w:bCs/>
                <w:color w:val="auto"/>
                <w:sz w:val="24"/>
                <w:szCs w:val="24"/>
                <w:highlight w:val="none"/>
              </w:rPr>
              <w:t>——点声源声功率级（A计权或倍频带），</w:t>
            </w:r>
            <w:r>
              <w:rPr>
                <w:color w:val="auto"/>
                <w:sz w:val="24"/>
                <w:szCs w:val="24"/>
                <w:highlight w:val="none"/>
              </w:rPr>
              <w:t>dB；</w:t>
            </w:r>
          </w:p>
          <w:p>
            <w:pPr>
              <w:keepNext w:val="0"/>
              <w:keepLines w:val="0"/>
              <w:pageBreakBefore w:val="0"/>
              <w:widowControl w:val="0"/>
              <w:kinsoku/>
              <w:wordWrap/>
              <w:overflowPunct/>
              <w:topLinePunct w:val="0"/>
              <w:autoSpaceDE/>
              <w:autoSpaceDN/>
              <w:bidi w:val="0"/>
              <w:adjustRightInd w:val="0"/>
              <w:snapToGrid w:val="0"/>
              <w:spacing w:line="460" w:lineRule="exact"/>
              <w:ind w:firstLine="1200" w:firstLineChars="500"/>
              <w:textAlignment w:val="auto"/>
              <w:rPr>
                <w:bCs/>
                <w:color w:val="auto"/>
                <w:sz w:val="24"/>
                <w:szCs w:val="24"/>
                <w:highlight w:val="none"/>
              </w:rPr>
            </w:pPr>
            <w:r>
              <w:rPr>
                <w:bCs/>
                <w:color w:val="auto"/>
                <w:sz w:val="24"/>
                <w:szCs w:val="24"/>
                <w:highlight w:val="none"/>
              </w:rPr>
              <w:t>Q——指向性因数：通常对无指向性声源，当声源放在房间中心时，Q=1；当放在一面墙的中心时，Q=2；当放在两面墙夹角处时，Q=4；当放在三面墙夹角处时，Q=8；本项目设备主要布置</w:t>
            </w:r>
            <w:r>
              <w:rPr>
                <w:rFonts w:hint="eastAsia"/>
                <w:bCs/>
                <w:color w:val="auto"/>
                <w:sz w:val="24"/>
                <w:szCs w:val="24"/>
                <w:highlight w:val="none"/>
              </w:rPr>
              <w:t>于</w:t>
            </w:r>
            <w:r>
              <w:rPr>
                <w:bCs/>
                <w:color w:val="auto"/>
                <w:sz w:val="24"/>
                <w:szCs w:val="24"/>
                <w:highlight w:val="none"/>
              </w:rPr>
              <w:t>房间中心，故本项目Q=</w:t>
            </w:r>
            <w:r>
              <w:rPr>
                <w:rFonts w:hint="eastAsia"/>
                <w:bCs/>
                <w:color w:val="auto"/>
                <w:sz w:val="24"/>
                <w:szCs w:val="24"/>
                <w:highlight w:val="none"/>
              </w:rPr>
              <w:t>1</w:t>
            </w:r>
            <w:r>
              <w:rPr>
                <w:bCs/>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1200" w:firstLineChars="500"/>
              <w:textAlignment w:val="auto"/>
              <w:rPr>
                <w:bCs/>
                <w:color w:val="auto"/>
                <w:sz w:val="24"/>
                <w:szCs w:val="24"/>
                <w:highlight w:val="none"/>
              </w:rPr>
            </w:pPr>
            <w:r>
              <w:rPr>
                <w:color w:val="auto"/>
                <w:sz w:val="24"/>
                <w:szCs w:val="24"/>
                <w:highlight w:val="none"/>
              </w:rPr>
              <w:t>R</w:t>
            </w:r>
            <w:r>
              <w:rPr>
                <w:bCs/>
                <w:color w:val="auto"/>
                <w:sz w:val="24"/>
                <w:szCs w:val="24"/>
                <w:highlight w:val="none"/>
              </w:rPr>
              <w:t>——房间常数，R=Sα/（1-α），S为房间内表面面积，m</w:t>
            </w:r>
            <w:r>
              <w:rPr>
                <w:bCs/>
                <w:color w:val="auto"/>
                <w:sz w:val="24"/>
                <w:szCs w:val="24"/>
                <w:highlight w:val="none"/>
                <w:vertAlign w:val="superscript"/>
              </w:rPr>
              <w:t>2</w:t>
            </w:r>
            <w:r>
              <w:rPr>
                <w:bCs/>
                <w:color w:val="auto"/>
                <w:sz w:val="24"/>
                <w:szCs w:val="24"/>
                <w:highlight w:val="none"/>
              </w:rPr>
              <w:t>，α为平均吸声系数；</w:t>
            </w:r>
          </w:p>
          <w:p>
            <w:pPr>
              <w:keepNext w:val="0"/>
              <w:keepLines w:val="0"/>
              <w:pageBreakBefore w:val="0"/>
              <w:widowControl w:val="0"/>
              <w:kinsoku/>
              <w:wordWrap/>
              <w:overflowPunct/>
              <w:topLinePunct w:val="0"/>
              <w:autoSpaceDE/>
              <w:autoSpaceDN/>
              <w:bidi w:val="0"/>
              <w:adjustRightInd w:val="0"/>
              <w:snapToGrid w:val="0"/>
              <w:spacing w:line="460" w:lineRule="exact"/>
              <w:ind w:firstLine="1200" w:firstLineChars="500"/>
              <w:textAlignment w:val="auto"/>
              <w:outlineLvl w:val="0"/>
              <w:rPr>
                <w:bCs/>
                <w:color w:val="auto"/>
                <w:kern w:val="24"/>
                <w:sz w:val="24"/>
                <w:szCs w:val="24"/>
                <w:highlight w:val="none"/>
              </w:rPr>
            </w:pPr>
            <w:r>
              <w:rPr>
                <w:bCs/>
                <w:color w:val="auto"/>
                <w:sz w:val="24"/>
                <w:szCs w:val="24"/>
                <w:highlight w:val="none"/>
              </w:rPr>
              <w:t>r——声源到靠近围护结构某点处的距离，m。</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bCs/>
                <w:color w:val="auto"/>
                <w:sz w:val="24"/>
                <w:szCs w:val="24"/>
                <w:highlight w:val="none"/>
              </w:rPr>
            </w:pPr>
            <w:r>
              <w:rPr>
                <w:bCs/>
                <w:color w:val="auto"/>
                <w:sz w:val="24"/>
                <w:szCs w:val="24"/>
                <w:highlight w:val="none"/>
              </w:rPr>
              <w:t>B</w:t>
            </w:r>
            <w:r>
              <w:rPr>
                <w:rFonts w:hint="eastAsia"/>
                <w:bCs/>
                <w:color w:val="auto"/>
                <w:sz w:val="24"/>
                <w:szCs w:val="24"/>
                <w:highlight w:val="none"/>
                <w:lang w:eastAsia="zh-CN"/>
              </w:rPr>
              <w:t>.</w:t>
            </w:r>
            <w:r>
              <w:rPr>
                <w:bCs/>
                <w:color w:val="auto"/>
                <w:sz w:val="24"/>
                <w:szCs w:val="24"/>
                <w:highlight w:val="none"/>
              </w:rPr>
              <w:t>所有室内声源在围护结构处产生的i倍频带叠加声压级</w:t>
            </w:r>
          </w:p>
          <w:p>
            <w:pPr>
              <w:adjustRightInd w:val="0"/>
              <w:snapToGrid w:val="0"/>
              <w:spacing w:line="360" w:lineRule="auto"/>
              <w:jc w:val="center"/>
              <w:rPr>
                <w:bCs/>
                <w:color w:val="auto"/>
                <w:sz w:val="21"/>
                <w:szCs w:val="21"/>
                <w:highlight w:val="none"/>
              </w:rPr>
            </w:pPr>
            <w:r>
              <w:rPr>
                <w:bCs/>
                <w:color w:val="auto"/>
                <w:sz w:val="21"/>
                <w:szCs w:val="21"/>
                <w:highlight w:val="none"/>
              </w:rPr>
              <w:object>
                <v:shape id="_x0000_i1026" o:spt="75" type="#_x0000_t75" style="height:37.65pt;width:133.1pt;" o:ole="t" filled="f" o:preferrelative="t" stroked="f" coordsize="21600,21600">
                  <v:path/>
                  <v:fill on="f" focussize="0,0"/>
                  <v:stroke on="f"/>
                  <v:imagedata r:id="rId22" o:title=""/>
                  <o:lock v:ext="edit" aspectratio="t"/>
                  <w10:wrap type="none"/>
                  <w10:anchorlock/>
                </v:shape>
                <o:OLEObject Type="Embed" ProgID="Equations" ShapeID="_x0000_i1026" DrawAspect="Content" ObjectID="_1468075726" r:id="rId21">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bCs/>
                <w:color w:val="auto"/>
                <w:sz w:val="24"/>
                <w:szCs w:val="24"/>
                <w:highlight w:val="none"/>
              </w:rPr>
            </w:pPr>
            <w:r>
              <w:rPr>
                <w:bCs/>
                <w:color w:val="auto"/>
                <w:sz w:val="24"/>
                <w:szCs w:val="24"/>
                <w:highlight w:val="none"/>
              </w:rPr>
              <w:t>式中：L</w:t>
            </w:r>
            <w:r>
              <w:rPr>
                <w:bCs/>
                <w:color w:val="auto"/>
                <w:sz w:val="24"/>
                <w:szCs w:val="24"/>
                <w:highlight w:val="none"/>
                <w:vertAlign w:val="subscript"/>
              </w:rPr>
              <w:t>p1i</w:t>
            </w:r>
            <w:r>
              <w:rPr>
                <w:bCs/>
                <w:color w:val="auto"/>
                <w:sz w:val="24"/>
                <w:szCs w:val="24"/>
                <w:highlight w:val="none"/>
              </w:rPr>
              <w:t>（T）——靠近围护结构处室内N个声源i倍频带的叠加声压级，</w:t>
            </w:r>
            <w:r>
              <w:rPr>
                <w:color w:val="auto"/>
                <w:sz w:val="24"/>
                <w:szCs w:val="24"/>
                <w:highlight w:val="none"/>
              </w:rPr>
              <w:t>dB；</w:t>
            </w:r>
          </w:p>
          <w:p>
            <w:pPr>
              <w:keepNext w:val="0"/>
              <w:keepLines w:val="0"/>
              <w:pageBreakBefore w:val="0"/>
              <w:widowControl w:val="0"/>
              <w:kinsoku/>
              <w:wordWrap/>
              <w:overflowPunct/>
              <w:topLinePunct w:val="0"/>
              <w:autoSpaceDE/>
              <w:autoSpaceDN/>
              <w:bidi w:val="0"/>
              <w:adjustRightInd w:val="0"/>
              <w:snapToGrid w:val="0"/>
              <w:spacing w:line="460" w:lineRule="exact"/>
              <w:ind w:firstLine="1200" w:firstLineChars="500"/>
              <w:textAlignment w:val="auto"/>
              <w:rPr>
                <w:bCs/>
                <w:color w:val="auto"/>
                <w:sz w:val="24"/>
                <w:szCs w:val="24"/>
                <w:highlight w:val="none"/>
              </w:rPr>
            </w:pPr>
            <w:r>
              <w:rPr>
                <w:bCs/>
                <w:color w:val="auto"/>
                <w:sz w:val="24"/>
                <w:szCs w:val="24"/>
                <w:highlight w:val="none"/>
              </w:rPr>
              <w:t>L</w:t>
            </w:r>
            <w:r>
              <w:rPr>
                <w:bCs/>
                <w:color w:val="auto"/>
                <w:sz w:val="24"/>
                <w:szCs w:val="24"/>
                <w:highlight w:val="none"/>
                <w:vertAlign w:val="subscript"/>
              </w:rPr>
              <w:t>p1ij</w:t>
            </w:r>
            <w:r>
              <w:rPr>
                <w:bCs/>
                <w:color w:val="auto"/>
                <w:sz w:val="24"/>
                <w:szCs w:val="24"/>
                <w:highlight w:val="none"/>
              </w:rPr>
              <w:t>——室内j声源i倍频带的声压级，</w:t>
            </w:r>
            <w:r>
              <w:rPr>
                <w:color w:val="auto"/>
                <w:sz w:val="24"/>
                <w:szCs w:val="24"/>
                <w:highlight w:val="none"/>
              </w:rPr>
              <w:t>dB；</w:t>
            </w:r>
          </w:p>
          <w:p>
            <w:pPr>
              <w:keepNext w:val="0"/>
              <w:keepLines w:val="0"/>
              <w:pageBreakBefore w:val="0"/>
              <w:widowControl w:val="0"/>
              <w:kinsoku/>
              <w:wordWrap/>
              <w:overflowPunct/>
              <w:topLinePunct w:val="0"/>
              <w:autoSpaceDE/>
              <w:autoSpaceDN/>
              <w:bidi w:val="0"/>
              <w:adjustRightInd w:val="0"/>
              <w:snapToGrid w:val="0"/>
              <w:spacing w:line="460" w:lineRule="exact"/>
              <w:ind w:firstLine="1200" w:firstLineChars="500"/>
              <w:textAlignment w:val="auto"/>
              <w:rPr>
                <w:bCs/>
                <w:color w:val="auto"/>
                <w:sz w:val="24"/>
                <w:szCs w:val="24"/>
                <w:highlight w:val="none"/>
              </w:rPr>
            </w:pPr>
            <w:r>
              <w:rPr>
                <w:bCs/>
                <w:color w:val="auto"/>
                <w:sz w:val="24"/>
                <w:szCs w:val="24"/>
                <w:highlight w:val="none"/>
              </w:rPr>
              <w:t>N——室内声源总数。</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color w:val="auto"/>
                <w:sz w:val="24"/>
                <w:szCs w:val="24"/>
                <w:highlight w:val="none"/>
              </w:rPr>
            </w:pPr>
            <w:r>
              <w:rPr>
                <w:color w:val="auto"/>
                <w:sz w:val="24"/>
                <w:szCs w:val="24"/>
                <w:highlight w:val="none"/>
              </w:rPr>
              <w:t>C</w:t>
            </w:r>
            <w:r>
              <w:rPr>
                <w:rFonts w:hint="eastAsia"/>
                <w:color w:val="auto"/>
                <w:sz w:val="24"/>
                <w:szCs w:val="24"/>
                <w:highlight w:val="none"/>
                <w:lang w:eastAsia="zh-CN"/>
              </w:rPr>
              <w:t>.</w:t>
            </w:r>
            <w:r>
              <w:rPr>
                <w:color w:val="auto"/>
                <w:sz w:val="24"/>
                <w:szCs w:val="24"/>
                <w:highlight w:val="none"/>
              </w:rPr>
              <w:t>靠近室外围护结构处的声压级</w:t>
            </w:r>
          </w:p>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color w:val="auto"/>
                <w:sz w:val="21"/>
                <w:szCs w:val="21"/>
                <w:highlight w:val="none"/>
              </w:rPr>
            </w:pPr>
            <w:r>
              <w:rPr>
                <w:color w:val="auto"/>
                <w:sz w:val="21"/>
                <w:szCs w:val="21"/>
                <w:highlight w:val="none"/>
              </w:rPr>
              <w:object>
                <v:shape id="_x0000_i1027" o:spt="75" type="#_x0000_t75" style="height:19.25pt;width:135.6pt;" o:ole="t" filled="f" o:preferrelative="t" stroked="f" coordsize="21600,21600">
                  <v:path/>
                  <v:fill on="f" focussize="0,0"/>
                  <v:stroke on="f"/>
                  <v:imagedata r:id="rId24" o:title=""/>
                  <o:lock v:ext="edit" aspectratio="t"/>
                  <w10:wrap type="none"/>
                  <w10:anchorlock/>
                </v:shape>
                <o:OLEObject Type="Embed" ProgID="Equations" ShapeID="_x0000_i1027" DrawAspect="Content" ObjectID="_1468075727" r:id="rId23">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bCs/>
                <w:color w:val="auto"/>
                <w:sz w:val="24"/>
                <w:szCs w:val="24"/>
                <w:highlight w:val="none"/>
              </w:rPr>
            </w:pPr>
            <w:r>
              <w:rPr>
                <w:bCs/>
                <w:color w:val="auto"/>
                <w:sz w:val="24"/>
                <w:szCs w:val="24"/>
                <w:highlight w:val="none"/>
              </w:rPr>
              <w:t>式中：L</w:t>
            </w:r>
            <w:r>
              <w:rPr>
                <w:bCs/>
                <w:color w:val="auto"/>
                <w:sz w:val="24"/>
                <w:szCs w:val="24"/>
                <w:highlight w:val="none"/>
                <w:vertAlign w:val="subscript"/>
              </w:rPr>
              <w:t>p2i</w:t>
            </w:r>
            <w:r>
              <w:rPr>
                <w:bCs/>
                <w:color w:val="auto"/>
                <w:sz w:val="24"/>
                <w:szCs w:val="24"/>
                <w:highlight w:val="none"/>
              </w:rPr>
              <w:t>（T）——靠近围护结构处室外N个声源i倍频带的叠加声压级，</w:t>
            </w:r>
            <w:r>
              <w:rPr>
                <w:color w:val="auto"/>
                <w:sz w:val="24"/>
                <w:szCs w:val="24"/>
                <w:highlight w:val="none"/>
              </w:rPr>
              <w:t>dB；</w:t>
            </w:r>
          </w:p>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color w:val="auto"/>
                <w:sz w:val="24"/>
                <w:szCs w:val="24"/>
                <w:highlight w:val="none"/>
              </w:rPr>
            </w:pPr>
            <w:r>
              <w:rPr>
                <w:bCs/>
                <w:color w:val="auto"/>
                <w:sz w:val="24"/>
                <w:szCs w:val="24"/>
                <w:highlight w:val="none"/>
              </w:rPr>
              <w:t>L</w:t>
            </w:r>
            <w:r>
              <w:rPr>
                <w:bCs/>
                <w:color w:val="auto"/>
                <w:sz w:val="24"/>
                <w:szCs w:val="24"/>
                <w:highlight w:val="none"/>
                <w:vertAlign w:val="subscript"/>
              </w:rPr>
              <w:t>p1i</w:t>
            </w:r>
            <w:r>
              <w:rPr>
                <w:bCs/>
                <w:color w:val="auto"/>
                <w:sz w:val="24"/>
                <w:szCs w:val="24"/>
                <w:highlight w:val="none"/>
              </w:rPr>
              <w:t>（T）——靠近围护结构处室内N个声源i倍频带的叠加声压级，</w:t>
            </w:r>
            <w:r>
              <w:rPr>
                <w:color w:val="auto"/>
                <w:sz w:val="24"/>
                <w:szCs w:val="24"/>
                <w:highlight w:val="none"/>
              </w:rPr>
              <w:t>dB；</w:t>
            </w:r>
          </w:p>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bCs/>
                <w:color w:val="auto"/>
                <w:sz w:val="24"/>
                <w:szCs w:val="24"/>
                <w:highlight w:val="none"/>
              </w:rPr>
            </w:pPr>
            <w:r>
              <w:rPr>
                <w:bCs/>
                <w:color w:val="auto"/>
                <w:sz w:val="24"/>
                <w:szCs w:val="24"/>
                <w:highlight w:val="none"/>
              </w:rPr>
              <w:t>TL</w:t>
            </w:r>
            <w:r>
              <w:rPr>
                <w:bCs/>
                <w:color w:val="auto"/>
                <w:sz w:val="24"/>
                <w:szCs w:val="24"/>
                <w:highlight w:val="none"/>
                <w:vertAlign w:val="subscript"/>
              </w:rPr>
              <w:t>i</w:t>
            </w:r>
            <w:r>
              <w:rPr>
                <w:bCs/>
                <w:color w:val="auto"/>
                <w:sz w:val="24"/>
                <w:szCs w:val="24"/>
                <w:highlight w:val="none"/>
              </w:rPr>
              <w:t>——围护结构i倍频带的隔声量，</w:t>
            </w:r>
            <w:r>
              <w:rPr>
                <w:color w:val="auto"/>
                <w:sz w:val="24"/>
                <w:szCs w:val="24"/>
                <w:highlight w:val="none"/>
              </w:rPr>
              <w:t>dB。</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bCs/>
                <w:color w:val="auto"/>
                <w:sz w:val="24"/>
                <w:szCs w:val="24"/>
                <w:highlight w:val="none"/>
              </w:rPr>
            </w:pPr>
            <w:r>
              <w:rPr>
                <w:bCs/>
                <w:color w:val="auto"/>
                <w:sz w:val="24"/>
                <w:szCs w:val="24"/>
                <w:highlight w:val="none"/>
              </w:rPr>
              <w:t>工程室外声源对预测点的贡献值</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bCs/>
                <w:color w:val="auto"/>
                <w:sz w:val="24"/>
                <w:szCs w:val="24"/>
                <w:highlight w:val="none"/>
              </w:rPr>
            </w:pPr>
            <w:r>
              <w:rPr>
                <w:bCs/>
                <w:color w:val="auto"/>
                <w:sz w:val="24"/>
                <w:szCs w:val="24"/>
                <w:highlight w:val="none"/>
              </w:rPr>
              <w:drawing>
                <wp:anchor distT="0" distB="0" distL="114300" distR="114300" simplePos="0" relativeHeight="251667456" behindDoc="0" locked="0" layoutInCell="1" allowOverlap="1">
                  <wp:simplePos x="0" y="0"/>
                  <wp:positionH relativeFrom="column">
                    <wp:posOffset>1310005</wp:posOffset>
                  </wp:positionH>
                  <wp:positionV relativeFrom="paragraph">
                    <wp:posOffset>43815</wp:posOffset>
                  </wp:positionV>
                  <wp:extent cx="2752725" cy="495300"/>
                  <wp:effectExtent l="0" t="0" r="0" b="0"/>
                  <wp:wrapTopAndBottom/>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5"/>
                          <a:stretch>
                            <a:fillRect/>
                          </a:stretch>
                        </pic:blipFill>
                        <pic:spPr>
                          <a:xfrm>
                            <a:off x="0" y="0"/>
                            <a:ext cx="2752725" cy="495300"/>
                          </a:xfrm>
                          <a:prstGeom prst="rect">
                            <a:avLst/>
                          </a:prstGeom>
                          <a:noFill/>
                          <a:ln>
                            <a:noFill/>
                          </a:ln>
                        </pic:spPr>
                      </pic:pic>
                    </a:graphicData>
                  </a:graphic>
                </wp:anchor>
              </w:drawing>
            </w:r>
            <w:r>
              <w:rPr>
                <w:bCs/>
                <w:color w:val="auto"/>
                <w:sz w:val="24"/>
                <w:szCs w:val="24"/>
                <w:highlight w:val="none"/>
              </w:rPr>
              <w:t>式中：L</w:t>
            </w:r>
            <w:r>
              <w:rPr>
                <w:bCs/>
                <w:color w:val="auto"/>
                <w:sz w:val="24"/>
                <w:szCs w:val="24"/>
                <w:highlight w:val="none"/>
                <w:vertAlign w:val="subscript"/>
              </w:rPr>
              <w:t>epg</w:t>
            </w:r>
            <w:r>
              <w:rPr>
                <w:bCs/>
                <w:color w:val="auto"/>
                <w:sz w:val="24"/>
                <w:szCs w:val="24"/>
                <w:highlight w:val="none"/>
              </w:rPr>
              <w:t>——建设项目声源在预测点产生的噪声贡献值，dB；</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bCs/>
                <w:color w:val="auto"/>
                <w:sz w:val="24"/>
                <w:szCs w:val="24"/>
                <w:highlight w:val="none"/>
              </w:rPr>
            </w:pPr>
            <w:r>
              <w:rPr>
                <w:bCs/>
                <w:color w:val="auto"/>
                <w:sz w:val="24"/>
                <w:szCs w:val="24"/>
                <w:highlight w:val="none"/>
              </w:rPr>
              <w:t>T——用于计算等效声级的时间，s；</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bCs/>
                <w:color w:val="auto"/>
                <w:sz w:val="24"/>
                <w:szCs w:val="24"/>
                <w:highlight w:val="none"/>
              </w:rPr>
            </w:pPr>
            <w:r>
              <w:rPr>
                <w:bCs/>
                <w:color w:val="auto"/>
                <w:sz w:val="24"/>
                <w:szCs w:val="24"/>
                <w:highlight w:val="none"/>
              </w:rPr>
              <w:t>N——室外声源个数；</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bCs/>
                <w:color w:val="auto"/>
                <w:sz w:val="24"/>
                <w:szCs w:val="24"/>
                <w:highlight w:val="none"/>
              </w:rPr>
            </w:pPr>
            <w:r>
              <w:rPr>
                <w:bCs/>
                <w:color w:val="auto"/>
                <w:sz w:val="24"/>
                <w:szCs w:val="24"/>
                <w:highlight w:val="none"/>
              </w:rPr>
              <w:t>t</w:t>
            </w:r>
            <w:r>
              <w:rPr>
                <w:bCs/>
                <w:color w:val="auto"/>
                <w:sz w:val="24"/>
                <w:szCs w:val="24"/>
                <w:highlight w:val="none"/>
                <w:vertAlign w:val="subscript"/>
              </w:rPr>
              <w:t>i</w:t>
            </w:r>
            <w:r>
              <w:rPr>
                <w:bCs/>
                <w:color w:val="auto"/>
                <w:sz w:val="24"/>
                <w:szCs w:val="24"/>
                <w:highlight w:val="none"/>
              </w:rPr>
              <w:t>——在T时间内i声源工作时间，s；</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bCs/>
                <w:color w:val="auto"/>
                <w:sz w:val="24"/>
                <w:szCs w:val="24"/>
                <w:highlight w:val="none"/>
              </w:rPr>
            </w:pPr>
            <w:r>
              <w:rPr>
                <w:bCs/>
                <w:color w:val="auto"/>
                <w:sz w:val="24"/>
                <w:szCs w:val="24"/>
                <w:highlight w:val="none"/>
              </w:rPr>
              <w:t>M——等效室外声源个数；</w:t>
            </w:r>
          </w:p>
          <w:p>
            <w:pPr>
              <w:keepNext w:val="0"/>
              <w:keepLines w:val="0"/>
              <w:pageBreakBefore w:val="0"/>
              <w:widowControl w:val="0"/>
              <w:kinsoku/>
              <w:wordWrap/>
              <w:overflowPunct/>
              <w:topLinePunct w:val="0"/>
              <w:autoSpaceDE/>
              <w:autoSpaceDN/>
              <w:bidi w:val="0"/>
              <w:snapToGrid w:val="0"/>
              <w:spacing w:line="420" w:lineRule="exact"/>
              <w:ind w:firstLine="480" w:firstLineChars="200"/>
              <w:textAlignment w:val="auto"/>
              <w:rPr>
                <w:bCs/>
                <w:color w:val="auto"/>
                <w:sz w:val="24"/>
                <w:szCs w:val="24"/>
                <w:highlight w:val="none"/>
              </w:rPr>
            </w:pPr>
            <w:r>
              <w:rPr>
                <w:bCs/>
                <w:color w:val="auto"/>
                <w:sz w:val="24"/>
                <w:szCs w:val="24"/>
                <w:highlight w:val="none"/>
              </w:rPr>
              <w:t>t</w:t>
            </w:r>
            <w:r>
              <w:rPr>
                <w:bCs/>
                <w:color w:val="auto"/>
                <w:sz w:val="24"/>
                <w:szCs w:val="24"/>
                <w:highlight w:val="none"/>
                <w:vertAlign w:val="subscript"/>
              </w:rPr>
              <w:t>j</w:t>
            </w:r>
            <w:r>
              <w:rPr>
                <w:bCs/>
                <w:color w:val="auto"/>
                <w:sz w:val="24"/>
                <w:szCs w:val="24"/>
                <w:highlight w:val="none"/>
              </w:rPr>
              <w:t>——在T时间内j声源工作时间，s。</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bCs/>
                <w:color w:val="auto"/>
                <w:sz w:val="24"/>
                <w:szCs w:val="24"/>
                <w:highlight w:val="none"/>
                <w:lang w:val="en-US" w:eastAsia="zh-CN"/>
              </w:rPr>
            </w:pP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ascii="Times New Roman" w:hAnsi="Times New Roman" w:eastAsia="宋体" w:cs="Times New Roman"/>
                <w:bCs/>
                <w:color w:val="auto"/>
                <w:sz w:val="24"/>
                <w:szCs w:val="24"/>
                <w:highlight w:val="none"/>
              </w:rPr>
            </w:pPr>
            <w:r>
              <w:rPr>
                <w:rFonts w:hint="eastAsia" w:cs="Times New Roman"/>
                <w:bCs/>
                <w:color w:val="auto"/>
                <w:sz w:val="24"/>
                <w:szCs w:val="24"/>
                <w:highlight w:val="none"/>
                <w:lang w:val="en-US" w:eastAsia="zh-CN"/>
              </w:rPr>
              <w:t>主要生产设备噪声值</w:t>
            </w:r>
            <w:r>
              <w:rPr>
                <w:rFonts w:ascii="Times New Roman" w:hAnsi="Times New Roman" w:eastAsia="宋体" w:cs="Times New Roman"/>
                <w:bCs/>
                <w:color w:val="auto"/>
                <w:sz w:val="24"/>
                <w:szCs w:val="24"/>
                <w:highlight w:val="none"/>
              </w:rPr>
              <w:t>见表</w:t>
            </w:r>
            <w:r>
              <w:rPr>
                <w:rFonts w:hint="eastAsia" w:ascii="Times New Roman" w:hAnsi="Times New Roman" w:eastAsia="宋体" w:cs="Times New Roman"/>
                <w:bCs/>
                <w:color w:val="auto"/>
                <w:sz w:val="24"/>
                <w:szCs w:val="24"/>
                <w:highlight w:val="none"/>
              </w:rPr>
              <w:t>4</w:t>
            </w:r>
            <w:r>
              <w:rPr>
                <w:rFonts w:hint="eastAsia"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17</w:t>
            </w:r>
            <w:r>
              <w:rPr>
                <w:rFonts w:hint="eastAsia"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lang w:val="en-US" w:eastAsia="zh-CN"/>
              </w:rPr>
              <w:t>4.</w:t>
            </w:r>
            <w:r>
              <w:rPr>
                <w:rFonts w:hint="eastAsia" w:cs="Times New Roman"/>
                <w:bCs/>
                <w:color w:val="auto"/>
                <w:sz w:val="24"/>
                <w:szCs w:val="24"/>
                <w:highlight w:val="none"/>
                <w:lang w:val="en-US" w:eastAsia="zh-CN"/>
              </w:rPr>
              <w:t>18</w:t>
            </w:r>
            <w:r>
              <w:rPr>
                <w:rFonts w:ascii="Times New Roman" w:hAnsi="Times New Roman" w:eastAsia="宋体" w:cs="Times New Roman"/>
                <w:bCs/>
                <w:color w:val="auto"/>
                <w:sz w:val="24"/>
                <w:szCs w:val="24"/>
                <w:highlight w:val="none"/>
              </w:rPr>
              <w:t>。</w:t>
            </w:r>
          </w:p>
          <w:p>
            <w:pPr>
              <w:adjustRightInd w:val="0"/>
              <w:snapToGrid w:val="0"/>
              <w:jc w:val="center"/>
              <w:rPr>
                <w:rFonts w:hint="eastAsia" w:ascii="宋体" w:hAnsi="宋体" w:eastAsia="宋体" w:cs="宋体"/>
                <w:b/>
                <w:bCs w:val="0"/>
                <w:color w:val="auto"/>
                <w:kern w:val="0"/>
                <w:sz w:val="21"/>
                <w:szCs w:val="21"/>
                <w:highlight w:val="none"/>
                <w:lang w:val="en-US" w:eastAsia="zh-CN"/>
              </w:rPr>
            </w:pPr>
            <w:r>
              <w:rPr>
                <w:rFonts w:hint="eastAsia" w:ascii="宋体" w:hAnsi="宋体" w:eastAsia="宋体" w:cs="宋体"/>
                <w:b/>
                <w:bCs w:val="0"/>
                <w:color w:val="auto"/>
                <w:kern w:val="0"/>
                <w:sz w:val="24"/>
                <w:szCs w:val="24"/>
                <w:highlight w:val="none"/>
                <w:lang w:val="en-US" w:eastAsia="zh-CN"/>
              </w:rPr>
              <w:t>表 4.17 噪声污染源强一览表（室内）</w:t>
            </w:r>
          </w:p>
          <w:tbl>
            <w:tblPr>
              <w:tblStyle w:val="29"/>
              <w:tblW w:w="82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36"/>
              <w:gridCol w:w="846"/>
              <w:gridCol w:w="811"/>
              <w:gridCol w:w="391"/>
              <w:gridCol w:w="426"/>
              <w:gridCol w:w="345"/>
              <w:gridCol w:w="426"/>
              <w:gridCol w:w="426"/>
              <w:gridCol w:w="811"/>
              <w:gridCol w:w="636"/>
              <w:gridCol w:w="811"/>
              <w:gridCol w:w="811"/>
              <w:gridCol w:w="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426"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序号</w:t>
                  </w:r>
                </w:p>
              </w:tc>
              <w:tc>
                <w:tcPr>
                  <w:tcW w:w="636"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声源</w:t>
                  </w:r>
                </w:p>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名称</w:t>
                  </w:r>
                </w:p>
              </w:tc>
              <w:tc>
                <w:tcPr>
                  <w:tcW w:w="846"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数量（台）</w:t>
                  </w:r>
                </w:p>
              </w:tc>
              <w:tc>
                <w:tcPr>
                  <w:tcW w:w="81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声源源强</w:t>
                  </w:r>
                </w:p>
              </w:tc>
              <w:tc>
                <w:tcPr>
                  <w:tcW w:w="1162" w:type="dxa"/>
                  <w:gridSpan w:val="3"/>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空间相对位置/m</w:t>
                  </w:r>
                </w:p>
              </w:tc>
              <w:tc>
                <w:tcPr>
                  <w:tcW w:w="852" w:type="dxa"/>
                  <w:gridSpan w:val="2"/>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距室内边界距离/m</w:t>
                  </w:r>
                </w:p>
              </w:tc>
              <w:tc>
                <w:tcPr>
                  <w:tcW w:w="811"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室内边界声级/dB(A)</w:t>
                  </w:r>
                </w:p>
              </w:tc>
              <w:tc>
                <w:tcPr>
                  <w:tcW w:w="636"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运行时段</w:t>
                  </w:r>
                </w:p>
              </w:tc>
              <w:tc>
                <w:tcPr>
                  <w:tcW w:w="811"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建筑物插入损失/dB(A)</w:t>
                  </w:r>
                </w:p>
              </w:tc>
              <w:tc>
                <w:tcPr>
                  <w:tcW w:w="1296" w:type="dxa"/>
                  <w:gridSpan w:val="2"/>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42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63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84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81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声功率级/dB(A)</w:t>
                  </w:r>
                </w:p>
              </w:tc>
              <w:tc>
                <w:tcPr>
                  <w:tcW w:w="39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X</w:t>
                  </w:r>
                </w:p>
              </w:tc>
              <w:tc>
                <w:tcPr>
                  <w:tcW w:w="42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Y</w:t>
                  </w:r>
                </w:p>
              </w:tc>
              <w:tc>
                <w:tcPr>
                  <w:tcW w:w="345"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Z</w:t>
                  </w:r>
                </w:p>
              </w:tc>
              <w:tc>
                <w:tcPr>
                  <w:tcW w:w="852"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63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81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声压级/dB(A)</w:t>
                  </w:r>
                </w:p>
              </w:tc>
              <w:tc>
                <w:tcPr>
                  <w:tcW w:w="485"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426"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636"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给水泵、消防水泵</w:t>
                  </w:r>
                </w:p>
              </w:tc>
              <w:tc>
                <w:tcPr>
                  <w:tcW w:w="846"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811"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391"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426"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345"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42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东</w:t>
                  </w:r>
                </w:p>
              </w:tc>
              <w:tc>
                <w:tcPr>
                  <w:tcW w:w="42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811"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73</w:t>
                  </w:r>
                </w:p>
              </w:tc>
              <w:tc>
                <w:tcPr>
                  <w:tcW w:w="636"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昼间、夜间</w:t>
                  </w:r>
                </w:p>
              </w:tc>
              <w:tc>
                <w:tcPr>
                  <w:tcW w:w="811"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811"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63</w:t>
                  </w:r>
                </w:p>
              </w:tc>
              <w:tc>
                <w:tcPr>
                  <w:tcW w:w="485"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63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84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39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42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34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42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南</w:t>
                  </w:r>
                </w:p>
              </w:tc>
              <w:tc>
                <w:tcPr>
                  <w:tcW w:w="42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63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48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42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63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84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39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42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34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42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西</w:t>
                  </w:r>
                </w:p>
              </w:tc>
              <w:tc>
                <w:tcPr>
                  <w:tcW w:w="42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63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48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42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63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84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39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42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34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42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北</w:t>
                  </w:r>
                </w:p>
              </w:tc>
              <w:tc>
                <w:tcPr>
                  <w:tcW w:w="42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63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48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426"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636"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排风机</w:t>
                  </w:r>
                </w:p>
              </w:tc>
              <w:tc>
                <w:tcPr>
                  <w:tcW w:w="846"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811"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391"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426"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345"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42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东</w:t>
                  </w:r>
                </w:p>
              </w:tc>
              <w:tc>
                <w:tcPr>
                  <w:tcW w:w="42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811"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72</w:t>
                  </w:r>
                </w:p>
              </w:tc>
              <w:tc>
                <w:tcPr>
                  <w:tcW w:w="636"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昼间、夜间</w:t>
                  </w:r>
                </w:p>
              </w:tc>
              <w:tc>
                <w:tcPr>
                  <w:tcW w:w="811"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811"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62</w:t>
                  </w:r>
                </w:p>
              </w:tc>
              <w:tc>
                <w:tcPr>
                  <w:tcW w:w="485"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42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63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84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39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42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34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42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南</w:t>
                  </w:r>
                </w:p>
              </w:tc>
              <w:tc>
                <w:tcPr>
                  <w:tcW w:w="42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63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48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42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63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84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39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42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34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42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西</w:t>
                  </w:r>
                </w:p>
              </w:tc>
              <w:tc>
                <w:tcPr>
                  <w:tcW w:w="42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63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48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42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63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84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39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42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34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42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北</w:t>
                  </w:r>
                </w:p>
              </w:tc>
              <w:tc>
                <w:tcPr>
                  <w:tcW w:w="42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63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8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c>
                <w:tcPr>
                  <w:tcW w:w="48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p>
              </w:tc>
            </w:tr>
          </w:tbl>
          <w:p>
            <w:pPr>
              <w:keepNext w:val="0"/>
              <w:keepLines w:val="0"/>
              <w:widowControl/>
              <w:suppressLineNumbers w:val="0"/>
              <w:ind w:left="0" w:leftChars="0" w:firstLine="0" w:firstLineChars="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备注：（0，0，0）点为项目中心；室内平均吸声系数约为0.03。</w:t>
            </w:r>
          </w:p>
          <w:p>
            <w:pPr>
              <w:adjustRightInd w:val="0"/>
              <w:snapToGrid w:val="0"/>
              <w:jc w:val="center"/>
              <w:rPr>
                <w:rFonts w:hint="eastAsia" w:ascii="宋体" w:hAnsi="宋体" w:eastAsia="宋体" w:cs="宋体"/>
                <w:b/>
                <w:bCs w:val="0"/>
                <w:color w:val="auto"/>
                <w:kern w:val="0"/>
                <w:sz w:val="24"/>
                <w:szCs w:val="24"/>
                <w:highlight w:val="none"/>
                <w:lang w:val="en-US" w:eastAsia="zh-CN"/>
              </w:rPr>
            </w:pPr>
            <w:r>
              <w:rPr>
                <w:rFonts w:hint="eastAsia" w:ascii="宋体" w:hAnsi="宋体" w:eastAsia="宋体" w:cs="宋体"/>
                <w:b/>
                <w:bCs w:val="0"/>
                <w:color w:val="auto"/>
                <w:kern w:val="0"/>
                <w:sz w:val="24"/>
                <w:szCs w:val="24"/>
                <w:highlight w:val="none"/>
                <w:lang w:val="en-US" w:eastAsia="zh-CN"/>
              </w:rPr>
              <w:t>表 4.18噪声污染源强一览表（室外）</w:t>
            </w:r>
          </w:p>
          <w:tbl>
            <w:tblPr>
              <w:tblStyle w:val="29"/>
              <w:tblW w:w="82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199"/>
              <w:gridCol w:w="759"/>
              <w:gridCol w:w="689"/>
              <w:gridCol w:w="479"/>
              <w:gridCol w:w="1475"/>
              <w:gridCol w:w="1667"/>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960"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序号</w:t>
                  </w:r>
                </w:p>
              </w:tc>
              <w:tc>
                <w:tcPr>
                  <w:tcW w:w="1199"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声源名称</w:t>
                  </w:r>
                </w:p>
              </w:tc>
              <w:tc>
                <w:tcPr>
                  <w:tcW w:w="1927" w:type="dxa"/>
                  <w:gridSpan w:val="3"/>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空间相对位置/m</w:t>
                  </w:r>
                </w:p>
              </w:tc>
              <w:tc>
                <w:tcPr>
                  <w:tcW w:w="1475"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声源源强</w:t>
                  </w:r>
                </w:p>
              </w:tc>
              <w:tc>
                <w:tcPr>
                  <w:tcW w:w="1667"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声源控制措施</w:t>
                  </w:r>
                </w:p>
              </w:tc>
              <w:tc>
                <w:tcPr>
                  <w:tcW w:w="103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960"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1199"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759"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X</w:t>
                  </w:r>
                </w:p>
              </w:tc>
              <w:tc>
                <w:tcPr>
                  <w:tcW w:w="689"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Y</w:t>
                  </w:r>
                </w:p>
              </w:tc>
              <w:tc>
                <w:tcPr>
                  <w:tcW w:w="479"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Z</w:t>
                  </w:r>
                </w:p>
              </w:tc>
              <w:tc>
                <w:tcPr>
                  <w:tcW w:w="1475"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声功率级/dB(A)</w:t>
                  </w:r>
                </w:p>
              </w:tc>
              <w:tc>
                <w:tcPr>
                  <w:tcW w:w="1667"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选用低噪声设备、安装支架固定减震</w:t>
                  </w:r>
                </w:p>
              </w:tc>
              <w:tc>
                <w:tcPr>
                  <w:tcW w:w="10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60"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199"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分体式空调外机</w:t>
                  </w:r>
                </w:p>
              </w:tc>
              <w:tc>
                <w:tcPr>
                  <w:tcW w:w="759"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689"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479"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475"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1667"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1032"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昼间、夜间</w:t>
                  </w:r>
                </w:p>
              </w:tc>
            </w:tr>
          </w:tbl>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color w:val="auto"/>
                <w:highlight w:val="none"/>
                <w:lang w:val="en-US" w:eastAsia="zh-CN"/>
              </w:rPr>
            </w:pPr>
            <w:r>
              <w:rPr>
                <w:color w:val="auto"/>
                <w:highlight w:val="none"/>
                <w:lang w:val="en-US" w:eastAsia="zh-CN"/>
              </w:rPr>
              <w:t>本项目</w:t>
            </w:r>
            <w:r>
              <w:rPr>
                <w:rFonts w:hint="eastAsia"/>
                <w:color w:val="auto"/>
                <w:highlight w:val="none"/>
                <w:lang w:val="en-US" w:eastAsia="zh-CN"/>
              </w:rPr>
              <w:t>场界</w:t>
            </w:r>
            <w:r>
              <w:rPr>
                <w:color w:val="auto"/>
                <w:highlight w:val="none"/>
                <w:lang w:val="en-US" w:eastAsia="zh-CN"/>
              </w:rPr>
              <w:t>噪声预测模式采取《环境影响评价技术导则 声环境》（HJ2.4</w:t>
            </w:r>
            <w:r>
              <w:rPr>
                <w:rFonts w:hint="eastAsia"/>
                <w:color w:val="auto"/>
                <w:highlight w:val="none"/>
                <w:lang w:val="en-US" w:eastAsia="zh-CN"/>
              </w:rPr>
              <w:t>-</w:t>
            </w:r>
            <w:r>
              <w:rPr>
                <w:color w:val="auto"/>
                <w:highlight w:val="none"/>
                <w:lang w:val="en-US" w:eastAsia="zh-CN"/>
              </w:rPr>
              <w:t>2021）中推荐的公式，由于《环境影响评价技术导则</w:t>
            </w:r>
            <w:r>
              <w:rPr>
                <w:rFonts w:hint="eastAsia"/>
                <w:color w:val="auto"/>
                <w:highlight w:val="none"/>
                <w:lang w:val="en-US" w:eastAsia="zh-CN"/>
              </w:rPr>
              <w:t xml:space="preserve"> </w:t>
            </w:r>
            <w:r>
              <w:rPr>
                <w:color w:val="auto"/>
                <w:highlight w:val="none"/>
                <w:lang w:val="en-US" w:eastAsia="zh-CN"/>
              </w:rPr>
              <w:t xml:space="preserve"> 声环境》（HJ2.4-2021）</w:t>
            </w:r>
            <w:r>
              <w:rPr>
                <w:rFonts w:hint="eastAsia"/>
                <w:color w:val="auto"/>
                <w:highlight w:val="none"/>
                <w:lang w:val="en-US" w:eastAsia="zh-CN"/>
              </w:rPr>
              <w:t>中未对企业边界有单独的列表格式，仅有声环境保护目标噪声预测结果及达标分析表，详见下表4.19。</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center"/>
              <w:textAlignment w:val="auto"/>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表4</w:t>
            </w:r>
            <w:r>
              <w:rPr>
                <w:rFonts w:hint="eastAsia" w:ascii="Times New Roman" w:hAnsi="Times New Roman" w:eastAsia="宋体" w:cs="Times New Roman"/>
                <w:b/>
                <w:bCs w:val="0"/>
                <w:color w:val="auto"/>
                <w:kern w:val="0"/>
                <w:sz w:val="24"/>
                <w:szCs w:val="24"/>
                <w:highlight w:val="none"/>
                <w:lang w:val="en-US" w:eastAsia="zh-CN"/>
              </w:rPr>
              <w:t>.</w:t>
            </w:r>
            <w:r>
              <w:rPr>
                <w:rFonts w:hint="eastAsia" w:cs="Times New Roman"/>
                <w:b/>
                <w:bCs w:val="0"/>
                <w:color w:val="auto"/>
                <w:kern w:val="0"/>
                <w:sz w:val="24"/>
                <w:szCs w:val="24"/>
                <w:highlight w:val="none"/>
                <w:lang w:val="en-US" w:eastAsia="zh-CN"/>
              </w:rPr>
              <w:t>19</w:t>
            </w:r>
            <w:r>
              <w:rPr>
                <w:rFonts w:hint="default" w:ascii="Times New Roman" w:hAnsi="Times New Roman" w:eastAsia="宋体" w:cs="Times New Roman"/>
                <w:b/>
                <w:bCs w:val="0"/>
                <w:color w:val="auto"/>
                <w:kern w:val="0"/>
                <w:sz w:val="24"/>
                <w:szCs w:val="24"/>
                <w:highlight w:val="none"/>
                <w:lang w:val="en-US" w:eastAsia="zh-CN"/>
              </w:rPr>
              <w:t xml:space="preserve">  </w:t>
            </w:r>
            <w:r>
              <w:rPr>
                <w:rFonts w:hint="eastAsia" w:cs="Times New Roman"/>
                <w:b/>
                <w:bCs w:val="0"/>
                <w:color w:val="auto"/>
                <w:kern w:val="0"/>
                <w:sz w:val="24"/>
                <w:szCs w:val="24"/>
                <w:highlight w:val="none"/>
                <w:lang w:val="en-US" w:eastAsia="zh-CN"/>
              </w:rPr>
              <w:t>场界</w:t>
            </w:r>
            <w:r>
              <w:rPr>
                <w:rFonts w:hint="default" w:ascii="Times New Roman" w:hAnsi="Times New Roman" w:eastAsia="宋体" w:cs="Times New Roman"/>
                <w:b/>
                <w:bCs w:val="0"/>
                <w:color w:val="auto"/>
                <w:kern w:val="0"/>
                <w:sz w:val="24"/>
                <w:szCs w:val="24"/>
                <w:highlight w:val="none"/>
                <w:lang w:val="en-US" w:eastAsia="zh-CN"/>
              </w:rPr>
              <w:t>噪声影响预测结果  单位：dB(A)</w:t>
            </w:r>
          </w:p>
          <w:tbl>
            <w:tblPr>
              <w:tblStyle w:val="29"/>
              <w:tblW w:w="74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1227"/>
              <w:gridCol w:w="1158"/>
              <w:gridCol w:w="1112"/>
              <w:gridCol w:w="111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5"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预测点位</w:t>
                  </w:r>
                </w:p>
              </w:tc>
              <w:tc>
                <w:tcPr>
                  <w:tcW w:w="1227"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预测值</w:t>
                  </w:r>
                  <w:r>
                    <w:rPr>
                      <w:rFonts w:hint="default" w:cs="Times New Roman"/>
                      <w:color w:val="auto"/>
                      <w:sz w:val="21"/>
                      <w:szCs w:val="21"/>
                      <w:highlight w:val="none"/>
                      <w:lang w:val="en-US" w:eastAsia="zh-CN"/>
                    </w:rPr>
                    <w:t>dB(A)</w:t>
                  </w:r>
                </w:p>
              </w:tc>
              <w:tc>
                <w:tcPr>
                  <w:tcW w:w="2270" w:type="dxa"/>
                  <w:gridSpan w:val="2"/>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昼间</w:t>
                  </w:r>
                </w:p>
              </w:tc>
              <w:tc>
                <w:tcPr>
                  <w:tcW w:w="2248" w:type="dxa"/>
                  <w:gridSpan w:val="2"/>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66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1227"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1158"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标准值</w:t>
                  </w:r>
                  <w:r>
                    <w:rPr>
                      <w:rFonts w:hint="default" w:cs="Times New Roman"/>
                      <w:color w:val="auto"/>
                      <w:sz w:val="21"/>
                      <w:szCs w:val="21"/>
                      <w:highlight w:val="none"/>
                      <w:lang w:val="en-US" w:eastAsia="zh-CN"/>
                    </w:rPr>
                    <w:t>dB(A)</w:t>
                  </w:r>
                </w:p>
              </w:tc>
              <w:tc>
                <w:tcPr>
                  <w:tcW w:w="1112"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达标情况</w:t>
                  </w:r>
                </w:p>
              </w:tc>
              <w:tc>
                <w:tcPr>
                  <w:tcW w:w="1114"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标准值</w:t>
                  </w:r>
                  <w:r>
                    <w:rPr>
                      <w:rFonts w:hint="default" w:cs="Times New Roman"/>
                      <w:color w:val="auto"/>
                      <w:sz w:val="21"/>
                      <w:szCs w:val="21"/>
                      <w:highlight w:val="none"/>
                      <w:lang w:val="en-US" w:eastAsia="zh-CN"/>
                    </w:rPr>
                    <w:t>dB(A)</w:t>
                  </w:r>
                </w:p>
              </w:tc>
              <w:tc>
                <w:tcPr>
                  <w:tcW w:w="1134"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5"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东场界</w:t>
                  </w:r>
                </w:p>
              </w:tc>
              <w:tc>
                <w:tcPr>
                  <w:tcW w:w="1227"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48.2</w:t>
                  </w:r>
                </w:p>
              </w:tc>
              <w:tc>
                <w:tcPr>
                  <w:tcW w:w="1158"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1112"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达标</w:t>
                  </w:r>
                </w:p>
              </w:tc>
              <w:tc>
                <w:tcPr>
                  <w:tcW w:w="1114"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134"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5"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南场界</w:t>
                  </w:r>
                </w:p>
              </w:tc>
              <w:tc>
                <w:tcPr>
                  <w:tcW w:w="1227"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48.1</w:t>
                  </w:r>
                </w:p>
              </w:tc>
              <w:tc>
                <w:tcPr>
                  <w:tcW w:w="1158"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1112"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达标</w:t>
                  </w:r>
                </w:p>
              </w:tc>
              <w:tc>
                <w:tcPr>
                  <w:tcW w:w="1114"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134"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5"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西场界</w:t>
                  </w:r>
                </w:p>
              </w:tc>
              <w:tc>
                <w:tcPr>
                  <w:tcW w:w="1227"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42.7</w:t>
                  </w:r>
                </w:p>
              </w:tc>
              <w:tc>
                <w:tcPr>
                  <w:tcW w:w="1158"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1112"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达标</w:t>
                  </w:r>
                </w:p>
              </w:tc>
              <w:tc>
                <w:tcPr>
                  <w:tcW w:w="1114"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134"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65"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北场界</w:t>
                  </w:r>
                </w:p>
              </w:tc>
              <w:tc>
                <w:tcPr>
                  <w:tcW w:w="1227"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47.7</w:t>
                  </w:r>
                </w:p>
              </w:tc>
              <w:tc>
                <w:tcPr>
                  <w:tcW w:w="1158"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1112"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达标</w:t>
                  </w:r>
                </w:p>
              </w:tc>
              <w:tc>
                <w:tcPr>
                  <w:tcW w:w="1114"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134"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highlight w:val="none"/>
                <w:lang w:val="en-US" w:eastAsia="zh-CN"/>
              </w:rPr>
            </w:pPr>
            <w:r>
              <w:rPr>
                <w:rFonts w:hint="eastAsia"/>
                <w:color w:val="auto"/>
                <w:highlight w:val="none"/>
                <w:lang w:val="en-US" w:eastAsia="zh-CN"/>
              </w:rPr>
              <w:t xml:space="preserve">由表 </w:t>
            </w:r>
            <w:r>
              <w:rPr>
                <w:rFonts w:hint="default"/>
                <w:color w:val="auto"/>
                <w:highlight w:val="none"/>
                <w:lang w:val="en-US" w:eastAsia="zh-CN"/>
              </w:rPr>
              <w:t>4</w:t>
            </w:r>
            <w:r>
              <w:rPr>
                <w:rFonts w:hint="eastAsia"/>
                <w:color w:val="auto"/>
                <w:highlight w:val="none"/>
                <w:lang w:val="en-US" w:eastAsia="zh-CN"/>
              </w:rPr>
              <w:t>.</w:t>
            </w:r>
            <w:r>
              <w:rPr>
                <w:rFonts w:hint="default"/>
                <w:color w:val="auto"/>
                <w:highlight w:val="none"/>
                <w:lang w:val="en-US" w:eastAsia="zh-CN"/>
              </w:rPr>
              <w:t>1</w:t>
            </w:r>
            <w:r>
              <w:rPr>
                <w:rFonts w:hint="eastAsia"/>
                <w:color w:val="auto"/>
                <w:highlight w:val="none"/>
                <w:lang w:val="en-US" w:eastAsia="zh-CN"/>
              </w:rPr>
              <w:t>9可知，拟建项目服务期各设备噪声采取基础减振、建筑隔声和消声等措施后，项目四周场界昼、夜间噪声影响值均满足《工业企业场界环境噪声排放标准》（</w:t>
            </w:r>
            <w:r>
              <w:rPr>
                <w:rFonts w:hint="default"/>
                <w:color w:val="auto"/>
                <w:highlight w:val="none"/>
                <w:lang w:val="en-US" w:eastAsia="zh-CN"/>
              </w:rPr>
              <w:t>GB12348-2008</w:t>
            </w:r>
            <w:r>
              <w:rPr>
                <w:rFonts w:hint="eastAsia"/>
                <w:color w:val="auto"/>
                <w:highlight w:val="none"/>
                <w:lang w:val="en-US" w:eastAsia="zh-CN"/>
              </w:rPr>
              <w:t xml:space="preserve">）中 </w:t>
            </w:r>
            <w:r>
              <w:rPr>
                <w:rFonts w:hint="default"/>
                <w:color w:val="auto"/>
                <w:highlight w:val="none"/>
                <w:lang w:val="en-US" w:eastAsia="zh-CN"/>
              </w:rPr>
              <w:t>2</w:t>
            </w:r>
            <w:r>
              <w:rPr>
                <w:rFonts w:hint="eastAsia"/>
                <w:color w:val="auto"/>
                <w:highlight w:val="none"/>
                <w:lang w:val="en-US" w:eastAsia="zh-CN"/>
              </w:rPr>
              <w:t>类标准限值要求。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val="0"/>
                <w:color w:val="auto"/>
                <w:kern w:val="0"/>
                <w:sz w:val="24"/>
                <w:szCs w:val="24"/>
                <w:highlight w:val="none"/>
                <w:lang w:val="en-US" w:eastAsia="zh-CN"/>
              </w:rPr>
            </w:pPr>
            <w:r>
              <w:rPr>
                <w:rFonts w:hint="eastAsia" w:cs="Times New Roman"/>
                <w:b/>
                <w:bCs w:val="0"/>
                <w:color w:val="auto"/>
                <w:kern w:val="0"/>
                <w:sz w:val="24"/>
                <w:szCs w:val="24"/>
                <w:highlight w:val="none"/>
                <w:lang w:val="en-US" w:eastAsia="zh-CN"/>
              </w:rPr>
              <w:t>敏感点预测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highlight w:val="none"/>
                <w:lang w:val="en-US" w:eastAsia="zh-CN"/>
              </w:rPr>
            </w:pPr>
            <w:r>
              <w:rPr>
                <w:rFonts w:hint="eastAsia"/>
                <w:color w:val="auto"/>
                <w:highlight w:val="none"/>
                <w:lang w:val="en-US" w:eastAsia="zh-CN"/>
              </w:rPr>
              <w:t>根据项目外环境可知，项目周边声环境敏感点主要为西侧、西南侧分布的居住用地。敏感点噪声预测结果见表</w:t>
            </w:r>
            <w:r>
              <w:rPr>
                <w:rFonts w:hint="default"/>
                <w:color w:val="auto"/>
                <w:highlight w:val="none"/>
                <w:lang w:val="en-US" w:eastAsia="zh-CN"/>
              </w:rPr>
              <w:t>4</w:t>
            </w:r>
            <w:r>
              <w:rPr>
                <w:rFonts w:hint="eastAsia"/>
                <w:color w:val="auto"/>
                <w:highlight w:val="none"/>
                <w:lang w:val="en-US" w:eastAsia="zh-CN"/>
              </w:rPr>
              <w:t>.20。</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center"/>
              <w:textAlignment w:val="auto"/>
              <w:rPr>
                <w:rFonts w:hint="default" w:ascii="Times New Roman" w:hAnsi="Times New Roman" w:eastAsia="宋体" w:cs="Times New Roman"/>
                <w:b/>
                <w:bCs w:val="0"/>
                <w:color w:val="auto"/>
                <w:kern w:val="0"/>
                <w:sz w:val="24"/>
                <w:szCs w:val="24"/>
                <w:highlight w:val="none"/>
                <w:lang w:val="en-US" w:eastAsia="zh-CN"/>
              </w:rPr>
            </w:pPr>
            <w:r>
              <w:rPr>
                <w:rFonts w:hint="eastAsia" w:ascii="Times New Roman" w:hAnsi="Times New Roman" w:eastAsia="宋体" w:cs="Times New Roman"/>
                <w:b/>
                <w:bCs w:val="0"/>
                <w:color w:val="auto"/>
                <w:kern w:val="0"/>
                <w:sz w:val="24"/>
                <w:szCs w:val="24"/>
                <w:highlight w:val="none"/>
                <w:lang w:val="en-US" w:eastAsia="zh-CN"/>
              </w:rPr>
              <w:t xml:space="preserve">表 </w:t>
            </w:r>
            <w:r>
              <w:rPr>
                <w:rFonts w:hint="default" w:ascii="Times New Roman" w:hAnsi="Times New Roman" w:eastAsia="宋体" w:cs="Times New Roman"/>
                <w:b/>
                <w:bCs w:val="0"/>
                <w:color w:val="auto"/>
                <w:kern w:val="0"/>
                <w:sz w:val="24"/>
                <w:szCs w:val="24"/>
                <w:highlight w:val="none"/>
                <w:lang w:val="en-US" w:eastAsia="zh-CN"/>
              </w:rPr>
              <w:t>4</w:t>
            </w:r>
            <w:r>
              <w:rPr>
                <w:rFonts w:hint="eastAsia" w:cs="Times New Roman"/>
                <w:b/>
                <w:bCs w:val="0"/>
                <w:color w:val="auto"/>
                <w:kern w:val="0"/>
                <w:sz w:val="24"/>
                <w:szCs w:val="24"/>
                <w:highlight w:val="none"/>
                <w:lang w:val="en-US" w:eastAsia="zh-CN"/>
              </w:rPr>
              <w:t>.20</w:t>
            </w:r>
            <w:r>
              <w:rPr>
                <w:rFonts w:hint="default" w:ascii="Times New Roman" w:hAnsi="Times New Roman" w:eastAsia="宋体" w:cs="Times New Roman"/>
                <w:b/>
                <w:bCs w:val="0"/>
                <w:color w:val="auto"/>
                <w:kern w:val="0"/>
                <w:sz w:val="24"/>
                <w:szCs w:val="24"/>
                <w:highlight w:val="none"/>
                <w:lang w:val="en-US" w:eastAsia="zh-CN"/>
              </w:rPr>
              <w:t xml:space="preserve"> </w:t>
            </w:r>
            <w:r>
              <w:rPr>
                <w:rFonts w:hint="eastAsia" w:ascii="Times New Roman" w:hAnsi="Times New Roman" w:eastAsia="宋体" w:cs="Times New Roman"/>
                <w:b/>
                <w:bCs w:val="0"/>
                <w:color w:val="auto"/>
                <w:kern w:val="0"/>
                <w:sz w:val="24"/>
                <w:szCs w:val="24"/>
                <w:highlight w:val="none"/>
                <w:lang w:val="en-US" w:eastAsia="zh-CN"/>
              </w:rPr>
              <w:t>环境保护目标受项目噪声影响预测结果</w:t>
            </w:r>
          </w:p>
          <w:tbl>
            <w:tblPr>
              <w:tblStyle w:val="29"/>
              <w:tblW w:w="82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986"/>
              <w:gridCol w:w="930"/>
              <w:gridCol w:w="815"/>
              <w:gridCol w:w="816"/>
              <w:gridCol w:w="871"/>
              <w:gridCol w:w="864"/>
              <w:gridCol w:w="1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163"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敏感点</w:t>
                  </w:r>
                </w:p>
              </w:tc>
              <w:tc>
                <w:tcPr>
                  <w:tcW w:w="986"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距离场界（m）</w:t>
                  </w:r>
                </w:p>
              </w:tc>
              <w:tc>
                <w:tcPr>
                  <w:tcW w:w="930"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影响值</w:t>
                  </w:r>
                  <w:r>
                    <w:rPr>
                      <w:rFonts w:hint="default" w:cs="Times New Roman"/>
                      <w:color w:val="auto"/>
                      <w:sz w:val="21"/>
                      <w:szCs w:val="21"/>
                      <w:highlight w:val="none"/>
                      <w:lang w:val="en-US" w:eastAsia="zh-CN"/>
                    </w:rPr>
                    <w:t>dB(A)</w:t>
                  </w:r>
                </w:p>
              </w:tc>
              <w:tc>
                <w:tcPr>
                  <w:tcW w:w="1631" w:type="dxa"/>
                  <w:gridSpan w:val="2"/>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本底值</w:t>
                  </w:r>
                  <w:r>
                    <w:rPr>
                      <w:rFonts w:hint="default" w:cs="Times New Roman"/>
                      <w:color w:val="auto"/>
                      <w:sz w:val="21"/>
                      <w:szCs w:val="21"/>
                      <w:highlight w:val="none"/>
                      <w:lang w:val="en-US" w:eastAsia="zh-CN"/>
                    </w:rPr>
                    <w:t>dB(A)</w:t>
                  </w:r>
                </w:p>
              </w:tc>
              <w:tc>
                <w:tcPr>
                  <w:tcW w:w="1735" w:type="dxa"/>
                  <w:gridSpan w:val="2"/>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预测值</w:t>
                  </w:r>
                  <w:r>
                    <w:rPr>
                      <w:rFonts w:hint="default" w:cs="Times New Roman"/>
                      <w:color w:val="auto"/>
                      <w:sz w:val="21"/>
                      <w:szCs w:val="21"/>
                      <w:highlight w:val="none"/>
                      <w:lang w:val="en-US" w:eastAsia="zh-CN"/>
                    </w:rPr>
                    <w:t>dB(A)</w:t>
                  </w:r>
                </w:p>
              </w:tc>
              <w:tc>
                <w:tcPr>
                  <w:tcW w:w="1838"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16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98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930"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815"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昼间</w:t>
                  </w:r>
                </w:p>
              </w:tc>
              <w:tc>
                <w:tcPr>
                  <w:tcW w:w="81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夜间</w:t>
                  </w:r>
                </w:p>
              </w:tc>
              <w:tc>
                <w:tcPr>
                  <w:tcW w:w="87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昼间</w:t>
                  </w:r>
                </w:p>
              </w:tc>
              <w:tc>
                <w:tcPr>
                  <w:tcW w:w="864"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夜间</w:t>
                  </w:r>
                </w:p>
              </w:tc>
              <w:tc>
                <w:tcPr>
                  <w:tcW w:w="1838"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r>
                    <w:rPr>
                      <w:rFonts w:hint="default" w:cs="Times New Roman"/>
                      <w:color w:val="auto"/>
                      <w:sz w:val="21"/>
                      <w:szCs w:val="21"/>
                      <w:highlight w:val="none"/>
                      <w:lang w:val="en-US" w:eastAsia="zh-CN"/>
                    </w:rPr>
                    <w:t>GB3096-2008</w:t>
                  </w:r>
                  <w:r>
                    <w:rPr>
                      <w:rFonts w:hint="eastAsia" w:cs="Times New Roman"/>
                      <w:color w:val="auto"/>
                      <w:sz w:val="21"/>
                      <w:szCs w:val="21"/>
                      <w:highlight w:val="none"/>
                      <w:lang w:val="en-US" w:eastAsia="zh-CN"/>
                    </w:rPr>
                    <w:t xml:space="preserve">） </w:t>
                  </w:r>
                </w:p>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《声环境质量标 </w:t>
                  </w:r>
                </w:p>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准》</w:t>
                  </w:r>
                  <w:r>
                    <w:rPr>
                      <w:rFonts w:hint="default" w:cs="Times New Roman"/>
                      <w:color w:val="auto"/>
                      <w:sz w:val="21"/>
                      <w:szCs w:val="21"/>
                      <w:highlight w:val="none"/>
                      <w:lang w:val="en-US" w:eastAsia="zh-CN"/>
                    </w:rPr>
                    <w:t xml:space="preserve">2 </w:t>
                  </w:r>
                  <w:r>
                    <w:rPr>
                      <w:rFonts w:hint="eastAsia" w:cs="Times New Roman"/>
                      <w:color w:val="auto"/>
                      <w:sz w:val="21"/>
                      <w:szCs w:val="21"/>
                      <w:highlight w:val="non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163"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1#居民点</w:t>
                  </w:r>
                </w:p>
              </w:tc>
              <w:tc>
                <w:tcPr>
                  <w:tcW w:w="98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30"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33.4</w:t>
                  </w:r>
                </w:p>
              </w:tc>
              <w:tc>
                <w:tcPr>
                  <w:tcW w:w="815"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55</w:t>
                  </w:r>
                </w:p>
              </w:tc>
              <w:tc>
                <w:tcPr>
                  <w:tcW w:w="81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41</w:t>
                  </w:r>
                </w:p>
              </w:tc>
              <w:tc>
                <w:tcPr>
                  <w:tcW w:w="87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54.1</w:t>
                  </w:r>
                </w:p>
              </w:tc>
              <w:tc>
                <w:tcPr>
                  <w:tcW w:w="864"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43.2</w:t>
                  </w:r>
                </w:p>
              </w:tc>
              <w:tc>
                <w:tcPr>
                  <w:tcW w:w="183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163"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2#居民点</w:t>
                  </w:r>
                </w:p>
              </w:tc>
              <w:tc>
                <w:tcPr>
                  <w:tcW w:w="98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930"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29.2</w:t>
                  </w:r>
                </w:p>
              </w:tc>
              <w:tc>
                <w:tcPr>
                  <w:tcW w:w="815"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w:t>
                  </w:r>
                </w:p>
              </w:tc>
              <w:tc>
                <w:tcPr>
                  <w:tcW w:w="81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87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48.0</w:t>
                  </w:r>
                </w:p>
              </w:tc>
              <w:tc>
                <w:tcPr>
                  <w:tcW w:w="864"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41.3</w:t>
                  </w:r>
                </w:p>
              </w:tc>
              <w:tc>
                <w:tcPr>
                  <w:tcW w:w="183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lang w:val="en-US" w:eastAsia="zh-CN"/>
              </w:rPr>
            </w:pPr>
            <w:r>
              <w:rPr>
                <w:rFonts w:hint="eastAsia"/>
                <w:color w:val="auto"/>
                <w:highlight w:val="none"/>
                <w:lang w:val="en-US" w:eastAsia="zh-CN"/>
              </w:rPr>
              <w:t xml:space="preserve">根据表 </w:t>
            </w:r>
            <w:r>
              <w:rPr>
                <w:rFonts w:hint="default"/>
                <w:color w:val="auto"/>
                <w:highlight w:val="none"/>
                <w:lang w:val="en-US" w:eastAsia="zh-CN"/>
              </w:rPr>
              <w:t>4</w:t>
            </w:r>
            <w:r>
              <w:rPr>
                <w:rFonts w:hint="eastAsia"/>
                <w:color w:val="auto"/>
                <w:highlight w:val="none"/>
                <w:lang w:val="en-US" w:eastAsia="zh-CN"/>
              </w:rPr>
              <w:t>.20</w:t>
            </w:r>
            <w:r>
              <w:rPr>
                <w:rFonts w:hint="default"/>
                <w:color w:val="auto"/>
                <w:highlight w:val="none"/>
                <w:lang w:val="en-US" w:eastAsia="zh-CN"/>
              </w:rPr>
              <w:t xml:space="preserve"> </w:t>
            </w:r>
            <w:r>
              <w:rPr>
                <w:rFonts w:hint="eastAsia"/>
                <w:color w:val="auto"/>
                <w:highlight w:val="none"/>
                <w:lang w:val="en-US" w:eastAsia="zh-CN"/>
              </w:rPr>
              <w:t>噪声预测结果，项目设备在周围敏感点处噪声预测值满足《声环境质量标准》（</w:t>
            </w:r>
            <w:r>
              <w:rPr>
                <w:rFonts w:hint="default"/>
                <w:color w:val="auto"/>
                <w:highlight w:val="none"/>
                <w:lang w:val="en-US" w:eastAsia="zh-CN"/>
              </w:rPr>
              <w:t>GB3096-2008</w:t>
            </w:r>
            <w:r>
              <w:rPr>
                <w:rFonts w:hint="eastAsia"/>
                <w:color w:val="auto"/>
                <w:highlight w:val="none"/>
                <w:lang w:val="en-US" w:eastAsia="zh-CN"/>
              </w:rPr>
              <w:t>）</w:t>
            </w:r>
            <w:r>
              <w:rPr>
                <w:rFonts w:hint="default"/>
                <w:color w:val="auto"/>
                <w:highlight w:val="none"/>
                <w:lang w:val="en-US" w:eastAsia="zh-CN"/>
              </w:rPr>
              <w:t xml:space="preserve">2 </w:t>
            </w:r>
            <w:r>
              <w:rPr>
                <w:rFonts w:hint="eastAsia"/>
                <w:color w:val="auto"/>
                <w:highlight w:val="none"/>
                <w:lang w:val="en-US" w:eastAsia="zh-CN"/>
              </w:rPr>
              <w:t xml:space="preserve">类标准要求，预计项目对周边声环境敏感点影响较小。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lang w:val="en-US" w:eastAsia="zh-CN"/>
              </w:rPr>
            </w:pPr>
            <w:r>
              <w:rPr>
                <w:rFonts w:hint="eastAsia"/>
                <w:color w:val="auto"/>
                <w:highlight w:val="none"/>
                <w:lang w:val="en-US" w:eastAsia="zh-CN"/>
              </w:rPr>
              <w:t>因此，拟建项目各噪声源对声环境及各环境敏感点影响小。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cs="Times New Roman"/>
                <w:b/>
                <w:bCs w:val="0"/>
                <w:color w:val="auto"/>
                <w:kern w:val="0"/>
                <w:sz w:val="24"/>
                <w:szCs w:val="24"/>
                <w:highlight w:val="none"/>
                <w:lang w:val="en-US" w:eastAsia="zh-CN"/>
              </w:rPr>
            </w:pPr>
            <w:r>
              <w:rPr>
                <w:rFonts w:hint="eastAsia" w:cs="Times New Roman"/>
                <w:b/>
                <w:bCs w:val="0"/>
                <w:color w:val="auto"/>
                <w:kern w:val="0"/>
                <w:sz w:val="24"/>
                <w:szCs w:val="24"/>
                <w:highlight w:val="none"/>
                <w:lang w:val="en-US" w:eastAsia="zh-CN"/>
              </w:rPr>
              <w:t>（</w:t>
            </w:r>
            <w:r>
              <w:rPr>
                <w:rFonts w:hint="default" w:cs="Times New Roman"/>
                <w:b/>
                <w:bCs w:val="0"/>
                <w:color w:val="auto"/>
                <w:kern w:val="0"/>
                <w:sz w:val="24"/>
                <w:szCs w:val="24"/>
                <w:highlight w:val="none"/>
                <w:lang w:val="en-US" w:eastAsia="zh-CN"/>
              </w:rPr>
              <w:t>3</w:t>
            </w:r>
            <w:r>
              <w:rPr>
                <w:rFonts w:hint="eastAsia" w:cs="Times New Roman"/>
                <w:b/>
                <w:bCs w:val="0"/>
                <w:color w:val="auto"/>
                <w:kern w:val="0"/>
                <w:sz w:val="24"/>
                <w:szCs w:val="24"/>
                <w:highlight w:val="none"/>
                <w:lang w:val="en-US" w:eastAsia="zh-CN"/>
              </w:rPr>
              <w:t>）污染治理措施</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拟建项目服务期采取的噪声防治措施具体如下：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① 水泵选用低噪声设备，基础减震，风管与风口加装消声器，置于设备用房内。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② 排风机选用低噪声设备，吸水管和出水管加设可曲绕橡胶头，置于设备用房内。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③ 大楼设计时预留空调外机位置，并采用安装支架固定减震、百叶隔声。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④ 加强设备管理，做好日常维护，确保设备正常运行。医院门窗采用中空玻璃窗和隔声门，院内张贴“请保持安静”等提示语。 </w:t>
            </w:r>
          </w:p>
          <w:p>
            <w:pPr>
              <w:keepNext w:val="0"/>
              <w:keepLines w:val="0"/>
              <w:pageBreakBefore w:val="0"/>
              <w:widowControl/>
              <w:suppressLineNumbers w:val="0"/>
              <w:kinsoku/>
              <w:wordWrap/>
              <w:overflowPunct/>
              <w:topLinePunct w:val="0"/>
              <w:autoSpaceDE/>
              <w:autoSpaceDN/>
              <w:bidi w:val="0"/>
              <w:spacing w:line="360" w:lineRule="auto"/>
              <w:jc w:val="left"/>
              <w:textAlignment w:val="auto"/>
              <w:rPr>
                <w:color w:val="auto"/>
                <w:highlight w:val="none"/>
              </w:rPr>
            </w:pPr>
            <w:r>
              <w:rPr>
                <w:rFonts w:hint="eastAsia" w:ascii="宋体" w:hAnsi="宋体" w:eastAsia="宋体" w:cs="宋体"/>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4</w:t>
            </w:r>
            <w:r>
              <w:rPr>
                <w:rFonts w:hint="eastAsia" w:ascii="宋体" w:hAnsi="宋体" w:eastAsia="宋体" w:cs="宋体"/>
                <w:b/>
                <w:bCs/>
                <w:color w:val="auto"/>
                <w:kern w:val="0"/>
                <w:sz w:val="24"/>
                <w:szCs w:val="24"/>
                <w:highlight w:val="none"/>
                <w:lang w:val="en-US" w:eastAsia="zh-CN" w:bidi="ar"/>
              </w:rPr>
              <w:t xml:space="preserve">）监测要求 </w:t>
            </w:r>
          </w:p>
          <w:p>
            <w:pPr>
              <w:keepNext w:val="0"/>
              <w:keepLines w:val="0"/>
              <w:pageBreakBefore w:val="0"/>
              <w:widowControl/>
              <w:suppressLineNumbers w:val="0"/>
              <w:kinsoku/>
              <w:wordWrap/>
              <w:overflowPunct/>
              <w:topLinePunct w:val="0"/>
              <w:autoSpaceDE/>
              <w:autoSpaceDN/>
              <w:bidi w:val="0"/>
              <w:spacing w:line="360" w:lineRule="auto"/>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根据《排污单位自行监测技术指南 总则》（</w:t>
            </w:r>
            <w:r>
              <w:rPr>
                <w:rFonts w:hint="default" w:ascii="Times New Roman" w:hAnsi="Times New Roman" w:eastAsia="宋体" w:cs="Times New Roman"/>
                <w:color w:val="auto"/>
                <w:kern w:val="0"/>
                <w:sz w:val="24"/>
                <w:szCs w:val="24"/>
                <w:highlight w:val="none"/>
                <w:lang w:val="en-US" w:eastAsia="zh-CN" w:bidi="ar"/>
              </w:rPr>
              <w:t>HJ 819-2017</w:t>
            </w:r>
            <w:r>
              <w:rPr>
                <w:rFonts w:hint="eastAsia" w:ascii="宋体" w:hAnsi="宋体" w:eastAsia="宋体" w:cs="宋体"/>
                <w:color w:val="auto"/>
                <w:kern w:val="0"/>
                <w:sz w:val="24"/>
                <w:szCs w:val="24"/>
                <w:highlight w:val="none"/>
                <w:lang w:val="en-US" w:eastAsia="zh-CN" w:bidi="ar"/>
              </w:rPr>
              <w:t xml:space="preserve">）相关要求，拟建项目噪声监测要求见表 </w:t>
            </w:r>
            <w:r>
              <w:rPr>
                <w:rFonts w:hint="default" w:ascii="Times New Roman" w:hAnsi="Times New Roman" w:eastAsia="宋体" w:cs="Times New Roman"/>
                <w:color w:val="auto"/>
                <w:kern w:val="0"/>
                <w:sz w:val="24"/>
                <w:szCs w:val="24"/>
                <w:highlight w:val="none"/>
                <w:lang w:val="en-US" w:eastAsia="zh-CN" w:bidi="ar"/>
              </w:rPr>
              <w:t>4</w:t>
            </w:r>
            <w:r>
              <w:rPr>
                <w:rFonts w:hint="eastAsia" w:ascii="Times New Roman" w:hAnsi="Times New Roman" w:eastAsia="宋体" w:cs="Times New Roman"/>
                <w:color w:val="auto"/>
                <w:kern w:val="0"/>
                <w:sz w:val="24"/>
                <w:szCs w:val="24"/>
                <w:highlight w:val="none"/>
                <w:lang w:val="en-US" w:eastAsia="zh-CN" w:bidi="ar"/>
              </w:rPr>
              <w:t>.21</w:t>
            </w:r>
            <w:r>
              <w:rPr>
                <w:rFonts w:hint="eastAsia" w:ascii="宋体" w:hAnsi="宋体" w:eastAsia="宋体" w:cs="宋体"/>
                <w:color w:val="auto"/>
                <w:kern w:val="0"/>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center"/>
              <w:textAlignment w:val="auto"/>
              <w:rPr>
                <w:rFonts w:hint="eastAsia"/>
                <w:b/>
                <w:bCs/>
                <w:color w:val="auto"/>
                <w:highlight w:val="none"/>
                <w:lang w:val="en-US" w:eastAsia="zh-CN"/>
              </w:rPr>
            </w:pPr>
            <w:r>
              <w:rPr>
                <w:rFonts w:hint="eastAsia"/>
                <w:b/>
                <w:bCs/>
                <w:color w:val="auto"/>
                <w:highlight w:val="none"/>
                <w:lang w:val="en-US" w:eastAsia="zh-CN"/>
              </w:rPr>
              <w:t>表 4.21 噪声监测计划一览表</w:t>
            </w:r>
          </w:p>
          <w:tbl>
            <w:tblPr>
              <w:tblStyle w:val="29"/>
              <w:tblW w:w="74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1428"/>
              <w:gridCol w:w="2317"/>
              <w:gridCol w:w="1376"/>
              <w:gridCol w:w="2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cantSplit/>
                <w:trHeight w:val="181" w:hRule="atLeast"/>
                <w:tblHeader/>
                <w:jc w:val="center"/>
              </w:trPr>
              <w:tc>
                <w:tcPr>
                  <w:tcW w:w="1428"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监测对象</w:t>
                  </w:r>
                </w:p>
              </w:tc>
              <w:tc>
                <w:tcPr>
                  <w:tcW w:w="2317"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监测点</w:t>
                  </w:r>
                </w:p>
              </w:tc>
              <w:tc>
                <w:tcPr>
                  <w:tcW w:w="13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监测因子</w:t>
                  </w:r>
                </w:p>
              </w:tc>
              <w:tc>
                <w:tcPr>
                  <w:tcW w:w="2289"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监测时段与方法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cantSplit/>
                <w:trHeight w:val="257" w:hRule="atLeast"/>
                <w:tblHeader/>
                <w:jc w:val="center"/>
              </w:trPr>
              <w:tc>
                <w:tcPr>
                  <w:tcW w:w="1428"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场界噪声</w:t>
                  </w:r>
                </w:p>
              </w:tc>
              <w:tc>
                <w:tcPr>
                  <w:tcW w:w="2317"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东、西、南、北场界</w:t>
                  </w:r>
                </w:p>
              </w:tc>
              <w:tc>
                <w:tcPr>
                  <w:tcW w:w="13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昼、夜间等效声级</w:t>
                  </w:r>
                </w:p>
              </w:tc>
              <w:tc>
                <w:tcPr>
                  <w:tcW w:w="2289"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验收时监测一次，运营期每季度1次</w:t>
                  </w:r>
                </w:p>
              </w:tc>
            </w:tr>
          </w:tbl>
          <w:p>
            <w:pPr>
              <w:pStyle w:val="3"/>
              <w:bidi w:val="0"/>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4.</w:t>
            </w:r>
            <w:r>
              <w:rPr>
                <w:rFonts w:hint="eastAsia" w:ascii="Times New Roman" w:hAnsi="Times New Roman" w:cs="Times New Roman"/>
                <w:b/>
                <w:bCs/>
                <w:color w:val="auto"/>
                <w:kern w:val="2"/>
                <w:sz w:val="24"/>
                <w:szCs w:val="24"/>
                <w:highlight w:val="none"/>
                <w:lang w:val="en-US" w:eastAsia="zh-CN" w:bidi="ar-SA"/>
              </w:rPr>
              <w:t>5</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eastAsia" w:ascii="Times New Roman" w:hAnsi="Times New Roman" w:cs="Times New Roman"/>
                <w:b/>
                <w:bCs/>
                <w:color w:val="auto"/>
                <w:kern w:val="2"/>
                <w:sz w:val="24"/>
                <w:szCs w:val="24"/>
                <w:highlight w:val="none"/>
                <w:lang w:val="en-US" w:eastAsia="zh-CN" w:bidi="ar-SA"/>
              </w:rPr>
              <w:t>固体废物</w:t>
            </w:r>
            <w:r>
              <w:rPr>
                <w:rFonts w:hint="eastAsia" w:ascii="Times New Roman" w:hAnsi="Times New Roman" w:eastAsia="宋体" w:cs="Times New Roman"/>
                <w:b/>
                <w:bCs/>
                <w:color w:val="auto"/>
                <w:kern w:val="2"/>
                <w:sz w:val="24"/>
                <w:szCs w:val="24"/>
                <w:highlight w:val="none"/>
                <w:lang w:val="en-US" w:eastAsia="zh-CN" w:bidi="ar-SA"/>
              </w:rPr>
              <w:t>影响分析</w:t>
            </w:r>
            <w:r>
              <w:rPr>
                <w:rFonts w:hint="eastAsia" w:ascii="Times New Roman" w:hAnsi="Times New Roman" w:cs="Times New Roman"/>
                <w:b/>
                <w:bCs/>
                <w:color w:val="auto"/>
                <w:kern w:val="2"/>
                <w:sz w:val="24"/>
                <w:szCs w:val="24"/>
                <w:highlight w:val="none"/>
                <w:lang w:val="en-US" w:eastAsia="zh-CN" w:bidi="ar-SA"/>
              </w:rPr>
              <w:t>及其防治措施</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本项目医疗服务产生的固体废物主要包括一般固废（</w:t>
            </w:r>
            <w:r>
              <w:rPr>
                <w:rFonts w:hint="default" w:ascii="Times New Roman" w:hAnsi="Times New Roman" w:eastAsia="宋体" w:cs="Times New Roman"/>
                <w:color w:val="auto"/>
                <w:kern w:val="0"/>
                <w:sz w:val="24"/>
                <w:szCs w:val="24"/>
                <w:highlight w:val="none"/>
                <w:lang w:val="en-US" w:eastAsia="zh-CN" w:bidi="ar"/>
              </w:rPr>
              <w:t>S1</w:t>
            </w:r>
            <w:r>
              <w:rPr>
                <w:rFonts w:hint="eastAsia" w:ascii="宋体" w:hAnsi="宋体" w:eastAsia="宋体" w:cs="宋体"/>
                <w:color w:val="auto"/>
                <w:kern w:val="0"/>
                <w:sz w:val="24"/>
                <w:szCs w:val="24"/>
                <w:highlight w:val="none"/>
                <w:lang w:val="en-US" w:eastAsia="zh-CN" w:bidi="ar"/>
              </w:rPr>
              <w:t>）、危险废物（医疗废物（</w:t>
            </w:r>
            <w:r>
              <w:rPr>
                <w:rFonts w:hint="default" w:ascii="Times New Roman" w:hAnsi="Times New Roman" w:eastAsia="宋体" w:cs="Times New Roman"/>
                <w:color w:val="auto"/>
                <w:kern w:val="0"/>
                <w:sz w:val="24"/>
                <w:szCs w:val="24"/>
                <w:highlight w:val="none"/>
                <w:lang w:val="en-US" w:eastAsia="zh-CN" w:bidi="ar"/>
              </w:rPr>
              <w:t>S2</w:t>
            </w:r>
            <w:r>
              <w:rPr>
                <w:rFonts w:hint="eastAsia" w:ascii="宋体" w:hAnsi="宋体" w:eastAsia="宋体" w:cs="宋体"/>
                <w:color w:val="auto"/>
                <w:kern w:val="0"/>
                <w:sz w:val="24"/>
                <w:szCs w:val="24"/>
                <w:highlight w:val="none"/>
                <w:lang w:val="en-US" w:eastAsia="zh-CN" w:bidi="ar"/>
              </w:rPr>
              <w:t>）、生活垃圾（</w:t>
            </w:r>
            <w:r>
              <w:rPr>
                <w:rFonts w:hint="default" w:ascii="Times New Roman" w:hAnsi="Times New Roman" w:eastAsia="宋体" w:cs="Times New Roman"/>
                <w:color w:val="auto"/>
                <w:kern w:val="0"/>
                <w:sz w:val="24"/>
                <w:szCs w:val="24"/>
                <w:highlight w:val="none"/>
                <w:lang w:val="en-US" w:eastAsia="zh-CN" w:bidi="ar"/>
              </w:rPr>
              <w:t>S3</w:t>
            </w:r>
            <w:r>
              <w:rPr>
                <w:rFonts w:hint="eastAsia" w:ascii="宋体" w:hAnsi="宋体" w:eastAsia="宋体" w:cs="宋体"/>
                <w:color w:val="auto"/>
                <w:kern w:val="0"/>
                <w:sz w:val="24"/>
                <w:szCs w:val="24"/>
                <w:highlight w:val="none"/>
                <w:lang w:val="en-US" w:eastAsia="zh-CN" w:bidi="ar"/>
              </w:rPr>
              <w:t>）、废水处理设施污泥（</w:t>
            </w:r>
            <w:r>
              <w:rPr>
                <w:rFonts w:hint="default" w:ascii="Times New Roman" w:hAnsi="Times New Roman" w:eastAsia="宋体" w:cs="Times New Roman"/>
                <w:color w:val="auto"/>
                <w:kern w:val="0"/>
                <w:sz w:val="24"/>
                <w:szCs w:val="24"/>
                <w:highlight w:val="none"/>
                <w:lang w:val="en-US" w:eastAsia="zh-CN" w:bidi="ar"/>
              </w:rPr>
              <w:t>S4</w:t>
            </w:r>
            <w:r>
              <w:rPr>
                <w:rFonts w:hint="eastAsia" w:ascii="宋体" w:hAnsi="宋体" w:eastAsia="宋体" w:cs="宋体"/>
                <w:color w:val="auto"/>
                <w:kern w:val="0"/>
                <w:sz w:val="24"/>
                <w:szCs w:val="24"/>
                <w:highlight w:val="none"/>
                <w:lang w:val="en-US" w:eastAsia="zh-CN" w:bidi="ar"/>
              </w:rPr>
              <w:t>）、废活性炭（</w:t>
            </w:r>
            <w:r>
              <w:rPr>
                <w:rFonts w:hint="default" w:ascii="Times New Roman" w:hAnsi="Times New Roman" w:eastAsia="宋体" w:cs="Times New Roman"/>
                <w:color w:val="auto"/>
                <w:kern w:val="0"/>
                <w:sz w:val="24"/>
                <w:szCs w:val="24"/>
                <w:highlight w:val="none"/>
                <w:lang w:val="en-US" w:eastAsia="zh-CN" w:bidi="ar"/>
              </w:rPr>
              <w:t>S5</w:t>
            </w:r>
            <w:r>
              <w:rPr>
                <w:rFonts w:hint="eastAsia" w:ascii="宋体" w:hAnsi="宋体" w:eastAsia="宋体" w:cs="宋体"/>
                <w:color w:val="auto"/>
                <w:kern w:val="0"/>
                <w:sz w:val="24"/>
                <w:szCs w:val="24"/>
                <w:highlight w:val="none"/>
                <w:lang w:val="en-US" w:eastAsia="zh-CN" w:bidi="ar"/>
              </w:rPr>
              <w:t>）、废</w:t>
            </w:r>
            <w:r>
              <w:rPr>
                <w:rFonts w:hint="default" w:ascii="Times New Roman" w:hAnsi="Times New Roman" w:eastAsia="宋体" w:cs="Times New Roman"/>
                <w:color w:val="auto"/>
                <w:kern w:val="0"/>
                <w:sz w:val="24"/>
                <w:szCs w:val="24"/>
                <w:highlight w:val="none"/>
                <w:lang w:val="en-US" w:eastAsia="zh-CN" w:bidi="ar"/>
              </w:rPr>
              <w:t>UV</w:t>
            </w:r>
            <w:r>
              <w:rPr>
                <w:rFonts w:hint="eastAsia" w:ascii="宋体" w:hAnsi="宋体" w:eastAsia="宋体" w:cs="宋体"/>
                <w:color w:val="auto"/>
                <w:kern w:val="0"/>
                <w:sz w:val="24"/>
                <w:szCs w:val="24"/>
                <w:highlight w:val="none"/>
                <w:lang w:val="en-US" w:eastAsia="zh-CN" w:bidi="ar"/>
              </w:rPr>
              <w:t>灯管（</w:t>
            </w:r>
            <w:r>
              <w:rPr>
                <w:rFonts w:hint="default" w:ascii="Times New Roman" w:hAnsi="Times New Roman" w:eastAsia="宋体" w:cs="Times New Roman"/>
                <w:color w:val="auto"/>
                <w:kern w:val="0"/>
                <w:sz w:val="24"/>
                <w:szCs w:val="24"/>
                <w:highlight w:val="none"/>
                <w:lang w:val="en-US" w:eastAsia="zh-CN" w:bidi="ar"/>
              </w:rPr>
              <w:t>S6</w:t>
            </w:r>
            <w:r>
              <w:rPr>
                <w:rFonts w:hint="eastAsia" w:ascii="宋体" w:hAnsi="宋体" w:eastAsia="宋体" w:cs="宋体"/>
                <w:color w:val="auto"/>
                <w:kern w:val="0"/>
                <w:sz w:val="24"/>
                <w:szCs w:val="24"/>
                <w:highlight w:val="none"/>
                <w:lang w:val="en-US" w:eastAsia="zh-CN" w:bidi="ar"/>
              </w:rPr>
              <w:t>）、废中药渣（</w:t>
            </w:r>
            <w:r>
              <w:rPr>
                <w:rFonts w:hint="default" w:ascii="Times New Roman" w:hAnsi="Times New Roman" w:eastAsia="宋体" w:cs="Times New Roman"/>
                <w:color w:val="auto"/>
                <w:kern w:val="0"/>
                <w:sz w:val="24"/>
                <w:szCs w:val="24"/>
                <w:highlight w:val="none"/>
                <w:lang w:val="en-US" w:eastAsia="zh-CN" w:bidi="ar"/>
              </w:rPr>
              <w:t>S7</w:t>
            </w:r>
            <w:r>
              <w:rPr>
                <w:rFonts w:hint="eastAsia" w:ascii="宋体" w:hAnsi="宋体" w:eastAsia="宋体" w:cs="宋体"/>
                <w:color w:val="auto"/>
                <w:kern w:val="0"/>
                <w:sz w:val="24"/>
                <w:szCs w:val="24"/>
                <w:highlight w:val="none"/>
                <w:lang w:val="en-US" w:eastAsia="zh-CN" w:bidi="ar"/>
              </w:rPr>
              <w:t>）、检验废液（</w:t>
            </w:r>
            <w:r>
              <w:rPr>
                <w:rFonts w:hint="default" w:ascii="Times New Roman" w:hAnsi="Times New Roman" w:eastAsia="宋体" w:cs="Times New Roman"/>
                <w:color w:val="auto"/>
                <w:kern w:val="0"/>
                <w:sz w:val="24"/>
                <w:szCs w:val="24"/>
                <w:highlight w:val="none"/>
                <w:lang w:val="en-US" w:eastAsia="zh-CN" w:bidi="ar"/>
              </w:rPr>
              <w:t>S8</w:t>
            </w:r>
            <w:r>
              <w:rPr>
                <w:rFonts w:hint="eastAsia" w:ascii="宋体" w:hAnsi="宋体" w:eastAsia="宋体" w:cs="宋体"/>
                <w:color w:val="auto"/>
                <w:kern w:val="0"/>
                <w:sz w:val="24"/>
                <w:szCs w:val="24"/>
                <w:highlight w:val="none"/>
                <w:lang w:val="en-US" w:eastAsia="zh-CN" w:bidi="ar"/>
              </w:rPr>
              <w:t>））。</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1</w:t>
            </w:r>
            <w:r>
              <w:rPr>
                <w:rFonts w:hint="eastAsia" w:ascii="宋体" w:hAnsi="宋体" w:eastAsia="宋体" w:cs="宋体"/>
                <w:b/>
                <w:bCs/>
                <w:color w:val="auto"/>
                <w:kern w:val="0"/>
                <w:sz w:val="24"/>
                <w:szCs w:val="24"/>
                <w:highlight w:val="none"/>
                <w:lang w:val="en-US" w:eastAsia="zh-CN" w:bidi="ar"/>
              </w:rPr>
              <w:t>）一般固废（</w:t>
            </w:r>
            <w:r>
              <w:rPr>
                <w:rFonts w:hint="default" w:ascii="Times New Roman" w:hAnsi="Times New Roman" w:eastAsia="宋体" w:cs="Times New Roman"/>
                <w:b/>
                <w:bCs/>
                <w:color w:val="auto"/>
                <w:kern w:val="0"/>
                <w:sz w:val="24"/>
                <w:szCs w:val="24"/>
                <w:highlight w:val="none"/>
                <w:lang w:val="en-US" w:eastAsia="zh-CN" w:bidi="ar"/>
              </w:rPr>
              <w:t>S1</w:t>
            </w:r>
            <w:r>
              <w:rPr>
                <w:rFonts w:hint="eastAsia" w:ascii="宋体" w:hAnsi="宋体" w:eastAsia="宋体" w:cs="宋体"/>
                <w:b/>
                <w:bCs/>
                <w:color w:val="auto"/>
                <w:kern w:val="0"/>
                <w:sz w:val="24"/>
                <w:szCs w:val="24"/>
                <w:highlight w:val="none"/>
                <w:lang w:val="en-US" w:eastAsia="zh-CN" w:bidi="ar"/>
              </w:rPr>
              <w:t xml:space="preserve">）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项目运营中，会产生一般固废，主要为塑料包装材料、废药盒、废包装瓶等，根据业主提供资料，项目运营中产生废包装材料约为</w:t>
            </w:r>
            <w:r>
              <w:rPr>
                <w:rFonts w:hint="default" w:ascii="Times New Roman" w:hAnsi="Times New Roman" w:eastAsia="宋体" w:cs="Times New Roman"/>
                <w:color w:val="auto"/>
                <w:kern w:val="0"/>
                <w:sz w:val="24"/>
                <w:szCs w:val="24"/>
                <w:highlight w:val="none"/>
                <w:lang w:val="en-US" w:eastAsia="zh-CN" w:bidi="ar"/>
              </w:rPr>
              <w:t>2t/a</w:t>
            </w:r>
            <w:r>
              <w:rPr>
                <w:rFonts w:hint="eastAsia" w:ascii="宋体" w:hAnsi="宋体" w:eastAsia="宋体" w:cs="宋体"/>
                <w:color w:val="auto"/>
                <w:kern w:val="0"/>
                <w:sz w:val="24"/>
                <w:szCs w:val="24"/>
                <w:highlight w:val="none"/>
                <w:lang w:val="en-US" w:eastAsia="zh-CN" w:bidi="ar"/>
              </w:rPr>
              <w:t>，分类收集后暂存于位于1F南侧的一般固废暂存间，定期交相关单位处置。</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检验室及空气能热水器系统使用纯水，设有</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 xml:space="preserve">套纯水制备装置，设备运行过程中反渗透过程中的饱和离子交换树脂，定期更换，产生废树脂，预计产生量约为 </w:t>
            </w:r>
            <w:r>
              <w:rPr>
                <w:rFonts w:hint="default" w:ascii="Times New Roman" w:hAnsi="Times New Roman" w:eastAsia="宋体" w:cs="Times New Roman"/>
                <w:color w:val="auto"/>
                <w:kern w:val="0"/>
                <w:sz w:val="24"/>
                <w:szCs w:val="24"/>
                <w:highlight w:val="none"/>
                <w:lang w:val="en-US" w:eastAsia="zh-CN" w:bidi="ar"/>
              </w:rPr>
              <w:t>0.10t/a</w:t>
            </w:r>
            <w:r>
              <w:rPr>
                <w:rFonts w:hint="eastAsia" w:ascii="宋体" w:hAnsi="宋体" w:eastAsia="宋体" w:cs="宋体"/>
                <w:color w:val="auto"/>
                <w:kern w:val="0"/>
                <w:sz w:val="24"/>
                <w:szCs w:val="24"/>
                <w:highlight w:val="none"/>
                <w:lang w:val="en-US" w:eastAsia="zh-CN" w:bidi="ar"/>
              </w:rPr>
              <w:t xml:space="preserve">，与生活垃圾一起交由环卫部门处理。 </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2</w:t>
            </w:r>
            <w:r>
              <w:rPr>
                <w:rFonts w:hint="eastAsia" w:ascii="宋体" w:hAnsi="宋体" w:eastAsia="宋体" w:cs="宋体"/>
                <w:b/>
                <w:bCs/>
                <w:color w:val="auto"/>
                <w:kern w:val="0"/>
                <w:sz w:val="24"/>
                <w:szCs w:val="24"/>
                <w:highlight w:val="none"/>
                <w:lang w:val="en-US" w:eastAsia="zh-CN" w:bidi="ar"/>
              </w:rPr>
              <w:t>）危险废物</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①医疗废物（</w:t>
            </w:r>
            <w:r>
              <w:rPr>
                <w:rFonts w:hint="default" w:ascii="Times New Roman" w:hAnsi="Times New Roman" w:eastAsia="宋体" w:cs="Times New Roman"/>
                <w:b/>
                <w:bCs/>
                <w:color w:val="auto"/>
                <w:kern w:val="0"/>
                <w:sz w:val="24"/>
                <w:szCs w:val="24"/>
                <w:highlight w:val="none"/>
                <w:lang w:val="en-US" w:eastAsia="zh-CN" w:bidi="ar"/>
              </w:rPr>
              <w:t>S2</w:t>
            </w:r>
            <w:r>
              <w:rPr>
                <w:rFonts w:hint="eastAsia" w:ascii="宋体" w:hAnsi="宋体" w:eastAsia="宋体" w:cs="宋体"/>
                <w:b/>
                <w:bCs/>
                <w:color w:val="auto"/>
                <w:kern w:val="0"/>
                <w:sz w:val="24"/>
                <w:szCs w:val="24"/>
                <w:highlight w:val="none"/>
                <w:lang w:val="en-US" w:eastAsia="zh-CN" w:bidi="ar"/>
              </w:rPr>
              <w:t xml:space="preserve">）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医疗废物主要来自病人的生活废弃物、医疗诊断、治疗过程中产生的各类固体废弃物，含有大量的病原微生物、寄生虫，还含有其它有害物质。医疗废物属于危险废物，按国家危险废物名录分为医疗废物 （</w:t>
            </w:r>
            <w:r>
              <w:rPr>
                <w:rFonts w:hint="default" w:ascii="Times New Roman" w:hAnsi="Times New Roman" w:eastAsia="宋体" w:cs="Times New Roman"/>
                <w:color w:val="auto"/>
                <w:kern w:val="0"/>
                <w:sz w:val="24"/>
                <w:szCs w:val="24"/>
                <w:highlight w:val="none"/>
                <w:lang w:val="en-US" w:eastAsia="zh-CN" w:bidi="ar"/>
              </w:rPr>
              <w:t>HW01</w:t>
            </w:r>
            <w:r>
              <w:rPr>
                <w:rFonts w:hint="eastAsia" w:ascii="宋体" w:hAnsi="宋体" w:eastAsia="宋体" w:cs="宋体"/>
                <w:color w:val="auto"/>
                <w:kern w:val="0"/>
                <w:sz w:val="24"/>
                <w:szCs w:val="24"/>
                <w:highlight w:val="none"/>
                <w:lang w:val="en-US" w:eastAsia="zh-CN" w:bidi="ar"/>
              </w:rPr>
              <w:t>）和废药物、药品（</w:t>
            </w:r>
            <w:r>
              <w:rPr>
                <w:rFonts w:hint="default" w:ascii="Times New Roman" w:hAnsi="Times New Roman" w:eastAsia="宋体" w:cs="Times New Roman"/>
                <w:color w:val="auto"/>
                <w:kern w:val="0"/>
                <w:sz w:val="24"/>
                <w:szCs w:val="24"/>
                <w:highlight w:val="none"/>
                <w:lang w:val="en-US" w:eastAsia="zh-CN" w:bidi="ar"/>
              </w:rPr>
              <w:t>HW03</w:t>
            </w:r>
            <w:r>
              <w:rPr>
                <w:rFonts w:hint="eastAsia" w:ascii="宋体" w:hAnsi="宋体" w:eastAsia="宋体" w:cs="宋体"/>
                <w:color w:val="auto"/>
                <w:kern w:val="0"/>
                <w:sz w:val="24"/>
                <w:szCs w:val="24"/>
                <w:highlight w:val="none"/>
                <w:lang w:val="en-US" w:eastAsia="zh-CN" w:bidi="ar"/>
              </w:rPr>
              <w:t xml:space="preserve">，废物代码 </w:t>
            </w:r>
            <w:r>
              <w:rPr>
                <w:rFonts w:hint="default" w:ascii="Times New Roman" w:hAnsi="Times New Roman" w:eastAsia="宋体" w:cs="Times New Roman"/>
                <w:color w:val="auto"/>
                <w:kern w:val="0"/>
                <w:sz w:val="24"/>
                <w:szCs w:val="24"/>
                <w:highlight w:val="none"/>
                <w:lang w:val="en-US" w:eastAsia="zh-CN" w:bidi="ar"/>
              </w:rPr>
              <w:t>900-002-03</w:t>
            </w:r>
            <w:r>
              <w:rPr>
                <w:rFonts w:hint="eastAsia" w:ascii="宋体" w:hAnsi="宋体" w:eastAsia="宋体" w:cs="宋体"/>
                <w:color w:val="auto"/>
                <w:kern w:val="0"/>
                <w:sz w:val="24"/>
                <w:szCs w:val="24"/>
                <w:highlight w:val="none"/>
                <w:lang w:val="en-US" w:eastAsia="zh-CN" w:bidi="ar"/>
              </w:rPr>
              <w:t>）。根据《医疗废物分类目录（</w:t>
            </w:r>
            <w:r>
              <w:rPr>
                <w:rFonts w:hint="default" w:ascii="Times New Roman" w:hAnsi="Times New Roman" w:eastAsia="宋体" w:cs="Times New Roman"/>
                <w:color w:val="auto"/>
                <w:kern w:val="0"/>
                <w:sz w:val="24"/>
                <w:szCs w:val="24"/>
                <w:highlight w:val="none"/>
                <w:lang w:val="en-US" w:eastAsia="zh-CN" w:bidi="ar"/>
              </w:rPr>
              <w:t xml:space="preserve">2021 </w:t>
            </w:r>
            <w:r>
              <w:rPr>
                <w:rFonts w:hint="eastAsia" w:ascii="宋体" w:hAnsi="宋体" w:eastAsia="宋体" w:cs="宋体"/>
                <w:color w:val="auto"/>
                <w:kern w:val="0"/>
                <w:sz w:val="24"/>
                <w:szCs w:val="24"/>
                <w:highlight w:val="none"/>
                <w:lang w:val="en-US" w:eastAsia="zh-CN" w:bidi="ar"/>
              </w:rPr>
              <w:t>年版）》，医疗废物分为感染性废物、病理性废物、损伤性废物、药物性废物和化学性废物五大类。本项目具体产生医疗废物类别、名称等情况详见表</w:t>
            </w:r>
            <w:r>
              <w:rPr>
                <w:rFonts w:hint="eastAsia" w:ascii="Times New Roman" w:hAnsi="Times New Roman" w:eastAsia="宋体" w:cs="Times New Roman"/>
                <w:color w:val="auto"/>
                <w:kern w:val="0"/>
                <w:sz w:val="24"/>
                <w:szCs w:val="24"/>
                <w:highlight w:val="none"/>
                <w:lang w:val="en-US" w:eastAsia="zh-CN" w:bidi="ar"/>
              </w:rPr>
              <w:t>2.10</w:t>
            </w:r>
            <w:r>
              <w:rPr>
                <w:rFonts w:hint="eastAsia" w:ascii="宋体" w:hAnsi="宋体" w:eastAsia="宋体" w:cs="宋体"/>
                <w:color w:val="auto"/>
                <w:kern w:val="0"/>
                <w:sz w:val="24"/>
                <w:szCs w:val="24"/>
                <w:highlight w:val="none"/>
                <w:lang w:val="en-US" w:eastAsia="zh-CN" w:bidi="ar"/>
              </w:rPr>
              <w:t>。</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根据《第一次全国污染源普查城镇生活源产排污系数手册》，住院病人医疗废物产生量按</w:t>
            </w:r>
            <w:r>
              <w:rPr>
                <w:rFonts w:hint="default" w:ascii="Times New Roman" w:hAnsi="Times New Roman" w:eastAsia="宋体" w:cs="Times New Roman"/>
                <w:color w:val="auto"/>
                <w:kern w:val="0"/>
                <w:sz w:val="24"/>
                <w:szCs w:val="24"/>
                <w:highlight w:val="none"/>
                <w:lang w:val="en-US" w:eastAsia="zh-CN" w:bidi="ar"/>
              </w:rPr>
              <w:t>0.42kg/</w:t>
            </w:r>
            <w:r>
              <w:rPr>
                <w:rFonts w:hint="eastAsia" w:ascii="宋体" w:hAnsi="宋体" w:eastAsia="宋体" w:cs="宋体"/>
                <w:color w:val="auto"/>
                <w:kern w:val="0"/>
                <w:sz w:val="24"/>
                <w:szCs w:val="24"/>
                <w:highlight w:val="none"/>
                <w:lang w:val="en-US" w:eastAsia="zh-CN" w:bidi="ar"/>
              </w:rPr>
              <w:t>床·</w:t>
            </w:r>
            <w:r>
              <w:rPr>
                <w:rFonts w:hint="default" w:ascii="Times New Roman" w:hAnsi="Times New Roman" w:eastAsia="宋体" w:cs="Times New Roman"/>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val="en-US" w:eastAsia="zh-CN" w:bidi="ar"/>
              </w:rPr>
              <w:t xml:space="preserve">，门诊医疗废物按 </w:t>
            </w:r>
            <w:r>
              <w:rPr>
                <w:rFonts w:hint="default" w:ascii="Times New Roman" w:hAnsi="Times New Roman" w:eastAsia="宋体" w:cs="Times New Roman"/>
                <w:color w:val="auto"/>
                <w:kern w:val="0"/>
                <w:sz w:val="24"/>
                <w:szCs w:val="24"/>
                <w:highlight w:val="none"/>
                <w:lang w:val="en-US" w:eastAsia="zh-CN" w:bidi="ar"/>
              </w:rPr>
              <w:t>0.05kg/</w:t>
            </w:r>
            <w:r>
              <w:rPr>
                <w:rFonts w:hint="eastAsia" w:ascii="宋体" w:hAnsi="宋体" w:eastAsia="宋体" w:cs="宋体"/>
                <w:color w:val="auto"/>
                <w:kern w:val="0"/>
                <w:sz w:val="24"/>
                <w:szCs w:val="24"/>
                <w:highlight w:val="none"/>
                <w:lang w:val="en-US" w:eastAsia="zh-CN" w:bidi="ar"/>
              </w:rPr>
              <w:t>人·</w:t>
            </w:r>
            <w:r>
              <w:rPr>
                <w:rFonts w:hint="default" w:ascii="Times New Roman" w:hAnsi="Times New Roman" w:eastAsia="宋体" w:cs="Times New Roman"/>
                <w:color w:val="auto"/>
                <w:kern w:val="0"/>
                <w:sz w:val="24"/>
                <w:szCs w:val="24"/>
                <w:highlight w:val="none"/>
                <w:lang w:val="en-US" w:eastAsia="zh-CN" w:bidi="ar"/>
              </w:rPr>
              <w:t xml:space="preserve">d </w:t>
            </w:r>
            <w:r>
              <w:rPr>
                <w:rFonts w:hint="eastAsia" w:ascii="宋体" w:hAnsi="宋体" w:eastAsia="宋体" w:cs="宋体"/>
                <w:color w:val="auto"/>
                <w:kern w:val="0"/>
                <w:sz w:val="24"/>
                <w:szCs w:val="24"/>
                <w:highlight w:val="none"/>
                <w:lang w:val="en-US" w:eastAsia="zh-CN" w:bidi="ar"/>
              </w:rPr>
              <w:t>计，医疗废物分类及产生情况见表</w:t>
            </w:r>
            <w:r>
              <w:rPr>
                <w:rFonts w:hint="default" w:ascii="Times New Roman" w:hAnsi="Times New Roman" w:eastAsia="宋体" w:cs="Times New Roman"/>
                <w:color w:val="auto"/>
                <w:kern w:val="0"/>
                <w:sz w:val="24"/>
                <w:szCs w:val="24"/>
                <w:highlight w:val="none"/>
                <w:lang w:val="en-US" w:eastAsia="zh-CN" w:bidi="ar"/>
              </w:rPr>
              <w:t>4.</w:t>
            </w:r>
            <w:r>
              <w:rPr>
                <w:rFonts w:hint="eastAsia" w:ascii="Times New Roman" w:hAnsi="Times New Roman" w:eastAsia="宋体" w:cs="Times New Roman"/>
                <w:color w:val="auto"/>
                <w:kern w:val="0"/>
                <w:sz w:val="24"/>
                <w:szCs w:val="24"/>
                <w:highlight w:val="none"/>
                <w:lang w:val="en-US" w:eastAsia="zh-CN" w:bidi="ar"/>
              </w:rPr>
              <w:t>22</w:t>
            </w:r>
            <w:r>
              <w:rPr>
                <w:rFonts w:hint="eastAsia" w:ascii="宋体" w:hAnsi="宋体" w:eastAsia="宋体" w:cs="宋体"/>
                <w:color w:val="auto"/>
                <w:kern w:val="0"/>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center"/>
              <w:textAlignment w:val="auto"/>
              <w:rPr>
                <w:rFonts w:hint="eastAsia"/>
                <w:b/>
                <w:bCs/>
                <w:color w:val="auto"/>
                <w:highlight w:val="none"/>
                <w:lang w:val="en-US" w:eastAsia="zh-CN"/>
              </w:rPr>
            </w:pPr>
            <w:r>
              <w:rPr>
                <w:rFonts w:hint="eastAsia"/>
                <w:b/>
                <w:bCs/>
                <w:color w:val="auto"/>
                <w:highlight w:val="none"/>
                <w:lang w:val="en-US" w:eastAsia="zh-CN"/>
              </w:rPr>
              <w:t xml:space="preserve">表 </w:t>
            </w:r>
            <w:r>
              <w:rPr>
                <w:rFonts w:hint="default"/>
                <w:b/>
                <w:bCs/>
                <w:color w:val="auto"/>
                <w:highlight w:val="none"/>
                <w:lang w:val="en-US" w:eastAsia="zh-CN"/>
              </w:rPr>
              <w:t>4.</w:t>
            </w:r>
            <w:r>
              <w:rPr>
                <w:rFonts w:hint="eastAsia"/>
                <w:b/>
                <w:bCs/>
                <w:color w:val="auto"/>
                <w:highlight w:val="none"/>
                <w:lang w:val="en-US" w:eastAsia="zh-CN"/>
              </w:rPr>
              <w:t>22</w:t>
            </w:r>
            <w:r>
              <w:rPr>
                <w:rFonts w:hint="default"/>
                <w:b/>
                <w:bCs/>
                <w:color w:val="auto"/>
                <w:highlight w:val="none"/>
                <w:lang w:val="en-US" w:eastAsia="zh-CN"/>
              </w:rPr>
              <w:t xml:space="preserve"> </w:t>
            </w:r>
            <w:r>
              <w:rPr>
                <w:rFonts w:hint="eastAsia"/>
                <w:b/>
                <w:bCs/>
                <w:color w:val="auto"/>
                <w:highlight w:val="none"/>
                <w:lang w:val="en-US" w:eastAsia="zh-CN"/>
              </w:rPr>
              <w:t>医疗废物分类及产生情况</w:t>
            </w:r>
          </w:p>
          <w:tbl>
            <w:tblPr>
              <w:tblStyle w:val="30"/>
              <w:tblW w:w="8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1014"/>
              <w:gridCol w:w="985"/>
              <w:gridCol w:w="1196"/>
              <w:gridCol w:w="1003"/>
              <w:gridCol w:w="1096"/>
              <w:gridCol w:w="986"/>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trPr>
              <w:tc>
                <w:tcPr>
                  <w:tcW w:w="984"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院内</w:t>
                  </w:r>
                </w:p>
              </w:tc>
              <w:tc>
                <w:tcPr>
                  <w:tcW w:w="1014"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废物</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类别</w:t>
                  </w:r>
                </w:p>
              </w:tc>
              <w:tc>
                <w:tcPr>
                  <w:tcW w:w="985"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名称</w:t>
                  </w:r>
                </w:p>
              </w:tc>
              <w:tc>
                <w:tcPr>
                  <w:tcW w:w="1196"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废物代码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p>
              </w:tc>
              <w:tc>
                <w:tcPr>
                  <w:tcW w:w="1003"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危险</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特性</w:t>
                  </w:r>
                </w:p>
              </w:tc>
              <w:tc>
                <w:tcPr>
                  <w:tcW w:w="1096"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人数</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p>
              </w:tc>
              <w:tc>
                <w:tcPr>
                  <w:tcW w:w="986"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产污</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系数</w:t>
                  </w:r>
                </w:p>
              </w:tc>
              <w:tc>
                <w:tcPr>
                  <w:tcW w:w="1023"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产生量（</w:t>
                  </w:r>
                  <w:r>
                    <w:rPr>
                      <w:rFonts w:hint="default" w:cs="Times New Roman"/>
                      <w:color w:val="auto"/>
                      <w:kern w:val="2"/>
                      <w:sz w:val="21"/>
                      <w:szCs w:val="21"/>
                      <w:highlight w:val="none"/>
                      <w:lang w:val="en-US" w:eastAsia="zh-CN" w:bidi="ar-SA"/>
                    </w:rPr>
                    <w:t>t/a</w:t>
                  </w:r>
                  <w:r>
                    <w:rPr>
                      <w:rFonts w:hint="eastAsia" w:cs="Times New Roman"/>
                      <w:color w:val="auto"/>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4" w:type="dxa"/>
                  <w:vMerge w:val="restart"/>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整个</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院内</w:t>
                  </w:r>
                </w:p>
              </w:tc>
              <w:tc>
                <w:tcPr>
                  <w:tcW w:w="1014" w:type="dxa"/>
                  <w:vMerge w:val="restart"/>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 xml:space="preserve">HW01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 xml:space="preserve">医 疗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废物</w:t>
                  </w:r>
                </w:p>
                <w:p>
                  <w:pPr>
                    <w:keepNext w:val="0"/>
                    <w:keepLines w:val="0"/>
                    <w:widowControl/>
                    <w:suppressLineNumbers w:val="0"/>
                    <w:jc w:val="left"/>
                    <w:rPr>
                      <w:rFonts w:hint="eastAsia" w:ascii="宋体" w:hAnsi="宋体" w:eastAsia="宋体" w:cs="宋体"/>
                      <w:b/>
                      <w:bCs/>
                      <w:color w:val="auto"/>
                      <w:kern w:val="0"/>
                      <w:sz w:val="21"/>
                      <w:szCs w:val="21"/>
                      <w:highlight w:val="none"/>
                      <w:vertAlign w:val="baseline"/>
                      <w:lang w:val="en-US" w:eastAsia="zh-CN" w:bidi="ar"/>
                    </w:rPr>
                  </w:pPr>
                </w:p>
              </w:tc>
              <w:tc>
                <w:tcPr>
                  <w:tcW w:w="985"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 xml:space="preserve">感染性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废物</w:t>
                  </w:r>
                </w:p>
              </w:tc>
              <w:tc>
                <w:tcPr>
                  <w:tcW w:w="1196"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 xml:space="preserve">HW01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841-001-01</w:t>
                  </w:r>
                </w:p>
              </w:tc>
              <w:tc>
                <w:tcPr>
                  <w:tcW w:w="1003"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In</w:t>
                  </w:r>
                </w:p>
              </w:tc>
              <w:tc>
                <w:tcPr>
                  <w:tcW w:w="1096" w:type="dxa"/>
                  <w:vMerge w:val="restart"/>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kern w:val="2"/>
                      <w:sz w:val="21"/>
                      <w:szCs w:val="21"/>
                      <w:highlight w:val="none"/>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 xml:space="preserve">住院病人 65人，就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诊人数80</w:t>
                  </w:r>
                  <w:r>
                    <w:rPr>
                      <w:rFonts w:hint="default" w:cs="Times New Roman"/>
                      <w:color w:val="auto"/>
                      <w:kern w:val="2"/>
                      <w:sz w:val="21"/>
                      <w:szCs w:val="21"/>
                      <w:highlight w:val="none"/>
                      <w:lang w:val="en-US" w:eastAsia="zh-CN" w:bidi="ar-SA"/>
                    </w:rPr>
                    <w:t xml:space="preserve"> </w:t>
                  </w:r>
                  <w:r>
                    <w:rPr>
                      <w:rFonts w:hint="eastAsia" w:cs="Times New Roman"/>
                      <w:color w:val="auto"/>
                      <w:kern w:val="2"/>
                      <w:sz w:val="21"/>
                      <w:szCs w:val="21"/>
                      <w:highlight w:val="none"/>
                      <w:lang w:val="en-US" w:eastAsia="zh-CN" w:bidi="ar-SA"/>
                    </w:rPr>
                    <w:t>人</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p>
              </w:tc>
              <w:tc>
                <w:tcPr>
                  <w:tcW w:w="986" w:type="dxa"/>
                  <w:vMerge w:val="restart"/>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住院 病人：</w:t>
                  </w:r>
                  <w:r>
                    <w:rPr>
                      <w:rFonts w:hint="default" w:cs="Times New Roman"/>
                      <w:color w:val="auto"/>
                      <w:kern w:val="2"/>
                      <w:sz w:val="21"/>
                      <w:szCs w:val="21"/>
                      <w:highlight w:val="none"/>
                      <w:lang w:val="en-US" w:eastAsia="zh-CN" w:bidi="ar-SA"/>
                    </w:rPr>
                    <w:t>0.42kg/</w:t>
                  </w:r>
                  <w:r>
                    <w:rPr>
                      <w:rFonts w:hint="eastAsia" w:cs="Times New Roman"/>
                      <w:color w:val="auto"/>
                      <w:kern w:val="2"/>
                      <w:sz w:val="21"/>
                      <w:szCs w:val="21"/>
                      <w:highlight w:val="none"/>
                      <w:lang w:val="en-US" w:eastAsia="zh-CN" w:bidi="ar-SA"/>
                    </w:rPr>
                    <w:t>床</w:t>
                  </w:r>
                  <w:r>
                    <w:rPr>
                      <w:rFonts w:hint="default" w:cs="Times New Roman"/>
                      <w:color w:val="auto"/>
                      <w:kern w:val="2"/>
                      <w:sz w:val="21"/>
                      <w:szCs w:val="21"/>
                      <w:highlight w:val="none"/>
                      <w:lang w:val="en-US" w:eastAsia="zh-CN" w:bidi="ar-SA"/>
                    </w:rPr>
                    <w:t>.d</w:t>
                  </w:r>
                  <w:r>
                    <w:rPr>
                      <w:rFonts w:hint="eastAsia" w:cs="Times New Roman"/>
                      <w:color w:val="auto"/>
                      <w:kern w:val="2"/>
                      <w:sz w:val="21"/>
                      <w:szCs w:val="21"/>
                      <w:highlight w:val="none"/>
                      <w:lang w:val="en-US" w:eastAsia="zh-CN" w:bidi="ar-SA"/>
                    </w:rPr>
                    <w:t xml:space="preserve">；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 xml:space="preserve">门诊病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人：</w:t>
                  </w:r>
                  <w:r>
                    <w:rPr>
                      <w:rFonts w:hint="default" w:cs="Times New Roman"/>
                      <w:color w:val="auto"/>
                      <w:kern w:val="2"/>
                      <w:sz w:val="21"/>
                      <w:szCs w:val="21"/>
                      <w:highlight w:val="none"/>
                      <w:lang w:val="en-US" w:eastAsia="zh-CN" w:bidi="ar-SA"/>
                    </w:rPr>
                    <w:t xml:space="preserve">0.05kg/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人</w:t>
                  </w:r>
                  <w:r>
                    <w:rPr>
                      <w:rFonts w:hint="default" w:cs="Times New Roman"/>
                      <w:color w:val="auto"/>
                      <w:kern w:val="2"/>
                      <w:sz w:val="21"/>
                      <w:szCs w:val="21"/>
                      <w:highlight w:val="none"/>
                      <w:lang w:val="en-US" w:eastAsia="zh-CN" w:bidi="ar-SA"/>
                    </w:rPr>
                    <w:t>.d</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p>
              </w:tc>
              <w:tc>
                <w:tcPr>
                  <w:tcW w:w="1023" w:type="dxa"/>
                  <w:vMerge w:val="restart"/>
                </w:tcPr>
                <w:p>
                  <w:pPr>
                    <w:keepNext w:val="0"/>
                    <w:keepLines w:val="0"/>
                    <w:widowControl/>
                    <w:suppressLineNumbers w:val="0"/>
                    <w:ind w:left="0" w:leftChars="0" w:firstLine="0" w:firstLineChars="0"/>
                    <w:jc w:val="left"/>
                    <w:rPr>
                      <w:rFonts w:hint="default" w:ascii="宋体" w:hAnsi="宋体" w:eastAsia="宋体" w:cs="宋体"/>
                      <w:b/>
                      <w:bCs/>
                      <w:color w:val="auto"/>
                      <w:kern w:val="0"/>
                      <w:sz w:val="21"/>
                      <w:szCs w:val="21"/>
                      <w:highlight w:val="none"/>
                      <w:vertAlign w:val="baseline"/>
                      <w:lang w:val="en-US" w:eastAsia="zh-CN" w:bidi="ar"/>
                    </w:rPr>
                  </w:pPr>
                  <w:r>
                    <w:rPr>
                      <w:rFonts w:hint="eastAsia" w:cs="Times New Roman"/>
                      <w:color w:val="auto"/>
                      <w:kern w:val="2"/>
                      <w:sz w:val="21"/>
                      <w:szCs w:val="21"/>
                      <w:highlight w:val="none"/>
                      <w:lang w:val="en-US" w:eastAsia="zh-CN" w:bidi="ar-SA"/>
                    </w:rPr>
                    <w:t>11.4245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4" w:type="dxa"/>
                  <w:vMerge w:val="continue"/>
                </w:tcPr>
                <w:p>
                  <w:pPr>
                    <w:keepNext w:val="0"/>
                    <w:keepLines w:val="0"/>
                    <w:widowControl/>
                    <w:suppressLineNumbers w:val="0"/>
                    <w:jc w:val="left"/>
                    <w:rPr>
                      <w:rFonts w:hint="eastAsia" w:ascii="宋体" w:hAnsi="宋体" w:eastAsia="宋体" w:cs="宋体"/>
                      <w:b/>
                      <w:bCs/>
                      <w:color w:val="auto"/>
                      <w:kern w:val="0"/>
                      <w:sz w:val="21"/>
                      <w:szCs w:val="21"/>
                      <w:highlight w:val="none"/>
                      <w:vertAlign w:val="baseline"/>
                      <w:lang w:val="en-US" w:eastAsia="zh-CN" w:bidi="ar"/>
                    </w:rPr>
                  </w:pPr>
                </w:p>
              </w:tc>
              <w:tc>
                <w:tcPr>
                  <w:tcW w:w="1014" w:type="dxa"/>
                  <w:vMerge w:val="continue"/>
                </w:tcPr>
                <w:p>
                  <w:pPr>
                    <w:keepNext w:val="0"/>
                    <w:keepLines w:val="0"/>
                    <w:widowControl/>
                    <w:suppressLineNumbers w:val="0"/>
                    <w:jc w:val="left"/>
                    <w:rPr>
                      <w:rFonts w:hint="eastAsia" w:ascii="宋体" w:hAnsi="宋体" w:eastAsia="宋体" w:cs="宋体"/>
                      <w:b/>
                      <w:bCs/>
                      <w:color w:val="auto"/>
                      <w:kern w:val="0"/>
                      <w:sz w:val="21"/>
                      <w:szCs w:val="21"/>
                      <w:highlight w:val="none"/>
                      <w:vertAlign w:val="baseline"/>
                      <w:lang w:val="en-US" w:eastAsia="zh-CN" w:bidi="ar"/>
                    </w:rPr>
                  </w:pPr>
                </w:p>
              </w:tc>
              <w:tc>
                <w:tcPr>
                  <w:tcW w:w="985"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 xml:space="preserve">损伤性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废物</w:t>
                  </w:r>
                </w:p>
              </w:tc>
              <w:tc>
                <w:tcPr>
                  <w:tcW w:w="1196"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 xml:space="preserve">HW01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841-002-01</w:t>
                  </w:r>
                </w:p>
              </w:tc>
              <w:tc>
                <w:tcPr>
                  <w:tcW w:w="1003"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In</w:t>
                  </w:r>
                </w:p>
              </w:tc>
              <w:tc>
                <w:tcPr>
                  <w:tcW w:w="1096" w:type="dxa"/>
                  <w:vMerge w:val="continue"/>
                </w:tcPr>
                <w:p>
                  <w:pPr>
                    <w:keepNext w:val="0"/>
                    <w:keepLines w:val="0"/>
                    <w:widowControl/>
                    <w:suppressLineNumbers w:val="0"/>
                    <w:jc w:val="left"/>
                    <w:rPr>
                      <w:rFonts w:hint="eastAsia" w:ascii="宋体" w:hAnsi="宋体" w:eastAsia="宋体" w:cs="宋体"/>
                      <w:b/>
                      <w:bCs/>
                      <w:color w:val="auto"/>
                      <w:kern w:val="0"/>
                      <w:sz w:val="21"/>
                      <w:szCs w:val="21"/>
                      <w:highlight w:val="none"/>
                      <w:vertAlign w:val="baseline"/>
                      <w:lang w:val="en-US" w:eastAsia="zh-CN" w:bidi="ar"/>
                    </w:rPr>
                  </w:pPr>
                </w:p>
              </w:tc>
              <w:tc>
                <w:tcPr>
                  <w:tcW w:w="986" w:type="dxa"/>
                  <w:vMerge w:val="continue"/>
                </w:tcPr>
                <w:p>
                  <w:pPr>
                    <w:keepNext w:val="0"/>
                    <w:keepLines w:val="0"/>
                    <w:widowControl/>
                    <w:suppressLineNumbers w:val="0"/>
                    <w:jc w:val="left"/>
                    <w:rPr>
                      <w:rFonts w:hint="eastAsia" w:ascii="宋体" w:hAnsi="宋体" w:eastAsia="宋体" w:cs="宋体"/>
                      <w:b/>
                      <w:bCs/>
                      <w:color w:val="auto"/>
                      <w:kern w:val="0"/>
                      <w:sz w:val="21"/>
                      <w:szCs w:val="21"/>
                      <w:highlight w:val="none"/>
                      <w:vertAlign w:val="baseline"/>
                      <w:lang w:val="en-US" w:eastAsia="zh-CN" w:bidi="ar"/>
                    </w:rPr>
                  </w:pPr>
                </w:p>
              </w:tc>
              <w:tc>
                <w:tcPr>
                  <w:tcW w:w="1023" w:type="dxa"/>
                  <w:vMerge w:val="continue"/>
                </w:tcPr>
                <w:p>
                  <w:pPr>
                    <w:keepNext w:val="0"/>
                    <w:keepLines w:val="0"/>
                    <w:widowControl/>
                    <w:suppressLineNumbers w:val="0"/>
                    <w:jc w:val="left"/>
                    <w:rPr>
                      <w:rFonts w:hint="eastAsia" w:ascii="宋体" w:hAnsi="宋体" w:eastAsia="宋体" w:cs="宋体"/>
                      <w:b/>
                      <w:bCs/>
                      <w:color w:val="auto"/>
                      <w:kern w:val="0"/>
                      <w:sz w:val="21"/>
                      <w:szCs w:val="21"/>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4" w:type="dxa"/>
                  <w:vMerge w:val="continue"/>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p>
              </w:tc>
              <w:tc>
                <w:tcPr>
                  <w:tcW w:w="1014" w:type="dxa"/>
                  <w:vMerge w:val="continue"/>
                </w:tcPr>
                <w:p>
                  <w:pPr>
                    <w:keepNext w:val="0"/>
                    <w:keepLines w:val="0"/>
                    <w:widowControl/>
                    <w:suppressLineNumbers w:val="0"/>
                    <w:jc w:val="left"/>
                    <w:rPr>
                      <w:rFonts w:hint="eastAsia" w:ascii="宋体" w:hAnsi="宋体" w:eastAsia="宋体" w:cs="宋体"/>
                      <w:b/>
                      <w:bCs/>
                      <w:color w:val="auto"/>
                      <w:kern w:val="0"/>
                      <w:sz w:val="21"/>
                      <w:szCs w:val="21"/>
                      <w:highlight w:val="none"/>
                      <w:vertAlign w:val="baseline"/>
                      <w:lang w:val="en-US" w:eastAsia="zh-CN" w:bidi="ar"/>
                    </w:rPr>
                  </w:pPr>
                </w:p>
              </w:tc>
              <w:tc>
                <w:tcPr>
                  <w:tcW w:w="985"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 xml:space="preserve">病理性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废物</w:t>
                  </w:r>
                </w:p>
              </w:tc>
              <w:tc>
                <w:tcPr>
                  <w:tcW w:w="1196"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 xml:space="preserve">HW01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841-003-01</w:t>
                  </w:r>
                </w:p>
              </w:tc>
              <w:tc>
                <w:tcPr>
                  <w:tcW w:w="1003"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In</w:t>
                  </w:r>
                </w:p>
              </w:tc>
              <w:tc>
                <w:tcPr>
                  <w:tcW w:w="1096" w:type="dxa"/>
                  <w:vMerge w:val="continue"/>
                </w:tcPr>
                <w:p>
                  <w:pPr>
                    <w:keepNext w:val="0"/>
                    <w:keepLines w:val="0"/>
                    <w:widowControl/>
                    <w:suppressLineNumbers w:val="0"/>
                    <w:jc w:val="left"/>
                    <w:rPr>
                      <w:rFonts w:hint="eastAsia" w:ascii="宋体" w:hAnsi="宋体" w:eastAsia="宋体" w:cs="宋体"/>
                      <w:b/>
                      <w:bCs/>
                      <w:color w:val="auto"/>
                      <w:kern w:val="0"/>
                      <w:sz w:val="21"/>
                      <w:szCs w:val="21"/>
                      <w:highlight w:val="none"/>
                      <w:vertAlign w:val="baseline"/>
                      <w:lang w:val="en-US" w:eastAsia="zh-CN" w:bidi="ar"/>
                    </w:rPr>
                  </w:pPr>
                </w:p>
              </w:tc>
              <w:tc>
                <w:tcPr>
                  <w:tcW w:w="986" w:type="dxa"/>
                  <w:vMerge w:val="continue"/>
                </w:tcPr>
                <w:p>
                  <w:pPr>
                    <w:keepNext w:val="0"/>
                    <w:keepLines w:val="0"/>
                    <w:widowControl/>
                    <w:suppressLineNumbers w:val="0"/>
                    <w:jc w:val="left"/>
                    <w:rPr>
                      <w:rFonts w:hint="eastAsia" w:ascii="宋体" w:hAnsi="宋体" w:eastAsia="宋体" w:cs="宋体"/>
                      <w:b/>
                      <w:bCs/>
                      <w:color w:val="auto"/>
                      <w:kern w:val="0"/>
                      <w:sz w:val="21"/>
                      <w:szCs w:val="21"/>
                      <w:highlight w:val="none"/>
                      <w:vertAlign w:val="baseline"/>
                      <w:lang w:val="en-US" w:eastAsia="zh-CN" w:bidi="ar"/>
                    </w:rPr>
                  </w:pPr>
                </w:p>
              </w:tc>
              <w:tc>
                <w:tcPr>
                  <w:tcW w:w="1023" w:type="dxa"/>
                  <w:vMerge w:val="continue"/>
                </w:tcPr>
                <w:p>
                  <w:pPr>
                    <w:keepNext w:val="0"/>
                    <w:keepLines w:val="0"/>
                    <w:widowControl/>
                    <w:suppressLineNumbers w:val="0"/>
                    <w:jc w:val="left"/>
                    <w:rPr>
                      <w:rFonts w:hint="eastAsia" w:ascii="宋体" w:hAnsi="宋体" w:eastAsia="宋体" w:cs="宋体"/>
                      <w:b/>
                      <w:bCs/>
                      <w:color w:val="auto"/>
                      <w:kern w:val="0"/>
                      <w:sz w:val="21"/>
                      <w:szCs w:val="21"/>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4" w:type="dxa"/>
                  <w:vMerge w:val="continue"/>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p>
              </w:tc>
              <w:tc>
                <w:tcPr>
                  <w:tcW w:w="1014" w:type="dxa"/>
                  <w:vMerge w:val="continue"/>
                </w:tcPr>
                <w:p>
                  <w:pPr>
                    <w:keepNext w:val="0"/>
                    <w:keepLines w:val="0"/>
                    <w:widowControl/>
                    <w:suppressLineNumbers w:val="0"/>
                    <w:jc w:val="left"/>
                    <w:rPr>
                      <w:rFonts w:hint="eastAsia" w:ascii="宋体" w:hAnsi="宋体" w:eastAsia="宋体" w:cs="宋体"/>
                      <w:b/>
                      <w:bCs/>
                      <w:color w:val="auto"/>
                      <w:kern w:val="0"/>
                      <w:sz w:val="21"/>
                      <w:szCs w:val="21"/>
                      <w:highlight w:val="none"/>
                      <w:vertAlign w:val="baseline"/>
                      <w:lang w:val="en-US" w:eastAsia="zh-CN" w:bidi="ar"/>
                    </w:rPr>
                  </w:pPr>
                </w:p>
              </w:tc>
              <w:tc>
                <w:tcPr>
                  <w:tcW w:w="985"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化学性废物</w:t>
                  </w:r>
                </w:p>
              </w:tc>
              <w:tc>
                <w:tcPr>
                  <w:tcW w:w="1196"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 xml:space="preserve">HW01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841-004-01</w:t>
                  </w:r>
                </w:p>
              </w:tc>
              <w:tc>
                <w:tcPr>
                  <w:tcW w:w="1003"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T/C/I/R</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p>
              </w:tc>
              <w:tc>
                <w:tcPr>
                  <w:tcW w:w="1096" w:type="dxa"/>
                  <w:vMerge w:val="continue"/>
                </w:tcPr>
                <w:p>
                  <w:pPr>
                    <w:keepNext w:val="0"/>
                    <w:keepLines w:val="0"/>
                    <w:widowControl/>
                    <w:suppressLineNumbers w:val="0"/>
                    <w:jc w:val="left"/>
                    <w:rPr>
                      <w:rFonts w:hint="eastAsia" w:ascii="宋体" w:hAnsi="宋体" w:eastAsia="宋体" w:cs="宋体"/>
                      <w:b/>
                      <w:bCs/>
                      <w:color w:val="auto"/>
                      <w:kern w:val="0"/>
                      <w:sz w:val="21"/>
                      <w:szCs w:val="21"/>
                      <w:highlight w:val="none"/>
                      <w:vertAlign w:val="baseline"/>
                      <w:lang w:val="en-US" w:eastAsia="zh-CN" w:bidi="ar"/>
                    </w:rPr>
                  </w:pPr>
                </w:p>
              </w:tc>
              <w:tc>
                <w:tcPr>
                  <w:tcW w:w="986" w:type="dxa"/>
                  <w:vMerge w:val="continue"/>
                </w:tcPr>
                <w:p>
                  <w:pPr>
                    <w:keepNext w:val="0"/>
                    <w:keepLines w:val="0"/>
                    <w:widowControl/>
                    <w:suppressLineNumbers w:val="0"/>
                    <w:jc w:val="left"/>
                    <w:rPr>
                      <w:rFonts w:hint="eastAsia" w:ascii="宋体" w:hAnsi="宋体" w:eastAsia="宋体" w:cs="宋体"/>
                      <w:b/>
                      <w:bCs/>
                      <w:color w:val="auto"/>
                      <w:kern w:val="0"/>
                      <w:sz w:val="21"/>
                      <w:szCs w:val="21"/>
                      <w:highlight w:val="none"/>
                      <w:vertAlign w:val="baseline"/>
                      <w:lang w:val="en-US" w:eastAsia="zh-CN" w:bidi="ar"/>
                    </w:rPr>
                  </w:pPr>
                </w:p>
              </w:tc>
              <w:tc>
                <w:tcPr>
                  <w:tcW w:w="1023" w:type="dxa"/>
                  <w:vMerge w:val="continue"/>
                </w:tcPr>
                <w:p>
                  <w:pPr>
                    <w:keepNext w:val="0"/>
                    <w:keepLines w:val="0"/>
                    <w:widowControl/>
                    <w:suppressLineNumbers w:val="0"/>
                    <w:jc w:val="left"/>
                    <w:rPr>
                      <w:rFonts w:hint="eastAsia" w:ascii="宋体" w:hAnsi="宋体" w:eastAsia="宋体" w:cs="宋体"/>
                      <w:b/>
                      <w:bCs/>
                      <w:color w:val="auto"/>
                      <w:kern w:val="0"/>
                      <w:sz w:val="21"/>
                      <w:szCs w:val="21"/>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984" w:type="dxa"/>
                  <w:vMerge w:val="continue"/>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p>
              </w:tc>
              <w:tc>
                <w:tcPr>
                  <w:tcW w:w="1014" w:type="dxa"/>
                  <w:vMerge w:val="continue"/>
                </w:tcPr>
                <w:p>
                  <w:pPr>
                    <w:keepNext w:val="0"/>
                    <w:keepLines w:val="0"/>
                    <w:widowControl/>
                    <w:suppressLineNumbers w:val="0"/>
                    <w:jc w:val="left"/>
                    <w:rPr>
                      <w:rFonts w:hint="eastAsia" w:ascii="宋体" w:hAnsi="宋体" w:eastAsia="宋体" w:cs="宋体"/>
                      <w:b/>
                      <w:bCs/>
                      <w:color w:val="auto"/>
                      <w:kern w:val="0"/>
                      <w:sz w:val="21"/>
                      <w:szCs w:val="21"/>
                      <w:highlight w:val="none"/>
                      <w:vertAlign w:val="baseline"/>
                      <w:lang w:val="en-US" w:eastAsia="zh-CN" w:bidi="ar"/>
                    </w:rPr>
                  </w:pPr>
                </w:p>
              </w:tc>
              <w:tc>
                <w:tcPr>
                  <w:tcW w:w="985"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药物性废物</w:t>
                  </w:r>
                </w:p>
              </w:tc>
              <w:tc>
                <w:tcPr>
                  <w:tcW w:w="1196"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 xml:space="preserve">HW01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841-005-01</w:t>
                  </w:r>
                </w:p>
              </w:tc>
              <w:tc>
                <w:tcPr>
                  <w:tcW w:w="1003"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T</w:t>
                  </w:r>
                </w:p>
              </w:tc>
              <w:tc>
                <w:tcPr>
                  <w:tcW w:w="1096" w:type="dxa"/>
                  <w:vMerge w:val="continue"/>
                </w:tcPr>
                <w:p>
                  <w:pPr>
                    <w:keepNext w:val="0"/>
                    <w:keepLines w:val="0"/>
                    <w:widowControl/>
                    <w:suppressLineNumbers w:val="0"/>
                    <w:jc w:val="left"/>
                    <w:rPr>
                      <w:rFonts w:hint="eastAsia" w:ascii="宋体" w:hAnsi="宋体" w:eastAsia="宋体" w:cs="宋体"/>
                      <w:b/>
                      <w:bCs/>
                      <w:color w:val="auto"/>
                      <w:kern w:val="0"/>
                      <w:sz w:val="21"/>
                      <w:szCs w:val="21"/>
                      <w:highlight w:val="none"/>
                      <w:vertAlign w:val="baseline"/>
                      <w:lang w:val="en-US" w:eastAsia="zh-CN" w:bidi="ar"/>
                    </w:rPr>
                  </w:pPr>
                </w:p>
              </w:tc>
              <w:tc>
                <w:tcPr>
                  <w:tcW w:w="986" w:type="dxa"/>
                  <w:vMerge w:val="continue"/>
                </w:tcPr>
                <w:p>
                  <w:pPr>
                    <w:keepNext w:val="0"/>
                    <w:keepLines w:val="0"/>
                    <w:widowControl/>
                    <w:suppressLineNumbers w:val="0"/>
                    <w:jc w:val="left"/>
                    <w:rPr>
                      <w:rFonts w:hint="eastAsia" w:ascii="宋体" w:hAnsi="宋体" w:eastAsia="宋体" w:cs="宋体"/>
                      <w:b/>
                      <w:bCs/>
                      <w:color w:val="auto"/>
                      <w:kern w:val="0"/>
                      <w:sz w:val="21"/>
                      <w:szCs w:val="21"/>
                      <w:highlight w:val="none"/>
                      <w:vertAlign w:val="baseline"/>
                      <w:lang w:val="en-US" w:eastAsia="zh-CN" w:bidi="ar"/>
                    </w:rPr>
                  </w:pPr>
                </w:p>
              </w:tc>
              <w:tc>
                <w:tcPr>
                  <w:tcW w:w="1023" w:type="dxa"/>
                  <w:vMerge w:val="continue"/>
                </w:tcPr>
                <w:p>
                  <w:pPr>
                    <w:keepNext w:val="0"/>
                    <w:keepLines w:val="0"/>
                    <w:widowControl/>
                    <w:suppressLineNumbers w:val="0"/>
                    <w:jc w:val="left"/>
                    <w:rPr>
                      <w:rFonts w:hint="eastAsia" w:ascii="宋体" w:hAnsi="宋体" w:eastAsia="宋体" w:cs="宋体"/>
                      <w:b/>
                      <w:bCs/>
                      <w:color w:val="auto"/>
                      <w:kern w:val="0"/>
                      <w:sz w:val="21"/>
                      <w:szCs w:val="21"/>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4"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合计</w:t>
                  </w:r>
                </w:p>
              </w:tc>
              <w:tc>
                <w:tcPr>
                  <w:tcW w:w="6280" w:type="dxa"/>
                  <w:gridSpan w:val="6"/>
                </w:tcPr>
                <w:p>
                  <w:pPr>
                    <w:keepNext w:val="0"/>
                    <w:keepLines w:val="0"/>
                    <w:widowControl/>
                    <w:suppressLineNumbers w:val="0"/>
                    <w:jc w:val="center"/>
                    <w:rPr>
                      <w:rFonts w:hint="default" w:ascii="宋体" w:hAnsi="宋体" w:eastAsia="宋体" w:cs="宋体"/>
                      <w:b/>
                      <w:bCs/>
                      <w:color w:val="auto"/>
                      <w:kern w:val="0"/>
                      <w:sz w:val="21"/>
                      <w:szCs w:val="21"/>
                      <w:highlight w:val="none"/>
                      <w:vertAlign w:val="baseline"/>
                      <w:lang w:val="en-US" w:eastAsia="zh-CN" w:bidi="ar"/>
                    </w:rPr>
                  </w:pPr>
                  <w:r>
                    <w:rPr>
                      <w:rFonts w:hint="eastAsia" w:ascii="宋体" w:hAnsi="宋体" w:eastAsia="宋体" w:cs="宋体"/>
                      <w:b/>
                      <w:bCs/>
                      <w:color w:val="auto"/>
                      <w:kern w:val="0"/>
                      <w:sz w:val="21"/>
                      <w:szCs w:val="21"/>
                      <w:highlight w:val="none"/>
                      <w:vertAlign w:val="baseline"/>
                      <w:lang w:val="en-US" w:eastAsia="zh-CN" w:bidi="ar"/>
                    </w:rPr>
                    <w:t>/</w:t>
                  </w:r>
                </w:p>
              </w:tc>
              <w:tc>
                <w:tcPr>
                  <w:tcW w:w="1023" w:type="dxa"/>
                </w:tcPr>
                <w:p>
                  <w:pPr>
                    <w:keepNext w:val="0"/>
                    <w:keepLines w:val="0"/>
                    <w:widowControl/>
                    <w:suppressLineNumbers w:val="0"/>
                    <w:ind w:left="0" w:leftChars="0" w:firstLine="0" w:firstLineChars="0"/>
                    <w:jc w:val="left"/>
                    <w:rPr>
                      <w:rFonts w:hint="eastAsia" w:ascii="宋体" w:hAnsi="宋体" w:eastAsia="宋体" w:cs="宋体"/>
                      <w:b/>
                      <w:bCs/>
                      <w:color w:val="auto"/>
                      <w:kern w:val="0"/>
                      <w:sz w:val="21"/>
                      <w:szCs w:val="21"/>
                      <w:highlight w:val="none"/>
                      <w:vertAlign w:val="baseline"/>
                      <w:lang w:val="en-US" w:eastAsia="zh-CN" w:bidi="ar"/>
                    </w:rPr>
                  </w:pPr>
                  <w:r>
                    <w:rPr>
                      <w:rFonts w:hint="eastAsia" w:cs="Times New Roman"/>
                      <w:color w:val="auto"/>
                      <w:kern w:val="2"/>
                      <w:sz w:val="21"/>
                      <w:szCs w:val="21"/>
                      <w:highlight w:val="none"/>
                      <w:lang w:val="en-US" w:eastAsia="zh-CN" w:bidi="ar-SA"/>
                    </w:rPr>
                    <w:t>11.4245</w:t>
                  </w:r>
                </w:p>
              </w:tc>
            </w:tr>
          </w:tbl>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项目医疗废物收集、贮存和转运应要求如下： </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 xml:space="preserve">Ⅰ、医疗废物实施分类收集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（一）根据医疗废物的类别，将医疗废物分置于符合《医疗废物专用包装物、容器的标准和警示标识的规定》的包装物或者容器。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（二）在盛装医疗废物前，应当对医疗废物包装物或者容器进行认真检查，确保无破损、渗漏和其它缺陷；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（三）感染性废物、损伤性废物、药物性废物及化学性废物不能混合收集。少量的药物性废物可以混入感染性废，但应当在标签上注明；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（四）废弃的毒性等药品及其相关的废物的管理，依照有关法律、行政法规和国家有关规定、标准执行；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（五）化学性废物中批量的废化学试剂、废消毒剂应当交由专门机构处置；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（六）批量的含有汞的体温计、血压计等医疗器具报废时，应当交由专门机构处置；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（七）放入包装物或者容器内的感染性废物、损伤性废物不得取出。 </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 xml:space="preserve">Ⅱ、医疗废物储存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项目医疗废物暂存间除了在收集和转运医疗垃圾时打开外，其余时间均上锁，并由专人管理，防止非工作人员接触医疗废物。医疗废物每日集中收集，做到“日产日清”，设置温控系统，暂时贮存的时间得超过 </w:t>
            </w:r>
            <w:r>
              <w:rPr>
                <w:rFonts w:hint="default" w:ascii="Times New Roman" w:hAnsi="Times New Roman" w:eastAsia="宋体" w:cs="Times New Roman"/>
                <w:color w:val="auto"/>
                <w:kern w:val="0"/>
                <w:sz w:val="24"/>
                <w:szCs w:val="24"/>
                <w:highlight w:val="none"/>
                <w:lang w:val="en-US" w:eastAsia="zh-CN" w:bidi="ar"/>
              </w:rPr>
              <w:t>48h</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（一）医疗废物产生地点应当有医疗废物分类收集方法的示意图或者文字说明。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（二）盛装的医疗废物达到包装物或者容器的</w:t>
            </w:r>
            <w:r>
              <w:rPr>
                <w:rFonts w:hint="default" w:ascii="Times New Roman" w:hAnsi="Times New Roman" w:eastAsia="宋体" w:cs="Times New Roman"/>
                <w:color w:val="auto"/>
                <w:kern w:val="0"/>
                <w:sz w:val="24"/>
                <w:szCs w:val="24"/>
                <w:highlight w:val="none"/>
                <w:lang w:val="en-US" w:eastAsia="zh-CN" w:bidi="ar"/>
              </w:rPr>
              <w:t xml:space="preserve">3/4 </w:t>
            </w:r>
            <w:r>
              <w:rPr>
                <w:rFonts w:hint="eastAsia" w:ascii="宋体" w:hAnsi="宋体" w:eastAsia="宋体" w:cs="宋体"/>
                <w:color w:val="auto"/>
                <w:kern w:val="0"/>
                <w:sz w:val="24"/>
                <w:szCs w:val="24"/>
                <w:highlight w:val="none"/>
                <w:lang w:val="en-US" w:eastAsia="zh-CN" w:bidi="ar"/>
              </w:rPr>
              <w:t>时</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 xml:space="preserve">应当使用有效的封口方式，使包装物或者容器的封口紧实、严密。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（三）包装物或者容器的外表面被感染性废物污染时，应当对被污染处进行消毒处理或者增加一层包装。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（四）盛装医疗废物的每个包装物、容器外表面应当有警示标识，在每个包装物、容器上应当系中文标签，中文标签的内容应当包括：医疗废物产生单位、产生日期、类别及需要的特别说明等。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不同医疗废物根据特性进行分类收集储存，且医疗废物存放时间不超过</w:t>
            </w:r>
            <w:r>
              <w:rPr>
                <w:rFonts w:hint="default" w:ascii="Times New Roman" w:hAnsi="Times New Roman" w:eastAsia="宋体" w:cs="Times New Roman"/>
                <w:color w:val="auto"/>
                <w:kern w:val="0"/>
                <w:sz w:val="24"/>
                <w:szCs w:val="24"/>
                <w:highlight w:val="none"/>
                <w:lang w:val="en-US" w:eastAsia="zh-CN" w:bidi="ar"/>
              </w:rPr>
              <w:t>48h</w:t>
            </w:r>
            <w:r>
              <w:rPr>
                <w:rFonts w:hint="eastAsia" w:ascii="宋体" w:hAnsi="宋体" w:eastAsia="宋体" w:cs="宋体"/>
                <w:color w:val="auto"/>
                <w:kern w:val="0"/>
                <w:sz w:val="24"/>
                <w:szCs w:val="24"/>
                <w:highlight w:val="none"/>
                <w:lang w:val="en-US" w:eastAsia="zh-CN" w:bidi="ar"/>
              </w:rPr>
              <w:t xml:space="preserve">。评价要求项目在建设时在医疗废物暂存间内及门口处张贴标准与警示牌。 </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 xml:space="preserve">Ⅲ、医疗废物的转运、交接与处置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项目医疗废物经妥善收集、消毒后，避开就医高峰期时间，交有相应资质单位收运、贮存与无害化处理，且设专门的转运路线，实现人、污分流。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（一）运送人员每天从医疗废物产生地点将分类包装的医疗废物按照规定的时间和路线运送至内部指定的暂时贮存地点。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（二）运送人员在运送医疗废物前，应当检查包装物或者容器的标识、标签及封口是否符合要求，不得将不符合要求的医疗废物运送至暂时贮存地点。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（三）运送人员在运送医疗废物时，应当防止造成包装物或容器破损和医疗废物的流失、泄漏和扩散，并防止医疗废物直接接触身体。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（四）运送医疗废物应当使用防渗漏、防遗撒、无锐利边角、易于装卸和清洁的专用运送工具。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每天运送工作结束后，应当对运送工具及时进行清洁和消毒。 </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 xml:space="preserve">Ⅳ医疗废物贮存间按照如下措施设置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医疗卫生机构建立的医疗废物暂时贮存设施、设备应当达到以下要求： </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储存设施要求：本项目在大楼</w:t>
            </w:r>
            <w:r>
              <w:rPr>
                <w:rFonts w:hint="default" w:ascii="宋体" w:hAnsi="宋体" w:eastAsia="宋体" w:cs="宋体"/>
                <w:color w:val="auto"/>
                <w:kern w:val="0"/>
                <w:sz w:val="24"/>
                <w:szCs w:val="24"/>
                <w:highlight w:val="none"/>
                <w:lang w:val="en-US" w:eastAsia="zh-CN" w:bidi="ar"/>
              </w:rPr>
              <w:t>1F</w:t>
            </w:r>
            <w:r>
              <w:rPr>
                <w:rFonts w:hint="eastAsia" w:ascii="宋体" w:hAnsi="宋体" w:eastAsia="宋体" w:cs="宋体"/>
                <w:color w:val="auto"/>
                <w:kern w:val="0"/>
                <w:sz w:val="24"/>
                <w:szCs w:val="24"/>
                <w:highlight w:val="none"/>
                <w:lang w:val="en-US" w:eastAsia="zh-CN" w:bidi="ar"/>
              </w:rPr>
              <w:t>南侧，设有医疗废物暂存间，面积约</w:t>
            </w:r>
            <w:r>
              <w:rPr>
                <w:rFonts w:hint="default" w:ascii="宋体" w:hAnsi="宋体" w:eastAsia="宋体"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0</w:t>
            </w:r>
            <w:r>
              <w:rPr>
                <w:rFonts w:hint="default" w:ascii="宋体" w:hAnsi="宋体" w:eastAsia="宋体" w:cs="宋体"/>
                <w:color w:val="auto"/>
                <w:kern w:val="0"/>
                <w:sz w:val="24"/>
                <w:szCs w:val="24"/>
                <w:highlight w:val="none"/>
                <w:lang w:val="en-US" w:eastAsia="zh-CN" w:bidi="ar"/>
              </w:rPr>
              <w:t>m</w:t>
            </w:r>
            <w:r>
              <w:rPr>
                <w:rFonts w:hint="default" w:ascii="宋体" w:hAnsi="宋体" w:eastAsia="宋体" w:cs="宋体"/>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ind w:left="0" w:leftChars="0" w:firstLine="0" w:firstLineChars="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医疗废物暂存间与生活垃圾、人员活动密集区隔开，设有专人看管。应满足</w:t>
            </w:r>
            <w:r>
              <w:rPr>
                <w:rFonts w:hint="default"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四防</w:t>
            </w:r>
            <w:r>
              <w:rPr>
                <w:rFonts w:hint="default"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 xml:space="preserve">（即防风、防雨、防晒和防渗漏），贮存设施地面与裙脚应采取表面防渗措施：表面防渗材料应与所接触的物料或污染物相容，可采用抗渗混凝土、高密度聚乙烯膜、钠基膨润土防水毯或其他防渗性能等效的材料。贮存的危险废物 </w:t>
            </w:r>
          </w:p>
          <w:p>
            <w:pPr>
              <w:keepNext w:val="0"/>
              <w:keepLines w:val="0"/>
              <w:widowControl/>
              <w:suppressLineNumbers w:val="0"/>
              <w:ind w:left="0" w:leftChars="0" w:firstLine="0" w:firstLineChars="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直接接触地面的，还应进行基础防渗，防渗层为至少</w:t>
            </w:r>
            <w:r>
              <w:rPr>
                <w:rFonts w:hint="default" w:ascii="宋体" w:hAnsi="宋体" w:eastAsia="宋体" w:cs="宋体"/>
                <w:color w:val="auto"/>
                <w:kern w:val="0"/>
                <w:sz w:val="24"/>
                <w:szCs w:val="24"/>
                <w:highlight w:val="none"/>
                <w:lang w:val="en-US" w:eastAsia="zh-CN" w:bidi="ar"/>
              </w:rPr>
              <w:t>1m</w:t>
            </w:r>
            <w:r>
              <w:rPr>
                <w:rFonts w:hint="eastAsia" w:ascii="宋体" w:hAnsi="宋体" w:eastAsia="宋体" w:cs="宋体"/>
                <w:color w:val="auto"/>
                <w:kern w:val="0"/>
                <w:sz w:val="24"/>
                <w:szCs w:val="24"/>
                <w:highlight w:val="none"/>
                <w:lang w:val="en-US" w:eastAsia="zh-CN" w:bidi="ar"/>
              </w:rPr>
              <w:t xml:space="preserve">厚黏土层（渗透系数不大于 </w:t>
            </w:r>
            <w:r>
              <w:rPr>
                <w:rFonts w:hint="default" w:ascii="宋体" w:hAnsi="宋体" w:eastAsia="宋体" w:cs="宋体"/>
                <w:color w:val="auto"/>
                <w:kern w:val="0"/>
                <w:sz w:val="24"/>
                <w:szCs w:val="24"/>
                <w:highlight w:val="none"/>
                <w:lang w:val="en-US" w:eastAsia="zh-CN" w:bidi="ar"/>
              </w:rPr>
              <w:t>10</w:t>
            </w:r>
            <w:r>
              <w:rPr>
                <w:rFonts w:hint="default" w:ascii="宋体" w:hAnsi="宋体" w:eastAsia="宋体" w:cs="宋体"/>
                <w:color w:val="auto"/>
                <w:kern w:val="0"/>
                <w:sz w:val="24"/>
                <w:szCs w:val="24"/>
                <w:highlight w:val="none"/>
                <w:vertAlign w:val="superscript"/>
                <w:lang w:val="en-US" w:eastAsia="zh-CN" w:bidi="ar"/>
              </w:rPr>
              <w:t>-7</w:t>
            </w:r>
            <w:r>
              <w:rPr>
                <w:rFonts w:hint="default" w:ascii="宋体" w:hAnsi="宋体" w:eastAsia="宋体" w:cs="宋体"/>
                <w:color w:val="auto"/>
                <w:kern w:val="0"/>
                <w:sz w:val="24"/>
                <w:szCs w:val="24"/>
                <w:highlight w:val="none"/>
                <w:lang w:val="en-US" w:eastAsia="zh-CN" w:bidi="ar"/>
              </w:rPr>
              <w:t>cm/s</w:t>
            </w:r>
            <w:r>
              <w:rPr>
                <w:rFonts w:hint="eastAsia" w:ascii="宋体" w:hAnsi="宋体" w:eastAsia="宋体" w:cs="宋体"/>
                <w:color w:val="auto"/>
                <w:kern w:val="0"/>
                <w:sz w:val="24"/>
                <w:szCs w:val="24"/>
                <w:highlight w:val="none"/>
                <w:lang w:val="en-US" w:eastAsia="zh-CN" w:bidi="ar"/>
              </w:rPr>
              <w:t>），或至少</w:t>
            </w:r>
            <w:r>
              <w:rPr>
                <w:rFonts w:hint="default" w:ascii="宋体" w:hAnsi="宋体" w:eastAsia="宋体" w:cs="宋体"/>
                <w:color w:val="auto"/>
                <w:kern w:val="0"/>
                <w:sz w:val="24"/>
                <w:szCs w:val="24"/>
                <w:highlight w:val="none"/>
                <w:lang w:val="en-US" w:eastAsia="zh-CN" w:bidi="ar"/>
              </w:rPr>
              <w:t>2mm</w:t>
            </w:r>
            <w:r>
              <w:rPr>
                <w:rFonts w:hint="eastAsia" w:ascii="宋体" w:hAnsi="宋体" w:eastAsia="宋体" w:cs="宋体"/>
                <w:color w:val="auto"/>
                <w:kern w:val="0"/>
                <w:sz w:val="24"/>
                <w:szCs w:val="24"/>
                <w:highlight w:val="none"/>
                <w:lang w:val="en-US" w:eastAsia="zh-CN" w:bidi="ar"/>
              </w:rPr>
              <w:t xml:space="preserve">厚高密度聚乙烯膜等人工防渗材料（渗透系数不大于 </w:t>
            </w:r>
            <w:r>
              <w:rPr>
                <w:rFonts w:hint="default" w:ascii="宋体" w:hAnsi="宋体" w:eastAsia="宋体" w:cs="宋体"/>
                <w:color w:val="auto"/>
                <w:kern w:val="0"/>
                <w:sz w:val="24"/>
                <w:szCs w:val="24"/>
                <w:highlight w:val="none"/>
                <w:lang w:val="en-US" w:eastAsia="zh-CN" w:bidi="ar"/>
              </w:rPr>
              <w:t>10</w:t>
            </w:r>
            <w:r>
              <w:rPr>
                <w:rFonts w:hint="default" w:ascii="宋体" w:hAnsi="宋体" w:eastAsia="宋体" w:cs="宋体"/>
                <w:color w:val="auto"/>
                <w:kern w:val="0"/>
                <w:sz w:val="24"/>
                <w:szCs w:val="24"/>
                <w:highlight w:val="none"/>
                <w:vertAlign w:val="superscript"/>
                <w:lang w:val="en-US" w:eastAsia="zh-CN" w:bidi="ar"/>
              </w:rPr>
              <w:t>-10</w:t>
            </w:r>
            <w:r>
              <w:rPr>
                <w:rFonts w:hint="default" w:ascii="宋体" w:hAnsi="宋体" w:eastAsia="宋体" w:cs="宋体"/>
                <w:color w:val="auto"/>
                <w:kern w:val="0"/>
                <w:sz w:val="24"/>
                <w:szCs w:val="24"/>
                <w:highlight w:val="none"/>
                <w:lang w:val="en-US" w:eastAsia="zh-CN" w:bidi="ar"/>
              </w:rPr>
              <w:t>cm/s</w:t>
            </w:r>
            <w:r>
              <w:rPr>
                <w:rFonts w:hint="eastAsia" w:ascii="宋体" w:hAnsi="宋体" w:eastAsia="宋体" w:cs="宋体"/>
                <w:color w:val="auto"/>
                <w:kern w:val="0"/>
                <w:sz w:val="24"/>
                <w:szCs w:val="24"/>
                <w:highlight w:val="none"/>
                <w:lang w:val="en-US" w:eastAsia="zh-CN" w:bidi="ar"/>
              </w:rPr>
              <w:t xml:space="preserve">），或其他防渗性能等效的材料。产生的废水采用管道直接排入医院污水处理设施，禁止将产生的废水直接排入外环境。贮存间外设有供水龙头，每天在废物清运之后及时消毒冲洗，冲洗应排入医院污水处理站。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室内张贴有“禁止吸烟、饮食”的警示标识及医疗废物警示标识。暂时贮存时间要求：应防止医疗废物在暂存间中腐败散发恶臭，做到日产日清。确实不能日产日清，且当地最高气温高于 </w:t>
            </w:r>
            <w:r>
              <w:rPr>
                <w:rFonts w:hint="default" w:ascii="宋体" w:hAnsi="宋体" w:eastAsia="宋体" w:cs="宋体"/>
                <w:color w:val="auto"/>
                <w:kern w:val="0"/>
                <w:sz w:val="24"/>
                <w:szCs w:val="24"/>
                <w:highlight w:val="none"/>
                <w:lang w:val="en-US" w:eastAsia="zh-CN" w:bidi="ar"/>
              </w:rPr>
              <w:t>25℃</w:t>
            </w:r>
            <w:r>
              <w:rPr>
                <w:rFonts w:hint="eastAsia" w:ascii="宋体" w:hAnsi="宋体" w:eastAsia="宋体" w:cs="宋体"/>
                <w:color w:val="auto"/>
                <w:kern w:val="0"/>
                <w:sz w:val="24"/>
                <w:szCs w:val="24"/>
                <w:highlight w:val="none"/>
                <w:lang w:val="en-US" w:eastAsia="zh-CN" w:bidi="ar"/>
              </w:rPr>
              <w:t>时，应将医疗废物低温暂时贮存，暂时贮存温度应低于</w:t>
            </w:r>
            <w:r>
              <w:rPr>
                <w:rFonts w:hint="default" w:ascii="宋体" w:hAnsi="宋体" w:eastAsia="宋体" w:cs="宋体"/>
                <w:color w:val="auto"/>
                <w:kern w:val="0"/>
                <w:sz w:val="24"/>
                <w:szCs w:val="24"/>
                <w:highlight w:val="none"/>
                <w:lang w:val="en-US" w:eastAsia="zh-CN" w:bidi="ar"/>
              </w:rPr>
              <w:t>20℃</w:t>
            </w:r>
            <w:r>
              <w:rPr>
                <w:rFonts w:hint="eastAsia" w:ascii="宋体" w:hAnsi="宋体" w:eastAsia="宋体" w:cs="宋体"/>
                <w:color w:val="auto"/>
                <w:kern w:val="0"/>
                <w:sz w:val="24"/>
                <w:szCs w:val="24"/>
                <w:highlight w:val="none"/>
                <w:lang w:val="en-US" w:eastAsia="zh-CN" w:bidi="ar"/>
              </w:rPr>
              <w:t>，时间最长不超过</w:t>
            </w:r>
            <w:r>
              <w:rPr>
                <w:rFonts w:hint="default" w:ascii="宋体" w:hAnsi="宋体" w:eastAsia="宋体" w:cs="宋体"/>
                <w:color w:val="auto"/>
                <w:kern w:val="0"/>
                <w:sz w:val="24"/>
                <w:szCs w:val="24"/>
                <w:highlight w:val="none"/>
                <w:lang w:val="en-US" w:eastAsia="zh-CN" w:bidi="ar"/>
              </w:rPr>
              <w:t>48h</w:t>
            </w:r>
            <w:r>
              <w:rPr>
                <w:rFonts w:hint="eastAsia" w:ascii="宋体" w:hAnsi="宋体" w:eastAsia="宋体" w:cs="宋体"/>
                <w:color w:val="auto"/>
                <w:kern w:val="0"/>
                <w:sz w:val="24"/>
                <w:szCs w:val="24"/>
                <w:highlight w:val="none"/>
                <w:lang w:val="en-US" w:eastAsia="zh-CN" w:bidi="ar"/>
              </w:rPr>
              <w:t xml:space="preserve">；定期对暂存设施、设备进行消毒和清洁。 </w:t>
            </w:r>
          </w:p>
          <w:p>
            <w:pPr>
              <w:keepNext w:val="0"/>
              <w:keepLines w:val="0"/>
              <w:widowControl/>
              <w:suppressLineNumbers w:val="0"/>
              <w:jc w:val="left"/>
              <w:rPr>
                <w:color w:val="auto"/>
                <w:highlight w:val="none"/>
              </w:rPr>
            </w:pPr>
            <w:r>
              <w:rPr>
                <w:rFonts w:hint="eastAsia" w:ascii="宋体" w:hAnsi="宋体" w:cs="宋体"/>
                <w:b/>
                <w:bCs/>
                <w:color w:val="auto"/>
                <w:kern w:val="0"/>
                <w:sz w:val="24"/>
                <w:szCs w:val="24"/>
                <w:highlight w:val="none"/>
                <w:lang w:val="en-US" w:eastAsia="zh-CN" w:bidi="ar"/>
              </w:rPr>
              <w:t>②</w:t>
            </w:r>
            <w:r>
              <w:rPr>
                <w:rFonts w:hint="eastAsia" w:ascii="宋体" w:hAnsi="宋体" w:eastAsia="宋体" w:cs="宋体"/>
                <w:b/>
                <w:bCs/>
                <w:color w:val="auto"/>
                <w:kern w:val="0"/>
                <w:sz w:val="24"/>
                <w:szCs w:val="24"/>
                <w:highlight w:val="none"/>
                <w:lang w:val="en-US" w:eastAsia="zh-CN" w:bidi="ar"/>
              </w:rPr>
              <w:t>废水处理设施污泥（</w:t>
            </w:r>
            <w:r>
              <w:rPr>
                <w:rFonts w:hint="default" w:ascii="Times New Roman" w:hAnsi="Times New Roman" w:eastAsia="宋体" w:cs="Times New Roman"/>
                <w:b/>
                <w:bCs/>
                <w:color w:val="auto"/>
                <w:kern w:val="0"/>
                <w:sz w:val="24"/>
                <w:szCs w:val="24"/>
                <w:highlight w:val="none"/>
                <w:lang w:val="en-US" w:eastAsia="zh-CN" w:bidi="ar"/>
              </w:rPr>
              <w:t>S4</w:t>
            </w:r>
            <w:r>
              <w:rPr>
                <w:rFonts w:hint="eastAsia" w:ascii="宋体" w:hAnsi="宋体" w:eastAsia="宋体" w:cs="宋体"/>
                <w:b/>
                <w:bCs/>
                <w:color w:val="auto"/>
                <w:kern w:val="0"/>
                <w:sz w:val="24"/>
                <w:szCs w:val="24"/>
                <w:highlight w:val="none"/>
                <w:lang w:val="en-US" w:eastAsia="zh-CN" w:bidi="ar"/>
              </w:rPr>
              <w:t xml:space="preserve">）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医院污水处理过程产生的污泥量与原水的悬浮固体及处理工艺有关。根据《医院污水处理技术指南》（环发</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2013</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197 </w:t>
            </w:r>
            <w:r>
              <w:rPr>
                <w:rFonts w:hint="eastAsia" w:ascii="宋体" w:hAnsi="宋体" w:eastAsia="宋体" w:cs="宋体"/>
                <w:color w:val="auto"/>
                <w:kern w:val="0"/>
                <w:sz w:val="24"/>
                <w:szCs w:val="24"/>
                <w:highlight w:val="none"/>
                <w:lang w:val="en-US" w:eastAsia="zh-CN" w:bidi="ar"/>
              </w:rPr>
              <w:t xml:space="preserve">号），指南调查统计出的医疗污水处理装置污泥产生情况见表 </w:t>
            </w:r>
            <w:r>
              <w:rPr>
                <w:rFonts w:hint="default" w:ascii="Times New Roman" w:hAnsi="Times New Roman" w:eastAsia="宋体" w:cs="Times New Roman"/>
                <w:color w:val="auto"/>
                <w:kern w:val="0"/>
                <w:sz w:val="24"/>
                <w:szCs w:val="24"/>
                <w:highlight w:val="none"/>
                <w:lang w:val="en-US" w:eastAsia="zh-CN" w:bidi="ar"/>
              </w:rPr>
              <w:t>4.</w:t>
            </w:r>
            <w:r>
              <w:rPr>
                <w:rFonts w:hint="eastAsia" w:ascii="Times New Roman" w:hAnsi="Times New Roman" w:eastAsia="宋体" w:cs="Times New Roman"/>
                <w:color w:val="auto"/>
                <w:kern w:val="0"/>
                <w:sz w:val="24"/>
                <w:szCs w:val="24"/>
                <w:highlight w:val="none"/>
                <w:lang w:val="en-US" w:eastAsia="zh-CN" w:bidi="ar"/>
              </w:rPr>
              <w:t>23</w:t>
            </w:r>
            <w:r>
              <w:rPr>
                <w:rFonts w:hint="eastAsia" w:ascii="宋体" w:hAnsi="宋体" w:eastAsia="宋体" w:cs="宋体"/>
                <w:color w:val="auto"/>
                <w:kern w:val="0"/>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center"/>
              <w:textAlignment w:val="auto"/>
              <w:rPr>
                <w:rFonts w:hint="eastAsia"/>
                <w:b/>
                <w:bCs/>
                <w:color w:val="auto"/>
                <w:highlight w:val="none"/>
                <w:lang w:val="en-US" w:eastAsia="zh-CN"/>
              </w:rPr>
            </w:pPr>
            <w:r>
              <w:rPr>
                <w:rFonts w:hint="eastAsia"/>
                <w:b/>
                <w:bCs/>
                <w:color w:val="auto"/>
                <w:highlight w:val="none"/>
                <w:lang w:val="en-US" w:eastAsia="zh-CN"/>
              </w:rPr>
              <w:t xml:space="preserve">表 </w:t>
            </w:r>
            <w:r>
              <w:rPr>
                <w:rFonts w:hint="default"/>
                <w:b/>
                <w:bCs/>
                <w:color w:val="auto"/>
                <w:highlight w:val="none"/>
                <w:lang w:val="en-US" w:eastAsia="zh-CN"/>
              </w:rPr>
              <w:t>4.</w:t>
            </w:r>
            <w:r>
              <w:rPr>
                <w:rFonts w:hint="eastAsia"/>
                <w:b/>
                <w:bCs/>
                <w:color w:val="auto"/>
                <w:highlight w:val="none"/>
                <w:lang w:val="en-US" w:eastAsia="zh-CN"/>
              </w:rPr>
              <w:t>2</w:t>
            </w:r>
            <w:r>
              <w:rPr>
                <w:rFonts w:hint="default"/>
                <w:b/>
                <w:bCs/>
                <w:color w:val="auto"/>
                <w:highlight w:val="none"/>
                <w:lang w:val="en-US" w:eastAsia="zh-CN"/>
              </w:rPr>
              <w:t xml:space="preserve">3 </w:t>
            </w:r>
            <w:r>
              <w:rPr>
                <w:rFonts w:hint="eastAsia"/>
                <w:b/>
                <w:bCs/>
                <w:color w:val="auto"/>
                <w:highlight w:val="none"/>
                <w:lang w:val="en-US" w:eastAsia="zh-CN"/>
              </w:rPr>
              <w:t>污泥量平均值</w:t>
            </w:r>
          </w:p>
          <w:tbl>
            <w:tblPr>
              <w:tblStyle w:val="30"/>
              <w:tblW w:w="8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1"/>
              <w:gridCol w:w="2763"/>
              <w:gridCol w:w="2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1" w:type="dxa"/>
                </w:tcPr>
                <w:p>
                  <w:pPr>
                    <w:keepNext w:val="0"/>
                    <w:keepLines w:val="0"/>
                    <w:widowControl/>
                    <w:suppressLineNumbers w:val="0"/>
                    <w:jc w:val="center"/>
                    <w:rPr>
                      <w:rFonts w:hint="default" w:ascii="宋体" w:hAnsi="宋体" w:eastAsia="宋体" w:cs="宋体"/>
                      <w:color w:val="auto"/>
                      <w:kern w:val="0"/>
                      <w:sz w:val="24"/>
                      <w:szCs w:val="24"/>
                      <w:highlight w:val="none"/>
                      <w:vertAlign w:val="baseline"/>
                      <w:lang w:val="en-US" w:eastAsia="zh-CN" w:bidi="ar"/>
                    </w:rPr>
                  </w:pPr>
                  <w:r>
                    <w:rPr>
                      <w:rFonts w:hint="eastAsia" w:cs="Times New Roman"/>
                      <w:color w:val="auto"/>
                      <w:kern w:val="2"/>
                      <w:sz w:val="21"/>
                      <w:szCs w:val="21"/>
                      <w:highlight w:val="none"/>
                      <w:lang w:val="en-US" w:eastAsia="zh-CN" w:bidi="ar-SA"/>
                    </w:rPr>
                    <w:t>污泥来源</w:t>
                  </w:r>
                </w:p>
              </w:tc>
              <w:tc>
                <w:tcPr>
                  <w:tcW w:w="2763" w:type="dxa"/>
                </w:tcPr>
                <w:p>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cs="Times New Roman"/>
                      <w:color w:val="auto"/>
                      <w:kern w:val="2"/>
                      <w:sz w:val="21"/>
                      <w:szCs w:val="21"/>
                      <w:highlight w:val="none"/>
                      <w:lang w:val="en-US" w:eastAsia="zh-CN" w:bidi="ar-SA"/>
                    </w:rPr>
                    <w:t>总固体（</w:t>
                  </w:r>
                  <w:r>
                    <w:rPr>
                      <w:rFonts w:hint="default" w:cs="Times New Roman"/>
                      <w:color w:val="auto"/>
                      <w:kern w:val="2"/>
                      <w:sz w:val="21"/>
                      <w:szCs w:val="21"/>
                      <w:highlight w:val="none"/>
                      <w:lang w:val="en-US" w:eastAsia="zh-CN" w:bidi="ar-SA"/>
                    </w:rPr>
                    <w:t>g/</w:t>
                  </w:r>
                  <w:r>
                    <w:rPr>
                      <w:rFonts w:hint="eastAsia" w:cs="Times New Roman"/>
                      <w:color w:val="auto"/>
                      <w:kern w:val="2"/>
                      <w:sz w:val="21"/>
                      <w:szCs w:val="21"/>
                      <w:highlight w:val="none"/>
                      <w:lang w:val="en-US" w:eastAsia="zh-CN" w:bidi="ar-SA"/>
                    </w:rPr>
                    <w:t>人</w:t>
                  </w:r>
                  <w:r>
                    <w:rPr>
                      <w:rFonts w:hint="default" w:cs="Times New Roman"/>
                      <w:color w:val="auto"/>
                      <w:kern w:val="2"/>
                      <w:sz w:val="21"/>
                      <w:szCs w:val="21"/>
                      <w:highlight w:val="none"/>
                      <w:lang w:val="en-US" w:eastAsia="zh-CN" w:bidi="ar-SA"/>
                    </w:rPr>
                    <w:t>.d</w:t>
                  </w:r>
                  <w:r>
                    <w:rPr>
                      <w:rFonts w:hint="eastAsia" w:cs="Times New Roman"/>
                      <w:color w:val="auto"/>
                      <w:kern w:val="2"/>
                      <w:sz w:val="21"/>
                      <w:szCs w:val="21"/>
                      <w:highlight w:val="none"/>
                      <w:lang w:val="en-US" w:eastAsia="zh-CN" w:bidi="ar-SA"/>
                    </w:rPr>
                    <w:t>）</w:t>
                  </w:r>
                </w:p>
              </w:tc>
              <w:tc>
                <w:tcPr>
                  <w:tcW w:w="2763" w:type="dxa"/>
                </w:tcPr>
                <w:p>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cs="Times New Roman"/>
                      <w:color w:val="auto"/>
                      <w:kern w:val="2"/>
                      <w:sz w:val="21"/>
                      <w:szCs w:val="21"/>
                      <w:highlight w:val="none"/>
                      <w:lang w:val="en-US" w:eastAsia="zh-CN" w:bidi="ar-SA"/>
                    </w:rPr>
                    <w:t>含水率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1" w:type="dxa"/>
                </w:tcPr>
                <w:p>
                  <w:pPr>
                    <w:keepNext w:val="0"/>
                    <w:keepLines w:val="0"/>
                    <w:widowControl/>
                    <w:suppressLineNumbers w:val="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沉淀</w:t>
                  </w:r>
                </w:p>
              </w:tc>
              <w:tc>
                <w:tcPr>
                  <w:tcW w:w="2763" w:type="dxa"/>
                </w:tcPr>
                <w:p>
                  <w:pPr>
                    <w:keepNext w:val="0"/>
                    <w:keepLines w:val="0"/>
                    <w:widowControl/>
                    <w:suppressLineNumbers w:val="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66-75</w:t>
                  </w:r>
                </w:p>
              </w:tc>
              <w:tc>
                <w:tcPr>
                  <w:tcW w:w="2763" w:type="dxa"/>
                </w:tcPr>
                <w:p>
                  <w:pPr>
                    <w:keepNext w:val="0"/>
                    <w:keepLines w:val="0"/>
                    <w:widowControl/>
                    <w:suppressLineNumbers w:val="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93-97</w:t>
                  </w:r>
                </w:p>
              </w:tc>
            </w:tr>
          </w:tbl>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本项目每天就诊人数为</w:t>
            </w:r>
            <w:r>
              <w:rPr>
                <w:rFonts w:hint="eastAsia" w:ascii="宋体" w:hAnsi="宋体" w:cs="宋体"/>
                <w:color w:val="auto"/>
                <w:kern w:val="0"/>
                <w:sz w:val="24"/>
                <w:szCs w:val="24"/>
                <w:highlight w:val="none"/>
                <w:lang w:val="en-US" w:eastAsia="zh-CN" w:bidi="ar"/>
              </w:rPr>
              <w:t>80</w:t>
            </w:r>
            <w:r>
              <w:rPr>
                <w:rFonts w:hint="eastAsia" w:ascii="宋体" w:hAnsi="宋体" w:eastAsia="宋体" w:cs="宋体"/>
                <w:color w:val="auto"/>
                <w:kern w:val="0"/>
                <w:sz w:val="24"/>
                <w:szCs w:val="24"/>
                <w:highlight w:val="none"/>
                <w:lang w:val="en-US" w:eastAsia="zh-CN" w:bidi="ar"/>
              </w:rPr>
              <w:t>人，职工共</w:t>
            </w:r>
            <w:r>
              <w:rPr>
                <w:rFonts w:hint="eastAsia" w:ascii="宋体" w:hAnsi="宋体" w:cs="宋体"/>
                <w:color w:val="auto"/>
                <w:kern w:val="0"/>
                <w:sz w:val="24"/>
                <w:szCs w:val="24"/>
                <w:highlight w:val="none"/>
                <w:lang w:val="en-US" w:eastAsia="zh-CN" w:bidi="ar"/>
              </w:rPr>
              <w:t>29</w:t>
            </w:r>
            <w:r>
              <w:rPr>
                <w:rFonts w:hint="eastAsia" w:ascii="宋体" w:hAnsi="宋体" w:eastAsia="宋体" w:cs="宋体"/>
                <w:color w:val="auto"/>
                <w:kern w:val="0"/>
                <w:sz w:val="24"/>
                <w:szCs w:val="24"/>
                <w:highlight w:val="none"/>
                <w:lang w:val="en-US" w:eastAsia="zh-CN" w:bidi="ar"/>
              </w:rPr>
              <w:t>人，床位</w:t>
            </w:r>
            <w:r>
              <w:rPr>
                <w:rFonts w:hint="eastAsia" w:ascii="宋体" w:hAnsi="宋体" w:cs="宋体"/>
                <w:color w:val="auto"/>
                <w:kern w:val="0"/>
                <w:sz w:val="24"/>
                <w:szCs w:val="24"/>
                <w:highlight w:val="none"/>
                <w:lang w:val="en-US" w:eastAsia="zh-CN" w:bidi="ar"/>
              </w:rPr>
              <w:t>65</w:t>
            </w:r>
            <w:r>
              <w:rPr>
                <w:rFonts w:hint="eastAsia" w:ascii="宋体" w:hAnsi="宋体" w:eastAsia="宋体" w:cs="宋体"/>
                <w:color w:val="auto"/>
                <w:kern w:val="0"/>
                <w:sz w:val="24"/>
                <w:szCs w:val="24"/>
                <w:highlight w:val="none"/>
                <w:lang w:val="en-US" w:eastAsia="zh-CN" w:bidi="ar"/>
              </w:rPr>
              <w:t xml:space="preserve">张，沉淀池总固体取 </w:t>
            </w:r>
            <w:r>
              <w:rPr>
                <w:rFonts w:hint="default" w:ascii="宋体" w:hAnsi="宋体" w:eastAsia="宋体" w:cs="宋体"/>
                <w:color w:val="auto"/>
                <w:kern w:val="0"/>
                <w:sz w:val="24"/>
                <w:szCs w:val="24"/>
                <w:highlight w:val="none"/>
                <w:lang w:val="en-US" w:eastAsia="zh-CN" w:bidi="ar"/>
              </w:rPr>
              <w:t>75g/</w:t>
            </w:r>
            <w:r>
              <w:rPr>
                <w:rFonts w:hint="eastAsia" w:ascii="宋体" w:hAnsi="宋体" w:eastAsia="宋体" w:cs="宋体"/>
                <w:color w:val="auto"/>
                <w:kern w:val="0"/>
                <w:sz w:val="24"/>
                <w:szCs w:val="24"/>
                <w:highlight w:val="none"/>
                <w:lang w:val="en-US" w:eastAsia="zh-CN" w:bidi="ar"/>
              </w:rPr>
              <w:t>人</w:t>
            </w:r>
            <w:r>
              <w:rPr>
                <w:rFonts w:hint="default" w:ascii="宋体" w:hAnsi="宋体" w:eastAsia="宋体" w:cs="宋体"/>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val="en-US" w:eastAsia="zh-CN" w:bidi="ar"/>
              </w:rPr>
              <w:t xml:space="preserve">，则医院污泥量为 </w:t>
            </w:r>
            <w:r>
              <w:rPr>
                <w:rFonts w:hint="eastAsia" w:ascii="宋体" w:hAnsi="宋体" w:cs="宋体"/>
                <w:color w:val="auto"/>
                <w:kern w:val="0"/>
                <w:sz w:val="24"/>
                <w:szCs w:val="24"/>
                <w:highlight w:val="none"/>
                <w:lang w:val="en-US" w:eastAsia="zh-CN" w:bidi="ar"/>
              </w:rPr>
              <w:t>13.05</w:t>
            </w:r>
            <w:r>
              <w:rPr>
                <w:rFonts w:hint="default" w:ascii="宋体" w:hAnsi="宋体" w:eastAsia="宋体" w:cs="宋体"/>
                <w:color w:val="auto"/>
                <w:kern w:val="0"/>
                <w:sz w:val="24"/>
                <w:szCs w:val="24"/>
                <w:highlight w:val="none"/>
                <w:lang w:val="en-US" w:eastAsia="zh-CN" w:bidi="ar"/>
              </w:rPr>
              <w:t>kg/d</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4.763</w:t>
            </w:r>
            <w:r>
              <w:rPr>
                <w:rFonts w:hint="default" w:ascii="宋体" w:hAnsi="宋体" w:eastAsia="宋体" w:cs="宋体"/>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根据业主提供的废水处理工艺、《医院污水处理工程技术规范》及《医院机构水污染排放标准》（</w:t>
            </w:r>
            <w:r>
              <w:rPr>
                <w:rFonts w:hint="default" w:ascii="宋体" w:hAnsi="宋体" w:eastAsia="宋体" w:cs="宋体"/>
                <w:color w:val="auto"/>
                <w:kern w:val="0"/>
                <w:sz w:val="24"/>
                <w:szCs w:val="24"/>
                <w:highlight w:val="none"/>
                <w:lang w:val="en-US" w:eastAsia="zh-CN" w:bidi="ar"/>
              </w:rPr>
              <w:t>GB18466-2005</w:t>
            </w:r>
            <w:r>
              <w:rPr>
                <w:rFonts w:hint="eastAsia" w:ascii="宋体" w:hAnsi="宋体" w:eastAsia="宋体" w:cs="宋体"/>
                <w:color w:val="auto"/>
                <w:kern w:val="0"/>
                <w:sz w:val="24"/>
                <w:szCs w:val="24"/>
                <w:highlight w:val="none"/>
                <w:lang w:val="en-US" w:eastAsia="zh-CN" w:bidi="ar"/>
              </w:rPr>
              <w:t>）要求，一体化污水处理设备产生的污泥经污泥浓缩池处理后作危险废物处理，代码：</w:t>
            </w:r>
            <w:r>
              <w:rPr>
                <w:rFonts w:hint="default" w:ascii="宋体" w:hAnsi="宋体" w:eastAsia="宋体" w:cs="宋体"/>
                <w:color w:val="auto"/>
                <w:kern w:val="0"/>
                <w:sz w:val="24"/>
                <w:szCs w:val="24"/>
                <w:highlight w:val="none"/>
                <w:lang w:val="en-US" w:eastAsia="zh-CN" w:bidi="ar"/>
              </w:rPr>
              <w:t>HW49</w:t>
            </w:r>
            <w:r>
              <w:rPr>
                <w:rFonts w:hint="eastAsia" w:ascii="宋体" w:hAnsi="宋体" w:eastAsia="宋体" w:cs="宋体"/>
                <w:color w:val="auto"/>
                <w:kern w:val="0"/>
                <w:sz w:val="24"/>
                <w:szCs w:val="24"/>
                <w:highlight w:val="none"/>
                <w:lang w:val="en-US" w:eastAsia="zh-CN" w:bidi="ar"/>
              </w:rPr>
              <w:t>、</w:t>
            </w:r>
            <w:r>
              <w:rPr>
                <w:rFonts w:hint="default" w:ascii="宋体" w:hAnsi="宋体" w:eastAsia="宋体" w:cs="宋体"/>
                <w:color w:val="auto"/>
                <w:kern w:val="0"/>
                <w:sz w:val="24"/>
                <w:szCs w:val="24"/>
                <w:highlight w:val="none"/>
                <w:lang w:val="en-US" w:eastAsia="zh-CN" w:bidi="ar"/>
              </w:rPr>
              <w:t>772-006-49</w:t>
            </w:r>
            <w:r>
              <w:rPr>
                <w:rFonts w:hint="eastAsia" w:ascii="宋体" w:hAnsi="宋体" w:eastAsia="宋体" w:cs="宋体"/>
                <w:color w:val="auto"/>
                <w:kern w:val="0"/>
                <w:sz w:val="24"/>
                <w:szCs w:val="24"/>
                <w:highlight w:val="none"/>
                <w:lang w:val="en-US" w:eastAsia="zh-CN" w:bidi="ar"/>
              </w:rPr>
              <w:t>。污泥经收集后交有资质单位处理。</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 xml:space="preserve">根据《医院污水处理工程技术规范》，污泥脱水要求见下： </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 xml:space="preserve">）污泥脱水宜采用离心式脱水机。离心分离前的污泥调质一般采用有机或无机药剂进行化学调质。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ｂ）脱水过程必须考虑密封和气体处理，脱水后的污泥应密闭封装、运输。 </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③废活性炭（</w:t>
            </w:r>
            <w:r>
              <w:rPr>
                <w:rFonts w:hint="default" w:ascii="Times New Roman" w:hAnsi="Times New Roman" w:eastAsia="宋体" w:cs="Times New Roman"/>
                <w:b/>
                <w:bCs/>
                <w:color w:val="auto"/>
                <w:kern w:val="0"/>
                <w:sz w:val="24"/>
                <w:szCs w:val="24"/>
                <w:highlight w:val="none"/>
                <w:lang w:val="en-US" w:eastAsia="zh-CN" w:bidi="ar"/>
              </w:rPr>
              <w:t>S5</w:t>
            </w:r>
            <w:r>
              <w:rPr>
                <w:rFonts w:hint="eastAsia" w:ascii="宋体" w:hAnsi="宋体" w:eastAsia="宋体" w:cs="宋体"/>
                <w:b/>
                <w:bCs/>
                <w:color w:val="auto"/>
                <w:kern w:val="0"/>
                <w:sz w:val="24"/>
                <w:szCs w:val="24"/>
                <w:highlight w:val="none"/>
                <w:lang w:val="en-US" w:eastAsia="zh-CN" w:bidi="ar"/>
              </w:rPr>
              <w:t xml:space="preserve">）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活性炭对收集后的污水处理站臭气进行除臭除味处理，该过程会产生一定量的废活性炭，属于危险废物，代码：</w:t>
            </w:r>
            <w:r>
              <w:rPr>
                <w:rFonts w:hint="default" w:ascii="Times New Roman" w:hAnsi="Times New Roman" w:eastAsia="宋体" w:cs="Times New Roman"/>
                <w:color w:val="auto"/>
                <w:kern w:val="0"/>
                <w:sz w:val="24"/>
                <w:szCs w:val="24"/>
                <w:highlight w:val="none"/>
                <w:lang w:val="en-US" w:eastAsia="zh-CN" w:bidi="ar"/>
              </w:rPr>
              <w:t>HW49</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900-039-49</w:t>
            </w:r>
            <w:r>
              <w:rPr>
                <w:rFonts w:hint="eastAsia" w:ascii="宋体" w:hAnsi="宋体" w:eastAsia="宋体" w:cs="宋体"/>
                <w:color w:val="auto"/>
                <w:kern w:val="0"/>
                <w:sz w:val="24"/>
                <w:szCs w:val="24"/>
                <w:highlight w:val="none"/>
                <w:lang w:val="en-US" w:eastAsia="zh-CN" w:bidi="ar"/>
              </w:rPr>
              <w:t xml:space="preserve">。根据同等规模医院污水处理站类比可知，废活性炭产生量约为 </w:t>
            </w:r>
            <w:r>
              <w:rPr>
                <w:rFonts w:hint="default" w:ascii="Times New Roman" w:hAnsi="Times New Roman" w:eastAsia="宋体" w:cs="Times New Roman"/>
                <w:color w:val="auto"/>
                <w:kern w:val="0"/>
                <w:sz w:val="24"/>
                <w:szCs w:val="24"/>
                <w:highlight w:val="none"/>
                <w:lang w:val="en-US" w:eastAsia="zh-CN" w:bidi="ar"/>
              </w:rPr>
              <w:t>0.1t/a</w:t>
            </w:r>
            <w:r>
              <w:rPr>
                <w:rFonts w:hint="eastAsia" w:ascii="宋体" w:hAnsi="宋体" w:eastAsia="宋体" w:cs="宋体"/>
                <w:color w:val="auto"/>
                <w:kern w:val="0"/>
                <w:sz w:val="24"/>
                <w:szCs w:val="24"/>
                <w:highlight w:val="none"/>
                <w:lang w:val="en-US" w:eastAsia="zh-CN" w:bidi="ar"/>
              </w:rPr>
              <w:t xml:space="preserve">，单独收集后交有危险废物处理资质的单位处理。 </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④废</w:t>
            </w:r>
            <w:r>
              <w:rPr>
                <w:rFonts w:hint="default" w:ascii="Times New Roman" w:hAnsi="Times New Roman" w:eastAsia="宋体" w:cs="Times New Roman"/>
                <w:b/>
                <w:bCs/>
                <w:color w:val="auto"/>
                <w:kern w:val="0"/>
                <w:sz w:val="24"/>
                <w:szCs w:val="24"/>
                <w:highlight w:val="none"/>
                <w:lang w:val="en-US" w:eastAsia="zh-CN" w:bidi="ar"/>
              </w:rPr>
              <w:t xml:space="preserve">UV </w:t>
            </w:r>
            <w:r>
              <w:rPr>
                <w:rFonts w:hint="eastAsia" w:ascii="宋体" w:hAnsi="宋体" w:eastAsia="宋体" w:cs="宋体"/>
                <w:b/>
                <w:bCs/>
                <w:color w:val="auto"/>
                <w:kern w:val="0"/>
                <w:sz w:val="24"/>
                <w:szCs w:val="24"/>
                <w:highlight w:val="none"/>
                <w:lang w:val="en-US" w:eastAsia="zh-CN" w:bidi="ar"/>
              </w:rPr>
              <w:t>灯管（</w:t>
            </w:r>
            <w:r>
              <w:rPr>
                <w:rFonts w:hint="default" w:ascii="Times New Roman" w:hAnsi="Times New Roman" w:eastAsia="宋体" w:cs="Times New Roman"/>
                <w:b/>
                <w:bCs/>
                <w:color w:val="auto"/>
                <w:kern w:val="0"/>
                <w:sz w:val="24"/>
                <w:szCs w:val="24"/>
                <w:highlight w:val="none"/>
                <w:lang w:val="en-US" w:eastAsia="zh-CN" w:bidi="ar"/>
              </w:rPr>
              <w:t>S6</w:t>
            </w:r>
            <w:r>
              <w:rPr>
                <w:rFonts w:hint="eastAsia" w:ascii="宋体" w:hAnsi="宋体" w:eastAsia="宋体" w:cs="宋体"/>
                <w:b/>
                <w:bCs/>
                <w:color w:val="auto"/>
                <w:kern w:val="0"/>
                <w:sz w:val="24"/>
                <w:szCs w:val="24"/>
                <w:highlight w:val="none"/>
                <w:lang w:val="en-US" w:eastAsia="zh-CN" w:bidi="ar"/>
              </w:rPr>
              <w:t xml:space="preserve">）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项目运营过程中，医疗废物暂存间内悬挂 </w:t>
            </w:r>
            <w:r>
              <w:rPr>
                <w:rFonts w:hint="default" w:ascii="Times New Roman" w:hAnsi="Times New Roman" w:eastAsia="宋体" w:cs="Times New Roman"/>
                <w:color w:val="auto"/>
                <w:kern w:val="0"/>
                <w:sz w:val="24"/>
                <w:szCs w:val="24"/>
                <w:highlight w:val="none"/>
                <w:lang w:val="en-US" w:eastAsia="zh-CN" w:bidi="ar"/>
              </w:rPr>
              <w:t xml:space="preserve">UV </w:t>
            </w:r>
            <w:r>
              <w:rPr>
                <w:rFonts w:hint="eastAsia" w:ascii="宋体" w:hAnsi="宋体" w:eastAsia="宋体" w:cs="宋体"/>
                <w:color w:val="auto"/>
                <w:kern w:val="0"/>
                <w:sz w:val="24"/>
                <w:szCs w:val="24"/>
                <w:highlight w:val="none"/>
                <w:lang w:val="en-US" w:eastAsia="zh-CN" w:bidi="ar"/>
              </w:rPr>
              <w:t xml:space="preserve">灯管用于杀毒，此过程中产生废ＵＶ灯管，废 </w:t>
            </w:r>
            <w:r>
              <w:rPr>
                <w:rFonts w:hint="default" w:ascii="Times New Roman" w:hAnsi="Times New Roman" w:eastAsia="宋体" w:cs="Times New Roman"/>
                <w:color w:val="auto"/>
                <w:kern w:val="0"/>
                <w:sz w:val="24"/>
                <w:szCs w:val="24"/>
                <w:highlight w:val="none"/>
                <w:lang w:val="en-US" w:eastAsia="zh-CN" w:bidi="ar"/>
              </w:rPr>
              <w:t xml:space="preserve">UV </w:t>
            </w:r>
            <w:r>
              <w:rPr>
                <w:rFonts w:hint="eastAsia" w:ascii="宋体" w:hAnsi="宋体" w:eastAsia="宋体" w:cs="宋体"/>
                <w:color w:val="auto"/>
                <w:kern w:val="0"/>
                <w:sz w:val="24"/>
                <w:szCs w:val="24"/>
                <w:highlight w:val="none"/>
                <w:lang w:val="en-US" w:eastAsia="zh-CN" w:bidi="ar"/>
              </w:rPr>
              <w:t xml:space="preserve">灯管产生量约为 </w:t>
            </w:r>
            <w:r>
              <w:rPr>
                <w:rFonts w:hint="default" w:ascii="Times New Roman" w:hAnsi="Times New Roman" w:eastAsia="宋体" w:cs="Times New Roman"/>
                <w:color w:val="auto"/>
                <w:kern w:val="0"/>
                <w:sz w:val="24"/>
                <w:szCs w:val="24"/>
                <w:highlight w:val="none"/>
                <w:lang w:val="en-US" w:eastAsia="zh-CN" w:bidi="ar"/>
              </w:rPr>
              <w:t>0.01t/a</w:t>
            </w:r>
            <w:r>
              <w:rPr>
                <w:rFonts w:hint="eastAsia" w:ascii="宋体" w:hAnsi="宋体" w:eastAsia="宋体" w:cs="宋体"/>
                <w:color w:val="auto"/>
                <w:kern w:val="0"/>
                <w:sz w:val="24"/>
                <w:szCs w:val="24"/>
                <w:highlight w:val="none"/>
                <w:lang w:val="en-US" w:eastAsia="zh-CN" w:bidi="ar"/>
              </w:rPr>
              <w:t>，属于危险废物，代码：</w:t>
            </w:r>
            <w:r>
              <w:rPr>
                <w:rFonts w:hint="default" w:ascii="Times New Roman" w:hAnsi="Times New Roman" w:eastAsia="宋体" w:cs="Times New Roman"/>
                <w:color w:val="auto"/>
                <w:kern w:val="0"/>
                <w:sz w:val="24"/>
                <w:szCs w:val="24"/>
                <w:highlight w:val="none"/>
                <w:lang w:val="en-US" w:eastAsia="zh-CN" w:bidi="ar"/>
              </w:rPr>
              <w:t>HW29</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900-023-29</w:t>
            </w:r>
            <w:r>
              <w:rPr>
                <w:rFonts w:hint="eastAsia" w:ascii="宋体" w:hAnsi="宋体" w:eastAsia="宋体" w:cs="宋体"/>
                <w:color w:val="auto"/>
                <w:kern w:val="0"/>
                <w:sz w:val="24"/>
                <w:szCs w:val="24"/>
                <w:highlight w:val="none"/>
                <w:lang w:val="en-US" w:eastAsia="zh-CN" w:bidi="ar"/>
              </w:rPr>
              <w:t xml:space="preserve">，集中收集后交由有危废处理资质单位处理。 </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⑤检验废液（</w:t>
            </w:r>
            <w:r>
              <w:rPr>
                <w:rFonts w:hint="default" w:ascii="Times New Roman" w:hAnsi="Times New Roman" w:eastAsia="宋体" w:cs="Times New Roman"/>
                <w:b/>
                <w:bCs/>
                <w:color w:val="auto"/>
                <w:kern w:val="0"/>
                <w:sz w:val="24"/>
                <w:szCs w:val="24"/>
                <w:highlight w:val="none"/>
                <w:lang w:val="en-US" w:eastAsia="zh-CN" w:bidi="ar"/>
              </w:rPr>
              <w:t>S8</w:t>
            </w:r>
            <w:r>
              <w:rPr>
                <w:rFonts w:hint="eastAsia" w:ascii="宋体" w:hAnsi="宋体" w:eastAsia="宋体" w:cs="宋体"/>
                <w:b/>
                <w:bCs/>
                <w:color w:val="auto"/>
                <w:kern w:val="0"/>
                <w:sz w:val="24"/>
                <w:szCs w:val="24"/>
                <w:highlight w:val="none"/>
                <w:lang w:val="en-US" w:eastAsia="zh-CN" w:bidi="ar"/>
              </w:rPr>
              <w:t xml:space="preserve">） </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特殊废液主要来自检验科等，本项目建成后各种特殊污水产生情况如下：检验科主要的检验项目有：血常规（</w:t>
            </w:r>
            <w:r>
              <w:rPr>
                <w:rFonts w:hint="default" w:ascii="Times New Roman" w:hAnsi="Times New Roman" w:eastAsia="宋体" w:cs="Times New Roman"/>
                <w:color w:val="auto"/>
                <w:kern w:val="0"/>
                <w:sz w:val="24"/>
                <w:szCs w:val="24"/>
                <w:highlight w:val="none"/>
                <w:lang w:val="en-US" w:eastAsia="zh-CN" w:bidi="ar"/>
              </w:rPr>
              <w:t>PT</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APTT</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Fbg</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TTO</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TT</w:t>
            </w:r>
            <w:r>
              <w:rPr>
                <w:rFonts w:hint="eastAsia" w:ascii="宋体" w:hAnsi="宋体" w:eastAsia="宋体" w:cs="宋体"/>
                <w:color w:val="auto"/>
                <w:kern w:val="0"/>
                <w:sz w:val="24"/>
                <w:szCs w:val="24"/>
                <w:highlight w:val="none"/>
                <w:lang w:val="en-US" w:eastAsia="zh-CN" w:bidi="ar"/>
              </w:rPr>
              <w:t>、外源性凝血因子、内源性凝血因子等）、尿常规（尿白细胞、亚硝酸盐、尿蛋白等）；血常规检验的试剂有：重铬酸钾、三氧化铬、铬酸钾、氰化钾、氰化钠、铁氰化钾、亚铁氰化钾等；尿常规检验的试剂有：咪唑、邻联甲苯胺、碘酸钾等，本项目产生的特殊废液量约为</w:t>
            </w:r>
            <w:r>
              <w:rPr>
                <w:rFonts w:hint="eastAsia" w:ascii="Times New Roman" w:hAnsi="Times New Roman" w:eastAsia="宋体" w:cs="Times New Roman"/>
                <w:color w:val="auto"/>
                <w:kern w:val="0"/>
                <w:sz w:val="24"/>
                <w:szCs w:val="24"/>
                <w:highlight w:val="none"/>
                <w:lang w:val="en-US" w:eastAsia="zh-CN" w:bidi="ar"/>
              </w:rPr>
              <w:t>15</w:t>
            </w:r>
            <w:r>
              <w:rPr>
                <w:rFonts w:hint="default" w:ascii="Times New Roman" w:hAnsi="Times New Roman" w:eastAsia="宋体" w:cs="Times New Roman"/>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contextualSpacing/>
              <w:textAlignment w:val="auto"/>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（3）危险废物暂存间要求：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contextualSpacing/>
              <w:textAlignment w:val="auto"/>
              <w:rPr>
                <w:rFonts w:hint="eastAsia"/>
                <w:color w:val="auto"/>
                <w:highlight w:val="none"/>
              </w:rPr>
            </w:pPr>
            <w:r>
              <w:rPr>
                <w:rFonts w:hint="eastAsia"/>
                <w:color w:val="auto"/>
                <w:highlight w:val="none"/>
              </w:rPr>
              <w:t>项目危险废物按照危险废物的相关管理规定。危险废物的收集、运输应按照《危险废物收集、贮存、运输技术规范》（HJ2025-2012），危险废物的转移执行国家环保总局第5号令《危险废物转移联单管理办法》：</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contextualSpacing/>
              <w:textAlignment w:val="auto"/>
              <w:rPr>
                <w:rFonts w:hint="eastAsia"/>
                <w:color w:val="auto"/>
                <w:highlight w:val="none"/>
              </w:rPr>
            </w:pPr>
            <w:r>
              <w:rPr>
                <w:rFonts w:hint="eastAsia"/>
                <w:color w:val="auto"/>
                <w:highlight w:val="none"/>
              </w:rPr>
              <w:t>①应当设置专用的贮存设施或场所，贮存设施或场所应遵照《危险废物贮存污染控制标准》(GB18596-20</w:t>
            </w:r>
            <w:r>
              <w:rPr>
                <w:rFonts w:hint="eastAsia"/>
                <w:color w:val="auto"/>
                <w:highlight w:val="none"/>
                <w:lang w:val="en-US" w:eastAsia="zh-CN"/>
              </w:rPr>
              <w:t>23</w:t>
            </w:r>
            <w:r>
              <w:rPr>
                <w:rFonts w:hint="eastAsia"/>
                <w:color w:val="auto"/>
                <w:highlight w:val="none"/>
              </w:rPr>
              <w:t>)设置，并分类存放、贮存，并必须采取</w:t>
            </w:r>
            <w:r>
              <w:rPr>
                <w:rFonts w:hint="eastAsia" w:ascii="Times New Roman" w:hAnsi="Times New Roman" w:eastAsia="宋体" w:cs="Times New Roman"/>
                <w:color w:val="auto"/>
                <w:highlight w:val="none"/>
                <w:lang w:val="en-US" w:eastAsia="zh-CN"/>
              </w:rPr>
              <w:t>防风、防晒、防雨、防漏、防渗、防腐</w:t>
            </w:r>
            <w:r>
              <w:rPr>
                <w:rFonts w:hint="eastAsia"/>
                <w:color w:val="auto"/>
                <w:highlight w:val="none"/>
              </w:rPr>
              <w:t>措施，不得随意露天堆放；</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contextualSpacing/>
              <w:textAlignment w:val="auto"/>
              <w:rPr>
                <w:rFonts w:hint="eastAsia"/>
                <w:color w:val="auto"/>
                <w:highlight w:val="none"/>
              </w:rPr>
            </w:pPr>
            <w:r>
              <w:rPr>
                <w:rFonts w:hint="eastAsia"/>
                <w:color w:val="auto"/>
                <w:highlight w:val="none"/>
              </w:rPr>
              <w:t>②对危险固废储存场所应进行处理，如地坪上方需设置托盘等，消除危险固废外泄的可能。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contextualSpacing/>
              <w:textAlignment w:val="auto"/>
              <w:rPr>
                <w:rFonts w:hint="eastAsia"/>
                <w:color w:val="auto"/>
                <w:highlight w:val="none"/>
              </w:rPr>
            </w:pPr>
            <w:r>
              <w:rPr>
                <w:rFonts w:hint="eastAsia"/>
                <w:color w:val="auto"/>
                <w:highlight w:val="none"/>
              </w:rPr>
              <w:t>③对危险废物的容器或包装物以及收集、贮存、运输、处置危险废物的设施、场所，必须设置危险废物识别标志；</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contextualSpacing/>
              <w:textAlignment w:val="auto"/>
              <w:rPr>
                <w:rFonts w:hint="eastAsia"/>
                <w:color w:val="auto"/>
                <w:highlight w:val="none"/>
              </w:rPr>
            </w:pPr>
            <w:r>
              <w:rPr>
                <w:rFonts w:hint="eastAsia"/>
                <w:color w:val="auto"/>
                <w:highlight w:val="none"/>
              </w:rPr>
              <w:t>④危险废物禁止混入非危险废物中贮存，禁止与乘客在同一运输工具上载运；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contextualSpacing/>
              <w:textAlignment w:val="auto"/>
              <w:rPr>
                <w:rFonts w:hint="eastAsia"/>
                <w:color w:val="auto"/>
                <w:highlight w:val="none"/>
              </w:rPr>
            </w:pPr>
            <w:r>
              <w:rPr>
                <w:rFonts w:hint="eastAsia"/>
                <w:color w:val="auto"/>
                <w:highlight w:val="none"/>
              </w:rPr>
              <w:t>⑤固体废物不得在运输过程中沿途丢弃、遗撒。如将固体废物用防静电的薄膜包装于箱内，再采用专用运输车辆进行运输；</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contextualSpacing/>
              <w:textAlignment w:val="auto"/>
              <w:rPr>
                <w:rFonts w:hint="eastAsia"/>
                <w:color w:val="auto"/>
                <w:highlight w:val="none"/>
              </w:rPr>
            </w:pPr>
            <w:r>
              <w:rPr>
                <w:rFonts w:hint="eastAsia"/>
                <w:color w:val="auto"/>
                <w:highlight w:val="none"/>
              </w:rPr>
              <w:t>⑥在包装箱外可设置醒目的危险废物标志，并用明确易懂的中文标明箱内所装为危险废物等。</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contextualSpacing/>
              <w:textAlignment w:val="auto"/>
              <w:rPr>
                <w:rFonts w:hint="eastAsia"/>
                <w:color w:val="auto"/>
                <w:highlight w:val="none"/>
              </w:rPr>
            </w:pPr>
            <w:r>
              <w:rPr>
                <w:rFonts w:hint="eastAsia"/>
                <w:color w:val="auto"/>
                <w:highlight w:val="none"/>
              </w:rPr>
              <w:t>⑦企业应按规定申报危险废物产生、贮存、转移、利用处置等信息，制定危险废物年度管理计划，企业应结合自身实际，建立危险废物台账，如实记载危险废物的种类、数量、性质、产生环节、流向、贮存、利用处置等信息，并在“危险废物动态管理信息系统”中进行如实规范申报，申报数据应与台账、管理计划数据相一致。</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w:t>
            </w:r>
            <w:r>
              <w:rPr>
                <w:rFonts w:hint="eastAsia" w:cs="Times New Roman"/>
                <w:b/>
                <w:bCs/>
                <w:color w:val="auto"/>
                <w:kern w:val="0"/>
                <w:sz w:val="24"/>
                <w:szCs w:val="24"/>
                <w:highlight w:val="none"/>
                <w:lang w:val="en-US" w:eastAsia="zh-CN" w:bidi="ar"/>
              </w:rPr>
              <w:t>4</w:t>
            </w:r>
            <w:r>
              <w:rPr>
                <w:rFonts w:hint="eastAsia" w:ascii="宋体" w:hAnsi="宋体" w:eastAsia="宋体" w:cs="宋体"/>
                <w:b/>
                <w:bCs/>
                <w:color w:val="auto"/>
                <w:kern w:val="0"/>
                <w:sz w:val="24"/>
                <w:szCs w:val="24"/>
                <w:highlight w:val="none"/>
                <w:lang w:val="en-US" w:eastAsia="zh-CN" w:bidi="ar"/>
              </w:rPr>
              <w:t>）生活垃圾（</w:t>
            </w:r>
            <w:r>
              <w:rPr>
                <w:rFonts w:hint="default" w:ascii="Times New Roman" w:hAnsi="Times New Roman" w:eastAsia="宋体" w:cs="Times New Roman"/>
                <w:b/>
                <w:bCs/>
                <w:color w:val="auto"/>
                <w:kern w:val="0"/>
                <w:sz w:val="24"/>
                <w:szCs w:val="24"/>
                <w:highlight w:val="none"/>
                <w:lang w:val="en-US" w:eastAsia="zh-CN" w:bidi="ar"/>
              </w:rPr>
              <w:t>S3</w:t>
            </w:r>
            <w:r>
              <w:rPr>
                <w:rFonts w:hint="eastAsia" w:ascii="宋体" w:hAnsi="宋体" w:eastAsia="宋体" w:cs="宋体"/>
                <w:b/>
                <w:bCs/>
                <w:color w:val="auto"/>
                <w:kern w:val="0"/>
                <w:sz w:val="24"/>
                <w:szCs w:val="24"/>
                <w:highlight w:val="none"/>
                <w:lang w:val="en-US" w:eastAsia="zh-CN" w:bidi="ar"/>
              </w:rPr>
              <w:t xml:space="preserve">）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项目生活垃圾由医院医护人员、办公人员、住院病人（包括陪护人员）及门诊病人产生。医护人员产生和办公人员生活垃圾按 </w:t>
            </w:r>
            <w:r>
              <w:rPr>
                <w:rFonts w:hint="default" w:ascii="Times New Roman" w:hAnsi="Times New Roman" w:eastAsia="宋体" w:cs="Times New Roman"/>
                <w:color w:val="auto"/>
                <w:kern w:val="0"/>
                <w:sz w:val="24"/>
                <w:szCs w:val="24"/>
                <w:highlight w:val="none"/>
                <w:lang w:val="en-US" w:eastAsia="zh-CN" w:bidi="ar"/>
              </w:rPr>
              <w:t>0.5kg/</w:t>
            </w:r>
            <w:r>
              <w:rPr>
                <w:rFonts w:hint="eastAsia" w:ascii="宋体" w:hAnsi="宋体" w:eastAsia="宋体" w:cs="宋体"/>
                <w:color w:val="auto"/>
                <w:kern w:val="0"/>
                <w:sz w:val="24"/>
                <w:szCs w:val="24"/>
                <w:highlight w:val="none"/>
                <w:lang w:val="en-US" w:eastAsia="zh-CN" w:bidi="ar"/>
              </w:rPr>
              <w:t>人·</w:t>
            </w:r>
            <w:r>
              <w:rPr>
                <w:rFonts w:hint="default" w:ascii="Times New Roman" w:hAnsi="Times New Roman" w:eastAsia="宋体" w:cs="Times New Roman"/>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val="en-US" w:eastAsia="zh-CN" w:bidi="ar"/>
              </w:rPr>
              <w:t xml:space="preserve">计，住院病人产生的生活垃圾按 </w:t>
            </w:r>
            <w:r>
              <w:rPr>
                <w:rFonts w:hint="default" w:ascii="Times New Roman" w:hAnsi="Times New Roman" w:eastAsia="宋体" w:cs="Times New Roman"/>
                <w:color w:val="auto"/>
                <w:kern w:val="0"/>
                <w:sz w:val="24"/>
                <w:szCs w:val="24"/>
                <w:highlight w:val="none"/>
                <w:lang w:val="en-US" w:eastAsia="zh-CN" w:bidi="ar"/>
              </w:rPr>
              <w:t>1.0kg/</w:t>
            </w:r>
            <w:r>
              <w:rPr>
                <w:rFonts w:hint="eastAsia" w:ascii="宋体" w:hAnsi="宋体" w:eastAsia="宋体" w:cs="宋体"/>
                <w:color w:val="auto"/>
                <w:kern w:val="0"/>
                <w:sz w:val="24"/>
                <w:szCs w:val="24"/>
                <w:highlight w:val="none"/>
                <w:lang w:val="en-US" w:eastAsia="zh-CN" w:bidi="ar"/>
              </w:rPr>
              <w:t>人·</w:t>
            </w:r>
            <w:r>
              <w:rPr>
                <w:rFonts w:hint="default" w:ascii="Times New Roman" w:hAnsi="Times New Roman" w:eastAsia="宋体" w:cs="Times New Roman"/>
                <w:color w:val="auto"/>
                <w:kern w:val="0"/>
                <w:sz w:val="24"/>
                <w:szCs w:val="24"/>
                <w:highlight w:val="none"/>
                <w:lang w:val="en-US" w:eastAsia="zh-CN" w:bidi="ar"/>
              </w:rPr>
              <w:t xml:space="preserve">d </w:t>
            </w:r>
            <w:r>
              <w:rPr>
                <w:rFonts w:hint="eastAsia" w:ascii="宋体" w:hAnsi="宋体" w:eastAsia="宋体" w:cs="宋体"/>
                <w:color w:val="auto"/>
                <w:kern w:val="0"/>
                <w:sz w:val="24"/>
                <w:szCs w:val="24"/>
                <w:highlight w:val="none"/>
                <w:lang w:val="en-US" w:eastAsia="zh-CN" w:bidi="ar"/>
              </w:rPr>
              <w:t xml:space="preserve">计，门诊病人产生的生活垃圾按 </w:t>
            </w:r>
            <w:r>
              <w:rPr>
                <w:rFonts w:hint="default" w:ascii="Times New Roman" w:hAnsi="Times New Roman" w:eastAsia="宋体" w:cs="Times New Roman"/>
                <w:color w:val="auto"/>
                <w:kern w:val="0"/>
                <w:sz w:val="24"/>
                <w:szCs w:val="24"/>
                <w:highlight w:val="none"/>
                <w:lang w:val="en-US" w:eastAsia="zh-CN" w:bidi="ar"/>
              </w:rPr>
              <w:t>0.1kg/</w:t>
            </w:r>
            <w:r>
              <w:rPr>
                <w:rFonts w:hint="eastAsia" w:ascii="宋体" w:hAnsi="宋体" w:eastAsia="宋体" w:cs="宋体"/>
                <w:color w:val="auto"/>
                <w:kern w:val="0"/>
                <w:sz w:val="24"/>
                <w:szCs w:val="24"/>
                <w:highlight w:val="none"/>
                <w:lang w:val="en-US" w:eastAsia="zh-CN" w:bidi="ar"/>
              </w:rPr>
              <w:t>人·</w:t>
            </w:r>
            <w:r>
              <w:rPr>
                <w:rFonts w:hint="default" w:ascii="Times New Roman" w:hAnsi="Times New Roman" w:eastAsia="宋体" w:cs="Times New Roman"/>
                <w:color w:val="auto"/>
                <w:kern w:val="0"/>
                <w:sz w:val="24"/>
                <w:szCs w:val="24"/>
                <w:highlight w:val="none"/>
                <w:lang w:val="en-US" w:eastAsia="zh-CN" w:bidi="ar"/>
              </w:rPr>
              <w:t xml:space="preserve">d </w:t>
            </w:r>
            <w:r>
              <w:rPr>
                <w:rFonts w:hint="eastAsia" w:ascii="宋体" w:hAnsi="宋体" w:eastAsia="宋体" w:cs="宋体"/>
                <w:color w:val="auto"/>
                <w:kern w:val="0"/>
                <w:sz w:val="24"/>
                <w:szCs w:val="24"/>
                <w:highlight w:val="none"/>
                <w:lang w:val="en-US" w:eastAsia="zh-CN" w:bidi="ar"/>
              </w:rPr>
              <w:t xml:space="preserve">计。生活垃圾产生情况见表 </w:t>
            </w:r>
            <w:r>
              <w:rPr>
                <w:rFonts w:hint="default" w:ascii="Times New Roman" w:hAnsi="Times New Roman" w:eastAsia="宋体" w:cs="Times New Roman"/>
                <w:color w:val="auto"/>
                <w:kern w:val="0"/>
                <w:sz w:val="24"/>
                <w:szCs w:val="24"/>
                <w:highlight w:val="none"/>
                <w:lang w:val="en-US" w:eastAsia="zh-CN" w:bidi="ar"/>
              </w:rPr>
              <w:t>4</w:t>
            </w:r>
            <w:r>
              <w:rPr>
                <w:rFonts w:hint="eastAsia" w:ascii="Times New Roman" w:hAnsi="Times New Roman" w:eastAsia="宋体" w:cs="Times New Roman"/>
                <w:color w:val="auto"/>
                <w:kern w:val="0"/>
                <w:sz w:val="24"/>
                <w:szCs w:val="24"/>
                <w:highlight w:val="none"/>
                <w:lang w:val="en-US" w:eastAsia="zh-CN" w:bidi="ar"/>
              </w:rPr>
              <w:t>.24</w:t>
            </w:r>
            <w:r>
              <w:rPr>
                <w:rFonts w:hint="eastAsia" w:ascii="宋体" w:hAnsi="宋体" w:eastAsia="宋体" w:cs="宋体"/>
                <w:color w:val="auto"/>
                <w:kern w:val="0"/>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center"/>
              <w:textAlignment w:val="auto"/>
              <w:rPr>
                <w:rFonts w:hint="default"/>
                <w:b/>
                <w:bCs/>
                <w:color w:val="auto"/>
                <w:highlight w:val="none"/>
                <w:lang w:val="en-US" w:eastAsia="zh-CN"/>
              </w:rPr>
            </w:pPr>
            <w:r>
              <w:rPr>
                <w:rFonts w:hint="eastAsia"/>
                <w:b/>
                <w:bCs/>
                <w:color w:val="auto"/>
                <w:highlight w:val="none"/>
                <w:lang w:val="en-US" w:eastAsia="zh-CN"/>
              </w:rPr>
              <w:t xml:space="preserve">表 </w:t>
            </w:r>
            <w:r>
              <w:rPr>
                <w:rFonts w:hint="default"/>
                <w:b/>
                <w:bCs/>
                <w:color w:val="auto"/>
                <w:highlight w:val="none"/>
                <w:lang w:val="en-US" w:eastAsia="zh-CN"/>
              </w:rPr>
              <w:t>4.</w:t>
            </w:r>
            <w:r>
              <w:rPr>
                <w:rFonts w:hint="eastAsia"/>
                <w:b/>
                <w:bCs/>
                <w:color w:val="auto"/>
                <w:highlight w:val="none"/>
                <w:lang w:val="en-US" w:eastAsia="zh-CN"/>
              </w:rPr>
              <w:t>24</w:t>
            </w:r>
            <w:r>
              <w:rPr>
                <w:rFonts w:hint="default"/>
                <w:b/>
                <w:bCs/>
                <w:color w:val="auto"/>
                <w:highlight w:val="none"/>
                <w:lang w:val="en-US" w:eastAsia="zh-CN"/>
              </w:rPr>
              <w:t xml:space="preserve"> </w:t>
            </w:r>
            <w:r>
              <w:rPr>
                <w:rFonts w:hint="eastAsia"/>
                <w:b/>
                <w:bCs/>
                <w:color w:val="auto"/>
                <w:highlight w:val="none"/>
                <w:lang w:val="en-US" w:eastAsia="zh-CN"/>
              </w:rPr>
              <w:t>生活垃圾产生情况表</w:t>
            </w:r>
          </w:p>
          <w:tbl>
            <w:tblPr>
              <w:tblStyle w:val="30"/>
              <w:tblW w:w="72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1127"/>
              <w:gridCol w:w="1054"/>
              <w:gridCol w:w="1003"/>
              <w:gridCol w:w="1096"/>
              <w:gridCol w:w="986"/>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jc w:val="center"/>
              </w:trPr>
              <w:tc>
                <w:tcPr>
                  <w:tcW w:w="984"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项目</w:t>
                  </w:r>
                </w:p>
              </w:tc>
              <w:tc>
                <w:tcPr>
                  <w:tcW w:w="1127"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来源</w:t>
                  </w:r>
                </w:p>
              </w:tc>
              <w:tc>
                <w:tcPr>
                  <w:tcW w:w="1054"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产污</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系数</w:t>
                  </w:r>
                </w:p>
              </w:tc>
              <w:tc>
                <w:tcPr>
                  <w:tcW w:w="1003"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人数（人）</w:t>
                  </w:r>
                </w:p>
              </w:tc>
              <w:tc>
                <w:tcPr>
                  <w:tcW w:w="1096"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日产（t）</w:t>
                  </w:r>
                </w:p>
              </w:tc>
              <w:tc>
                <w:tcPr>
                  <w:tcW w:w="986"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年产（t）</w:t>
                  </w:r>
                </w:p>
              </w:tc>
              <w:tc>
                <w:tcPr>
                  <w:tcW w:w="1023"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排放</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4" w:type="dxa"/>
                  <w:vMerge w:val="restart"/>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生活</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垃圾</w:t>
                  </w:r>
                </w:p>
              </w:tc>
              <w:tc>
                <w:tcPr>
                  <w:tcW w:w="1127"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医护人员</w:t>
                  </w:r>
                </w:p>
              </w:tc>
              <w:tc>
                <w:tcPr>
                  <w:tcW w:w="1054"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 xml:space="preserve">0.5kg/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人</w:t>
                  </w:r>
                  <w:r>
                    <w:rPr>
                      <w:rFonts w:hint="default" w:cs="Times New Roman"/>
                      <w:color w:val="auto"/>
                      <w:kern w:val="2"/>
                      <w:sz w:val="21"/>
                      <w:szCs w:val="21"/>
                      <w:highlight w:val="none"/>
                      <w:lang w:val="en-US" w:eastAsia="zh-CN" w:bidi="ar-SA"/>
                    </w:rPr>
                    <w:t>.d</w:t>
                  </w:r>
                </w:p>
              </w:tc>
              <w:tc>
                <w:tcPr>
                  <w:tcW w:w="1003"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w:t>
                  </w:r>
                </w:p>
              </w:tc>
              <w:tc>
                <w:tcPr>
                  <w:tcW w:w="1096"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0.0125</w:t>
                  </w:r>
                </w:p>
              </w:tc>
              <w:tc>
                <w:tcPr>
                  <w:tcW w:w="986"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4.5625</w:t>
                  </w:r>
                </w:p>
              </w:tc>
              <w:tc>
                <w:tcPr>
                  <w:tcW w:w="1023" w:type="dxa"/>
                  <w:vMerge w:val="restart"/>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 xml:space="preserve">集中收集后交当地环卫部门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统一处理</w:t>
                  </w:r>
                </w:p>
                <w:p>
                  <w:pPr>
                    <w:keepNext w:val="0"/>
                    <w:keepLines w:val="0"/>
                    <w:widowControl/>
                    <w:suppressLineNumbers w:val="0"/>
                    <w:ind w:left="0" w:leftChars="0" w:firstLine="0" w:firstLineChars="0"/>
                    <w:jc w:val="left"/>
                    <w:rPr>
                      <w:rFonts w:hint="default" w:ascii="宋体" w:hAnsi="宋体" w:eastAsia="宋体" w:cs="宋体"/>
                      <w:b/>
                      <w:bCs/>
                      <w:color w:val="auto"/>
                      <w:kern w:val="0"/>
                      <w:sz w:val="21"/>
                      <w:szCs w:val="21"/>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4" w:type="dxa"/>
                  <w:vMerge w:val="continue"/>
                </w:tcPr>
                <w:p>
                  <w:pPr>
                    <w:keepNext w:val="0"/>
                    <w:keepLines w:val="0"/>
                    <w:widowControl/>
                    <w:suppressLineNumbers w:val="0"/>
                    <w:jc w:val="left"/>
                    <w:rPr>
                      <w:rFonts w:hint="eastAsia" w:ascii="宋体" w:hAnsi="宋体" w:eastAsia="宋体" w:cs="宋体"/>
                      <w:b/>
                      <w:bCs/>
                      <w:color w:val="auto"/>
                      <w:kern w:val="0"/>
                      <w:sz w:val="21"/>
                      <w:szCs w:val="21"/>
                      <w:highlight w:val="none"/>
                      <w:vertAlign w:val="baseline"/>
                      <w:lang w:val="en-US" w:eastAsia="zh-CN" w:bidi="ar"/>
                    </w:rPr>
                  </w:pPr>
                </w:p>
              </w:tc>
              <w:tc>
                <w:tcPr>
                  <w:tcW w:w="1127"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住院病人</w:t>
                  </w:r>
                </w:p>
              </w:tc>
              <w:tc>
                <w:tcPr>
                  <w:tcW w:w="1054"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r>
                    <w:rPr>
                      <w:rFonts w:hint="default" w:cs="Times New Roman"/>
                      <w:color w:val="auto"/>
                      <w:kern w:val="2"/>
                      <w:sz w:val="21"/>
                      <w:szCs w:val="21"/>
                      <w:highlight w:val="none"/>
                      <w:lang w:val="en-US" w:eastAsia="zh-CN" w:bidi="ar-SA"/>
                    </w:rPr>
                    <w:t xml:space="preserve">kg/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人</w:t>
                  </w:r>
                  <w:r>
                    <w:rPr>
                      <w:rFonts w:hint="default" w:cs="Times New Roman"/>
                      <w:color w:val="auto"/>
                      <w:kern w:val="2"/>
                      <w:sz w:val="21"/>
                      <w:szCs w:val="21"/>
                      <w:highlight w:val="none"/>
                      <w:lang w:val="en-US" w:eastAsia="zh-CN" w:bidi="ar-SA"/>
                    </w:rPr>
                    <w:t>.d</w:t>
                  </w:r>
                </w:p>
              </w:tc>
              <w:tc>
                <w:tcPr>
                  <w:tcW w:w="1003"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65</w:t>
                  </w:r>
                </w:p>
              </w:tc>
              <w:tc>
                <w:tcPr>
                  <w:tcW w:w="1096"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0.065</w:t>
                  </w:r>
                </w:p>
              </w:tc>
              <w:tc>
                <w:tcPr>
                  <w:tcW w:w="986"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23.725</w:t>
                  </w:r>
                </w:p>
              </w:tc>
              <w:tc>
                <w:tcPr>
                  <w:tcW w:w="1023" w:type="dxa"/>
                  <w:vMerge w:val="continue"/>
                </w:tcPr>
                <w:p>
                  <w:pPr>
                    <w:keepNext w:val="0"/>
                    <w:keepLines w:val="0"/>
                    <w:widowControl/>
                    <w:suppressLineNumbers w:val="0"/>
                    <w:jc w:val="left"/>
                    <w:rPr>
                      <w:rFonts w:hint="eastAsia" w:ascii="宋体" w:hAnsi="宋体" w:eastAsia="宋体" w:cs="宋体"/>
                      <w:b/>
                      <w:bCs/>
                      <w:color w:val="auto"/>
                      <w:kern w:val="0"/>
                      <w:sz w:val="21"/>
                      <w:szCs w:val="21"/>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4" w:type="dxa"/>
                  <w:vMerge w:val="continue"/>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p>
              </w:tc>
              <w:tc>
                <w:tcPr>
                  <w:tcW w:w="1127"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办公人员</w:t>
                  </w:r>
                </w:p>
              </w:tc>
              <w:tc>
                <w:tcPr>
                  <w:tcW w:w="1054"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 xml:space="preserve">0.5kg/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人</w:t>
                  </w:r>
                  <w:r>
                    <w:rPr>
                      <w:rFonts w:hint="default" w:cs="Times New Roman"/>
                      <w:color w:val="auto"/>
                      <w:kern w:val="2"/>
                      <w:sz w:val="21"/>
                      <w:szCs w:val="21"/>
                      <w:highlight w:val="none"/>
                      <w:lang w:val="en-US" w:eastAsia="zh-CN" w:bidi="ar-SA"/>
                    </w:rPr>
                    <w:t>.d</w:t>
                  </w:r>
                </w:p>
              </w:tc>
              <w:tc>
                <w:tcPr>
                  <w:tcW w:w="1003"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1096"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0.002</w:t>
                  </w:r>
                </w:p>
              </w:tc>
              <w:tc>
                <w:tcPr>
                  <w:tcW w:w="986"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0.73</w:t>
                  </w:r>
                </w:p>
              </w:tc>
              <w:tc>
                <w:tcPr>
                  <w:tcW w:w="1023" w:type="dxa"/>
                  <w:vMerge w:val="continue"/>
                </w:tcPr>
                <w:p>
                  <w:pPr>
                    <w:keepNext w:val="0"/>
                    <w:keepLines w:val="0"/>
                    <w:widowControl/>
                    <w:suppressLineNumbers w:val="0"/>
                    <w:jc w:val="left"/>
                    <w:rPr>
                      <w:rFonts w:hint="eastAsia" w:ascii="宋体" w:hAnsi="宋体" w:eastAsia="宋体" w:cs="宋体"/>
                      <w:b/>
                      <w:bCs/>
                      <w:color w:val="auto"/>
                      <w:kern w:val="0"/>
                      <w:sz w:val="21"/>
                      <w:szCs w:val="21"/>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4" w:type="dxa"/>
                  <w:vMerge w:val="continue"/>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p>
              </w:tc>
              <w:tc>
                <w:tcPr>
                  <w:tcW w:w="1127"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门诊病人</w:t>
                  </w:r>
                </w:p>
              </w:tc>
              <w:tc>
                <w:tcPr>
                  <w:tcW w:w="1054"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w:t>
                  </w:r>
                  <w:r>
                    <w:rPr>
                      <w:rFonts w:hint="default" w:cs="Times New Roman"/>
                      <w:color w:val="auto"/>
                      <w:kern w:val="2"/>
                      <w:sz w:val="21"/>
                      <w:szCs w:val="21"/>
                      <w:highlight w:val="none"/>
                      <w:lang w:val="en-US" w:eastAsia="zh-CN" w:bidi="ar-SA"/>
                    </w:rPr>
                    <w:t xml:space="preserve">kg/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人</w:t>
                  </w:r>
                  <w:r>
                    <w:rPr>
                      <w:rFonts w:hint="default" w:cs="Times New Roman"/>
                      <w:color w:val="auto"/>
                      <w:kern w:val="2"/>
                      <w:sz w:val="21"/>
                      <w:szCs w:val="21"/>
                      <w:highlight w:val="none"/>
                      <w:lang w:val="en-US" w:eastAsia="zh-CN" w:bidi="ar-SA"/>
                    </w:rPr>
                    <w:t>.d</w:t>
                  </w:r>
                </w:p>
              </w:tc>
              <w:tc>
                <w:tcPr>
                  <w:tcW w:w="1003"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w:t>
                  </w:r>
                </w:p>
              </w:tc>
              <w:tc>
                <w:tcPr>
                  <w:tcW w:w="1096"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0.008</w:t>
                  </w:r>
                </w:p>
              </w:tc>
              <w:tc>
                <w:tcPr>
                  <w:tcW w:w="986"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2.92</w:t>
                  </w:r>
                </w:p>
              </w:tc>
              <w:tc>
                <w:tcPr>
                  <w:tcW w:w="1023" w:type="dxa"/>
                  <w:vMerge w:val="continue"/>
                </w:tcPr>
                <w:p>
                  <w:pPr>
                    <w:keepNext w:val="0"/>
                    <w:keepLines w:val="0"/>
                    <w:widowControl/>
                    <w:suppressLineNumbers w:val="0"/>
                    <w:jc w:val="left"/>
                    <w:rPr>
                      <w:rFonts w:hint="eastAsia" w:ascii="宋体" w:hAnsi="宋体" w:eastAsia="宋体" w:cs="宋体"/>
                      <w:b/>
                      <w:bCs/>
                      <w:color w:val="auto"/>
                      <w:kern w:val="0"/>
                      <w:sz w:val="21"/>
                      <w:szCs w:val="21"/>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3165" w:type="dxa"/>
                  <w:gridSpan w:val="3"/>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合计</w:t>
                  </w:r>
                </w:p>
              </w:tc>
              <w:tc>
                <w:tcPr>
                  <w:tcW w:w="1003"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174</w:t>
                  </w:r>
                </w:p>
              </w:tc>
              <w:tc>
                <w:tcPr>
                  <w:tcW w:w="1096"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0.0875</w:t>
                  </w:r>
                </w:p>
              </w:tc>
              <w:tc>
                <w:tcPr>
                  <w:tcW w:w="986"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31.9375</w:t>
                  </w:r>
                </w:p>
              </w:tc>
              <w:tc>
                <w:tcPr>
                  <w:tcW w:w="1023" w:type="dxa"/>
                  <w:vMerge w:val="continue"/>
                </w:tcPr>
                <w:p>
                  <w:pPr>
                    <w:keepNext w:val="0"/>
                    <w:keepLines w:val="0"/>
                    <w:widowControl/>
                    <w:suppressLineNumbers w:val="0"/>
                    <w:jc w:val="left"/>
                    <w:rPr>
                      <w:rFonts w:hint="eastAsia" w:ascii="宋体" w:hAnsi="宋体" w:eastAsia="宋体" w:cs="宋体"/>
                      <w:b/>
                      <w:bCs/>
                      <w:color w:val="auto"/>
                      <w:kern w:val="0"/>
                      <w:sz w:val="21"/>
                      <w:szCs w:val="21"/>
                      <w:highlight w:val="none"/>
                      <w:vertAlign w:val="baseline"/>
                      <w:lang w:val="en-US" w:eastAsia="zh-CN" w:bidi="ar"/>
                    </w:rPr>
                  </w:pPr>
                </w:p>
              </w:tc>
            </w:tr>
          </w:tbl>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w:t>
            </w:r>
            <w:r>
              <w:rPr>
                <w:rFonts w:hint="eastAsia" w:cs="Times New Roman"/>
                <w:b/>
                <w:bCs/>
                <w:color w:val="auto"/>
                <w:kern w:val="0"/>
                <w:sz w:val="24"/>
                <w:szCs w:val="24"/>
                <w:highlight w:val="none"/>
                <w:lang w:val="en-US" w:eastAsia="zh-CN" w:bidi="ar"/>
              </w:rPr>
              <w:t>5</w:t>
            </w:r>
            <w:r>
              <w:rPr>
                <w:rFonts w:hint="eastAsia" w:ascii="宋体" w:hAnsi="宋体" w:eastAsia="宋体" w:cs="宋体"/>
                <w:b/>
                <w:bCs/>
                <w:color w:val="auto"/>
                <w:kern w:val="0"/>
                <w:sz w:val="24"/>
                <w:szCs w:val="24"/>
                <w:highlight w:val="none"/>
                <w:lang w:val="en-US" w:eastAsia="zh-CN" w:bidi="ar"/>
              </w:rPr>
              <w:t>）废中药渣（</w:t>
            </w:r>
            <w:r>
              <w:rPr>
                <w:rFonts w:hint="default" w:ascii="Times New Roman" w:hAnsi="Times New Roman" w:eastAsia="宋体" w:cs="Times New Roman"/>
                <w:b/>
                <w:bCs/>
                <w:color w:val="auto"/>
                <w:kern w:val="0"/>
                <w:sz w:val="24"/>
                <w:szCs w:val="24"/>
                <w:highlight w:val="none"/>
                <w:lang w:val="en-US" w:eastAsia="zh-CN" w:bidi="ar"/>
              </w:rPr>
              <w:t>S7</w:t>
            </w:r>
            <w:r>
              <w:rPr>
                <w:rFonts w:hint="eastAsia" w:ascii="宋体" w:hAnsi="宋体" w:eastAsia="宋体" w:cs="宋体"/>
                <w:b/>
                <w:bCs/>
                <w:color w:val="auto"/>
                <w:kern w:val="0"/>
                <w:sz w:val="24"/>
                <w:szCs w:val="24"/>
                <w:highlight w:val="none"/>
                <w:lang w:val="en-US" w:eastAsia="zh-CN" w:bidi="ar"/>
              </w:rPr>
              <w:t xml:space="preserve">）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项目设有代煎中药服务，此过程中会产生废中药渣，据业主提供资料，项目运营中，煎药量为</w:t>
            </w:r>
            <w:r>
              <w:rPr>
                <w:rFonts w:hint="default" w:ascii="Times New Roman" w:hAnsi="Times New Roman" w:eastAsia="宋体" w:cs="Times New Roman"/>
                <w:color w:val="auto"/>
                <w:kern w:val="0"/>
                <w:sz w:val="24"/>
                <w:szCs w:val="24"/>
                <w:highlight w:val="none"/>
                <w:lang w:val="en-US" w:eastAsia="zh-CN" w:bidi="ar"/>
              </w:rPr>
              <w:t>1t</w:t>
            </w:r>
            <w:r>
              <w:rPr>
                <w:rFonts w:hint="eastAsia" w:ascii="宋体" w:hAnsi="宋体" w:eastAsia="宋体" w:cs="宋体"/>
                <w:color w:val="auto"/>
                <w:kern w:val="0"/>
                <w:sz w:val="24"/>
                <w:szCs w:val="24"/>
                <w:highlight w:val="none"/>
                <w:lang w:val="en-US" w:eastAsia="zh-CN" w:bidi="ar"/>
              </w:rPr>
              <w:t>，经熬制后药渣含水率为</w:t>
            </w:r>
            <w:r>
              <w:rPr>
                <w:rFonts w:hint="default" w:ascii="Times New Roman" w:hAnsi="Times New Roman" w:eastAsia="宋体" w:cs="Times New Roman"/>
                <w:color w:val="auto"/>
                <w:kern w:val="0"/>
                <w:sz w:val="24"/>
                <w:szCs w:val="24"/>
                <w:highlight w:val="none"/>
                <w:lang w:val="en-US" w:eastAsia="zh-CN" w:bidi="ar"/>
              </w:rPr>
              <w:t>60%</w:t>
            </w:r>
            <w:r>
              <w:rPr>
                <w:rFonts w:hint="eastAsia" w:ascii="宋体" w:hAnsi="宋体" w:eastAsia="宋体" w:cs="宋体"/>
                <w:color w:val="auto"/>
                <w:kern w:val="0"/>
                <w:sz w:val="24"/>
                <w:szCs w:val="24"/>
                <w:highlight w:val="none"/>
                <w:lang w:val="en-US" w:eastAsia="zh-CN" w:bidi="ar"/>
              </w:rPr>
              <w:t>，则产生废中药渣约</w:t>
            </w:r>
            <w:r>
              <w:rPr>
                <w:rFonts w:hint="default" w:ascii="Times New Roman" w:hAnsi="Times New Roman" w:eastAsia="宋体" w:cs="Times New Roman"/>
                <w:color w:val="auto"/>
                <w:kern w:val="0"/>
                <w:sz w:val="24"/>
                <w:szCs w:val="24"/>
                <w:highlight w:val="none"/>
                <w:lang w:val="en-US" w:eastAsia="zh-CN" w:bidi="ar"/>
              </w:rPr>
              <w:t>2.5t/a</w:t>
            </w:r>
            <w:r>
              <w:rPr>
                <w:rFonts w:hint="eastAsia" w:ascii="宋体" w:hAnsi="宋体" w:eastAsia="宋体" w:cs="宋体"/>
                <w:color w:val="auto"/>
                <w:kern w:val="0"/>
                <w:sz w:val="24"/>
                <w:szCs w:val="24"/>
                <w:highlight w:val="none"/>
                <w:lang w:val="en-US" w:eastAsia="zh-CN" w:bidi="ar"/>
              </w:rPr>
              <w:t>（含水）。由于其为天然药材、职务的煎制残留物，不含有其他有毒有害物质，不属于《国家危险废物命令》中列出的危险废物，但中药药渣有异味，应袋装密封收集，每天交环卫部门处置。</w:t>
            </w:r>
          </w:p>
          <w:p>
            <w:pPr>
              <w:pStyle w:val="3"/>
              <w:bidi w:val="0"/>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4.</w:t>
            </w:r>
            <w:r>
              <w:rPr>
                <w:rFonts w:hint="eastAsia" w:ascii="Times New Roman" w:hAnsi="Times New Roman" w:cs="Times New Roman"/>
                <w:b/>
                <w:bCs/>
                <w:color w:val="auto"/>
                <w:kern w:val="2"/>
                <w:sz w:val="24"/>
                <w:szCs w:val="24"/>
                <w:highlight w:val="none"/>
                <w:lang w:val="en-US" w:eastAsia="zh-CN" w:bidi="ar-SA"/>
              </w:rPr>
              <w:t>6</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eastAsia" w:ascii="Times New Roman" w:hAnsi="Times New Roman" w:cs="Times New Roman"/>
                <w:b/>
                <w:bCs/>
                <w:color w:val="auto"/>
                <w:kern w:val="2"/>
                <w:sz w:val="24"/>
                <w:szCs w:val="24"/>
                <w:highlight w:val="none"/>
                <w:lang w:val="en-US" w:eastAsia="zh-CN" w:bidi="ar-SA"/>
              </w:rPr>
              <w:t>辐射</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 xml:space="preserve">）辐射设备污染产生情况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项目拟配置</w:t>
            </w:r>
            <w:r>
              <w:rPr>
                <w:rFonts w:hint="eastAsia"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台</w:t>
            </w:r>
            <w:r>
              <w:rPr>
                <w:rFonts w:hint="default" w:ascii="Times New Roman" w:hAnsi="Times New Roman" w:eastAsia="宋体" w:cs="Times New Roman"/>
                <w:color w:val="auto"/>
                <w:kern w:val="0"/>
                <w:sz w:val="24"/>
                <w:szCs w:val="24"/>
                <w:highlight w:val="none"/>
                <w:lang w:val="en-US" w:eastAsia="zh-CN" w:bidi="ar"/>
              </w:rPr>
              <w:t>Ⅲ</w:t>
            </w:r>
            <w:r>
              <w:rPr>
                <w:rFonts w:hint="eastAsia" w:ascii="宋体" w:hAnsi="宋体" w:eastAsia="宋体" w:cs="宋体"/>
                <w:color w:val="auto"/>
                <w:kern w:val="0"/>
                <w:sz w:val="24"/>
                <w:szCs w:val="24"/>
                <w:highlight w:val="none"/>
                <w:lang w:val="en-US" w:eastAsia="zh-CN" w:bidi="ar"/>
              </w:rPr>
              <w:t>类</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射线装置，为数字化</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射线摄影系统（</w:t>
            </w:r>
            <w:r>
              <w:rPr>
                <w:rFonts w:hint="default" w:ascii="Times New Roman" w:hAnsi="Times New Roman" w:eastAsia="宋体" w:cs="Times New Roman"/>
                <w:color w:val="auto"/>
                <w:kern w:val="0"/>
                <w:sz w:val="24"/>
                <w:szCs w:val="24"/>
                <w:highlight w:val="none"/>
                <w:lang w:val="en-US" w:eastAsia="zh-CN" w:bidi="ar"/>
              </w:rPr>
              <w:t>DR</w:t>
            </w:r>
            <w:r>
              <w:rPr>
                <w:rFonts w:hint="eastAsia" w:ascii="宋体" w:hAnsi="宋体" w:eastAsia="宋体" w:cs="宋体"/>
                <w:color w:val="auto"/>
                <w:kern w:val="0"/>
                <w:sz w:val="24"/>
                <w:szCs w:val="24"/>
                <w:highlight w:val="none"/>
                <w:lang w:val="en-US" w:eastAsia="zh-CN" w:bidi="ar"/>
              </w:rPr>
              <w:t>），管电压均</w:t>
            </w:r>
            <w:r>
              <w:rPr>
                <w:rFonts w:hint="default" w:ascii="Times New Roman" w:hAnsi="Times New Roman" w:eastAsia="宋体" w:cs="Times New Roman"/>
                <w:color w:val="auto"/>
                <w:kern w:val="0"/>
                <w:sz w:val="24"/>
                <w:szCs w:val="24"/>
                <w:highlight w:val="none"/>
                <w:lang w:val="en-US" w:eastAsia="zh-CN" w:bidi="ar"/>
              </w:rPr>
              <w:t>150kv</w:t>
            </w:r>
            <w:r>
              <w:rPr>
                <w:rFonts w:hint="eastAsia" w:ascii="宋体" w:hAnsi="宋体" w:eastAsia="宋体" w:cs="宋体"/>
                <w:color w:val="auto"/>
                <w:kern w:val="0"/>
                <w:sz w:val="24"/>
                <w:szCs w:val="24"/>
                <w:highlight w:val="none"/>
                <w:lang w:val="en-US" w:eastAsia="zh-CN" w:bidi="ar"/>
              </w:rPr>
              <w:t>，均位于综合楼</w:t>
            </w:r>
            <w:r>
              <w:rPr>
                <w:rFonts w:hint="default" w:ascii="Times New Roman" w:hAnsi="Times New Roman" w:eastAsia="宋体" w:cs="Times New Roman"/>
                <w:color w:val="auto"/>
                <w:kern w:val="0"/>
                <w:sz w:val="24"/>
                <w:szCs w:val="24"/>
                <w:highlight w:val="none"/>
                <w:lang w:val="en-US" w:eastAsia="zh-CN" w:bidi="ar"/>
              </w:rPr>
              <w:t>1F</w:t>
            </w:r>
            <w:r>
              <w:rPr>
                <w:rFonts w:hint="eastAsia" w:ascii="宋体" w:hAnsi="宋体" w:eastAsia="宋体" w:cs="宋体"/>
                <w:color w:val="auto"/>
                <w:kern w:val="0"/>
                <w:sz w:val="24"/>
                <w:szCs w:val="24"/>
                <w:highlight w:val="none"/>
                <w:lang w:val="en-US" w:eastAsia="zh-CN" w:bidi="ar"/>
              </w:rPr>
              <w:t>北侧专用房间内，此处不再分析介绍。</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①工作原理 </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射线装置主要由</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射线管和高压电源组成，见图</w:t>
            </w:r>
            <w:r>
              <w:rPr>
                <w:rFonts w:hint="default" w:ascii="Times New Roman" w:hAnsi="Times New Roman" w:eastAsia="宋体" w:cs="Times New Roman"/>
                <w:color w:val="auto"/>
                <w:kern w:val="0"/>
                <w:sz w:val="24"/>
                <w:szCs w:val="24"/>
                <w:highlight w:val="none"/>
                <w:lang w:val="en-US" w:eastAsia="zh-CN" w:bidi="ar"/>
              </w:rPr>
              <w:t>4.2</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射线管由安装在真空玻璃壳中的阴极和阳极组成。阴极是钨制灯丝，它装在聚焦杯中。当灯丝通电加热时，电子就</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蒸发</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出来，而聚焦杯使这些电子聚集成束，直接向嵌在金属阳极中的靶体射击。靶体一般采用高原子序数的难熔金属制成。高电压加在</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射线管的两极之间，使电子在射到靶体之前被加速达到很高的速度，这些高速电子到达靶面为靶所突然阻挡从而产生</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 xml:space="preserve">射线。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成像装置是用来采集透过人体的</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线信号的，由于人体各部组织、器官密度不同，对</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线的衰减程度各不一样，成像装置根据接收到的不同信号，通过荧光屏或影像增器、计算机、摄像机（对影像增器的图像进行一系列扫描，再经过模</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数</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数</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模转换）等方式进行成像。</w:t>
            </w:r>
          </w:p>
          <w:p>
            <w:pPr>
              <w:keepNext w:val="0"/>
              <w:keepLines w:val="0"/>
              <w:widowControl/>
              <w:suppressLineNumbers w:val="0"/>
              <w:jc w:val="left"/>
              <w:rPr>
                <w:color w:val="auto"/>
                <w:highlight w:val="none"/>
              </w:rPr>
            </w:pPr>
            <w:r>
              <w:rPr>
                <w:color w:val="auto"/>
                <w:highlight w:val="none"/>
              </w:rPr>
              <w:drawing>
                <wp:anchor distT="0" distB="0" distL="114300" distR="114300" simplePos="0" relativeHeight="251669504" behindDoc="0" locked="0" layoutInCell="1" allowOverlap="1">
                  <wp:simplePos x="0" y="0"/>
                  <wp:positionH relativeFrom="column">
                    <wp:posOffset>598805</wp:posOffset>
                  </wp:positionH>
                  <wp:positionV relativeFrom="paragraph">
                    <wp:posOffset>36195</wp:posOffset>
                  </wp:positionV>
                  <wp:extent cx="4100830" cy="1810385"/>
                  <wp:effectExtent l="0" t="0" r="0" b="889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a:stretch>
                            <a:fillRect/>
                          </a:stretch>
                        </pic:blipFill>
                        <pic:spPr>
                          <a:xfrm>
                            <a:off x="0" y="0"/>
                            <a:ext cx="4100830" cy="1810385"/>
                          </a:xfrm>
                          <a:prstGeom prst="rect">
                            <a:avLst/>
                          </a:prstGeom>
                          <a:noFill/>
                          <a:ln>
                            <a:noFill/>
                          </a:ln>
                        </pic:spPr>
                      </pic:pic>
                    </a:graphicData>
                  </a:graphic>
                </wp:anchor>
              </w:drawing>
            </w:r>
          </w:p>
          <w:p>
            <w:pPr>
              <w:keepNext w:val="0"/>
              <w:keepLines w:val="0"/>
              <w:widowControl/>
              <w:suppressLineNumbers w:val="0"/>
              <w:jc w:val="left"/>
              <w:rPr>
                <w:color w:val="auto"/>
                <w:highlight w:val="none"/>
              </w:rPr>
            </w:pPr>
          </w:p>
          <w:p>
            <w:pPr>
              <w:keepNext w:val="0"/>
              <w:keepLines w:val="0"/>
              <w:widowControl/>
              <w:suppressLineNumbers w:val="0"/>
              <w:jc w:val="left"/>
              <w:rPr>
                <w:color w:val="auto"/>
                <w:highlight w:val="none"/>
              </w:rPr>
            </w:pPr>
          </w:p>
          <w:p>
            <w:pPr>
              <w:keepNext w:val="0"/>
              <w:keepLines w:val="0"/>
              <w:widowControl/>
              <w:suppressLineNumbers w:val="0"/>
              <w:jc w:val="left"/>
              <w:rPr>
                <w:rFonts w:hint="eastAsia" w:ascii="宋体" w:hAnsi="宋体" w:eastAsia="宋体" w:cs="宋体"/>
                <w:b/>
                <w:bCs/>
                <w:color w:val="auto"/>
                <w:kern w:val="0"/>
                <w:sz w:val="24"/>
                <w:szCs w:val="24"/>
                <w:highlight w:val="none"/>
                <w:lang w:val="en-US" w:eastAsia="zh-CN" w:bidi="ar"/>
              </w:rPr>
            </w:pPr>
          </w:p>
          <w:p>
            <w:pPr>
              <w:keepNext w:val="0"/>
              <w:keepLines w:val="0"/>
              <w:widowControl/>
              <w:suppressLineNumbers w:val="0"/>
              <w:jc w:val="left"/>
              <w:rPr>
                <w:rFonts w:hint="eastAsia" w:ascii="宋体" w:hAnsi="宋体" w:eastAsia="宋体" w:cs="宋体"/>
                <w:b/>
                <w:bCs/>
                <w:color w:val="auto"/>
                <w:kern w:val="0"/>
                <w:sz w:val="24"/>
                <w:szCs w:val="24"/>
                <w:highlight w:val="none"/>
                <w:lang w:val="en-US" w:eastAsia="zh-CN" w:bidi="ar"/>
              </w:rPr>
            </w:pPr>
          </w:p>
          <w:p>
            <w:pPr>
              <w:keepNext w:val="0"/>
              <w:keepLines w:val="0"/>
              <w:widowControl/>
              <w:suppressLineNumbers w:val="0"/>
              <w:jc w:val="left"/>
              <w:rPr>
                <w:rFonts w:hint="eastAsia" w:ascii="宋体" w:hAnsi="宋体" w:eastAsia="宋体" w:cs="宋体"/>
                <w:b/>
                <w:bCs/>
                <w:color w:val="auto"/>
                <w:kern w:val="0"/>
                <w:sz w:val="24"/>
                <w:szCs w:val="24"/>
                <w:highlight w:val="none"/>
                <w:lang w:val="en-US" w:eastAsia="zh-CN" w:bidi="ar"/>
              </w:rPr>
            </w:pP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center"/>
              <w:textAlignment w:val="auto"/>
              <w:rPr>
                <w:rFonts w:hint="default" w:ascii="Times New Roman" w:hAnsi="Times New Roman" w:eastAsia="宋体" w:cs="Times New Roman"/>
                <w:b/>
                <w:bCs w:val="0"/>
                <w:color w:val="auto"/>
                <w:kern w:val="0"/>
                <w:sz w:val="21"/>
                <w:szCs w:val="21"/>
                <w:highlight w:val="none"/>
                <w:lang w:val="en-US" w:eastAsia="zh-CN"/>
              </w:rPr>
            </w:pPr>
          </w:p>
          <w:p>
            <w:pPr>
              <w:keepNext w:val="0"/>
              <w:keepLines w:val="0"/>
              <w:widowControl/>
              <w:suppressLineNumbers w:val="0"/>
              <w:jc w:val="center"/>
              <w:rPr>
                <w:color w:val="auto"/>
                <w:highlight w:val="none"/>
              </w:rPr>
            </w:pPr>
            <w:r>
              <w:rPr>
                <w:rFonts w:hint="eastAsia" w:ascii="宋体" w:hAnsi="宋体" w:eastAsia="宋体" w:cs="宋体"/>
                <w:color w:val="auto"/>
                <w:kern w:val="0"/>
                <w:sz w:val="21"/>
                <w:szCs w:val="21"/>
                <w:highlight w:val="none"/>
                <w:lang w:val="en-US" w:eastAsia="zh-CN" w:bidi="ar"/>
              </w:rPr>
              <w:t>图</w:t>
            </w:r>
            <w:r>
              <w:rPr>
                <w:rFonts w:hint="default" w:ascii="Times New Roman" w:hAnsi="Times New Roman" w:eastAsia="宋体" w:cs="Times New Roman"/>
                <w:color w:val="auto"/>
                <w:kern w:val="0"/>
                <w:sz w:val="21"/>
                <w:szCs w:val="21"/>
                <w:highlight w:val="none"/>
                <w:lang w:val="en-US" w:eastAsia="zh-CN" w:bidi="ar"/>
              </w:rPr>
              <w:t xml:space="preserve">4.2-1 </w:t>
            </w:r>
            <w:r>
              <w:rPr>
                <w:rFonts w:hint="eastAsia" w:ascii="宋体" w:hAnsi="宋体" w:eastAsia="宋体" w:cs="宋体"/>
                <w:color w:val="auto"/>
                <w:kern w:val="0"/>
                <w:sz w:val="21"/>
                <w:szCs w:val="21"/>
                <w:highlight w:val="none"/>
                <w:lang w:val="en-US" w:eastAsia="zh-CN" w:bidi="ar"/>
              </w:rPr>
              <w:t>典型</w:t>
            </w:r>
            <w:r>
              <w:rPr>
                <w:rFonts w:hint="default" w:ascii="Times New Roman" w:hAnsi="Times New Roman" w:eastAsia="宋体" w:cs="Times New Roman"/>
                <w:color w:val="auto"/>
                <w:kern w:val="0"/>
                <w:sz w:val="21"/>
                <w:szCs w:val="21"/>
                <w:highlight w:val="none"/>
                <w:lang w:val="en-US" w:eastAsia="zh-CN" w:bidi="ar"/>
              </w:rPr>
              <w:t>X</w:t>
            </w:r>
            <w:r>
              <w:rPr>
                <w:rFonts w:hint="eastAsia" w:ascii="宋体" w:hAnsi="宋体" w:eastAsia="宋体" w:cs="宋体"/>
                <w:color w:val="auto"/>
                <w:kern w:val="0"/>
                <w:sz w:val="21"/>
                <w:szCs w:val="21"/>
                <w:highlight w:val="none"/>
                <w:lang w:val="en-US" w:eastAsia="zh-CN" w:bidi="ar"/>
              </w:rPr>
              <w:t>射线管结构图</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②工作流程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医用</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 xml:space="preserve">射线诊断装置操作流程如下： </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 xml:space="preserve">、根据照射需要对患者进行摆位，为患者作好必要的防护措施； </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b</w:t>
            </w:r>
            <w:r>
              <w:rPr>
                <w:rFonts w:hint="eastAsia" w:ascii="宋体" w:hAnsi="宋体" w:eastAsia="宋体" w:cs="宋体"/>
                <w:color w:val="auto"/>
                <w:kern w:val="0"/>
                <w:sz w:val="24"/>
                <w:szCs w:val="24"/>
                <w:highlight w:val="none"/>
                <w:lang w:val="en-US" w:eastAsia="zh-CN" w:bidi="ar"/>
              </w:rPr>
              <w:t xml:space="preserve">、医生通过控制台将病人信息输入，根据需求设定曝光参数； </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c</w:t>
            </w:r>
            <w:r>
              <w:rPr>
                <w:rFonts w:hint="eastAsia" w:ascii="宋体" w:hAnsi="宋体" w:eastAsia="宋体" w:cs="宋体"/>
                <w:color w:val="auto"/>
                <w:kern w:val="0"/>
                <w:sz w:val="24"/>
                <w:szCs w:val="24"/>
                <w:highlight w:val="none"/>
                <w:lang w:val="en-US" w:eastAsia="zh-CN" w:bidi="ar"/>
              </w:rPr>
              <w:t xml:space="preserve">、检查防护门等安全防护措施是否到位； </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val="en-US" w:eastAsia="zh-CN" w:bidi="ar"/>
              </w:rPr>
              <w:t xml:space="preserve">、曝光，密切注意各仪表的显示； </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e</w:t>
            </w:r>
            <w:r>
              <w:rPr>
                <w:rFonts w:hint="eastAsia" w:ascii="宋体" w:hAnsi="宋体" w:eastAsia="宋体" w:cs="宋体"/>
                <w:color w:val="auto"/>
                <w:kern w:val="0"/>
                <w:sz w:val="24"/>
                <w:szCs w:val="24"/>
                <w:highlight w:val="none"/>
                <w:lang w:val="en-US" w:eastAsia="zh-CN" w:bidi="ar"/>
              </w:rPr>
              <w:t xml:space="preserve">、记录，关机，病人退出房间，操作结束。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③污染因子分析 </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射线：由工作原理可知，</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射线是随机器的开、关而产生和消失。因此，医院使用的</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射线装置在关机状态下不产生射线，只有在开机并处于出线状态时才会发出</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射线。</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 xml:space="preserve">射线具有较强的贯穿能力，它经散射和漏射，对其作业场所及周围环境产生辐射影响。 </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b</w:t>
            </w:r>
            <w:r>
              <w:rPr>
                <w:rFonts w:hint="eastAsia" w:ascii="宋体" w:hAnsi="宋体" w:eastAsia="宋体" w:cs="宋体"/>
                <w:color w:val="auto"/>
                <w:kern w:val="0"/>
                <w:sz w:val="24"/>
                <w:szCs w:val="24"/>
                <w:highlight w:val="none"/>
                <w:lang w:val="en-US" w:eastAsia="zh-CN" w:bidi="ar"/>
              </w:rPr>
              <w:t>、废气：</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 xml:space="preserve">射线与空气作用，产生极少量的臭氧和氮氧化物废气。少量的有害气体直接与大气接触、不累积，很快被空气的对流、扩散作用所分解，对环境影响可忽略不计。 </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c</w:t>
            </w:r>
            <w:r>
              <w:rPr>
                <w:rFonts w:hint="eastAsia" w:ascii="宋体" w:hAnsi="宋体" w:eastAsia="宋体" w:cs="宋体"/>
                <w:color w:val="auto"/>
                <w:kern w:val="0"/>
                <w:sz w:val="24"/>
                <w:szCs w:val="24"/>
                <w:highlight w:val="none"/>
                <w:lang w:val="en-US" w:eastAsia="zh-CN" w:bidi="ar"/>
              </w:rPr>
              <w:t>、废水：医用</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射线装置属清洁的物理诊断装置，在使用过程中自身不产生液态、固态等放射性废物，不存在放射性三废对环境的污染。另外，项目</w:t>
            </w:r>
            <w:r>
              <w:rPr>
                <w:rFonts w:hint="default" w:ascii="Times New Roman" w:hAnsi="Times New Roman" w:eastAsia="宋体" w:cs="Times New Roman"/>
                <w:color w:val="auto"/>
                <w:kern w:val="0"/>
                <w:sz w:val="24"/>
                <w:szCs w:val="24"/>
                <w:highlight w:val="none"/>
                <w:lang w:val="en-US" w:eastAsia="zh-CN" w:bidi="ar"/>
              </w:rPr>
              <w:t xml:space="preserve">X </w:t>
            </w:r>
            <w:r>
              <w:rPr>
                <w:rFonts w:hint="eastAsia" w:ascii="宋体" w:hAnsi="宋体" w:eastAsia="宋体" w:cs="宋体"/>
                <w:color w:val="auto"/>
                <w:kern w:val="0"/>
                <w:sz w:val="24"/>
                <w:szCs w:val="24"/>
                <w:highlight w:val="none"/>
                <w:lang w:val="en-US" w:eastAsia="zh-CN" w:bidi="ar"/>
              </w:rPr>
              <w:t xml:space="preserve">射线装置出片均采用数字显影、定影技术，无显影、定影废液排放。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因此，项目</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射线装置污染环境的主要因子为</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 xml:space="preserve">射线。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 xml:space="preserve">）射线装置用房布局合理性分析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①机房设置原则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根据《医用</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射线诊断放射防护要求》（</w:t>
            </w:r>
            <w:r>
              <w:rPr>
                <w:rFonts w:hint="default" w:ascii="Times New Roman" w:hAnsi="Times New Roman" w:eastAsia="宋体" w:cs="Times New Roman"/>
                <w:color w:val="auto"/>
                <w:kern w:val="0"/>
                <w:sz w:val="24"/>
                <w:szCs w:val="24"/>
                <w:highlight w:val="none"/>
                <w:lang w:val="en-US" w:eastAsia="zh-CN" w:bidi="ar"/>
              </w:rPr>
              <w:t>GBZ130-2013</w:t>
            </w:r>
            <w:r>
              <w:rPr>
                <w:rFonts w:hint="eastAsia" w:ascii="宋体" w:hAnsi="宋体" w:eastAsia="宋体" w:cs="宋体"/>
                <w:color w:val="auto"/>
                <w:kern w:val="0"/>
                <w:sz w:val="24"/>
                <w:szCs w:val="24"/>
                <w:highlight w:val="none"/>
                <w:lang w:val="en-US" w:eastAsia="zh-CN" w:bidi="ar"/>
              </w:rPr>
              <w:t>）机房面积和最小单边 长度要求：单管头</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射线机机房，其最小有效使用面积为不小于</w:t>
            </w:r>
            <w:r>
              <w:rPr>
                <w:rFonts w:hint="default" w:ascii="Times New Roman" w:hAnsi="Times New Roman" w:eastAsia="宋体" w:cs="Times New Roman"/>
                <w:color w:val="auto"/>
                <w:kern w:val="0"/>
                <w:sz w:val="24"/>
                <w:szCs w:val="24"/>
                <w:highlight w:val="none"/>
                <w:lang w:val="en-US" w:eastAsia="zh-CN" w:bidi="ar"/>
              </w:rPr>
              <w:t>20m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16"/>
                <w:szCs w:val="16"/>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，最小单边长度应不小于</w:t>
            </w:r>
            <w:r>
              <w:rPr>
                <w:rFonts w:hint="default" w:ascii="Times New Roman" w:hAnsi="Times New Roman" w:eastAsia="宋体" w:cs="Times New Roman"/>
                <w:color w:val="auto"/>
                <w:kern w:val="0"/>
                <w:sz w:val="24"/>
                <w:szCs w:val="24"/>
                <w:highlight w:val="none"/>
                <w:lang w:val="en-US" w:eastAsia="zh-CN" w:bidi="ar"/>
              </w:rPr>
              <w:t>3.5m</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① 迁建项目机房设置情况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根据业主提供资料，结合项目总平面布局，项目机房使用情况见表</w:t>
            </w:r>
            <w:r>
              <w:rPr>
                <w:rFonts w:hint="default" w:ascii="Times New Roman" w:hAnsi="Times New Roman" w:eastAsia="宋体" w:cs="Times New Roman"/>
                <w:color w:val="auto"/>
                <w:kern w:val="0"/>
                <w:sz w:val="24"/>
                <w:szCs w:val="24"/>
                <w:highlight w:val="none"/>
                <w:lang w:val="en-US" w:eastAsia="zh-CN" w:bidi="ar"/>
              </w:rPr>
              <w:t>4.2</w:t>
            </w:r>
            <w:r>
              <w:rPr>
                <w:rFonts w:hint="eastAsia" w:ascii="Times New Roman" w:hAnsi="Times New Roman" w:eastAsia="宋体" w:cs="Times New Roman"/>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center"/>
              <w:textAlignment w:val="auto"/>
              <w:rPr>
                <w:rFonts w:hint="eastAsia"/>
                <w:b/>
                <w:bCs/>
                <w:color w:val="auto"/>
                <w:highlight w:val="none"/>
                <w:lang w:val="en-US" w:eastAsia="zh-CN"/>
              </w:rPr>
            </w:pPr>
            <w:r>
              <w:rPr>
                <w:rFonts w:hint="eastAsia"/>
                <w:b/>
                <w:bCs/>
                <w:color w:val="auto"/>
                <w:highlight w:val="none"/>
                <w:lang w:val="en-US" w:eastAsia="zh-CN"/>
              </w:rPr>
              <w:t>表</w:t>
            </w:r>
            <w:r>
              <w:rPr>
                <w:rFonts w:hint="default"/>
                <w:b/>
                <w:bCs/>
                <w:color w:val="auto"/>
                <w:highlight w:val="none"/>
                <w:lang w:val="en-US" w:eastAsia="zh-CN"/>
              </w:rPr>
              <w:t>4.2</w:t>
            </w:r>
            <w:r>
              <w:rPr>
                <w:rFonts w:hint="eastAsia"/>
                <w:b/>
                <w:bCs/>
                <w:color w:val="auto"/>
                <w:highlight w:val="none"/>
                <w:lang w:val="en-US" w:eastAsia="zh-CN"/>
              </w:rPr>
              <w:t xml:space="preserve">5 </w:t>
            </w:r>
            <w:r>
              <w:rPr>
                <w:rFonts w:hint="default"/>
                <w:b/>
                <w:bCs/>
                <w:color w:val="auto"/>
                <w:highlight w:val="none"/>
                <w:lang w:val="en-US" w:eastAsia="zh-CN"/>
              </w:rPr>
              <w:t xml:space="preserve"> X</w:t>
            </w:r>
            <w:r>
              <w:rPr>
                <w:rFonts w:hint="eastAsia"/>
                <w:b/>
                <w:bCs/>
                <w:color w:val="auto"/>
                <w:highlight w:val="none"/>
                <w:lang w:val="en-US" w:eastAsia="zh-CN"/>
              </w:rPr>
              <w:t>射线装置机房面积使用情况表</w:t>
            </w:r>
          </w:p>
          <w:tbl>
            <w:tblPr>
              <w:tblStyle w:val="29"/>
              <w:tblW w:w="74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1428"/>
              <w:gridCol w:w="2156"/>
              <w:gridCol w:w="1537"/>
              <w:gridCol w:w="2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cantSplit/>
                <w:trHeight w:val="181" w:hRule="atLeast"/>
                <w:tblHeader/>
                <w:jc w:val="center"/>
              </w:trPr>
              <w:tc>
                <w:tcPr>
                  <w:tcW w:w="1428"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设备名称</w:t>
                  </w:r>
                </w:p>
              </w:tc>
              <w:tc>
                <w:tcPr>
                  <w:tcW w:w="215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机房内空尺寸（m）</w:t>
                  </w:r>
                </w:p>
              </w:tc>
              <w:tc>
                <w:tcPr>
                  <w:tcW w:w="1537"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要求机房</w:t>
                  </w:r>
                </w:p>
              </w:tc>
              <w:tc>
                <w:tcPr>
                  <w:tcW w:w="2289"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是否符合要求</w:t>
                  </w:r>
                </w:p>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cantSplit/>
                <w:trHeight w:val="257" w:hRule="atLeast"/>
                <w:tblHeader/>
                <w:jc w:val="center"/>
              </w:trPr>
              <w:tc>
                <w:tcPr>
                  <w:tcW w:w="1428"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DR机</w:t>
                  </w:r>
                </w:p>
              </w:tc>
              <w:tc>
                <w:tcPr>
                  <w:tcW w:w="215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5.70×4.70×3.0</w:t>
                  </w:r>
                </w:p>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kern w:val="2"/>
                      <w:sz w:val="21"/>
                      <w:szCs w:val="21"/>
                      <w:highlight w:val="none"/>
                      <w:lang w:val="en-US" w:eastAsia="zh-CN" w:bidi="ar-SA"/>
                    </w:rPr>
                  </w:pPr>
                </w:p>
              </w:tc>
              <w:tc>
                <w:tcPr>
                  <w:tcW w:w="1537"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面积</w:t>
                  </w:r>
                  <w:r>
                    <w:rPr>
                      <w:rFonts w:hint="default" w:cs="Times New Roman"/>
                      <w:color w:val="auto"/>
                      <w:kern w:val="2"/>
                      <w:sz w:val="21"/>
                      <w:szCs w:val="21"/>
                      <w:highlight w:val="none"/>
                      <w:lang w:val="en-US" w:eastAsia="zh-CN" w:bidi="ar-SA"/>
                    </w:rPr>
                    <w:t>≥20m</w:t>
                  </w:r>
                  <w:r>
                    <w:rPr>
                      <w:rFonts w:hint="default" w:cs="Times New Roman"/>
                      <w:color w:val="auto"/>
                      <w:kern w:val="2"/>
                      <w:sz w:val="21"/>
                      <w:szCs w:val="21"/>
                      <w:highlight w:val="none"/>
                      <w:vertAlign w:val="superscript"/>
                      <w:lang w:val="en-US" w:eastAsia="zh-CN" w:bidi="ar-SA"/>
                    </w:rPr>
                    <w:t>2</w:t>
                  </w:r>
                  <w:r>
                    <w:rPr>
                      <w:rFonts w:hint="default" w:cs="Times New Roman"/>
                      <w:color w:val="auto"/>
                      <w:kern w:val="2"/>
                      <w:sz w:val="21"/>
                      <w:szCs w:val="21"/>
                      <w:highlight w:val="none"/>
                      <w:lang w:val="en-US" w:eastAsia="zh-CN" w:bidi="ar-SA"/>
                    </w:rPr>
                    <w:t xml:space="preserve"> </w:t>
                  </w:r>
                  <w:r>
                    <w:rPr>
                      <w:rFonts w:hint="eastAsia" w:cs="Times New Roman"/>
                      <w:color w:val="auto"/>
                      <w:kern w:val="2"/>
                      <w:sz w:val="21"/>
                      <w:szCs w:val="21"/>
                      <w:highlight w:val="none"/>
                      <w:lang w:val="en-US" w:eastAsia="zh-CN" w:bidi="ar-SA"/>
                    </w:rPr>
                    <w:t>；最小单边长</w:t>
                  </w:r>
                  <w:r>
                    <w:rPr>
                      <w:rFonts w:hint="default" w:cs="Times New Roman"/>
                      <w:color w:val="auto"/>
                      <w:kern w:val="2"/>
                      <w:sz w:val="21"/>
                      <w:szCs w:val="21"/>
                      <w:highlight w:val="none"/>
                      <w:lang w:val="en-US" w:eastAsia="zh-CN" w:bidi="ar-SA"/>
                    </w:rPr>
                    <w:t>≥3.5m</w:t>
                  </w:r>
                </w:p>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kern w:val="2"/>
                      <w:sz w:val="21"/>
                      <w:szCs w:val="21"/>
                      <w:highlight w:val="none"/>
                      <w:lang w:val="en-US" w:eastAsia="zh-CN" w:bidi="ar-SA"/>
                    </w:rPr>
                  </w:pPr>
                </w:p>
              </w:tc>
              <w:tc>
                <w:tcPr>
                  <w:tcW w:w="2289"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24.66m</w:t>
                  </w:r>
                  <w:r>
                    <w:rPr>
                      <w:rFonts w:hint="eastAsia" w:cs="Times New Roman"/>
                      <w:color w:val="auto"/>
                      <w:kern w:val="2"/>
                      <w:sz w:val="21"/>
                      <w:szCs w:val="21"/>
                      <w:highlight w:val="none"/>
                      <w:vertAlign w:val="superscript"/>
                      <w:lang w:val="en-US" w:eastAsia="zh-CN" w:bidi="ar-SA"/>
                    </w:rPr>
                    <w:t>2</w:t>
                  </w:r>
                  <w:r>
                    <w:rPr>
                      <w:rFonts w:hint="eastAsia" w:cs="Times New Roman"/>
                      <w:color w:val="auto"/>
                      <w:kern w:val="2"/>
                      <w:sz w:val="21"/>
                      <w:szCs w:val="21"/>
                      <w:highlight w:val="none"/>
                      <w:lang w:val="en-US" w:eastAsia="zh-CN" w:bidi="ar-SA"/>
                    </w:rPr>
                    <w:t>符合</w:t>
                  </w:r>
                </w:p>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kern w:val="2"/>
                      <w:sz w:val="21"/>
                      <w:szCs w:val="21"/>
                      <w:highlight w:val="none"/>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default" w:ascii="Times New Roman" w:hAnsi="Times New Roman" w:eastAsia="宋体" w:cs="Times New Roman"/>
                <w:b/>
                <w:bCs w:val="0"/>
                <w:color w:val="auto"/>
                <w:kern w:val="0"/>
                <w:sz w:val="21"/>
                <w:szCs w:val="21"/>
                <w:highlight w:val="none"/>
                <w:lang w:val="en-US" w:eastAsia="zh-CN"/>
              </w:rPr>
            </w:pP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根据表</w:t>
            </w:r>
            <w:r>
              <w:rPr>
                <w:rFonts w:hint="default" w:ascii="Times New Roman" w:hAnsi="Times New Roman" w:eastAsia="宋体" w:cs="Times New Roman"/>
                <w:color w:val="auto"/>
                <w:kern w:val="0"/>
                <w:sz w:val="24"/>
                <w:szCs w:val="24"/>
                <w:highlight w:val="none"/>
                <w:lang w:val="en-US" w:eastAsia="zh-CN" w:bidi="ar"/>
              </w:rPr>
              <w:t>4.2</w:t>
            </w:r>
            <w:r>
              <w:rPr>
                <w:rFonts w:hint="eastAsia" w:ascii="Times New Roman" w:hAnsi="Times New Roman" w:eastAsia="宋体" w:cs="Times New Roman"/>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val="en-US" w:eastAsia="zh-CN" w:bidi="ar"/>
              </w:rPr>
              <w:t>分析，项目配备的</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射线装置机房使用面积及机房最小单边长度均符合要求，满足《医用</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射线诊断放射防护要求》（</w:t>
            </w:r>
            <w:r>
              <w:rPr>
                <w:rFonts w:hint="default" w:ascii="Times New Roman" w:hAnsi="Times New Roman" w:eastAsia="宋体" w:cs="Times New Roman"/>
                <w:color w:val="auto"/>
                <w:kern w:val="0"/>
                <w:sz w:val="24"/>
                <w:szCs w:val="24"/>
                <w:highlight w:val="none"/>
                <w:lang w:val="en-US" w:eastAsia="zh-CN" w:bidi="ar"/>
              </w:rPr>
              <w:t>GBZ130-2013</w:t>
            </w:r>
            <w:r>
              <w:rPr>
                <w:rFonts w:hint="eastAsia" w:ascii="宋体" w:hAnsi="宋体" w:eastAsia="宋体" w:cs="宋体"/>
                <w:color w:val="auto"/>
                <w:kern w:val="0"/>
                <w:sz w:val="24"/>
                <w:szCs w:val="24"/>
                <w:highlight w:val="none"/>
                <w:lang w:val="en-US" w:eastAsia="zh-CN" w:bidi="ar"/>
              </w:rPr>
              <w:t xml:space="preserve">）的规定 </w:t>
            </w:r>
          </w:p>
          <w:p>
            <w:pPr>
              <w:keepNext w:val="0"/>
              <w:keepLines w:val="0"/>
              <w:widowControl/>
              <w:suppressLineNumbers w:val="0"/>
              <w:ind w:left="0" w:leftChars="0" w:firstLine="0" w:firstLineChars="0"/>
              <w:jc w:val="left"/>
              <w:rPr>
                <w:color w:val="auto"/>
                <w:highlight w:val="none"/>
              </w:rPr>
            </w:pPr>
            <w:r>
              <w:rPr>
                <w:rFonts w:hint="eastAsia" w:ascii="宋体" w:hAnsi="宋体" w:eastAsia="宋体" w:cs="宋体"/>
                <w:color w:val="auto"/>
                <w:kern w:val="0"/>
                <w:sz w:val="24"/>
                <w:szCs w:val="24"/>
                <w:highlight w:val="none"/>
                <w:lang w:val="en-US" w:eastAsia="zh-CN" w:bidi="ar"/>
              </w:rPr>
              <w:t>和要求。</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② 布局设计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项目</w:t>
            </w:r>
            <w:r>
              <w:rPr>
                <w:rFonts w:hint="default" w:ascii="Times New Roman" w:hAnsi="Times New Roman" w:eastAsia="宋体" w:cs="Times New Roman"/>
                <w:color w:val="auto"/>
                <w:kern w:val="0"/>
                <w:sz w:val="24"/>
                <w:szCs w:val="24"/>
                <w:highlight w:val="none"/>
                <w:lang w:val="en-US" w:eastAsia="zh-CN" w:bidi="ar"/>
              </w:rPr>
              <w:t>DR</w:t>
            </w:r>
            <w:r>
              <w:rPr>
                <w:rFonts w:hint="eastAsia" w:ascii="宋体" w:hAnsi="宋体" w:cs="宋体"/>
                <w:color w:val="auto"/>
                <w:kern w:val="0"/>
                <w:sz w:val="24"/>
                <w:szCs w:val="24"/>
                <w:highlight w:val="none"/>
                <w:lang w:val="en-US" w:eastAsia="zh-CN" w:bidi="ar"/>
              </w:rPr>
              <w:t>工作站</w:t>
            </w:r>
            <w:r>
              <w:rPr>
                <w:rFonts w:hint="eastAsia" w:ascii="宋体" w:hAnsi="宋体" w:eastAsia="宋体" w:cs="宋体"/>
                <w:color w:val="auto"/>
                <w:kern w:val="0"/>
                <w:sz w:val="24"/>
                <w:szCs w:val="24"/>
                <w:highlight w:val="none"/>
                <w:lang w:val="en-US" w:eastAsia="zh-CN" w:bidi="ar"/>
              </w:rPr>
              <w:t>位于综合楼</w:t>
            </w:r>
            <w:r>
              <w:rPr>
                <w:rFonts w:hint="default" w:ascii="Times New Roman" w:hAnsi="Times New Roman" w:eastAsia="宋体" w:cs="Times New Roman"/>
                <w:color w:val="auto"/>
                <w:kern w:val="0"/>
                <w:sz w:val="24"/>
                <w:szCs w:val="24"/>
                <w:highlight w:val="none"/>
                <w:lang w:val="en-US" w:eastAsia="zh-CN" w:bidi="ar"/>
              </w:rPr>
              <w:t>1F</w:t>
            </w:r>
            <w:r>
              <w:rPr>
                <w:rFonts w:hint="eastAsia" w:ascii="宋体" w:hAnsi="宋体" w:eastAsia="宋体" w:cs="宋体"/>
                <w:color w:val="auto"/>
                <w:kern w:val="0"/>
                <w:sz w:val="24"/>
                <w:szCs w:val="24"/>
                <w:highlight w:val="none"/>
                <w:lang w:val="en-US" w:eastAsia="zh-CN" w:bidi="ar"/>
              </w:rPr>
              <w:t>北侧，分别设立了专用房间，机房四周墙体拟采用</w:t>
            </w:r>
            <w:r>
              <w:rPr>
                <w:rFonts w:hint="default" w:ascii="Times New Roman" w:hAnsi="Times New Roman" w:eastAsia="宋体" w:cs="Times New Roman"/>
                <w:color w:val="auto"/>
                <w:kern w:val="0"/>
                <w:sz w:val="24"/>
                <w:szCs w:val="24"/>
                <w:highlight w:val="none"/>
                <w:lang w:val="en-US" w:eastAsia="zh-CN" w:bidi="ar"/>
              </w:rPr>
              <w:t>200mm</w:t>
            </w:r>
            <w:r>
              <w:rPr>
                <w:rFonts w:hint="eastAsia" w:ascii="宋体" w:hAnsi="宋体" w:eastAsia="宋体" w:cs="宋体"/>
                <w:color w:val="auto"/>
                <w:kern w:val="0"/>
                <w:sz w:val="24"/>
                <w:szCs w:val="24"/>
                <w:highlight w:val="none"/>
                <w:lang w:val="en-US" w:eastAsia="zh-CN" w:bidi="ar"/>
              </w:rPr>
              <w:t>实心砖</w:t>
            </w:r>
            <w:r>
              <w:rPr>
                <w:rFonts w:hint="default" w:ascii="Times New Roman" w:hAnsi="Times New Roman" w:eastAsia="宋体" w:cs="Times New Roman"/>
                <w:color w:val="auto"/>
                <w:kern w:val="0"/>
                <w:sz w:val="24"/>
                <w:szCs w:val="24"/>
                <w:highlight w:val="none"/>
                <w:lang w:val="en-US" w:eastAsia="zh-CN" w:bidi="ar"/>
              </w:rPr>
              <w:t>+30mm</w:t>
            </w:r>
            <w:r>
              <w:rPr>
                <w:rFonts w:hint="eastAsia" w:ascii="宋体" w:hAnsi="宋体" w:eastAsia="宋体" w:cs="宋体"/>
                <w:color w:val="auto"/>
                <w:kern w:val="0"/>
                <w:sz w:val="24"/>
                <w:szCs w:val="24"/>
                <w:highlight w:val="none"/>
                <w:lang w:val="en-US" w:eastAsia="zh-CN" w:bidi="ar"/>
              </w:rPr>
              <w:t>硫酸钡防护层，顶棚和底板采用</w:t>
            </w:r>
            <w:r>
              <w:rPr>
                <w:rFonts w:hint="default" w:ascii="Times New Roman" w:hAnsi="Times New Roman" w:eastAsia="宋体" w:cs="Times New Roman"/>
                <w:color w:val="auto"/>
                <w:kern w:val="0"/>
                <w:sz w:val="24"/>
                <w:szCs w:val="24"/>
                <w:highlight w:val="none"/>
                <w:lang w:val="en-US" w:eastAsia="zh-CN" w:bidi="ar"/>
              </w:rPr>
              <w:t>150mm</w:t>
            </w:r>
            <w:r>
              <w:rPr>
                <w:rFonts w:hint="eastAsia" w:ascii="宋体" w:hAnsi="宋体" w:eastAsia="宋体" w:cs="宋体"/>
                <w:color w:val="auto"/>
                <w:kern w:val="0"/>
                <w:sz w:val="24"/>
                <w:szCs w:val="24"/>
                <w:highlight w:val="none"/>
                <w:lang w:val="en-US" w:eastAsia="zh-CN" w:bidi="ar"/>
              </w:rPr>
              <w:t>混凝土</w:t>
            </w:r>
            <w:r>
              <w:rPr>
                <w:rFonts w:hint="default" w:ascii="Times New Roman" w:hAnsi="Times New Roman" w:eastAsia="宋体" w:cs="Times New Roman"/>
                <w:color w:val="auto"/>
                <w:kern w:val="0"/>
                <w:sz w:val="24"/>
                <w:szCs w:val="24"/>
                <w:highlight w:val="none"/>
                <w:lang w:val="en-US" w:eastAsia="zh-CN" w:bidi="ar"/>
              </w:rPr>
              <w:t>+10mm</w:t>
            </w:r>
            <w:r>
              <w:rPr>
                <w:rFonts w:hint="eastAsia" w:ascii="宋体" w:hAnsi="宋体" w:eastAsia="宋体" w:cs="宋体"/>
                <w:color w:val="auto"/>
                <w:kern w:val="0"/>
                <w:sz w:val="24"/>
                <w:szCs w:val="24"/>
                <w:highlight w:val="none"/>
                <w:lang w:val="en-US" w:eastAsia="zh-CN" w:bidi="ar"/>
              </w:rPr>
              <w:t>硫酸钡防护层，防护铅门</w:t>
            </w:r>
            <w:r>
              <w:rPr>
                <w:rFonts w:hint="default" w:ascii="Times New Roman" w:hAnsi="Times New Roman" w:eastAsia="宋体" w:cs="Times New Roman"/>
                <w:color w:val="auto"/>
                <w:kern w:val="0"/>
                <w:sz w:val="24"/>
                <w:szCs w:val="24"/>
                <w:highlight w:val="none"/>
                <w:lang w:val="en-US" w:eastAsia="zh-CN" w:bidi="ar"/>
              </w:rPr>
              <w:t>3mm</w:t>
            </w:r>
            <w:r>
              <w:rPr>
                <w:rFonts w:hint="eastAsia" w:ascii="宋体" w:hAnsi="宋体" w:eastAsia="宋体" w:cs="宋体"/>
                <w:color w:val="auto"/>
                <w:kern w:val="0"/>
                <w:sz w:val="24"/>
                <w:szCs w:val="24"/>
                <w:highlight w:val="none"/>
                <w:lang w:val="en-US" w:eastAsia="zh-CN" w:bidi="ar"/>
              </w:rPr>
              <w:t>铅当量，防护铅窗</w:t>
            </w:r>
            <w:r>
              <w:rPr>
                <w:rFonts w:hint="default" w:ascii="Times New Roman" w:hAnsi="Times New Roman" w:eastAsia="宋体" w:cs="Times New Roman"/>
                <w:color w:val="auto"/>
                <w:kern w:val="0"/>
                <w:sz w:val="24"/>
                <w:szCs w:val="24"/>
                <w:highlight w:val="none"/>
                <w:lang w:val="en-US" w:eastAsia="zh-CN" w:bidi="ar"/>
              </w:rPr>
              <w:t>3mm</w:t>
            </w:r>
            <w:r>
              <w:rPr>
                <w:rFonts w:hint="eastAsia" w:ascii="宋体" w:hAnsi="宋体" w:eastAsia="宋体" w:cs="宋体"/>
                <w:color w:val="auto"/>
                <w:kern w:val="0"/>
                <w:sz w:val="24"/>
                <w:szCs w:val="24"/>
                <w:highlight w:val="none"/>
                <w:lang w:val="en-US" w:eastAsia="zh-CN" w:bidi="ar"/>
              </w:rPr>
              <w:t>铅当量。</w:t>
            </w:r>
            <w:r>
              <w:rPr>
                <w:rFonts w:hint="default" w:ascii="Times New Roman" w:hAnsi="Times New Roman" w:eastAsia="宋体" w:cs="Times New Roman"/>
                <w:color w:val="auto"/>
                <w:kern w:val="0"/>
                <w:sz w:val="24"/>
                <w:szCs w:val="24"/>
                <w:highlight w:val="none"/>
                <w:lang w:val="en-US" w:eastAsia="zh-CN" w:bidi="ar"/>
              </w:rPr>
              <w:t>DR</w:t>
            </w:r>
            <w:r>
              <w:rPr>
                <w:rFonts w:hint="eastAsia" w:ascii="宋体" w:hAnsi="宋体" w:eastAsia="宋体" w:cs="宋体"/>
                <w:color w:val="auto"/>
                <w:kern w:val="0"/>
                <w:sz w:val="24"/>
                <w:szCs w:val="24"/>
                <w:highlight w:val="none"/>
                <w:lang w:val="en-US" w:eastAsia="zh-CN" w:bidi="ar"/>
              </w:rPr>
              <w:t xml:space="preserve">机房设有独立的控制室，工作人员透过观察窗了解室内情况，在控制室内操作。设计过程中充分考虑了对周围场所的人员防护与安全，相对独立，布局合理。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 xml:space="preserve">）对环境敏感点的影响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项目</w:t>
            </w:r>
            <w:r>
              <w:rPr>
                <w:rFonts w:hint="default" w:ascii="Times New Roman" w:hAnsi="Times New Roman" w:eastAsia="宋体" w:cs="Times New Roman"/>
                <w:color w:val="auto"/>
                <w:kern w:val="0"/>
                <w:sz w:val="24"/>
                <w:szCs w:val="24"/>
                <w:highlight w:val="none"/>
                <w:lang w:val="en-US" w:eastAsia="zh-CN" w:bidi="ar"/>
              </w:rPr>
              <w:t>DR</w:t>
            </w:r>
            <w:r>
              <w:rPr>
                <w:rFonts w:hint="eastAsia" w:ascii="宋体" w:hAnsi="宋体" w:eastAsia="宋体" w:cs="宋体"/>
                <w:color w:val="auto"/>
                <w:kern w:val="0"/>
                <w:sz w:val="24"/>
                <w:szCs w:val="24"/>
                <w:highlight w:val="none"/>
                <w:lang w:val="en-US" w:eastAsia="zh-CN" w:bidi="ar"/>
              </w:rPr>
              <w:t>机房严格按照《医用</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射线诊断放射防护要求》（</w:t>
            </w:r>
            <w:r>
              <w:rPr>
                <w:rFonts w:hint="default" w:ascii="Times New Roman" w:hAnsi="Times New Roman" w:eastAsia="宋体" w:cs="Times New Roman"/>
                <w:color w:val="auto"/>
                <w:kern w:val="0"/>
                <w:sz w:val="24"/>
                <w:szCs w:val="24"/>
                <w:highlight w:val="none"/>
                <w:lang w:val="en-US" w:eastAsia="zh-CN" w:bidi="ar"/>
              </w:rPr>
              <w:t>GBZ130</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2013</w:t>
            </w:r>
            <w:r>
              <w:rPr>
                <w:rFonts w:hint="eastAsia" w:ascii="宋体" w:hAnsi="宋体" w:eastAsia="宋体" w:cs="宋体"/>
                <w:color w:val="auto"/>
                <w:kern w:val="0"/>
                <w:sz w:val="24"/>
                <w:szCs w:val="24"/>
                <w:highlight w:val="none"/>
                <w:lang w:val="en-US" w:eastAsia="zh-CN" w:bidi="ar"/>
              </w:rPr>
              <w:t>）的规定和要求建设完成后，在运行过程中，机房屏蔽体外</w:t>
            </w:r>
            <w:r>
              <w:rPr>
                <w:rFonts w:hint="default" w:ascii="Times New Roman" w:hAnsi="Times New Roman" w:eastAsia="宋体" w:cs="Times New Roman"/>
                <w:color w:val="auto"/>
                <w:kern w:val="0"/>
                <w:sz w:val="24"/>
                <w:szCs w:val="24"/>
                <w:highlight w:val="none"/>
                <w:lang w:val="en-US" w:eastAsia="zh-CN" w:bidi="ar"/>
              </w:rPr>
              <w:t>0.3</w:t>
            </w:r>
            <w:r>
              <w:rPr>
                <w:rFonts w:hint="eastAsia" w:ascii="宋体" w:hAnsi="宋体" w:eastAsia="宋体" w:cs="宋体"/>
                <w:color w:val="auto"/>
                <w:kern w:val="0"/>
                <w:sz w:val="24"/>
                <w:szCs w:val="24"/>
                <w:highlight w:val="none"/>
                <w:lang w:val="en-US" w:eastAsia="zh-CN" w:bidi="ar"/>
              </w:rPr>
              <w:t>米和楼上距地面</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米处的瞬时剂量率可满足国家相关标准及地方环保审管部门的要求，故</w:t>
            </w:r>
            <w:r>
              <w:rPr>
                <w:rFonts w:hint="default" w:ascii="Times New Roman" w:hAnsi="Times New Roman" w:eastAsia="宋体" w:cs="Times New Roman"/>
                <w:color w:val="auto"/>
                <w:kern w:val="0"/>
                <w:sz w:val="24"/>
                <w:szCs w:val="24"/>
                <w:highlight w:val="none"/>
                <w:lang w:val="en-US" w:eastAsia="zh-CN" w:bidi="ar"/>
              </w:rPr>
              <w:t>DR</w:t>
            </w:r>
            <w:r>
              <w:rPr>
                <w:rFonts w:hint="eastAsia" w:ascii="宋体" w:hAnsi="宋体" w:eastAsia="宋体" w:cs="宋体"/>
                <w:color w:val="auto"/>
                <w:kern w:val="0"/>
                <w:sz w:val="24"/>
                <w:szCs w:val="24"/>
                <w:highlight w:val="none"/>
                <w:lang w:val="en-US" w:eastAsia="zh-CN" w:bidi="ar"/>
              </w:rPr>
              <w:t xml:space="preserve">机对距机房距离更远的各环境敏感点的辐射影响也满足相应标准和要求。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项目严格按照《医用</w:t>
            </w:r>
            <w:r>
              <w:rPr>
                <w:rFonts w:hint="default" w:ascii="Times New Roman" w:hAnsi="Times New Roman" w:eastAsia="宋体" w:cs="Times New Roman"/>
                <w:color w:val="auto"/>
                <w:kern w:val="0"/>
                <w:sz w:val="24"/>
                <w:szCs w:val="24"/>
                <w:highlight w:val="none"/>
                <w:lang w:val="en-US" w:eastAsia="zh-CN" w:bidi="ar"/>
              </w:rPr>
              <w:t>X</w:t>
            </w:r>
            <w:r>
              <w:rPr>
                <w:rFonts w:hint="eastAsia" w:ascii="宋体" w:hAnsi="宋体" w:eastAsia="宋体" w:cs="宋体"/>
                <w:color w:val="auto"/>
                <w:kern w:val="0"/>
                <w:sz w:val="24"/>
                <w:szCs w:val="24"/>
                <w:highlight w:val="none"/>
                <w:lang w:val="en-US" w:eastAsia="zh-CN" w:bidi="ar"/>
              </w:rPr>
              <w:t>射线诊断放射防护要求》（</w:t>
            </w:r>
            <w:r>
              <w:rPr>
                <w:rFonts w:hint="default" w:ascii="Times New Roman" w:hAnsi="Times New Roman" w:eastAsia="宋体" w:cs="Times New Roman"/>
                <w:color w:val="auto"/>
                <w:kern w:val="0"/>
                <w:sz w:val="24"/>
                <w:szCs w:val="24"/>
                <w:highlight w:val="none"/>
                <w:lang w:val="en-US" w:eastAsia="zh-CN" w:bidi="ar"/>
              </w:rPr>
              <w:t>GBZ130</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2013</w:t>
            </w:r>
            <w:r>
              <w:rPr>
                <w:rFonts w:hint="eastAsia" w:ascii="宋体" w:hAnsi="宋体" w:eastAsia="宋体" w:cs="宋体"/>
                <w:color w:val="auto"/>
                <w:kern w:val="0"/>
                <w:sz w:val="24"/>
                <w:szCs w:val="24"/>
                <w:highlight w:val="none"/>
                <w:lang w:val="en-US" w:eastAsia="zh-CN" w:bidi="ar"/>
              </w:rPr>
              <w:t xml:space="preserve">）的规定 </w:t>
            </w:r>
          </w:p>
          <w:p>
            <w:pPr>
              <w:keepNext w:val="0"/>
              <w:keepLines w:val="0"/>
              <w:widowControl/>
              <w:suppressLineNumbers w:val="0"/>
              <w:ind w:left="0" w:leftChars="0" w:firstLine="0" w:firstLineChars="0"/>
              <w:jc w:val="left"/>
              <w:rPr>
                <w:rFonts w:hint="eastAsia" w:ascii="Times New Roman" w:hAnsi="Times New Roman" w:eastAsia="宋体" w:cs="Times New Roman"/>
                <w:b/>
                <w:bCs w:val="0"/>
                <w:color w:val="auto"/>
                <w:kern w:val="0"/>
                <w:sz w:val="21"/>
                <w:szCs w:val="21"/>
                <w:highlight w:val="none"/>
                <w:lang w:val="en-US" w:eastAsia="zh-CN"/>
              </w:rPr>
            </w:pPr>
            <w:r>
              <w:rPr>
                <w:rFonts w:hint="eastAsia" w:ascii="宋体" w:hAnsi="宋体" w:eastAsia="宋体" w:cs="宋体"/>
                <w:color w:val="auto"/>
                <w:kern w:val="0"/>
                <w:sz w:val="24"/>
                <w:szCs w:val="24"/>
                <w:highlight w:val="none"/>
                <w:lang w:val="en-US" w:eastAsia="zh-CN" w:bidi="ar"/>
              </w:rPr>
              <w:t>和要求建设完成后，</w:t>
            </w:r>
            <w:r>
              <w:rPr>
                <w:rFonts w:hint="default" w:ascii="Times New Roman" w:hAnsi="Times New Roman" w:eastAsia="宋体" w:cs="Times New Roman"/>
                <w:color w:val="auto"/>
                <w:kern w:val="0"/>
                <w:sz w:val="24"/>
                <w:szCs w:val="24"/>
                <w:highlight w:val="none"/>
                <w:lang w:val="en-US" w:eastAsia="zh-CN" w:bidi="ar"/>
              </w:rPr>
              <w:t>DR</w:t>
            </w:r>
            <w:r>
              <w:rPr>
                <w:rFonts w:hint="eastAsia" w:ascii="宋体" w:hAnsi="宋体" w:eastAsia="宋体" w:cs="宋体"/>
                <w:color w:val="auto"/>
                <w:kern w:val="0"/>
                <w:sz w:val="24"/>
                <w:szCs w:val="24"/>
                <w:highlight w:val="none"/>
                <w:lang w:val="en-US" w:eastAsia="zh-CN" w:bidi="ar"/>
              </w:rPr>
              <w:t>机对各环境敏感点的辐射影响将满足相应标准和要求。</w:t>
            </w:r>
          </w:p>
          <w:p>
            <w:pPr>
              <w:pStyle w:val="28"/>
              <w:rPr>
                <w:rFonts w:hint="eastAsia" w:ascii="Times New Roman" w:hAnsi="Times New Roman" w:eastAsia="宋体" w:cs="Times New Roman"/>
                <w:b/>
                <w:bCs w:val="0"/>
                <w:color w:val="auto"/>
                <w:kern w:val="0"/>
                <w:sz w:val="21"/>
                <w:szCs w:val="21"/>
                <w:highlight w:val="none"/>
                <w:lang w:val="en-US" w:eastAsia="zh-CN"/>
              </w:rPr>
            </w:pPr>
          </w:p>
          <w:p>
            <w:pPr>
              <w:widowControl/>
              <w:spacing w:line="360" w:lineRule="auto"/>
              <w:ind w:left="0" w:leftChars="0" w:firstLine="0" w:firstLineChars="0"/>
              <w:jc w:val="both"/>
              <w:rPr>
                <w:color w:val="auto"/>
                <w:highlight w:val="none"/>
              </w:rPr>
            </w:pPr>
          </w:p>
        </w:tc>
      </w:tr>
    </w:tbl>
    <w:p>
      <w:pPr>
        <w:pStyle w:val="24"/>
        <w:ind w:left="0" w:leftChars="0" w:firstLine="0" w:firstLineChars="0"/>
        <w:jc w:val="both"/>
        <w:outlineLvl w:val="0"/>
        <w:rPr>
          <w:rFonts w:ascii="Times New Roman" w:hAnsi="Times New Roman" w:eastAsia="黑体"/>
          <w:snapToGrid w:val="0"/>
          <w:color w:val="auto"/>
          <w:sz w:val="30"/>
          <w:szCs w:val="30"/>
          <w:highlight w:val="none"/>
        </w:rPr>
        <w:sectPr>
          <w:pgSz w:w="11906" w:h="16838"/>
          <w:pgMar w:top="1701" w:right="1531" w:bottom="1701" w:left="1531"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9"/>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3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6" w:hRule="atLeast"/>
        </w:trPr>
        <w:tc>
          <w:tcPr>
            <w:tcW w:w="392" w:type="dxa"/>
            <w:noWrap w:val="0"/>
            <w:vAlign w:val="top"/>
          </w:tcPr>
          <w:p>
            <w:pPr>
              <w:pStyle w:val="24"/>
              <w:spacing w:before="0" w:beforeAutospacing="0" w:after="0" w:afterAutospacing="0" w:line="360" w:lineRule="auto"/>
              <w:outlineLvl w:val="0"/>
              <w:rPr>
                <w:rFonts w:ascii="Times New Roman" w:hAnsi="Times New Roman"/>
                <w:snapToGrid w:val="0"/>
                <w:color w:val="auto"/>
                <w:szCs w:val="24"/>
                <w:highlight w:val="none"/>
                <w:lang w:val="en-US" w:eastAsia="zh-CN"/>
              </w:rPr>
            </w:pPr>
          </w:p>
        </w:tc>
        <w:tc>
          <w:tcPr>
            <w:tcW w:w="13782" w:type="dxa"/>
            <w:noWrap w:val="0"/>
            <w:vAlign w:val="top"/>
          </w:tcPr>
          <w:p>
            <w:pPr>
              <w:keepNext w:val="0"/>
              <w:keepLines w:val="0"/>
              <w:widowControl/>
              <w:suppressLineNumbers w:val="0"/>
              <w:jc w:val="center"/>
              <w:rPr>
                <w:color w:val="auto"/>
                <w:highlight w:val="none"/>
              </w:rPr>
            </w:pPr>
            <w:r>
              <w:rPr>
                <w:rFonts w:hint="default"/>
                <w:b/>
                <w:bCs/>
                <w:color w:val="auto"/>
                <w:highlight w:val="none"/>
                <w:lang w:val="en-US" w:eastAsia="zh-CN"/>
              </w:rPr>
              <w:t>表4</w:t>
            </w:r>
            <w:r>
              <w:rPr>
                <w:rFonts w:hint="eastAsia"/>
                <w:b/>
                <w:bCs/>
                <w:color w:val="auto"/>
                <w:highlight w:val="none"/>
                <w:lang w:val="en-US" w:eastAsia="zh-CN"/>
              </w:rPr>
              <w:t>.25</w:t>
            </w:r>
            <w:r>
              <w:rPr>
                <w:rFonts w:hint="default"/>
                <w:b/>
                <w:bCs/>
                <w:color w:val="auto"/>
                <w:highlight w:val="none"/>
                <w:lang w:val="en-US" w:eastAsia="zh-CN"/>
              </w:rPr>
              <w:t xml:space="preserve">  </w:t>
            </w:r>
            <w:r>
              <w:rPr>
                <w:rFonts w:hint="eastAsia" w:ascii="宋体" w:hAnsi="宋体" w:eastAsia="宋体" w:cs="宋体"/>
                <w:b/>
                <w:bCs/>
                <w:color w:val="auto"/>
                <w:kern w:val="0"/>
                <w:sz w:val="24"/>
                <w:szCs w:val="24"/>
                <w:highlight w:val="none"/>
                <w:lang w:val="en-US" w:eastAsia="zh-CN" w:bidi="ar"/>
              </w:rPr>
              <w:t>固体废物产排情况一览表</w:t>
            </w:r>
          </w:p>
          <w:tbl>
            <w:tblPr>
              <w:tblStyle w:val="29"/>
              <w:tblW w:w="124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1236"/>
              <w:gridCol w:w="1478"/>
              <w:gridCol w:w="1270"/>
              <w:gridCol w:w="1460"/>
              <w:gridCol w:w="977"/>
              <w:gridCol w:w="1582"/>
              <w:gridCol w:w="1688"/>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1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工序</w:t>
                  </w:r>
                </w:p>
              </w:tc>
              <w:tc>
                <w:tcPr>
                  <w:tcW w:w="123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产生源</w:t>
                  </w:r>
                </w:p>
              </w:tc>
              <w:tc>
                <w:tcPr>
                  <w:tcW w:w="147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固体废物名称</w:t>
                  </w:r>
                </w:p>
              </w:tc>
              <w:tc>
                <w:tcPr>
                  <w:tcW w:w="127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固废属性</w:t>
                  </w:r>
                </w:p>
              </w:tc>
              <w:tc>
                <w:tcPr>
                  <w:tcW w:w="2437"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产生量</w:t>
                  </w:r>
                </w:p>
              </w:tc>
              <w:tc>
                <w:tcPr>
                  <w:tcW w:w="3270"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处置措施</w:t>
                  </w:r>
                </w:p>
              </w:tc>
              <w:tc>
                <w:tcPr>
                  <w:tcW w:w="186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1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123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147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127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14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核算方法</w:t>
                  </w:r>
                </w:p>
              </w:tc>
              <w:tc>
                <w:tcPr>
                  <w:tcW w:w="97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产生量（t/a）</w:t>
                  </w:r>
                </w:p>
              </w:tc>
              <w:tc>
                <w:tcPr>
                  <w:tcW w:w="158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工艺</w:t>
                  </w:r>
                </w:p>
              </w:tc>
              <w:tc>
                <w:tcPr>
                  <w:tcW w:w="16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处置量（t/a）</w:t>
                  </w:r>
                </w:p>
              </w:tc>
              <w:tc>
                <w:tcPr>
                  <w:tcW w:w="186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91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运营期</w:t>
                  </w:r>
                </w:p>
              </w:tc>
              <w:tc>
                <w:tcPr>
                  <w:tcW w:w="123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医院</w:t>
                  </w:r>
                </w:p>
              </w:tc>
              <w:tc>
                <w:tcPr>
                  <w:tcW w:w="147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废包装材料</w:t>
                  </w:r>
                </w:p>
              </w:tc>
              <w:tc>
                <w:tcPr>
                  <w:tcW w:w="127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一般固废</w:t>
                  </w:r>
                </w:p>
              </w:tc>
              <w:tc>
                <w:tcPr>
                  <w:tcW w:w="146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物料衡算法</w:t>
                  </w:r>
                </w:p>
              </w:tc>
              <w:tc>
                <w:tcPr>
                  <w:tcW w:w="97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158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存储</w:t>
                  </w:r>
                </w:p>
              </w:tc>
              <w:tc>
                <w:tcPr>
                  <w:tcW w:w="168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1863" w:type="dxa"/>
                  <w:vMerge w:val="restart"/>
                  <w:tcBorders>
                    <w:tl2br w:val="nil"/>
                    <w:tr2bl w:val="nil"/>
                  </w:tcBorders>
                  <w:noWrap w:val="0"/>
                  <w:vAlign w:val="center"/>
                </w:tcPr>
                <w:p>
                  <w:pPr>
                    <w:keepNext w:val="0"/>
                    <w:keepLines w:val="0"/>
                    <w:widowControl/>
                    <w:suppressLineNumbers w:val="0"/>
                    <w:ind w:left="0" w:leftChars="0" w:firstLine="0" w:firstLineChars="0"/>
                    <w:jc w:val="center"/>
                    <w:rPr>
                      <w:rFonts w:hint="eastAsia" w:cs="Times New Roman"/>
                      <w:color w:val="auto"/>
                      <w:sz w:val="21"/>
                      <w:szCs w:val="21"/>
                      <w:highlight w:val="none"/>
                      <w:lang w:val="en-US" w:eastAsia="zh-CN"/>
                    </w:rPr>
                  </w:pPr>
                  <w:r>
                    <w:rPr>
                      <w:rFonts w:hint="eastAsia" w:ascii="宋体" w:hAnsi="宋体" w:eastAsia="宋体" w:cs="宋体"/>
                      <w:color w:val="auto"/>
                      <w:kern w:val="0"/>
                      <w:sz w:val="20"/>
                      <w:szCs w:val="20"/>
                      <w:highlight w:val="none"/>
                      <w:lang w:val="en-US" w:eastAsia="zh-CN" w:bidi="ar"/>
                    </w:rPr>
                    <w:t>交由当地环卫部门统一收集处理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91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煎药</w:t>
                  </w:r>
                </w:p>
              </w:tc>
              <w:tc>
                <w:tcPr>
                  <w:tcW w:w="123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常温组合煎药机</w:t>
                  </w:r>
                </w:p>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147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废中药渣</w:t>
                  </w:r>
                </w:p>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127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default" w:cs="Times New Roman"/>
                      <w:color w:val="auto"/>
                      <w:sz w:val="21"/>
                      <w:szCs w:val="21"/>
                      <w:highlight w:val="none"/>
                      <w:lang w:val="en-US" w:eastAsia="zh-CN"/>
                    </w:rPr>
                  </w:pPr>
                </w:p>
              </w:tc>
              <w:tc>
                <w:tcPr>
                  <w:tcW w:w="146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default" w:cs="Times New Roman"/>
                      <w:color w:val="auto"/>
                      <w:sz w:val="21"/>
                      <w:szCs w:val="21"/>
                      <w:highlight w:val="none"/>
                      <w:lang w:val="en-US" w:eastAsia="zh-CN"/>
                    </w:rPr>
                  </w:pPr>
                </w:p>
              </w:tc>
              <w:tc>
                <w:tcPr>
                  <w:tcW w:w="97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158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168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186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default"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91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运营期</w:t>
                  </w:r>
                </w:p>
              </w:tc>
              <w:tc>
                <w:tcPr>
                  <w:tcW w:w="123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纯水制备</w:t>
                  </w:r>
                </w:p>
              </w:tc>
              <w:tc>
                <w:tcPr>
                  <w:tcW w:w="147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废树脂</w:t>
                  </w:r>
                </w:p>
              </w:tc>
              <w:tc>
                <w:tcPr>
                  <w:tcW w:w="127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default" w:cs="Times New Roman"/>
                      <w:color w:val="auto"/>
                      <w:sz w:val="21"/>
                      <w:szCs w:val="21"/>
                      <w:highlight w:val="none"/>
                      <w:lang w:val="en-US" w:eastAsia="zh-CN"/>
                    </w:rPr>
                  </w:pPr>
                </w:p>
              </w:tc>
              <w:tc>
                <w:tcPr>
                  <w:tcW w:w="146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default" w:cs="Times New Roman"/>
                      <w:color w:val="auto"/>
                      <w:sz w:val="21"/>
                      <w:szCs w:val="21"/>
                      <w:highlight w:val="none"/>
                      <w:lang w:val="en-US" w:eastAsia="zh-CN"/>
                    </w:rPr>
                  </w:pPr>
                </w:p>
              </w:tc>
              <w:tc>
                <w:tcPr>
                  <w:tcW w:w="97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0.10</w:t>
                  </w:r>
                </w:p>
              </w:tc>
              <w:tc>
                <w:tcPr>
                  <w:tcW w:w="158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default" w:cs="Times New Roman"/>
                      <w:color w:val="auto"/>
                      <w:sz w:val="21"/>
                      <w:szCs w:val="21"/>
                      <w:highlight w:val="none"/>
                      <w:lang w:val="en-US" w:eastAsia="zh-CN"/>
                    </w:rPr>
                  </w:pPr>
                </w:p>
              </w:tc>
              <w:tc>
                <w:tcPr>
                  <w:tcW w:w="168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0.10</w:t>
                  </w:r>
                </w:p>
              </w:tc>
              <w:tc>
                <w:tcPr>
                  <w:tcW w:w="186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8" w:hRule="atLeast"/>
                <w:jc w:val="center"/>
              </w:trPr>
              <w:tc>
                <w:tcPr>
                  <w:tcW w:w="6362" w:type="dxa"/>
                  <w:gridSpan w:val="5"/>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小计</w:t>
                  </w:r>
                </w:p>
              </w:tc>
              <w:tc>
                <w:tcPr>
                  <w:tcW w:w="97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4.60</w:t>
                  </w:r>
                </w:p>
              </w:tc>
              <w:tc>
                <w:tcPr>
                  <w:tcW w:w="158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68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4.60</w:t>
                  </w:r>
                </w:p>
              </w:tc>
              <w:tc>
                <w:tcPr>
                  <w:tcW w:w="186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91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运营期</w:t>
                  </w:r>
                </w:p>
              </w:tc>
              <w:tc>
                <w:tcPr>
                  <w:tcW w:w="12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医院</w:t>
                  </w:r>
                </w:p>
              </w:tc>
              <w:tc>
                <w:tcPr>
                  <w:tcW w:w="1478" w:type="dxa"/>
                  <w:tcBorders>
                    <w:tl2br w:val="nil"/>
                    <w:tr2bl w:val="nil"/>
                  </w:tcBorders>
                  <w:noWrap w:val="0"/>
                  <w:vAlign w:val="center"/>
                </w:tcPr>
                <w:p>
                  <w:pPr>
                    <w:keepNext w:val="0"/>
                    <w:keepLines w:val="0"/>
                    <w:widowControl/>
                    <w:suppressLineNumbers w:val="0"/>
                    <w:ind w:left="0" w:leftChars="0" w:firstLine="210" w:firstLineChars="10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医疗废物</w:t>
                  </w:r>
                </w:p>
              </w:tc>
              <w:tc>
                <w:tcPr>
                  <w:tcW w:w="127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危险废物</w:t>
                  </w:r>
                </w:p>
              </w:tc>
              <w:tc>
                <w:tcPr>
                  <w:tcW w:w="146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物料衡算法</w:t>
                  </w:r>
                </w:p>
              </w:tc>
              <w:tc>
                <w:tcPr>
                  <w:tcW w:w="97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11.4245</w:t>
                  </w:r>
                </w:p>
              </w:tc>
              <w:tc>
                <w:tcPr>
                  <w:tcW w:w="158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存储</w:t>
                  </w:r>
                </w:p>
              </w:tc>
              <w:tc>
                <w:tcPr>
                  <w:tcW w:w="16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11.4245</w:t>
                  </w:r>
                </w:p>
              </w:tc>
              <w:tc>
                <w:tcPr>
                  <w:tcW w:w="1863" w:type="dxa"/>
                  <w:vMerge w:val="restart"/>
                  <w:tcBorders>
                    <w:tl2br w:val="nil"/>
                    <w:tr2bl w:val="nil"/>
                  </w:tcBorders>
                  <w:noWrap w:val="0"/>
                  <w:vAlign w:val="center"/>
                </w:tcPr>
                <w:p>
                  <w:pPr>
                    <w:keepNext w:val="0"/>
                    <w:keepLines w:val="0"/>
                    <w:widowControl/>
                    <w:suppressLineNumbers w:val="0"/>
                    <w:ind w:left="0" w:leftChars="0" w:firstLine="0" w:firstLineChars="0"/>
                    <w:jc w:val="left"/>
                    <w:rPr>
                      <w:color w:val="auto"/>
                      <w:highlight w:val="none"/>
                    </w:rPr>
                  </w:pPr>
                  <w:r>
                    <w:rPr>
                      <w:rFonts w:hint="eastAsia" w:ascii="宋体" w:hAnsi="宋体" w:eastAsia="宋体" w:cs="宋体"/>
                      <w:color w:val="auto"/>
                      <w:kern w:val="0"/>
                      <w:sz w:val="20"/>
                      <w:szCs w:val="20"/>
                      <w:highlight w:val="none"/>
                      <w:lang w:val="en-US" w:eastAsia="zh-CN" w:bidi="ar"/>
                    </w:rPr>
                    <w:t>交有资质单位处理</w:t>
                  </w:r>
                </w:p>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9" w:hRule="atLeast"/>
                <w:jc w:val="center"/>
              </w:trPr>
              <w:tc>
                <w:tcPr>
                  <w:tcW w:w="91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12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废水处理设施</w:t>
                  </w:r>
                </w:p>
              </w:tc>
              <w:tc>
                <w:tcPr>
                  <w:tcW w:w="1478" w:type="dxa"/>
                  <w:tcBorders>
                    <w:tl2br w:val="nil"/>
                    <w:tr2bl w:val="nil"/>
                  </w:tcBorders>
                  <w:noWrap w:val="0"/>
                  <w:vAlign w:val="center"/>
                </w:tcPr>
                <w:p>
                  <w:pPr>
                    <w:keepNext w:val="0"/>
                    <w:keepLines w:val="0"/>
                    <w:widowControl/>
                    <w:suppressLineNumbers w:val="0"/>
                    <w:ind w:left="0" w:leftChars="0" w:firstLine="210" w:firstLineChars="10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废活性炭</w:t>
                  </w:r>
                </w:p>
              </w:tc>
              <w:tc>
                <w:tcPr>
                  <w:tcW w:w="127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146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97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158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16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w:t>
                  </w:r>
                </w:p>
              </w:tc>
              <w:tc>
                <w:tcPr>
                  <w:tcW w:w="186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91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12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医疗废物暂存间</w:t>
                  </w:r>
                </w:p>
              </w:tc>
              <w:tc>
                <w:tcPr>
                  <w:tcW w:w="1478" w:type="dxa"/>
                  <w:tcBorders>
                    <w:tl2br w:val="nil"/>
                    <w:tr2bl w:val="nil"/>
                  </w:tcBorders>
                  <w:noWrap w:val="0"/>
                  <w:vAlign w:val="center"/>
                </w:tcPr>
                <w:p>
                  <w:pPr>
                    <w:keepNext w:val="0"/>
                    <w:keepLines w:val="0"/>
                    <w:widowControl/>
                    <w:suppressLineNumbers w:val="0"/>
                    <w:ind w:left="0" w:leftChars="0" w:firstLine="210" w:firstLineChars="10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废UV灯管</w:t>
                  </w:r>
                </w:p>
              </w:tc>
              <w:tc>
                <w:tcPr>
                  <w:tcW w:w="127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146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97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158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16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0.01</w:t>
                  </w:r>
                </w:p>
              </w:tc>
              <w:tc>
                <w:tcPr>
                  <w:tcW w:w="186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91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12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废水处理设施</w:t>
                  </w:r>
                </w:p>
              </w:tc>
              <w:tc>
                <w:tcPr>
                  <w:tcW w:w="1478" w:type="dxa"/>
                  <w:tcBorders>
                    <w:tl2br w:val="nil"/>
                    <w:tr2bl w:val="nil"/>
                  </w:tcBorders>
                  <w:noWrap w:val="0"/>
                  <w:vAlign w:val="center"/>
                </w:tcPr>
                <w:p>
                  <w:pPr>
                    <w:keepNext w:val="0"/>
                    <w:keepLines w:val="0"/>
                    <w:widowControl/>
                    <w:suppressLineNumbers w:val="0"/>
                    <w:ind w:left="0" w:leftChars="0"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废水处理设施污泥</w:t>
                  </w:r>
                </w:p>
              </w:tc>
              <w:tc>
                <w:tcPr>
                  <w:tcW w:w="127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146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97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4.763</w:t>
                  </w:r>
                </w:p>
              </w:tc>
              <w:tc>
                <w:tcPr>
                  <w:tcW w:w="158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16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4.763</w:t>
                  </w:r>
                </w:p>
              </w:tc>
              <w:tc>
                <w:tcPr>
                  <w:tcW w:w="186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91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12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检验室</w:t>
                  </w:r>
                </w:p>
              </w:tc>
              <w:tc>
                <w:tcPr>
                  <w:tcW w:w="147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检验废液</w:t>
                  </w:r>
                </w:p>
              </w:tc>
              <w:tc>
                <w:tcPr>
                  <w:tcW w:w="127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146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c>
                <w:tcPr>
                  <w:tcW w:w="97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158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p>
              </w:tc>
              <w:tc>
                <w:tcPr>
                  <w:tcW w:w="16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15</w:t>
                  </w:r>
                </w:p>
              </w:tc>
              <w:tc>
                <w:tcPr>
                  <w:tcW w:w="186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362" w:type="dxa"/>
                  <w:gridSpan w:val="5"/>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小计</w:t>
                  </w:r>
                </w:p>
              </w:tc>
              <w:tc>
                <w:tcPr>
                  <w:tcW w:w="97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31.2975</w:t>
                  </w:r>
                </w:p>
              </w:tc>
              <w:tc>
                <w:tcPr>
                  <w:tcW w:w="158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6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31.2975</w:t>
                  </w:r>
                </w:p>
              </w:tc>
              <w:tc>
                <w:tcPr>
                  <w:tcW w:w="186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eastAsia"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91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运营期</w:t>
                  </w:r>
                </w:p>
              </w:tc>
              <w:tc>
                <w:tcPr>
                  <w:tcW w:w="12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职工及患者</w:t>
                  </w:r>
                </w:p>
              </w:tc>
              <w:tc>
                <w:tcPr>
                  <w:tcW w:w="147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生活垃圾</w:t>
                  </w:r>
                </w:p>
              </w:tc>
              <w:tc>
                <w:tcPr>
                  <w:tcW w:w="127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4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物料衡算法</w:t>
                  </w:r>
                </w:p>
              </w:tc>
              <w:tc>
                <w:tcPr>
                  <w:tcW w:w="97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31.9375</w:t>
                  </w:r>
                </w:p>
              </w:tc>
              <w:tc>
                <w:tcPr>
                  <w:tcW w:w="158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6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31.9375</w:t>
                  </w:r>
                </w:p>
              </w:tc>
              <w:tc>
                <w:tcPr>
                  <w:tcW w:w="1863" w:type="dxa"/>
                  <w:tcBorders>
                    <w:tl2br w:val="nil"/>
                    <w:tr2bl w:val="nil"/>
                  </w:tcBorders>
                  <w:noWrap w:val="0"/>
                  <w:vAlign w:val="center"/>
                </w:tcPr>
                <w:p>
                  <w:pPr>
                    <w:keepNext w:val="0"/>
                    <w:keepLines w:val="0"/>
                    <w:widowControl/>
                    <w:suppressLineNumbers w:val="0"/>
                    <w:ind w:left="0" w:leftChars="0" w:firstLine="0" w:firstLineChars="0"/>
                    <w:jc w:val="left"/>
                    <w:rPr>
                      <w:color w:val="auto"/>
                      <w:highlight w:val="none"/>
                    </w:rPr>
                  </w:pPr>
                  <w:r>
                    <w:rPr>
                      <w:rFonts w:hint="eastAsia" w:ascii="宋体" w:hAnsi="宋体" w:eastAsia="宋体" w:cs="宋体"/>
                      <w:color w:val="auto"/>
                      <w:kern w:val="0"/>
                      <w:sz w:val="20"/>
                      <w:szCs w:val="20"/>
                      <w:highlight w:val="none"/>
                      <w:lang w:val="en-US" w:eastAsia="zh-CN" w:bidi="ar"/>
                    </w:rPr>
                    <w:t xml:space="preserve">交由当地环卫部 </w:t>
                  </w:r>
                </w:p>
                <w:p>
                  <w:pPr>
                    <w:keepNext w:val="0"/>
                    <w:keepLines w:val="0"/>
                    <w:widowControl/>
                    <w:suppressLineNumbers w:val="0"/>
                    <w:ind w:left="0" w:leftChars="0" w:firstLine="0" w:firstLineChars="0"/>
                    <w:jc w:val="left"/>
                    <w:rPr>
                      <w:rFonts w:hint="eastAsia" w:cs="Times New Roman"/>
                      <w:color w:val="auto"/>
                      <w:sz w:val="21"/>
                      <w:szCs w:val="21"/>
                      <w:highlight w:val="none"/>
                      <w:lang w:val="en-US" w:eastAsia="zh-CN"/>
                    </w:rPr>
                  </w:pPr>
                  <w:r>
                    <w:rPr>
                      <w:rFonts w:hint="eastAsia" w:ascii="宋体" w:hAnsi="宋体" w:eastAsia="宋体" w:cs="宋体"/>
                      <w:color w:val="auto"/>
                      <w:kern w:val="0"/>
                      <w:sz w:val="20"/>
                      <w:szCs w:val="20"/>
                      <w:highlight w:val="none"/>
                      <w:lang w:val="en-US" w:eastAsia="zh-CN" w:bidi="ar"/>
                    </w:rPr>
                    <w:t>门统一收集处理</w:t>
                  </w:r>
                </w:p>
              </w:tc>
            </w:tr>
          </w:tbl>
          <w:p>
            <w:pPr>
              <w:keepNext w:val="0"/>
              <w:keepLines w:val="0"/>
              <w:widowControl/>
              <w:suppressLineNumbers w:val="0"/>
              <w:jc w:val="center"/>
              <w:rPr>
                <w:color w:val="auto"/>
                <w:highlight w:val="none"/>
              </w:rPr>
            </w:pPr>
            <w:r>
              <w:rPr>
                <w:rFonts w:hint="default"/>
                <w:b/>
                <w:bCs/>
                <w:color w:val="auto"/>
                <w:highlight w:val="none"/>
                <w:lang w:val="en-US" w:eastAsia="zh-CN"/>
              </w:rPr>
              <w:t>表4</w:t>
            </w:r>
            <w:r>
              <w:rPr>
                <w:rFonts w:hint="eastAsia"/>
                <w:b/>
                <w:bCs/>
                <w:color w:val="auto"/>
                <w:highlight w:val="none"/>
                <w:lang w:val="en-US" w:eastAsia="zh-CN"/>
              </w:rPr>
              <w:t>.26</w:t>
            </w:r>
            <w:r>
              <w:rPr>
                <w:rFonts w:hint="default"/>
                <w:b/>
                <w:bCs/>
                <w:color w:val="auto"/>
                <w:highlight w:val="none"/>
                <w:lang w:val="en-US" w:eastAsia="zh-CN"/>
              </w:rPr>
              <w:t xml:space="preserve">  </w:t>
            </w:r>
            <w:r>
              <w:rPr>
                <w:rFonts w:hint="eastAsia"/>
                <w:b/>
                <w:bCs/>
                <w:color w:val="auto"/>
                <w:highlight w:val="none"/>
                <w:lang w:val="en-US" w:eastAsia="zh-CN"/>
              </w:rPr>
              <w:t>危险废物汇总</w:t>
            </w:r>
            <w:r>
              <w:rPr>
                <w:rFonts w:hint="eastAsia" w:ascii="宋体" w:hAnsi="宋体" w:eastAsia="宋体" w:cs="宋体"/>
                <w:b/>
                <w:bCs/>
                <w:color w:val="auto"/>
                <w:kern w:val="0"/>
                <w:sz w:val="24"/>
                <w:szCs w:val="24"/>
                <w:highlight w:val="none"/>
                <w:lang w:val="en-US" w:eastAsia="zh-CN" w:bidi="ar"/>
              </w:rPr>
              <w:t>表</w:t>
            </w:r>
          </w:p>
          <w:tbl>
            <w:tblPr>
              <w:tblStyle w:val="30"/>
              <w:tblW w:w="135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268"/>
              <w:gridCol w:w="862"/>
              <w:gridCol w:w="1609"/>
              <w:gridCol w:w="1130"/>
              <w:gridCol w:w="1130"/>
              <w:gridCol w:w="1131"/>
              <w:gridCol w:w="1131"/>
              <w:gridCol w:w="1131"/>
              <w:gridCol w:w="1131"/>
              <w:gridCol w:w="1131"/>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781" w:type="dxa"/>
                </w:tcPr>
                <w:p>
                  <w:pPr>
                    <w:keepNext w:val="0"/>
                    <w:keepLines w:val="0"/>
                    <w:widowControl/>
                    <w:suppressLineNumbers w:val="0"/>
                    <w:ind w:left="0" w:leftChars="0" w:firstLine="0" w:firstLineChars="0"/>
                    <w:jc w:val="center"/>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序号</w:t>
                  </w:r>
                </w:p>
              </w:tc>
              <w:tc>
                <w:tcPr>
                  <w:tcW w:w="1268"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名称</w:t>
                  </w:r>
                </w:p>
              </w:tc>
              <w:tc>
                <w:tcPr>
                  <w:tcW w:w="862"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类别</w:t>
                  </w:r>
                </w:p>
              </w:tc>
              <w:tc>
                <w:tcPr>
                  <w:tcW w:w="1609"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代码</w:t>
                  </w:r>
                </w:p>
              </w:tc>
              <w:tc>
                <w:tcPr>
                  <w:tcW w:w="1130" w:type="dxa"/>
                </w:tcPr>
                <w:p>
                  <w:pPr>
                    <w:keepNext w:val="0"/>
                    <w:keepLines w:val="0"/>
                    <w:widowControl/>
                    <w:suppressLineNumbers w:val="0"/>
                    <w:ind w:left="0" w:leftChars="0" w:firstLine="0" w:firstLineChars="0"/>
                    <w:jc w:val="center"/>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产生量</w:t>
                  </w:r>
                </w:p>
              </w:tc>
              <w:tc>
                <w:tcPr>
                  <w:tcW w:w="1130"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产生工序</w:t>
                  </w:r>
                </w:p>
              </w:tc>
              <w:tc>
                <w:tcPr>
                  <w:tcW w:w="1131"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形态</w:t>
                  </w:r>
                </w:p>
              </w:tc>
              <w:tc>
                <w:tcPr>
                  <w:tcW w:w="1131" w:type="dxa"/>
                </w:tcPr>
                <w:p>
                  <w:pPr>
                    <w:keepNext w:val="0"/>
                    <w:keepLines w:val="0"/>
                    <w:widowControl/>
                    <w:suppressLineNumbers w:val="0"/>
                    <w:ind w:left="0" w:leftChars="0" w:firstLine="0" w:firstLineChars="0"/>
                    <w:jc w:val="center"/>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主要成分</w:t>
                  </w:r>
                </w:p>
              </w:tc>
              <w:tc>
                <w:tcPr>
                  <w:tcW w:w="1131" w:type="dxa"/>
                </w:tcPr>
                <w:p>
                  <w:pPr>
                    <w:keepNext w:val="0"/>
                    <w:keepLines w:val="0"/>
                    <w:widowControl/>
                    <w:suppressLineNumbers w:val="0"/>
                    <w:ind w:left="0" w:leftChars="0" w:firstLine="0" w:firstLineChars="0"/>
                    <w:jc w:val="center"/>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有害成分</w:t>
                  </w:r>
                </w:p>
              </w:tc>
              <w:tc>
                <w:tcPr>
                  <w:tcW w:w="1131"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产废周期</w:t>
                  </w:r>
                </w:p>
              </w:tc>
              <w:tc>
                <w:tcPr>
                  <w:tcW w:w="1131"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危险特性</w:t>
                  </w:r>
                </w:p>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p>
              </w:tc>
              <w:tc>
                <w:tcPr>
                  <w:tcW w:w="1131" w:type="dxa"/>
                </w:tcPr>
                <w:p>
                  <w:pPr>
                    <w:keepNext w:val="0"/>
                    <w:keepLines w:val="0"/>
                    <w:widowControl/>
                    <w:suppressLineNumbers w:val="0"/>
                    <w:ind w:left="0" w:leftChars="0" w:firstLine="0" w:firstLineChars="0"/>
                    <w:jc w:val="center"/>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268" w:type="dxa"/>
                  <w:vMerge w:val="restart"/>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医疗废物</w:t>
                  </w:r>
                </w:p>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862" w:type="dxa"/>
                  <w:vMerge w:val="restart"/>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HW01</w:t>
                  </w:r>
                </w:p>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609"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感染性废物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（841-001-01）</w:t>
                  </w:r>
                </w:p>
              </w:tc>
              <w:tc>
                <w:tcPr>
                  <w:tcW w:w="1130"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color w:val="auto"/>
                      <w:kern w:val="2"/>
                      <w:sz w:val="21"/>
                      <w:szCs w:val="21"/>
                      <w:highlight w:val="none"/>
                      <w:lang w:val="en-US" w:eastAsia="zh-CN" w:bidi="ar-SA"/>
                    </w:rPr>
                    <w:t>11.4245</w:t>
                  </w:r>
                </w:p>
              </w:tc>
              <w:tc>
                <w:tcPr>
                  <w:tcW w:w="1130" w:type="dxa"/>
                  <w:vMerge w:val="restart"/>
                </w:tcPr>
                <w:p>
                  <w:pPr>
                    <w:keepNext w:val="0"/>
                    <w:keepLines w:val="0"/>
                    <w:widowControl/>
                    <w:suppressLineNumbers w:val="0"/>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门诊、住院</w:t>
                  </w:r>
                </w:p>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tcPr>
                <w:p>
                  <w:pPr>
                    <w:keepNext w:val="0"/>
                    <w:keepLines w:val="0"/>
                    <w:widowControl/>
                    <w:suppressLineNumbers w:val="0"/>
                    <w:ind w:left="0" w:leftChars="0"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固体</w:t>
                  </w:r>
                </w:p>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vMerge w:val="restart"/>
                </w:tcPr>
                <w:p>
                  <w:pPr>
                    <w:keepNext w:val="0"/>
                    <w:keepLines w:val="0"/>
                    <w:widowControl/>
                    <w:suppressLineNumbers w:val="0"/>
                    <w:ind w:left="0" w:leftChars="0" w:firstLine="0" w:firstLineChars="0"/>
                    <w:jc w:val="center"/>
                    <w:rPr>
                      <w:color w:val="auto"/>
                      <w:highlight w:val="none"/>
                    </w:rPr>
                  </w:pPr>
                  <w:r>
                    <w:rPr>
                      <w:rFonts w:hint="eastAsia" w:ascii="宋体" w:hAnsi="宋体" w:eastAsia="宋体" w:cs="宋体"/>
                      <w:color w:val="auto"/>
                      <w:kern w:val="0"/>
                      <w:sz w:val="20"/>
                      <w:szCs w:val="20"/>
                      <w:highlight w:val="none"/>
                      <w:lang w:val="en-US" w:eastAsia="zh-CN" w:bidi="ar"/>
                    </w:rPr>
                    <w:t>感染性、化学性、药物性、损伤性废物</w:t>
                  </w:r>
                </w:p>
                <w:p>
                  <w:pPr>
                    <w:keepNext w:val="0"/>
                    <w:keepLines w:val="0"/>
                    <w:widowControl/>
                    <w:suppressLineNumbers w:val="0"/>
                    <w:jc w:val="left"/>
                    <w:rPr>
                      <w:color w:val="auto"/>
                      <w:highlight w:val="none"/>
                    </w:rPr>
                  </w:pPr>
                </w:p>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vMerge w:val="restart"/>
                </w:tcPr>
                <w:p>
                  <w:pPr>
                    <w:keepNext w:val="0"/>
                    <w:keepLines w:val="0"/>
                    <w:widowControl/>
                    <w:suppressLineNumbers w:val="0"/>
                    <w:ind w:left="0" w:leftChars="0" w:firstLine="0" w:firstLineChars="0"/>
                    <w:jc w:val="center"/>
                    <w:rPr>
                      <w:color w:val="auto"/>
                      <w:highlight w:val="none"/>
                    </w:rPr>
                  </w:pPr>
                  <w:r>
                    <w:rPr>
                      <w:rFonts w:hint="eastAsia" w:ascii="宋体" w:hAnsi="宋体" w:eastAsia="宋体" w:cs="宋体"/>
                      <w:color w:val="auto"/>
                      <w:kern w:val="0"/>
                      <w:sz w:val="20"/>
                      <w:szCs w:val="20"/>
                      <w:highlight w:val="none"/>
                      <w:lang w:val="en-US" w:eastAsia="zh-CN" w:bidi="ar"/>
                    </w:rPr>
                    <w:t>感染性、化学性、药物性、损伤性废物</w:t>
                  </w:r>
                </w:p>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vMerge w:val="restart"/>
                </w:tcPr>
                <w:p>
                  <w:pPr>
                    <w:keepNext w:val="0"/>
                    <w:keepLines w:val="0"/>
                    <w:widowControl/>
                    <w:suppressLineNumbers w:val="0"/>
                    <w:jc w:val="left"/>
                    <w:rPr>
                      <w:color w:val="auto"/>
                      <w:highlight w:val="none"/>
                    </w:rPr>
                  </w:pPr>
                  <w:r>
                    <w:rPr>
                      <w:rFonts w:hint="eastAsia" w:ascii="宋体" w:hAnsi="宋体" w:eastAsia="宋体" w:cs="宋体"/>
                      <w:color w:val="auto"/>
                      <w:kern w:val="0"/>
                      <w:sz w:val="20"/>
                      <w:szCs w:val="20"/>
                      <w:highlight w:val="none"/>
                      <w:lang w:val="en-US" w:eastAsia="zh-CN" w:bidi="ar"/>
                    </w:rPr>
                    <w:t>连续</w:t>
                  </w:r>
                </w:p>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In</w:t>
                  </w:r>
                </w:p>
                <w:p>
                  <w:pPr>
                    <w:keepNext w:val="0"/>
                    <w:keepLines w:val="0"/>
                    <w:widowControl/>
                    <w:suppressLineNumbers w:val="0"/>
                    <w:jc w:val="both"/>
                    <w:rPr>
                      <w:rFonts w:hint="eastAsia" w:ascii="Times New Roman" w:hAnsi="Times New Roman" w:eastAsia="宋体" w:cs="Times New Roman"/>
                      <w:color w:val="auto"/>
                      <w:kern w:val="0"/>
                      <w:sz w:val="21"/>
                      <w:szCs w:val="21"/>
                      <w:highlight w:val="none"/>
                      <w:lang w:val="en-US" w:eastAsia="zh-CN" w:bidi="ar"/>
                    </w:rPr>
                  </w:pPr>
                </w:p>
              </w:tc>
              <w:tc>
                <w:tcPr>
                  <w:tcW w:w="1131" w:type="dxa"/>
                  <w:vMerge w:val="restart"/>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 xml:space="preserve">分类暂于医疗废物 暂存间内，医疗废物 交有资质 的单位处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 xml:space="preserve">置 。 废温 度计、针头等经专用 网兜套装后存放于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 xml:space="preserve">医疗废物 暂存间内，交有资质的单位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color w:val="auto"/>
                      <w:kern w:val="0"/>
                      <w:sz w:val="20"/>
                      <w:szCs w:val="20"/>
                      <w:highlight w:val="none"/>
                      <w:lang w:val="en-US" w:eastAsia="zh-CN" w:bidi="ar"/>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268"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862"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609"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损伤性废物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（841-002-01）</w:t>
                  </w:r>
                </w:p>
              </w:tc>
              <w:tc>
                <w:tcPr>
                  <w:tcW w:w="1130"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0"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tcPr>
                <w:p>
                  <w:pPr>
                    <w:keepNext w:val="0"/>
                    <w:keepLines w:val="0"/>
                    <w:widowControl/>
                    <w:suppressLineNumbers w:val="0"/>
                    <w:ind w:left="0" w:leftChars="0" w:firstLine="210" w:firstLineChars="1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固体</w:t>
                  </w:r>
                </w:p>
              </w:tc>
              <w:tc>
                <w:tcPr>
                  <w:tcW w:w="1131"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tcPr>
                <w:p>
                  <w:pPr>
                    <w:keepNext w:val="0"/>
                    <w:keepLines w:val="0"/>
                    <w:widowControl/>
                    <w:suppressLineNumbers w:val="0"/>
                    <w:jc w:val="both"/>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In</w:t>
                  </w:r>
                </w:p>
              </w:tc>
              <w:tc>
                <w:tcPr>
                  <w:tcW w:w="1131"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268"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862"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609"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病理性废物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（841-003-01）</w:t>
                  </w:r>
                </w:p>
              </w:tc>
              <w:tc>
                <w:tcPr>
                  <w:tcW w:w="1130"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0"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210" w:firstLineChars="100"/>
                    <w:jc w:val="center"/>
                    <w:textAlignment w:val="auto"/>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液体、固体</w:t>
                  </w:r>
                </w:p>
              </w:tc>
              <w:tc>
                <w:tcPr>
                  <w:tcW w:w="1131"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tcPr>
                <w:p>
                  <w:pPr>
                    <w:keepNext w:val="0"/>
                    <w:keepLines w:val="0"/>
                    <w:widowControl/>
                    <w:suppressLineNumbers w:val="0"/>
                    <w:ind w:left="0" w:leftChars="0" w:firstLine="210" w:firstLineChars="100"/>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In</w:t>
                  </w:r>
                </w:p>
              </w:tc>
              <w:tc>
                <w:tcPr>
                  <w:tcW w:w="1131"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268"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862"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609"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化学性废物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（841-004-01）</w:t>
                  </w:r>
                </w:p>
              </w:tc>
              <w:tc>
                <w:tcPr>
                  <w:tcW w:w="1130"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0"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210" w:firstLineChars="10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固体</w:t>
                  </w:r>
                </w:p>
              </w:tc>
              <w:tc>
                <w:tcPr>
                  <w:tcW w:w="1131"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vAlign w:val="top"/>
                </w:tcPr>
                <w:p>
                  <w:pPr>
                    <w:keepNext w:val="0"/>
                    <w:keepLines w:val="0"/>
                    <w:widowControl/>
                    <w:suppressLineNumbers w:val="0"/>
                    <w:ind w:left="0" w:leftChars="0" w:firstLine="210" w:firstLineChars="100"/>
                    <w:jc w:val="both"/>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T/C/I/R</w:t>
                  </w:r>
                </w:p>
              </w:tc>
              <w:tc>
                <w:tcPr>
                  <w:tcW w:w="1131"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268"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862"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609"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药物性废物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（841-005-01）</w:t>
                  </w:r>
                </w:p>
              </w:tc>
              <w:tc>
                <w:tcPr>
                  <w:tcW w:w="1130"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0"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210" w:firstLineChars="10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固体</w:t>
                  </w:r>
                </w:p>
              </w:tc>
              <w:tc>
                <w:tcPr>
                  <w:tcW w:w="1131"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vAlign w:val="top"/>
                </w:tcPr>
                <w:p>
                  <w:pPr>
                    <w:keepNext w:val="0"/>
                    <w:keepLines w:val="0"/>
                    <w:widowControl/>
                    <w:suppressLineNumbers w:val="0"/>
                    <w:ind w:firstLine="420" w:firstLineChars="200"/>
                    <w:jc w:val="both"/>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T</w:t>
                  </w:r>
                </w:p>
              </w:tc>
              <w:tc>
                <w:tcPr>
                  <w:tcW w:w="1131"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268" w:type="dxa"/>
                  <w:vAlign w:val="center"/>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废活性炭</w:t>
                  </w:r>
                </w:p>
              </w:tc>
              <w:tc>
                <w:tcPr>
                  <w:tcW w:w="862"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HW49</w:t>
                  </w:r>
                </w:p>
              </w:tc>
              <w:tc>
                <w:tcPr>
                  <w:tcW w:w="1609"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900-039-49</w:t>
                  </w:r>
                </w:p>
              </w:tc>
              <w:tc>
                <w:tcPr>
                  <w:tcW w:w="1130"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0.1</w:t>
                  </w:r>
                </w:p>
              </w:tc>
              <w:tc>
                <w:tcPr>
                  <w:tcW w:w="1130"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臭气处理</w:t>
                  </w:r>
                </w:p>
              </w:tc>
              <w:tc>
                <w:tcPr>
                  <w:tcW w:w="1131"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210" w:firstLineChars="10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固体</w:t>
                  </w:r>
                </w:p>
              </w:tc>
              <w:tc>
                <w:tcPr>
                  <w:tcW w:w="1131" w:type="dxa"/>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vMerge w:val="restart"/>
                </w:tcPr>
                <w:p>
                  <w:pPr>
                    <w:keepNext w:val="0"/>
                    <w:keepLines w:val="0"/>
                    <w:widowControl/>
                    <w:suppressLineNumbers w:val="0"/>
                    <w:ind w:left="0" w:leftChars="0" w:firstLine="200" w:firstLineChars="100"/>
                    <w:jc w:val="both"/>
                    <w:rPr>
                      <w:rFonts w:hint="eastAsia" w:ascii="宋体" w:hAnsi="宋体" w:eastAsia="宋体" w:cs="宋体"/>
                      <w:b/>
                      <w:bCs/>
                      <w:color w:val="auto"/>
                      <w:sz w:val="21"/>
                      <w:szCs w:val="21"/>
                      <w:highlight w:val="none"/>
                      <w:vertAlign w:val="baseline"/>
                      <w:lang w:val="en-US" w:eastAsia="zh-CN"/>
                    </w:rPr>
                  </w:pPr>
                  <w:r>
                    <w:rPr>
                      <w:rFonts w:hint="eastAsia" w:ascii="宋体" w:hAnsi="宋体" w:cs="宋体"/>
                      <w:color w:val="auto"/>
                      <w:kern w:val="0"/>
                      <w:sz w:val="20"/>
                      <w:szCs w:val="20"/>
                      <w:highlight w:val="none"/>
                      <w:lang w:val="en-US" w:eastAsia="zh-CN" w:bidi="ar"/>
                    </w:rPr>
                    <w:t>间断</w:t>
                  </w:r>
                </w:p>
              </w:tc>
              <w:tc>
                <w:tcPr>
                  <w:tcW w:w="1131" w:type="dxa"/>
                  <w:vAlign w:val="top"/>
                </w:tcPr>
                <w:p>
                  <w:pPr>
                    <w:keepNext w:val="0"/>
                    <w:keepLines w:val="0"/>
                    <w:widowControl/>
                    <w:suppressLineNumbers w:val="0"/>
                    <w:ind w:firstLine="420" w:firstLineChars="200"/>
                    <w:jc w:val="both"/>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T</w:t>
                  </w:r>
                </w:p>
              </w:tc>
              <w:tc>
                <w:tcPr>
                  <w:tcW w:w="1131"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781"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268" w:type="dxa"/>
                  <w:vAlign w:val="center"/>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废UV灯管</w:t>
                  </w:r>
                </w:p>
              </w:tc>
              <w:tc>
                <w:tcPr>
                  <w:tcW w:w="862"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HW29</w:t>
                  </w:r>
                </w:p>
              </w:tc>
              <w:tc>
                <w:tcPr>
                  <w:tcW w:w="1609"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900-023-29</w:t>
                  </w:r>
                </w:p>
              </w:tc>
              <w:tc>
                <w:tcPr>
                  <w:tcW w:w="1130"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0.01</w:t>
                  </w:r>
                </w:p>
              </w:tc>
              <w:tc>
                <w:tcPr>
                  <w:tcW w:w="1130"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消毒</w:t>
                  </w:r>
                </w:p>
              </w:tc>
              <w:tc>
                <w:tcPr>
                  <w:tcW w:w="1131"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210" w:firstLineChars="10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固体</w:t>
                  </w:r>
                </w:p>
              </w:tc>
              <w:tc>
                <w:tcPr>
                  <w:tcW w:w="1131" w:type="dxa"/>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vAlign w:val="top"/>
                </w:tcPr>
                <w:p>
                  <w:pPr>
                    <w:keepNext w:val="0"/>
                    <w:keepLines w:val="0"/>
                    <w:widowControl/>
                    <w:suppressLineNumbers w:val="0"/>
                    <w:ind w:firstLine="420" w:firstLineChars="200"/>
                    <w:jc w:val="both"/>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T</w:t>
                  </w:r>
                </w:p>
              </w:tc>
              <w:tc>
                <w:tcPr>
                  <w:tcW w:w="1131"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26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废水处理设施污泥</w:t>
                  </w:r>
                </w:p>
              </w:tc>
              <w:tc>
                <w:tcPr>
                  <w:tcW w:w="862"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HW49</w:t>
                  </w:r>
                </w:p>
              </w:tc>
              <w:tc>
                <w:tcPr>
                  <w:tcW w:w="1609"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772-006-49</w:t>
                  </w:r>
                </w:p>
              </w:tc>
              <w:tc>
                <w:tcPr>
                  <w:tcW w:w="1130"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4.763</w:t>
                  </w:r>
                </w:p>
              </w:tc>
              <w:tc>
                <w:tcPr>
                  <w:tcW w:w="1130"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废水处理</w:t>
                  </w:r>
                </w:p>
              </w:tc>
              <w:tc>
                <w:tcPr>
                  <w:tcW w:w="1131"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210" w:firstLineChars="10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固体</w:t>
                  </w:r>
                </w:p>
              </w:tc>
              <w:tc>
                <w:tcPr>
                  <w:tcW w:w="1131" w:type="dxa"/>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vAlign w:val="top"/>
                </w:tcPr>
                <w:p>
                  <w:pPr>
                    <w:keepNext w:val="0"/>
                    <w:keepLines w:val="0"/>
                    <w:widowControl/>
                    <w:suppressLineNumbers w:val="0"/>
                    <w:ind w:left="0" w:leftChars="0" w:firstLine="210" w:firstLineChars="100"/>
                    <w:jc w:val="both"/>
                    <w:rPr>
                      <w:rFonts w:hint="eastAsia" w:ascii="宋体" w:hAnsi="宋体" w:eastAsia="宋体" w:cs="宋体"/>
                      <w:b/>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T/In</w:t>
                  </w:r>
                </w:p>
              </w:tc>
              <w:tc>
                <w:tcPr>
                  <w:tcW w:w="1131"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126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检验废液</w:t>
                  </w:r>
                </w:p>
              </w:tc>
              <w:tc>
                <w:tcPr>
                  <w:tcW w:w="862"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HW03</w:t>
                  </w:r>
                </w:p>
              </w:tc>
              <w:tc>
                <w:tcPr>
                  <w:tcW w:w="1609"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900-002-03</w:t>
                  </w:r>
                </w:p>
              </w:tc>
              <w:tc>
                <w:tcPr>
                  <w:tcW w:w="1130"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15</w:t>
                  </w:r>
                </w:p>
              </w:tc>
              <w:tc>
                <w:tcPr>
                  <w:tcW w:w="1130" w:type="dxa"/>
                </w:tcPr>
                <w:p>
                  <w:pPr>
                    <w:keepNext w:val="0"/>
                    <w:keepLines w:val="0"/>
                    <w:widowControl/>
                    <w:suppressLineNumbers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检验室</w:t>
                  </w:r>
                </w:p>
              </w:tc>
              <w:tc>
                <w:tcPr>
                  <w:tcW w:w="1131"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210" w:firstLineChars="100"/>
                    <w:jc w:val="center"/>
                    <w:textAlignment w:val="auto"/>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液态</w:t>
                  </w:r>
                </w:p>
              </w:tc>
              <w:tc>
                <w:tcPr>
                  <w:tcW w:w="1131" w:type="dxa"/>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c>
                <w:tcPr>
                  <w:tcW w:w="1131" w:type="dxa"/>
                </w:tcPr>
                <w:p>
                  <w:pPr>
                    <w:keepNext w:val="0"/>
                    <w:keepLines w:val="0"/>
                    <w:widowControl/>
                    <w:suppressLineNumbers w:val="0"/>
                    <w:ind w:left="0" w:leftChars="0" w:firstLine="210" w:firstLineChars="100"/>
                    <w:jc w:val="both"/>
                    <w:rPr>
                      <w:rFonts w:hint="eastAsia" w:ascii="宋体" w:hAnsi="宋体" w:eastAsia="宋体" w:cs="宋体"/>
                      <w:b/>
                      <w:bCs/>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T</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In</w:t>
                  </w:r>
                </w:p>
              </w:tc>
              <w:tc>
                <w:tcPr>
                  <w:tcW w:w="1131" w:type="dxa"/>
                  <w:vMerge w:val="continue"/>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9" w:type="dxa"/>
                  <w:gridSpan w:val="2"/>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备注</w:t>
                  </w:r>
                </w:p>
              </w:tc>
              <w:tc>
                <w:tcPr>
                  <w:tcW w:w="11517" w:type="dxa"/>
                  <w:gridSpan w:val="10"/>
                </w:tcPr>
                <w:p>
                  <w:pPr>
                    <w:keepNext w:val="0"/>
                    <w:keepLines w:val="0"/>
                    <w:widowControl/>
                    <w:suppressLineNumbers w:val="0"/>
                    <w:jc w:val="center"/>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color w:val="auto"/>
                      <w:kern w:val="0"/>
                      <w:sz w:val="21"/>
                      <w:szCs w:val="21"/>
                      <w:highlight w:val="none"/>
                      <w:lang w:val="en-US" w:eastAsia="zh-CN" w:bidi="ar"/>
                    </w:rPr>
                    <w:t>T 表示毒性，I 表示易燃性，C 表示腐蚀性，In 表示感染性</w:t>
                  </w:r>
                </w:p>
              </w:tc>
            </w:tr>
          </w:tbl>
          <w:p>
            <w:pPr>
              <w:keepNext w:val="0"/>
              <w:keepLines w:val="0"/>
              <w:widowControl/>
              <w:suppressLineNumbers w:val="0"/>
              <w:jc w:val="center"/>
              <w:rPr>
                <w:color w:val="auto"/>
                <w:highlight w:val="none"/>
              </w:rPr>
            </w:pPr>
            <w:r>
              <w:rPr>
                <w:rFonts w:hint="default"/>
                <w:b/>
                <w:bCs/>
                <w:color w:val="auto"/>
                <w:highlight w:val="none"/>
                <w:lang w:val="en-US" w:eastAsia="zh-CN"/>
              </w:rPr>
              <w:t>表4</w:t>
            </w:r>
            <w:r>
              <w:rPr>
                <w:rFonts w:hint="eastAsia"/>
                <w:b/>
                <w:bCs/>
                <w:color w:val="auto"/>
                <w:highlight w:val="none"/>
                <w:lang w:val="en-US" w:eastAsia="zh-CN"/>
              </w:rPr>
              <w:t>.27</w:t>
            </w:r>
            <w:r>
              <w:rPr>
                <w:rFonts w:hint="default"/>
                <w:b/>
                <w:bCs/>
                <w:color w:val="auto"/>
                <w:highlight w:val="none"/>
                <w:lang w:val="en-US" w:eastAsia="zh-CN"/>
              </w:rPr>
              <w:t xml:space="preserve">  </w:t>
            </w:r>
            <w:r>
              <w:rPr>
                <w:rFonts w:hint="eastAsia"/>
                <w:b/>
                <w:bCs/>
                <w:color w:val="auto"/>
                <w:highlight w:val="none"/>
                <w:lang w:val="en-US" w:eastAsia="zh-CN"/>
              </w:rPr>
              <w:t>医疗废物暂存间基本情况</w:t>
            </w:r>
            <w:r>
              <w:rPr>
                <w:rFonts w:hint="eastAsia" w:ascii="宋体" w:hAnsi="宋体" w:eastAsia="宋体" w:cs="宋体"/>
                <w:b/>
                <w:bCs/>
                <w:color w:val="auto"/>
                <w:kern w:val="0"/>
                <w:sz w:val="24"/>
                <w:szCs w:val="24"/>
                <w:highlight w:val="none"/>
                <w:lang w:val="en-US" w:eastAsia="zh-CN" w:bidi="ar"/>
              </w:rPr>
              <w:t>表</w:t>
            </w:r>
          </w:p>
          <w:tbl>
            <w:tblPr>
              <w:tblStyle w:val="30"/>
              <w:tblW w:w="135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1689"/>
              <w:gridCol w:w="1498"/>
              <w:gridCol w:w="1214"/>
              <w:gridCol w:w="1357"/>
              <w:gridCol w:w="1029"/>
              <w:gridCol w:w="1440"/>
              <w:gridCol w:w="1951"/>
              <w:gridCol w:w="1141"/>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1023" w:type="dxa"/>
                </w:tcPr>
                <w:p>
                  <w:pPr>
                    <w:pStyle w:val="24"/>
                    <w:spacing w:before="0" w:beforeAutospacing="0" w:after="0" w:afterAutospacing="0" w:line="360" w:lineRule="auto"/>
                    <w:ind w:left="0" w:leftChars="0" w:firstLine="0" w:firstLineChars="0"/>
                    <w:jc w:val="center"/>
                    <w:outlineLvl w:val="0"/>
                    <w:rPr>
                      <w:rFonts w:hint="eastAsia" w:ascii="Times New Roman" w:hAnsi="Times New Roman"/>
                      <w:snapToGrid w:val="0"/>
                      <w:color w:val="auto"/>
                      <w:szCs w:val="24"/>
                      <w:highlight w:val="none"/>
                      <w:vertAlign w:val="baseline"/>
                      <w:lang w:val="en-US" w:eastAsia="zh-CN"/>
                    </w:rPr>
                  </w:pPr>
                  <w:r>
                    <w:rPr>
                      <w:rFonts w:hint="eastAsia" w:ascii="宋体" w:hAnsi="宋体" w:eastAsia="宋体" w:cs="宋体"/>
                      <w:color w:val="auto"/>
                      <w:sz w:val="21"/>
                      <w:szCs w:val="21"/>
                      <w:highlight w:val="none"/>
                      <w:lang w:val="en-US" w:eastAsia="zh-CN"/>
                    </w:rPr>
                    <w:t>序号</w:t>
                  </w:r>
                </w:p>
              </w:tc>
              <w:tc>
                <w:tcPr>
                  <w:tcW w:w="1689"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snapToGrid w:val="0"/>
                      <w:color w:val="auto"/>
                      <w:szCs w:val="24"/>
                      <w:highlight w:val="none"/>
                      <w:vertAlign w:val="baseline"/>
                      <w:lang w:val="en-US" w:eastAsia="zh-CN"/>
                    </w:rPr>
                  </w:pPr>
                  <w:r>
                    <w:rPr>
                      <w:rFonts w:hint="eastAsia" w:ascii="宋体" w:hAnsi="宋体" w:eastAsia="宋体" w:cs="宋体"/>
                      <w:color w:val="auto"/>
                      <w:kern w:val="0"/>
                      <w:sz w:val="21"/>
                      <w:szCs w:val="21"/>
                      <w:highlight w:val="none"/>
                      <w:lang w:val="en-US" w:eastAsia="zh-CN" w:bidi="ar-SA"/>
                    </w:rPr>
                    <w:t>贮存场所 （设施）名称</w:t>
                  </w:r>
                </w:p>
              </w:tc>
              <w:tc>
                <w:tcPr>
                  <w:tcW w:w="1498"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危险废物名称</w:t>
                  </w:r>
                </w:p>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214"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snapToGrid w:val="0"/>
                      <w:color w:val="auto"/>
                      <w:szCs w:val="24"/>
                      <w:highlight w:val="none"/>
                      <w:vertAlign w:val="baseline"/>
                      <w:lang w:val="en-US" w:eastAsia="zh-CN"/>
                    </w:rPr>
                  </w:pPr>
                  <w:r>
                    <w:rPr>
                      <w:rFonts w:hint="eastAsia" w:ascii="宋体" w:hAnsi="宋体" w:eastAsia="宋体" w:cs="宋体"/>
                      <w:color w:val="auto"/>
                      <w:kern w:val="0"/>
                      <w:sz w:val="21"/>
                      <w:szCs w:val="21"/>
                      <w:highlight w:val="none"/>
                      <w:lang w:val="en-US" w:eastAsia="zh-CN" w:bidi="ar-SA"/>
                    </w:rPr>
                    <w:t>危险废物类别</w:t>
                  </w:r>
                </w:p>
              </w:tc>
              <w:tc>
                <w:tcPr>
                  <w:tcW w:w="1357"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snapToGrid w:val="0"/>
                      <w:color w:val="auto"/>
                      <w:szCs w:val="24"/>
                      <w:highlight w:val="none"/>
                      <w:vertAlign w:val="baseline"/>
                      <w:lang w:val="en-US" w:eastAsia="zh-CN"/>
                    </w:rPr>
                  </w:pPr>
                  <w:r>
                    <w:rPr>
                      <w:rFonts w:hint="eastAsia" w:ascii="宋体" w:hAnsi="宋体" w:eastAsia="宋体" w:cs="宋体"/>
                      <w:color w:val="auto"/>
                      <w:kern w:val="0"/>
                      <w:sz w:val="21"/>
                      <w:szCs w:val="21"/>
                      <w:highlight w:val="none"/>
                      <w:lang w:val="en-US" w:eastAsia="zh-CN" w:bidi="ar-SA"/>
                    </w:rPr>
                    <w:t>危险废物代码</w:t>
                  </w:r>
                </w:p>
              </w:tc>
              <w:tc>
                <w:tcPr>
                  <w:tcW w:w="1029" w:type="dxa"/>
                </w:tcPr>
                <w:p>
                  <w:pPr>
                    <w:keepNext w:val="0"/>
                    <w:keepLines w:val="0"/>
                    <w:widowControl/>
                    <w:suppressLineNumbers w:val="0"/>
                    <w:ind w:left="0" w:leftChars="0" w:firstLine="200" w:firstLineChars="100"/>
                    <w:jc w:val="left"/>
                    <w:rPr>
                      <w:rFonts w:hint="eastAsia" w:ascii="Times New Roman" w:hAnsi="Times New Roman"/>
                      <w:snapToGrid w:val="0"/>
                      <w:color w:val="auto"/>
                      <w:szCs w:val="24"/>
                      <w:highlight w:val="none"/>
                      <w:vertAlign w:val="baseline"/>
                      <w:lang w:val="en-US" w:eastAsia="zh-CN"/>
                    </w:rPr>
                  </w:pPr>
                  <w:r>
                    <w:rPr>
                      <w:rFonts w:hint="eastAsia" w:ascii="宋体" w:hAnsi="宋体" w:eastAsia="宋体" w:cs="宋体"/>
                      <w:color w:val="auto"/>
                      <w:kern w:val="0"/>
                      <w:sz w:val="20"/>
                      <w:szCs w:val="20"/>
                      <w:highlight w:val="none"/>
                      <w:lang w:val="en-US" w:eastAsia="zh-CN" w:bidi="ar"/>
                    </w:rPr>
                    <w:t>位置</w:t>
                  </w:r>
                </w:p>
              </w:tc>
              <w:tc>
                <w:tcPr>
                  <w:tcW w:w="1440" w:type="dxa"/>
                </w:tcPr>
                <w:p>
                  <w:pPr>
                    <w:keepNext w:val="0"/>
                    <w:keepLines w:val="0"/>
                    <w:widowControl/>
                    <w:suppressLineNumbers w:val="0"/>
                    <w:jc w:val="left"/>
                    <w:rPr>
                      <w:rFonts w:hint="eastAsia" w:ascii="Times New Roman" w:hAnsi="Times New Roman"/>
                      <w:snapToGrid w:val="0"/>
                      <w:color w:val="auto"/>
                      <w:szCs w:val="24"/>
                      <w:highlight w:val="none"/>
                      <w:vertAlign w:val="baseline"/>
                      <w:lang w:val="en-US" w:eastAsia="zh-CN"/>
                    </w:rPr>
                  </w:pPr>
                  <w:r>
                    <w:rPr>
                      <w:rFonts w:hint="eastAsia" w:ascii="宋体" w:hAnsi="宋体" w:eastAsia="宋体" w:cs="宋体"/>
                      <w:color w:val="auto"/>
                      <w:kern w:val="0"/>
                      <w:sz w:val="20"/>
                      <w:szCs w:val="20"/>
                      <w:highlight w:val="none"/>
                      <w:lang w:val="en-US" w:eastAsia="zh-CN" w:bidi="ar"/>
                    </w:rPr>
                    <w:t>占地面积</w:t>
                  </w:r>
                </w:p>
              </w:tc>
              <w:tc>
                <w:tcPr>
                  <w:tcW w:w="1951" w:type="dxa"/>
                </w:tcPr>
                <w:p>
                  <w:pPr>
                    <w:keepNext w:val="0"/>
                    <w:keepLines w:val="0"/>
                    <w:widowControl/>
                    <w:suppressLineNumbers w:val="0"/>
                    <w:ind w:left="0" w:leftChars="0" w:firstLine="0" w:firstLineChars="0"/>
                    <w:jc w:val="center"/>
                    <w:rPr>
                      <w:color w:val="auto"/>
                      <w:highlight w:val="none"/>
                    </w:rPr>
                  </w:pPr>
                  <w:r>
                    <w:rPr>
                      <w:rFonts w:hint="eastAsia" w:ascii="宋体" w:hAnsi="宋体" w:eastAsia="宋体" w:cs="宋体"/>
                      <w:color w:val="auto"/>
                      <w:kern w:val="0"/>
                      <w:sz w:val="20"/>
                      <w:szCs w:val="20"/>
                      <w:highlight w:val="none"/>
                      <w:lang w:val="en-US" w:eastAsia="zh-CN" w:bidi="ar"/>
                    </w:rPr>
                    <w:t>贮存方式</w:t>
                  </w:r>
                </w:p>
                <w:p>
                  <w:pPr>
                    <w:pStyle w:val="24"/>
                    <w:spacing w:before="0" w:beforeAutospacing="0" w:after="0" w:afterAutospacing="0" w:line="360" w:lineRule="auto"/>
                    <w:jc w:val="center"/>
                    <w:outlineLvl w:val="0"/>
                    <w:rPr>
                      <w:rFonts w:hint="eastAsia" w:ascii="Times New Roman" w:hAnsi="Times New Roman"/>
                      <w:snapToGrid w:val="0"/>
                      <w:color w:val="auto"/>
                      <w:szCs w:val="24"/>
                      <w:highlight w:val="none"/>
                      <w:vertAlign w:val="baseline"/>
                      <w:lang w:val="en-US" w:eastAsia="zh-CN"/>
                    </w:rPr>
                  </w:pPr>
                </w:p>
              </w:tc>
              <w:tc>
                <w:tcPr>
                  <w:tcW w:w="1141" w:type="dxa"/>
                </w:tcPr>
                <w:p>
                  <w:pPr>
                    <w:keepNext w:val="0"/>
                    <w:keepLines w:val="0"/>
                    <w:widowControl/>
                    <w:suppressLineNumbers w:val="0"/>
                    <w:ind w:left="0" w:leftChars="0" w:firstLine="0" w:firstLineChars="0"/>
                    <w:jc w:val="center"/>
                    <w:rPr>
                      <w:color w:val="auto"/>
                      <w:highlight w:val="none"/>
                    </w:rPr>
                  </w:pPr>
                  <w:r>
                    <w:rPr>
                      <w:rFonts w:hint="eastAsia" w:ascii="宋体" w:hAnsi="宋体" w:eastAsia="宋体" w:cs="宋体"/>
                      <w:color w:val="auto"/>
                      <w:kern w:val="0"/>
                      <w:sz w:val="20"/>
                      <w:szCs w:val="20"/>
                      <w:highlight w:val="none"/>
                      <w:lang w:val="en-US" w:eastAsia="zh-CN" w:bidi="ar"/>
                    </w:rPr>
                    <w:t>贮存能力</w:t>
                  </w:r>
                </w:p>
                <w:p>
                  <w:pPr>
                    <w:pStyle w:val="24"/>
                    <w:spacing w:before="0" w:beforeAutospacing="0" w:after="0" w:afterAutospacing="0" w:line="360" w:lineRule="auto"/>
                    <w:jc w:val="center"/>
                    <w:outlineLvl w:val="0"/>
                    <w:rPr>
                      <w:rFonts w:hint="eastAsia" w:ascii="Times New Roman" w:hAnsi="Times New Roman"/>
                      <w:snapToGrid w:val="0"/>
                      <w:color w:val="auto"/>
                      <w:szCs w:val="24"/>
                      <w:highlight w:val="none"/>
                      <w:vertAlign w:val="baseline"/>
                      <w:lang w:val="en-US" w:eastAsia="zh-CN"/>
                    </w:rPr>
                  </w:pPr>
                </w:p>
              </w:tc>
              <w:tc>
                <w:tcPr>
                  <w:tcW w:w="1224" w:type="dxa"/>
                </w:tcPr>
                <w:p>
                  <w:pPr>
                    <w:keepNext w:val="0"/>
                    <w:keepLines w:val="0"/>
                    <w:widowControl/>
                    <w:suppressLineNumbers w:val="0"/>
                    <w:ind w:left="0" w:leftChars="0" w:firstLine="0" w:firstLineChars="0"/>
                    <w:jc w:val="center"/>
                    <w:rPr>
                      <w:color w:val="auto"/>
                      <w:highlight w:val="none"/>
                    </w:rPr>
                  </w:pPr>
                  <w:r>
                    <w:rPr>
                      <w:rFonts w:hint="eastAsia" w:ascii="宋体" w:hAnsi="宋体" w:eastAsia="宋体" w:cs="宋体"/>
                      <w:color w:val="auto"/>
                      <w:kern w:val="0"/>
                      <w:sz w:val="20"/>
                      <w:szCs w:val="20"/>
                      <w:highlight w:val="none"/>
                      <w:lang w:val="en-US" w:eastAsia="zh-CN" w:bidi="ar"/>
                    </w:rPr>
                    <w:t>贮存周期</w:t>
                  </w:r>
                </w:p>
                <w:p>
                  <w:pPr>
                    <w:pStyle w:val="24"/>
                    <w:spacing w:before="0" w:beforeAutospacing="0" w:after="0" w:afterAutospacing="0" w:line="360" w:lineRule="auto"/>
                    <w:jc w:val="center"/>
                    <w:outlineLvl w:val="0"/>
                    <w:rPr>
                      <w:rFonts w:hint="eastAsia" w:ascii="Times New Roman" w:hAnsi="Times New Roman"/>
                      <w:snapToGrid w:val="0"/>
                      <w:color w:val="auto"/>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1023" w:type="dxa"/>
                  <w:vMerge w:val="restart"/>
                </w:tcPr>
                <w:p>
                  <w:pPr>
                    <w:pStyle w:val="24"/>
                    <w:spacing w:before="0" w:beforeAutospacing="0" w:after="0" w:afterAutospacing="0" w:line="360" w:lineRule="auto"/>
                    <w:outlineLvl w:val="0"/>
                    <w:rPr>
                      <w:rFonts w:hint="default" w:ascii="Times New Roman" w:hAnsi="Times New Roman"/>
                      <w:snapToGrid w:val="0"/>
                      <w:color w:val="auto"/>
                      <w:szCs w:val="24"/>
                      <w:highlight w:val="none"/>
                      <w:vertAlign w:val="baseline"/>
                      <w:lang w:val="en-US" w:eastAsia="zh-CN"/>
                    </w:rPr>
                  </w:pPr>
                  <w:r>
                    <w:rPr>
                      <w:rFonts w:hint="eastAsia" w:ascii="宋体" w:hAnsi="宋体" w:eastAsia="宋体" w:cs="宋体"/>
                      <w:color w:val="auto"/>
                      <w:kern w:val="0"/>
                      <w:sz w:val="21"/>
                      <w:szCs w:val="21"/>
                      <w:highlight w:val="none"/>
                      <w:lang w:val="en-US" w:eastAsia="zh-CN" w:bidi="ar-SA"/>
                    </w:rPr>
                    <w:t>1</w:t>
                  </w:r>
                </w:p>
              </w:tc>
              <w:tc>
                <w:tcPr>
                  <w:tcW w:w="1689" w:type="dxa"/>
                  <w:vMerge w:val="restart"/>
                </w:tcPr>
                <w:p>
                  <w:pPr>
                    <w:keepNext w:val="0"/>
                    <w:keepLines w:val="0"/>
                    <w:widowControl/>
                    <w:suppressLineNumbers w:val="0"/>
                    <w:ind w:left="0" w:leftChars="0" w:firstLine="0" w:firstLineChars="0"/>
                    <w:jc w:val="left"/>
                    <w:rPr>
                      <w:rFonts w:hint="eastAsia" w:ascii="Times New Roman" w:hAnsi="Times New Roman"/>
                      <w:snapToGrid w:val="0"/>
                      <w:color w:val="auto"/>
                      <w:szCs w:val="24"/>
                      <w:highlight w:val="none"/>
                      <w:vertAlign w:val="baseline"/>
                      <w:lang w:val="en-US" w:eastAsia="zh-CN"/>
                    </w:rPr>
                  </w:pPr>
                  <w:r>
                    <w:rPr>
                      <w:rFonts w:hint="eastAsia" w:ascii="宋体" w:hAnsi="宋体" w:eastAsia="宋体" w:cs="宋体"/>
                      <w:color w:val="auto"/>
                      <w:kern w:val="0"/>
                      <w:sz w:val="21"/>
                      <w:szCs w:val="21"/>
                      <w:highlight w:val="none"/>
                      <w:lang w:val="en-US" w:eastAsia="zh-CN" w:bidi="ar-SA"/>
                    </w:rPr>
                    <w:t>医疗废物暂存间</w:t>
                  </w:r>
                </w:p>
              </w:tc>
              <w:tc>
                <w:tcPr>
                  <w:tcW w:w="1498" w:type="dxa"/>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感染性废物</w:t>
                  </w:r>
                </w:p>
              </w:tc>
              <w:tc>
                <w:tcPr>
                  <w:tcW w:w="1214" w:type="dxa"/>
                </w:tcPr>
                <w:p>
                  <w:pPr>
                    <w:pStyle w:val="24"/>
                    <w:spacing w:before="0" w:beforeAutospacing="0" w:after="0" w:afterAutospacing="0" w:line="360" w:lineRule="auto"/>
                    <w:ind w:left="0" w:leftChars="0" w:firstLine="0" w:firstLineChars="0"/>
                    <w:jc w:val="center"/>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HW01</w:t>
                  </w:r>
                </w:p>
              </w:tc>
              <w:tc>
                <w:tcPr>
                  <w:tcW w:w="1357" w:type="dxa"/>
                </w:tcPr>
                <w:p>
                  <w:pPr>
                    <w:pStyle w:val="24"/>
                    <w:spacing w:before="0" w:beforeAutospacing="0" w:after="0" w:afterAutospacing="0" w:line="360" w:lineRule="auto"/>
                    <w:ind w:left="0" w:leftChars="0" w:firstLine="0" w:firstLineChars="0"/>
                    <w:jc w:val="center"/>
                    <w:outlineLvl w:val="0"/>
                    <w:rPr>
                      <w:rFonts w:hint="eastAsia" w:ascii="Times New Roman" w:hAnsi="Times New Roman"/>
                      <w:snapToGrid w:val="0"/>
                      <w:color w:val="auto"/>
                      <w:szCs w:val="24"/>
                      <w:highlight w:val="none"/>
                      <w:vertAlign w:val="baseline"/>
                      <w:lang w:val="en-US" w:eastAsia="zh-CN"/>
                    </w:rPr>
                  </w:pPr>
                  <w:r>
                    <w:rPr>
                      <w:rFonts w:hint="eastAsia" w:ascii="宋体" w:hAnsi="宋体" w:eastAsia="宋体" w:cs="宋体"/>
                      <w:color w:val="auto"/>
                      <w:sz w:val="21"/>
                      <w:szCs w:val="21"/>
                      <w:highlight w:val="none"/>
                      <w:lang w:val="en-US" w:eastAsia="zh-CN"/>
                    </w:rPr>
                    <w:t>841-001-01</w:t>
                  </w:r>
                </w:p>
              </w:tc>
              <w:tc>
                <w:tcPr>
                  <w:tcW w:w="1029" w:type="dxa"/>
                  <w:vMerge w:val="restart"/>
                </w:tcPr>
                <w:p>
                  <w:pPr>
                    <w:pStyle w:val="24"/>
                    <w:spacing w:before="0" w:beforeAutospacing="0" w:after="0" w:afterAutospacing="0" w:line="360" w:lineRule="auto"/>
                    <w:ind w:left="0" w:leftChars="0" w:firstLine="0" w:firstLineChars="0"/>
                    <w:jc w:val="center"/>
                    <w:outlineLvl w:val="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医院南侧</w:t>
                  </w:r>
                </w:p>
              </w:tc>
              <w:tc>
                <w:tcPr>
                  <w:tcW w:w="1440" w:type="dxa"/>
                  <w:vMerge w:val="restart"/>
                </w:tcPr>
                <w:p>
                  <w:pPr>
                    <w:pStyle w:val="24"/>
                    <w:spacing w:before="0" w:beforeAutospacing="0" w:after="0" w:afterAutospacing="0" w:line="360" w:lineRule="auto"/>
                    <w:outlineLvl w:val="0"/>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20m</w:t>
                  </w:r>
                  <w:r>
                    <w:rPr>
                      <w:rFonts w:hint="eastAsia" w:cs="宋体"/>
                      <w:color w:val="auto"/>
                      <w:kern w:val="2"/>
                      <w:sz w:val="21"/>
                      <w:szCs w:val="21"/>
                      <w:highlight w:val="none"/>
                      <w:vertAlign w:val="superscript"/>
                      <w:lang w:val="en-US" w:eastAsia="zh-CN" w:bidi="ar-SA"/>
                    </w:rPr>
                    <w:t>2</w:t>
                  </w:r>
                </w:p>
              </w:tc>
              <w:tc>
                <w:tcPr>
                  <w:tcW w:w="1951" w:type="dxa"/>
                </w:tcPr>
                <w:p>
                  <w:pPr>
                    <w:keepNext w:val="0"/>
                    <w:keepLines w:val="0"/>
                    <w:widowControl/>
                    <w:suppressLineNumbers w:val="0"/>
                    <w:ind w:left="0" w:leftChars="0" w:firstLine="0" w:firstLineChars="0"/>
                    <w:jc w:val="left"/>
                    <w:rPr>
                      <w:rFonts w:hint="eastAsia" w:ascii="Times New Roman" w:hAnsi="Times New Roman"/>
                      <w:snapToGrid w:val="0"/>
                      <w:color w:val="auto"/>
                      <w:szCs w:val="24"/>
                      <w:highlight w:val="none"/>
                      <w:vertAlign w:val="baseline"/>
                      <w:lang w:val="en-US" w:eastAsia="zh-CN"/>
                    </w:rPr>
                  </w:pPr>
                  <w:r>
                    <w:rPr>
                      <w:rFonts w:hint="eastAsia" w:ascii="宋体" w:hAnsi="宋体" w:eastAsia="宋体" w:cs="宋体"/>
                      <w:color w:val="auto"/>
                      <w:kern w:val="2"/>
                      <w:sz w:val="21"/>
                      <w:szCs w:val="21"/>
                      <w:highlight w:val="none"/>
                      <w:lang w:val="en-US" w:eastAsia="zh-CN" w:bidi="ar-SA"/>
                    </w:rPr>
                    <w:t>专用容器密封收集</w:t>
                  </w:r>
                </w:p>
              </w:tc>
              <w:tc>
                <w:tcPr>
                  <w:tcW w:w="1141" w:type="dxa"/>
                  <w:vMerge w:val="restart"/>
                </w:tcPr>
                <w:p>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1t</w:t>
                  </w:r>
                </w:p>
              </w:tc>
              <w:tc>
                <w:tcPr>
                  <w:tcW w:w="1224" w:type="dxa"/>
                </w:tcPr>
                <w:p>
                  <w:pPr>
                    <w:keepNext w:val="0"/>
                    <w:keepLines w:val="0"/>
                    <w:widowControl/>
                    <w:suppressLineNumbers w:val="0"/>
                    <w:ind w:left="0" w:leftChars="0"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689"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498" w:type="dxa"/>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 xml:space="preserve">损伤性废物 </w:t>
                  </w:r>
                </w:p>
              </w:tc>
              <w:tc>
                <w:tcPr>
                  <w:tcW w:w="1214" w:type="dxa"/>
                </w:tcPr>
                <w:p>
                  <w:pPr>
                    <w:pStyle w:val="24"/>
                    <w:spacing w:before="0" w:beforeAutospacing="0" w:after="0" w:afterAutospacing="0" w:line="360" w:lineRule="auto"/>
                    <w:ind w:left="0" w:leftChars="0" w:firstLine="0" w:firstLineChars="0"/>
                    <w:jc w:val="center"/>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HW01</w:t>
                  </w:r>
                </w:p>
              </w:tc>
              <w:tc>
                <w:tcPr>
                  <w:tcW w:w="1357" w:type="dxa"/>
                </w:tcPr>
                <w:p>
                  <w:pPr>
                    <w:pStyle w:val="24"/>
                    <w:spacing w:before="0" w:beforeAutospacing="0" w:after="0" w:afterAutospacing="0" w:line="360" w:lineRule="auto"/>
                    <w:ind w:left="0" w:leftChars="0" w:firstLine="0" w:firstLineChars="0"/>
                    <w:jc w:val="center"/>
                    <w:outlineLvl w:val="0"/>
                    <w:rPr>
                      <w:rFonts w:hint="eastAsia" w:ascii="Times New Roman" w:hAnsi="Times New Roman"/>
                      <w:snapToGrid w:val="0"/>
                      <w:color w:val="auto"/>
                      <w:szCs w:val="24"/>
                      <w:highlight w:val="none"/>
                      <w:vertAlign w:val="baseline"/>
                      <w:lang w:val="en-US" w:eastAsia="zh-CN"/>
                    </w:rPr>
                  </w:pPr>
                  <w:r>
                    <w:rPr>
                      <w:rFonts w:hint="eastAsia" w:ascii="宋体" w:hAnsi="宋体" w:eastAsia="宋体" w:cs="宋体"/>
                      <w:color w:val="auto"/>
                      <w:sz w:val="21"/>
                      <w:szCs w:val="21"/>
                      <w:highlight w:val="none"/>
                      <w:lang w:val="en-US" w:eastAsia="zh-CN"/>
                    </w:rPr>
                    <w:t>841-002-01</w:t>
                  </w:r>
                </w:p>
              </w:tc>
              <w:tc>
                <w:tcPr>
                  <w:tcW w:w="1029"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440"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951" w:type="dxa"/>
                </w:tcPr>
                <w:p>
                  <w:pPr>
                    <w:pStyle w:val="24"/>
                    <w:spacing w:before="0" w:beforeAutospacing="0" w:after="0" w:afterAutospacing="0" w:line="360" w:lineRule="auto"/>
                    <w:ind w:left="0" w:leftChars="0" w:firstLine="0" w:firstLineChars="0"/>
                    <w:outlineLvl w:val="0"/>
                    <w:rPr>
                      <w:rFonts w:hint="eastAsia" w:ascii="Times New Roman" w:hAnsi="Times New Roman"/>
                      <w:snapToGrid w:val="0"/>
                      <w:color w:val="auto"/>
                      <w:szCs w:val="24"/>
                      <w:highlight w:val="none"/>
                      <w:vertAlign w:val="baseline"/>
                      <w:lang w:val="en-US" w:eastAsia="zh-CN"/>
                    </w:rPr>
                  </w:pPr>
                  <w:r>
                    <w:rPr>
                      <w:rFonts w:hint="eastAsia" w:ascii="宋体" w:hAnsi="宋体" w:eastAsia="宋体" w:cs="宋体"/>
                      <w:color w:val="auto"/>
                      <w:kern w:val="2"/>
                      <w:sz w:val="21"/>
                      <w:szCs w:val="21"/>
                      <w:highlight w:val="none"/>
                      <w:lang w:val="en-US" w:eastAsia="zh-CN" w:bidi="ar-SA"/>
                    </w:rPr>
                    <w:t>专用容器密封收集</w:t>
                  </w:r>
                </w:p>
              </w:tc>
              <w:tc>
                <w:tcPr>
                  <w:tcW w:w="1141"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224" w:type="dxa"/>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r>
                    <w:rPr>
                      <w:rFonts w:hint="eastAsia" w:ascii="宋体" w:hAnsi="宋体" w:eastAsia="宋体" w:cs="宋体"/>
                      <w:color w:val="auto"/>
                      <w:kern w:val="2"/>
                      <w:sz w:val="21"/>
                      <w:szCs w:val="21"/>
                      <w:highlight w:val="none"/>
                      <w:lang w:val="en-US" w:eastAsia="zh-CN" w:bidi="ar-SA"/>
                    </w:rPr>
                    <w:t>48h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689"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498" w:type="dxa"/>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 xml:space="preserve">病理性废物 </w:t>
                  </w:r>
                </w:p>
              </w:tc>
              <w:tc>
                <w:tcPr>
                  <w:tcW w:w="1214" w:type="dxa"/>
                </w:tcPr>
                <w:p>
                  <w:pPr>
                    <w:pStyle w:val="24"/>
                    <w:spacing w:before="0" w:beforeAutospacing="0" w:after="0" w:afterAutospacing="0" w:line="360" w:lineRule="auto"/>
                    <w:ind w:left="0" w:leftChars="0" w:firstLine="0" w:firstLineChars="0"/>
                    <w:jc w:val="center"/>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HW01</w:t>
                  </w:r>
                </w:p>
              </w:tc>
              <w:tc>
                <w:tcPr>
                  <w:tcW w:w="1357" w:type="dxa"/>
                </w:tcPr>
                <w:p>
                  <w:pPr>
                    <w:pStyle w:val="24"/>
                    <w:spacing w:before="0" w:beforeAutospacing="0" w:after="0" w:afterAutospacing="0" w:line="360" w:lineRule="auto"/>
                    <w:ind w:left="0" w:leftChars="0" w:firstLine="0" w:firstLineChars="0"/>
                    <w:jc w:val="center"/>
                    <w:outlineLvl w:val="0"/>
                    <w:rPr>
                      <w:rFonts w:hint="eastAsia" w:ascii="Times New Roman" w:hAnsi="Times New Roman"/>
                      <w:snapToGrid w:val="0"/>
                      <w:color w:val="auto"/>
                      <w:szCs w:val="24"/>
                      <w:highlight w:val="none"/>
                      <w:vertAlign w:val="baseline"/>
                      <w:lang w:val="en-US" w:eastAsia="zh-CN"/>
                    </w:rPr>
                  </w:pPr>
                  <w:r>
                    <w:rPr>
                      <w:rFonts w:hint="eastAsia" w:ascii="宋体" w:hAnsi="宋体" w:eastAsia="宋体" w:cs="宋体"/>
                      <w:color w:val="auto"/>
                      <w:sz w:val="21"/>
                      <w:szCs w:val="21"/>
                      <w:highlight w:val="none"/>
                      <w:lang w:val="en-US" w:eastAsia="zh-CN"/>
                    </w:rPr>
                    <w:t>841-003-01</w:t>
                  </w:r>
                </w:p>
              </w:tc>
              <w:tc>
                <w:tcPr>
                  <w:tcW w:w="1029"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440"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951" w:type="dxa"/>
                </w:tcPr>
                <w:p>
                  <w:pPr>
                    <w:keepNext w:val="0"/>
                    <w:keepLines w:val="0"/>
                    <w:widowControl/>
                    <w:suppressLineNumbers w:val="0"/>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专用容器密封收集</w:t>
                  </w:r>
                </w:p>
              </w:tc>
              <w:tc>
                <w:tcPr>
                  <w:tcW w:w="1141"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224" w:type="dxa"/>
                </w:tcPr>
                <w:p>
                  <w:pPr>
                    <w:spacing w:before="0" w:beforeAutospacing="0" w:after="0" w:afterAutospacing="0" w:line="360" w:lineRule="auto"/>
                    <w:ind w:firstLine="420" w:firstLineChars="200"/>
                    <w:outlineLvl w:val="0"/>
                    <w:rPr>
                      <w:rFonts w:hint="eastAsia" w:ascii="Times New Roman" w:hAnsi="Times New Roman"/>
                      <w:snapToGrid w:val="0"/>
                      <w:color w:val="auto"/>
                      <w:szCs w:val="24"/>
                      <w:highlight w:val="none"/>
                      <w:vertAlign w:val="baseline"/>
                      <w:lang w:val="en-US" w:eastAsia="zh-CN"/>
                    </w:rPr>
                  </w:pPr>
                  <w:r>
                    <w:rPr>
                      <w:rFonts w:hint="eastAsia" w:ascii="宋体" w:hAnsi="宋体" w:eastAsia="宋体" w:cs="宋体"/>
                      <w:color w:val="auto"/>
                      <w:kern w:val="2"/>
                      <w:sz w:val="21"/>
                      <w:szCs w:val="21"/>
                      <w:highlight w:val="none"/>
                      <w:lang w:val="en-US" w:eastAsia="zh-CN" w:bidi="ar-SA"/>
                    </w:rPr>
                    <w:t>48h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689"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498" w:type="dxa"/>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 xml:space="preserve">化学性废物 </w:t>
                  </w:r>
                </w:p>
              </w:tc>
              <w:tc>
                <w:tcPr>
                  <w:tcW w:w="1214" w:type="dxa"/>
                </w:tcPr>
                <w:p>
                  <w:pPr>
                    <w:pStyle w:val="24"/>
                    <w:spacing w:before="0" w:beforeAutospacing="0" w:after="0" w:afterAutospacing="0" w:line="360" w:lineRule="auto"/>
                    <w:ind w:left="0" w:leftChars="0" w:firstLine="0" w:firstLineChars="0"/>
                    <w:jc w:val="center"/>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HW01</w:t>
                  </w:r>
                </w:p>
              </w:tc>
              <w:tc>
                <w:tcPr>
                  <w:tcW w:w="1357" w:type="dxa"/>
                </w:tcPr>
                <w:p>
                  <w:pPr>
                    <w:pStyle w:val="24"/>
                    <w:spacing w:before="0" w:beforeAutospacing="0" w:after="0" w:afterAutospacing="0" w:line="360" w:lineRule="auto"/>
                    <w:ind w:left="0" w:leftChars="0" w:firstLine="0" w:firstLineChars="0"/>
                    <w:jc w:val="center"/>
                    <w:outlineLvl w:val="0"/>
                    <w:rPr>
                      <w:rFonts w:hint="eastAsia" w:ascii="Times New Roman" w:hAnsi="Times New Roman"/>
                      <w:snapToGrid w:val="0"/>
                      <w:color w:val="auto"/>
                      <w:szCs w:val="24"/>
                      <w:highlight w:val="none"/>
                      <w:vertAlign w:val="baseline"/>
                      <w:lang w:val="en-US" w:eastAsia="zh-CN"/>
                    </w:rPr>
                  </w:pPr>
                  <w:r>
                    <w:rPr>
                      <w:rFonts w:hint="eastAsia" w:ascii="宋体" w:hAnsi="宋体" w:eastAsia="宋体" w:cs="宋体"/>
                      <w:color w:val="auto"/>
                      <w:sz w:val="21"/>
                      <w:szCs w:val="21"/>
                      <w:highlight w:val="none"/>
                      <w:lang w:val="en-US" w:eastAsia="zh-CN"/>
                    </w:rPr>
                    <w:t>841-004-01</w:t>
                  </w:r>
                </w:p>
              </w:tc>
              <w:tc>
                <w:tcPr>
                  <w:tcW w:w="1029"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440"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951" w:type="dxa"/>
                </w:tcPr>
                <w:p>
                  <w:pPr>
                    <w:keepNext w:val="0"/>
                    <w:keepLines w:val="0"/>
                    <w:widowControl/>
                    <w:suppressLineNumbers w:val="0"/>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专用容器密封收集</w:t>
                  </w:r>
                </w:p>
              </w:tc>
              <w:tc>
                <w:tcPr>
                  <w:tcW w:w="1141"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224" w:type="dxa"/>
                </w:tcPr>
                <w:p>
                  <w:pPr>
                    <w:spacing w:before="0" w:beforeAutospacing="0" w:after="0" w:afterAutospacing="0" w:line="360" w:lineRule="auto"/>
                    <w:ind w:firstLine="420" w:firstLineChars="200"/>
                    <w:outlineLvl w:val="0"/>
                    <w:rPr>
                      <w:rFonts w:hint="eastAsia" w:ascii="Times New Roman" w:hAnsi="Times New Roman"/>
                      <w:snapToGrid w:val="0"/>
                      <w:color w:val="auto"/>
                      <w:szCs w:val="24"/>
                      <w:highlight w:val="none"/>
                      <w:vertAlign w:val="baseline"/>
                      <w:lang w:val="en-US" w:eastAsia="zh-CN"/>
                    </w:rPr>
                  </w:pPr>
                  <w:r>
                    <w:rPr>
                      <w:rFonts w:hint="eastAsia" w:ascii="宋体" w:hAnsi="宋体" w:eastAsia="宋体" w:cs="宋体"/>
                      <w:color w:val="auto"/>
                      <w:kern w:val="2"/>
                      <w:sz w:val="21"/>
                      <w:szCs w:val="21"/>
                      <w:highlight w:val="none"/>
                      <w:lang w:val="en-US" w:eastAsia="zh-CN" w:bidi="ar-SA"/>
                    </w:rPr>
                    <w:t>48h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689"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498" w:type="dxa"/>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 xml:space="preserve">药物性废物 </w:t>
                  </w:r>
                </w:p>
              </w:tc>
              <w:tc>
                <w:tcPr>
                  <w:tcW w:w="1214" w:type="dxa"/>
                </w:tcPr>
                <w:p>
                  <w:pPr>
                    <w:pStyle w:val="24"/>
                    <w:spacing w:before="0" w:beforeAutospacing="0" w:after="0" w:afterAutospacing="0" w:line="360" w:lineRule="auto"/>
                    <w:ind w:left="0" w:leftChars="0" w:firstLine="0" w:firstLineChars="0"/>
                    <w:jc w:val="center"/>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HW01</w:t>
                  </w:r>
                </w:p>
              </w:tc>
              <w:tc>
                <w:tcPr>
                  <w:tcW w:w="1357" w:type="dxa"/>
                </w:tcPr>
                <w:p>
                  <w:pPr>
                    <w:pStyle w:val="24"/>
                    <w:spacing w:before="0" w:beforeAutospacing="0" w:after="0" w:afterAutospacing="0" w:line="360" w:lineRule="auto"/>
                    <w:ind w:left="0" w:leftChars="0" w:firstLine="0" w:firstLineChars="0"/>
                    <w:jc w:val="center"/>
                    <w:outlineLvl w:val="0"/>
                    <w:rPr>
                      <w:rFonts w:hint="eastAsia" w:ascii="Times New Roman" w:hAnsi="Times New Roman"/>
                      <w:snapToGrid w:val="0"/>
                      <w:color w:val="auto"/>
                      <w:szCs w:val="24"/>
                      <w:highlight w:val="none"/>
                      <w:vertAlign w:val="baseline"/>
                      <w:lang w:val="en-US" w:eastAsia="zh-CN"/>
                    </w:rPr>
                  </w:pPr>
                  <w:r>
                    <w:rPr>
                      <w:rFonts w:hint="eastAsia" w:ascii="宋体" w:hAnsi="宋体" w:eastAsia="宋体" w:cs="宋体"/>
                      <w:color w:val="auto"/>
                      <w:sz w:val="21"/>
                      <w:szCs w:val="21"/>
                      <w:highlight w:val="none"/>
                      <w:lang w:val="en-US" w:eastAsia="zh-CN"/>
                    </w:rPr>
                    <w:t>841-005-01</w:t>
                  </w:r>
                </w:p>
              </w:tc>
              <w:tc>
                <w:tcPr>
                  <w:tcW w:w="1029"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440"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951" w:type="dxa"/>
                </w:tcPr>
                <w:p>
                  <w:pPr>
                    <w:keepNext w:val="0"/>
                    <w:keepLines w:val="0"/>
                    <w:widowControl/>
                    <w:suppressLineNumbers w:val="0"/>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专用容器密封收集</w:t>
                  </w:r>
                </w:p>
              </w:tc>
              <w:tc>
                <w:tcPr>
                  <w:tcW w:w="1141"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224" w:type="dxa"/>
                </w:tcPr>
                <w:p>
                  <w:pPr>
                    <w:spacing w:before="0" w:beforeAutospacing="0" w:after="0" w:afterAutospacing="0" w:line="360" w:lineRule="auto"/>
                    <w:ind w:firstLine="420" w:firstLineChars="200"/>
                    <w:outlineLvl w:val="0"/>
                    <w:rPr>
                      <w:rFonts w:hint="eastAsia" w:ascii="Times New Roman" w:hAnsi="Times New Roman"/>
                      <w:snapToGrid w:val="0"/>
                      <w:color w:val="auto"/>
                      <w:szCs w:val="24"/>
                      <w:highlight w:val="none"/>
                      <w:vertAlign w:val="baseline"/>
                      <w:lang w:val="en-US" w:eastAsia="zh-CN"/>
                    </w:rPr>
                  </w:pPr>
                  <w:r>
                    <w:rPr>
                      <w:rFonts w:hint="eastAsia" w:ascii="宋体" w:hAnsi="宋体" w:eastAsia="宋体" w:cs="宋体"/>
                      <w:color w:val="auto"/>
                      <w:kern w:val="2"/>
                      <w:sz w:val="21"/>
                      <w:szCs w:val="21"/>
                      <w:highlight w:val="none"/>
                      <w:lang w:val="en-US" w:eastAsia="zh-CN" w:bidi="ar-SA"/>
                    </w:rPr>
                    <w:t>48h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689"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498" w:type="dxa"/>
                  <w:vAlign w:val="center"/>
                </w:tcPr>
                <w:p>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废活性炭</w:t>
                  </w:r>
                </w:p>
              </w:tc>
              <w:tc>
                <w:tcPr>
                  <w:tcW w:w="1214" w:type="dxa"/>
                  <w:vAlign w:val="top"/>
                </w:tcPr>
                <w:p>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HW49</w:t>
                  </w:r>
                </w:p>
              </w:tc>
              <w:tc>
                <w:tcPr>
                  <w:tcW w:w="1357" w:type="dxa"/>
                  <w:vAlign w:val="top"/>
                </w:tcPr>
                <w:p>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900-039-49</w:t>
                  </w:r>
                </w:p>
              </w:tc>
              <w:tc>
                <w:tcPr>
                  <w:tcW w:w="1029"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440"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951" w:type="dxa"/>
                </w:tcPr>
                <w:p>
                  <w:pPr>
                    <w:keepNext w:val="0"/>
                    <w:keepLines w:val="0"/>
                    <w:widowControl/>
                    <w:suppressLineNumbers w:val="0"/>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专用容器密封收集</w:t>
                  </w:r>
                </w:p>
              </w:tc>
              <w:tc>
                <w:tcPr>
                  <w:tcW w:w="1141"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224" w:type="dxa"/>
                </w:tcPr>
                <w:p>
                  <w:pPr>
                    <w:spacing w:before="0" w:beforeAutospacing="0" w:after="0" w:afterAutospacing="0" w:line="360" w:lineRule="auto"/>
                    <w:ind w:firstLine="420" w:firstLineChars="200"/>
                    <w:outlineLvl w:val="0"/>
                    <w:rPr>
                      <w:rFonts w:hint="default" w:ascii="Times New Roman" w:hAnsi="Times New Roman"/>
                      <w:snapToGrid w:val="0"/>
                      <w:color w:val="auto"/>
                      <w:szCs w:val="24"/>
                      <w:highlight w:val="none"/>
                      <w:vertAlign w:val="baseline"/>
                      <w:lang w:val="en-US" w:eastAsia="zh-CN"/>
                    </w:rPr>
                  </w:pPr>
                  <w:r>
                    <w:rPr>
                      <w:rFonts w:hint="eastAsia" w:ascii="宋体" w:hAnsi="宋体" w:cs="宋体"/>
                      <w:color w:val="auto"/>
                      <w:kern w:val="2"/>
                      <w:sz w:val="21"/>
                      <w:szCs w:val="21"/>
                      <w:highlight w:val="none"/>
                      <w:lang w:val="en-US" w:eastAsia="zh-CN" w:bidi="ar-SA"/>
                    </w:rPr>
                    <w:t>1个月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689"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498" w:type="dxa"/>
                  <w:vAlign w:val="center"/>
                </w:tcPr>
                <w:p>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废UV灯管</w:t>
                  </w:r>
                </w:p>
              </w:tc>
              <w:tc>
                <w:tcPr>
                  <w:tcW w:w="1214" w:type="dxa"/>
                  <w:vAlign w:val="top"/>
                </w:tcPr>
                <w:p>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HW29</w:t>
                  </w:r>
                </w:p>
              </w:tc>
              <w:tc>
                <w:tcPr>
                  <w:tcW w:w="1357" w:type="dxa"/>
                  <w:vAlign w:val="top"/>
                </w:tcPr>
                <w:p>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900-023-29</w:t>
                  </w:r>
                </w:p>
              </w:tc>
              <w:tc>
                <w:tcPr>
                  <w:tcW w:w="1029"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440"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951" w:type="dxa"/>
                </w:tcPr>
                <w:p>
                  <w:pPr>
                    <w:keepNext w:val="0"/>
                    <w:keepLines w:val="0"/>
                    <w:widowControl/>
                    <w:suppressLineNumbers w:val="0"/>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专用容器密封收集</w:t>
                  </w:r>
                </w:p>
              </w:tc>
              <w:tc>
                <w:tcPr>
                  <w:tcW w:w="1141"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224" w:type="dxa"/>
                </w:tcPr>
                <w:p>
                  <w:pPr>
                    <w:spacing w:before="0" w:beforeAutospacing="0" w:after="0" w:afterAutospacing="0" w:line="360" w:lineRule="auto"/>
                    <w:ind w:firstLine="420" w:firstLineChars="200"/>
                    <w:outlineLvl w:val="0"/>
                    <w:rPr>
                      <w:rFonts w:hint="eastAsia" w:ascii="Times New Roman" w:hAnsi="Times New Roman"/>
                      <w:snapToGrid w:val="0"/>
                      <w:color w:val="auto"/>
                      <w:szCs w:val="24"/>
                      <w:highlight w:val="none"/>
                      <w:vertAlign w:val="baseline"/>
                      <w:lang w:val="en-US" w:eastAsia="zh-CN"/>
                    </w:rPr>
                  </w:pPr>
                  <w:r>
                    <w:rPr>
                      <w:rFonts w:hint="eastAsia" w:ascii="宋体" w:hAnsi="宋体" w:cs="宋体"/>
                      <w:color w:val="auto"/>
                      <w:kern w:val="2"/>
                      <w:sz w:val="21"/>
                      <w:szCs w:val="21"/>
                      <w:highlight w:val="none"/>
                      <w:lang w:val="en-US" w:eastAsia="zh-CN" w:bidi="ar-SA"/>
                    </w:rPr>
                    <w:t>1个月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689"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49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废水处理设施污泥</w:t>
                  </w:r>
                </w:p>
              </w:tc>
              <w:tc>
                <w:tcPr>
                  <w:tcW w:w="1214" w:type="dxa"/>
                  <w:vAlign w:val="top"/>
                </w:tcPr>
                <w:p>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HW49</w:t>
                  </w:r>
                </w:p>
              </w:tc>
              <w:tc>
                <w:tcPr>
                  <w:tcW w:w="1357" w:type="dxa"/>
                  <w:vAlign w:val="top"/>
                </w:tcPr>
                <w:p>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772-006-49</w:t>
                  </w:r>
                </w:p>
              </w:tc>
              <w:tc>
                <w:tcPr>
                  <w:tcW w:w="1029"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440"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951" w:type="dxa"/>
                </w:tcPr>
                <w:p>
                  <w:pPr>
                    <w:keepNext w:val="0"/>
                    <w:keepLines w:val="0"/>
                    <w:widowControl/>
                    <w:suppressLineNumbers w:val="0"/>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专用容器密封收集</w:t>
                  </w:r>
                </w:p>
              </w:tc>
              <w:tc>
                <w:tcPr>
                  <w:tcW w:w="1141"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224" w:type="dxa"/>
                </w:tcPr>
                <w:p>
                  <w:pPr>
                    <w:spacing w:before="0" w:beforeAutospacing="0" w:after="0" w:afterAutospacing="0" w:line="360" w:lineRule="auto"/>
                    <w:ind w:firstLine="420" w:firstLineChars="200"/>
                    <w:outlineLvl w:val="0"/>
                    <w:rPr>
                      <w:rFonts w:hint="eastAsia" w:ascii="Times New Roman" w:hAnsi="Times New Roman"/>
                      <w:snapToGrid w:val="0"/>
                      <w:color w:val="auto"/>
                      <w:szCs w:val="24"/>
                      <w:highlight w:val="none"/>
                      <w:vertAlign w:val="baseline"/>
                      <w:lang w:val="en-US" w:eastAsia="zh-CN"/>
                    </w:rPr>
                  </w:pPr>
                  <w:r>
                    <w:rPr>
                      <w:rFonts w:hint="eastAsia" w:ascii="宋体" w:hAnsi="宋体" w:cs="宋体"/>
                      <w:color w:val="auto"/>
                      <w:kern w:val="2"/>
                      <w:sz w:val="21"/>
                      <w:szCs w:val="21"/>
                      <w:highlight w:val="none"/>
                      <w:lang w:val="en-US" w:eastAsia="zh-CN" w:bidi="ar-SA"/>
                    </w:rPr>
                    <w:t>1个月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689"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49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检验废液</w:t>
                  </w:r>
                </w:p>
              </w:tc>
              <w:tc>
                <w:tcPr>
                  <w:tcW w:w="1214" w:type="dxa"/>
                  <w:vAlign w:val="top"/>
                </w:tcPr>
                <w:p>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HW03</w:t>
                  </w:r>
                </w:p>
              </w:tc>
              <w:tc>
                <w:tcPr>
                  <w:tcW w:w="1357" w:type="dxa"/>
                  <w:vAlign w:val="top"/>
                </w:tcPr>
                <w:p>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900-002-03</w:t>
                  </w:r>
                </w:p>
              </w:tc>
              <w:tc>
                <w:tcPr>
                  <w:tcW w:w="1029"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440"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951"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采用防渗、防漏的</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容器单独盛装，设</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snapToGrid w:val="0"/>
                      <w:color w:val="auto"/>
                      <w:szCs w:val="24"/>
                      <w:highlight w:val="none"/>
                      <w:vertAlign w:val="baseline"/>
                      <w:lang w:val="en-US" w:eastAsia="zh-CN"/>
                    </w:rPr>
                  </w:pPr>
                  <w:r>
                    <w:rPr>
                      <w:rFonts w:hint="eastAsia" w:ascii="宋体" w:hAnsi="宋体" w:eastAsia="宋体" w:cs="宋体"/>
                      <w:color w:val="auto"/>
                      <w:kern w:val="2"/>
                      <w:sz w:val="21"/>
                      <w:szCs w:val="21"/>
                      <w:highlight w:val="none"/>
                      <w:lang w:val="en-US" w:eastAsia="zh-CN" w:bidi="ar-SA"/>
                    </w:rPr>
                    <w:t>置托盘</w:t>
                  </w:r>
                </w:p>
              </w:tc>
              <w:tc>
                <w:tcPr>
                  <w:tcW w:w="1141" w:type="dxa"/>
                  <w:vMerge w:val="continue"/>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p>
              </w:tc>
              <w:tc>
                <w:tcPr>
                  <w:tcW w:w="1224" w:type="dxa"/>
                </w:tcPr>
                <w:p>
                  <w:pPr>
                    <w:pStyle w:val="24"/>
                    <w:spacing w:before="0" w:beforeAutospacing="0" w:after="0" w:afterAutospacing="0" w:line="360" w:lineRule="auto"/>
                    <w:outlineLvl w:val="0"/>
                    <w:rPr>
                      <w:rFonts w:hint="eastAsia" w:ascii="Times New Roman" w:hAnsi="Times New Roman"/>
                      <w:snapToGrid w:val="0"/>
                      <w:color w:val="auto"/>
                      <w:szCs w:val="24"/>
                      <w:highlight w:val="none"/>
                      <w:vertAlign w:val="baseline"/>
                      <w:lang w:val="en-US" w:eastAsia="zh-CN"/>
                    </w:rPr>
                  </w:pPr>
                  <w:r>
                    <w:rPr>
                      <w:rFonts w:hint="eastAsia" w:ascii="宋体" w:hAnsi="宋体" w:eastAsia="宋体" w:cs="宋体"/>
                      <w:color w:val="auto"/>
                      <w:kern w:val="2"/>
                      <w:sz w:val="21"/>
                      <w:szCs w:val="21"/>
                      <w:highlight w:val="none"/>
                      <w:lang w:val="en-US" w:eastAsia="zh-CN" w:bidi="ar-SA"/>
                    </w:rPr>
                    <w:t>48h</w:t>
                  </w:r>
                </w:p>
              </w:tc>
            </w:tr>
          </w:tbl>
          <w:p>
            <w:pPr>
              <w:pStyle w:val="24"/>
              <w:spacing w:before="0" w:beforeAutospacing="0" w:after="0" w:afterAutospacing="0" w:line="360" w:lineRule="auto"/>
              <w:outlineLvl w:val="0"/>
              <w:rPr>
                <w:rFonts w:hint="eastAsia" w:ascii="Times New Roman" w:hAnsi="Times New Roman"/>
                <w:snapToGrid w:val="0"/>
                <w:color w:val="auto"/>
                <w:szCs w:val="24"/>
                <w:highlight w:val="none"/>
                <w:lang w:val="en-US" w:eastAsia="zh-CN"/>
              </w:rPr>
            </w:pPr>
          </w:p>
          <w:p>
            <w:pPr>
              <w:pStyle w:val="24"/>
              <w:spacing w:before="0" w:beforeAutospacing="0" w:after="0" w:afterAutospacing="0" w:line="360" w:lineRule="auto"/>
              <w:outlineLvl w:val="0"/>
              <w:rPr>
                <w:rFonts w:hint="eastAsia" w:ascii="Times New Roman" w:hAnsi="Times New Roman"/>
                <w:snapToGrid w:val="0"/>
                <w:color w:val="auto"/>
                <w:szCs w:val="24"/>
                <w:highlight w:val="none"/>
                <w:lang w:val="en-US" w:eastAsia="zh-CN"/>
              </w:rPr>
            </w:pPr>
          </w:p>
          <w:p>
            <w:pPr>
              <w:pStyle w:val="24"/>
              <w:spacing w:before="0" w:beforeAutospacing="0" w:after="0" w:afterAutospacing="0" w:line="360" w:lineRule="auto"/>
              <w:outlineLvl w:val="0"/>
              <w:rPr>
                <w:rFonts w:hint="eastAsia" w:ascii="Times New Roman" w:hAnsi="Times New Roman"/>
                <w:snapToGrid w:val="0"/>
                <w:color w:val="auto"/>
                <w:szCs w:val="24"/>
                <w:highlight w:val="none"/>
                <w:lang w:val="en-US" w:eastAsia="zh-CN"/>
              </w:rPr>
            </w:pPr>
          </w:p>
          <w:p>
            <w:pPr>
              <w:pStyle w:val="24"/>
              <w:spacing w:before="0" w:beforeAutospacing="0" w:after="0" w:afterAutospacing="0" w:line="360" w:lineRule="auto"/>
              <w:outlineLvl w:val="0"/>
              <w:rPr>
                <w:rFonts w:hint="eastAsia" w:ascii="Times New Roman" w:hAnsi="Times New Roman"/>
                <w:snapToGrid w:val="0"/>
                <w:color w:val="auto"/>
                <w:szCs w:val="24"/>
                <w:highlight w:val="none"/>
                <w:lang w:val="en-US" w:eastAsia="zh-CN"/>
              </w:rPr>
            </w:pPr>
          </w:p>
        </w:tc>
      </w:tr>
    </w:tbl>
    <w:p>
      <w:pPr>
        <w:pStyle w:val="24"/>
        <w:jc w:val="center"/>
        <w:outlineLvl w:val="0"/>
        <w:rPr>
          <w:rFonts w:ascii="Times New Roman" w:hAnsi="Times New Roman" w:eastAsia="黑体"/>
          <w:snapToGrid w:val="0"/>
          <w:color w:val="auto"/>
          <w:sz w:val="30"/>
          <w:szCs w:val="30"/>
          <w:highlight w:val="none"/>
        </w:rPr>
      </w:pPr>
    </w:p>
    <w:p>
      <w:pPr>
        <w:pStyle w:val="24"/>
        <w:jc w:val="center"/>
        <w:outlineLvl w:val="0"/>
        <w:rPr>
          <w:rFonts w:ascii="Times New Roman" w:hAnsi="Times New Roman" w:eastAsia="黑体"/>
          <w:snapToGrid w:val="0"/>
          <w:color w:val="auto"/>
          <w:sz w:val="30"/>
          <w:szCs w:val="30"/>
          <w:highlight w:val="none"/>
        </w:rPr>
      </w:pPr>
    </w:p>
    <w:p>
      <w:pPr>
        <w:pStyle w:val="24"/>
        <w:jc w:val="center"/>
        <w:outlineLvl w:val="0"/>
        <w:rPr>
          <w:rFonts w:ascii="Times New Roman" w:hAnsi="Times New Roman" w:eastAsia="黑体"/>
          <w:snapToGrid w:val="0"/>
          <w:color w:val="auto"/>
          <w:sz w:val="30"/>
          <w:szCs w:val="30"/>
          <w:highlight w:val="none"/>
        </w:rPr>
        <w:sectPr>
          <w:pgSz w:w="16838" w:h="11906" w:orient="landscape"/>
          <w:pgMar w:top="1531" w:right="1701" w:bottom="1531" w:left="1701"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9"/>
        <w:tblW w:w="9061"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
      <w:tblGrid>
        <w:gridCol w:w="752"/>
        <w:gridCol w:w="830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trHeight w:val="11308" w:hRule="atLeast"/>
          <w:jc w:val="center"/>
        </w:trPr>
        <w:tc>
          <w:tcPr>
            <w:tcW w:w="752" w:type="dxa"/>
            <w:tcBorders>
              <w:tl2br w:val="nil"/>
              <w:tr2bl w:val="nil"/>
            </w:tcBorders>
            <w:vAlign w:val="center"/>
          </w:tcPr>
          <w:p>
            <w:pPr>
              <w:pStyle w:val="24"/>
              <w:adjustRightInd w:val="0"/>
              <w:snapToGrid w:val="0"/>
              <w:spacing w:before="0" w:beforeAutospacing="0" w:after="0" w:afterAutospacing="0"/>
              <w:ind w:left="0" w:leftChars="0" w:firstLine="0" w:firstLineChars="0"/>
              <w:jc w:val="both"/>
              <w:rPr>
                <w:rFonts w:ascii="Times New Roman" w:hAnsi="Times New Roman"/>
                <w:color w:val="auto"/>
                <w:szCs w:val="24"/>
                <w:highlight w:val="none"/>
              </w:rPr>
            </w:pPr>
          </w:p>
        </w:tc>
        <w:tc>
          <w:tcPr>
            <w:tcW w:w="8309" w:type="dxa"/>
            <w:tcBorders>
              <w:tl2br w:val="nil"/>
              <w:tr2bl w:val="nil"/>
            </w:tcBorders>
          </w:tcPr>
          <w:p>
            <w:pPr>
              <w:keepNext w:val="0"/>
              <w:keepLines w:val="0"/>
              <w:widowControl/>
              <w:suppressLineNumbers w:val="0"/>
              <w:ind w:left="0" w:leftChars="0" w:firstLine="0" w:firstLineChars="0"/>
              <w:jc w:val="left"/>
              <w:rPr>
                <w:rFonts w:hint="eastAsia" w:ascii="宋体" w:hAnsi="宋体" w:eastAsia="宋体" w:cs="宋体"/>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 xml:space="preserve">4.6 </w:t>
            </w:r>
            <w:r>
              <w:rPr>
                <w:rFonts w:hint="eastAsia" w:ascii="宋体" w:hAnsi="宋体" w:eastAsia="宋体" w:cs="宋体"/>
                <w:b/>
                <w:bCs/>
                <w:color w:val="auto"/>
                <w:kern w:val="0"/>
                <w:sz w:val="24"/>
                <w:szCs w:val="24"/>
                <w:highlight w:val="none"/>
                <w:lang w:val="en-US" w:eastAsia="zh-CN" w:bidi="ar"/>
              </w:rPr>
              <w:t>地下水及土壤环境影响及保护措施</w:t>
            </w:r>
          </w:p>
          <w:p>
            <w:pPr>
              <w:keepNext w:val="0"/>
              <w:keepLines w:val="0"/>
              <w:widowControl/>
              <w:suppressLineNumbers w:val="0"/>
              <w:ind w:left="0" w:leftChars="0" w:firstLine="0" w:firstLineChars="0"/>
              <w:jc w:val="left"/>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w:t>
            </w:r>
            <w:r>
              <w:rPr>
                <w:rFonts w:hint="default" w:ascii="宋体" w:hAnsi="宋体" w:eastAsia="宋体" w:cs="宋体"/>
                <w:b/>
                <w:bCs/>
                <w:color w:val="auto"/>
                <w:kern w:val="0"/>
                <w:sz w:val="24"/>
                <w:szCs w:val="24"/>
                <w:highlight w:val="none"/>
                <w:lang w:val="en-US" w:eastAsia="zh-CN" w:bidi="ar"/>
              </w:rPr>
              <w:t>1</w:t>
            </w:r>
            <w:r>
              <w:rPr>
                <w:rFonts w:hint="eastAsia" w:ascii="宋体" w:hAnsi="宋体" w:eastAsia="宋体" w:cs="宋体"/>
                <w:b/>
                <w:bCs/>
                <w:color w:val="auto"/>
                <w:kern w:val="0"/>
                <w:sz w:val="24"/>
                <w:szCs w:val="24"/>
                <w:highlight w:val="none"/>
                <w:lang w:val="en-US" w:eastAsia="zh-CN" w:bidi="ar"/>
              </w:rPr>
              <w:t>）地下水、土壤污染源、污染物类型及污染途径</w:t>
            </w:r>
          </w:p>
          <w:p>
            <w:pPr>
              <w:keepNext w:val="0"/>
              <w:keepLines w:val="0"/>
              <w:widowControl/>
              <w:suppressLineNumbers w:val="0"/>
              <w:jc w:val="left"/>
              <w:rPr>
                <w:color w:val="auto"/>
                <w:highlight w:val="none"/>
              </w:rPr>
            </w:pPr>
            <w:r>
              <w:rPr>
                <w:rFonts w:hint="default"/>
                <w:b/>
                <w:bCs/>
                <w:color w:val="auto"/>
                <w:highlight w:val="none"/>
                <w:lang w:val="en-US" w:eastAsia="zh-CN"/>
              </w:rPr>
              <w:t>表4</w:t>
            </w:r>
            <w:r>
              <w:rPr>
                <w:rFonts w:hint="eastAsia"/>
                <w:b/>
                <w:bCs/>
                <w:color w:val="auto"/>
                <w:highlight w:val="none"/>
                <w:lang w:val="en-US" w:eastAsia="zh-CN"/>
              </w:rPr>
              <w:t>.28</w:t>
            </w:r>
            <w:r>
              <w:rPr>
                <w:rFonts w:hint="default"/>
                <w:b/>
                <w:bCs/>
                <w:color w:val="auto"/>
                <w:highlight w:val="none"/>
                <w:lang w:val="en-US" w:eastAsia="zh-CN"/>
              </w:rPr>
              <w:t xml:space="preserve"> </w:t>
            </w:r>
            <w:r>
              <w:rPr>
                <w:rFonts w:hint="eastAsia" w:ascii="宋体" w:hAnsi="宋体" w:eastAsia="宋体" w:cs="宋体"/>
                <w:b/>
                <w:bCs/>
                <w:color w:val="auto"/>
                <w:kern w:val="0"/>
                <w:sz w:val="24"/>
                <w:szCs w:val="24"/>
                <w:highlight w:val="none"/>
                <w:lang w:val="en-US" w:eastAsia="zh-CN" w:bidi="ar"/>
              </w:rPr>
              <w:t>地下水、土壤污染源、污染物类型及污染途径情况一览表</w:t>
            </w:r>
          </w:p>
          <w:tbl>
            <w:tblPr>
              <w:tblStyle w:val="30"/>
              <w:tblW w:w="80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7"/>
              <w:gridCol w:w="3424"/>
              <w:gridCol w:w="2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817"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210" w:firstLineChars="10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污染源</w:t>
                  </w:r>
                </w:p>
              </w:tc>
              <w:tc>
                <w:tcPr>
                  <w:tcW w:w="3424" w:type="dxa"/>
                </w:tcPr>
                <w:p>
                  <w:pPr>
                    <w:keepNext w:val="0"/>
                    <w:keepLines w:val="0"/>
                    <w:widowControl/>
                    <w:suppressLineNumbers w:val="0"/>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污染物类型</w:t>
                  </w:r>
                </w:p>
              </w:tc>
              <w:tc>
                <w:tcPr>
                  <w:tcW w:w="2852"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210" w:firstLineChars="10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污染途径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trPr>
              <w:tc>
                <w:tcPr>
                  <w:tcW w:w="1817"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柴油发电机房</w:t>
                  </w:r>
                </w:p>
              </w:tc>
              <w:tc>
                <w:tcPr>
                  <w:tcW w:w="3424"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210" w:firstLineChars="10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柴油</w:t>
                  </w:r>
                </w:p>
              </w:tc>
              <w:tc>
                <w:tcPr>
                  <w:tcW w:w="2852"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210" w:firstLineChars="10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垂直入渗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17"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医疗废物暂存间</w:t>
                  </w:r>
                </w:p>
              </w:tc>
              <w:tc>
                <w:tcPr>
                  <w:tcW w:w="3424"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210" w:firstLineChars="10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检验废液等</w:t>
                  </w:r>
                </w:p>
              </w:tc>
              <w:tc>
                <w:tcPr>
                  <w:tcW w:w="2852" w:type="dxa"/>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210" w:firstLineChars="10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垂直入渗</w:t>
                  </w:r>
                </w:p>
              </w:tc>
            </w:tr>
          </w:tbl>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2</w:t>
            </w:r>
            <w:r>
              <w:rPr>
                <w:rFonts w:hint="eastAsia" w:ascii="宋体" w:hAnsi="宋体" w:eastAsia="宋体" w:cs="宋体"/>
                <w:b/>
                <w:bCs/>
                <w:color w:val="auto"/>
                <w:kern w:val="0"/>
                <w:sz w:val="24"/>
                <w:szCs w:val="24"/>
                <w:highlight w:val="none"/>
                <w:lang w:val="en-US" w:eastAsia="zh-CN" w:bidi="ar"/>
              </w:rPr>
              <w:t xml:space="preserve">）防控措施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本项目地下水及土壤污染防治措施按照“源头控制、分区防治、污染监控、应急响应”相结合的原则，从污染物的产生、入渗、扩散、应急响应全方位进行控制。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①源头控制措施 </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I</w:t>
            </w:r>
            <w:r>
              <w:rPr>
                <w:rFonts w:hint="eastAsia" w:ascii="宋体" w:hAnsi="宋体" w:eastAsia="宋体" w:cs="宋体"/>
                <w:color w:val="auto"/>
                <w:kern w:val="0"/>
                <w:sz w:val="24"/>
                <w:szCs w:val="24"/>
                <w:highlight w:val="none"/>
                <w:lang w:val="en-US" w:eastAsia="zh-CN" w:bidi="ar"/>
              </w:rPr>
              <w:t xml:space="preserve">、医疗废物暂存间及柴油发电机房进行防腐防渗措施，且柴油发电机房及医疗废物暂存间地面设置托盘或围堰。如地面采取防渗，防止检验废液及柴油等滴落地面造成污染。 </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II</w:t>
            </w:r>
            <w:r>
              <w:rPr>
                <w:rFonts w:hint="eastAsia" w:ascii="宋体" w:hAnsi="宋体" w:eastAsia="宋体" w:cs="宋体"/>
                <w:color w:val="auto"/>
                <w:kern w:val="0"/>
                <w:sz w:val="24"/>
                <w:szCs w:val="24"/>
                <w:highlight w:val="none"/>
                <w:lang w:val="en-US" w:eastAsia="zh-CN" w:bidi="ar"/>
              </w:rPr>
              <w:t xml:space="preserve">、工作人员应加强场地的检修、加固，防止渗漏，对地下水造成污染。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②防渗分区防治及措施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根据防渗分区技术方法及本项目的工程分析，将医疗废物暂存间及柴油发电机房、事故池划分为重点防渗区；其他区域按照简单防渗区建设，做好混凝土硬化要求。 </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0"/>
                <w:szCs w:val="20"/>
                <w:highlight w:val="none"/>
                <w:lang w:val="en-US" w:eastAsia="zh-CN" w:bidi="ar"/>
              </w:rPr>
              <w:t>I</w:t>
            </w:r>
            <w:r>
              <w:rPr>
                <w:rFonts w:hint="eastAsia" w:ascii="宋体" w:hAnsi="宋体" w:eastAsia="宋体" w:cs="宋体"/>
                <w:color w:val="auto"/>
                <w:kern w:val="0"/>
                <w:sz w:val="20"/>
                <w:szCs w:val="20"/>
                <w:highlight w:val="none"/>
                <w:lang w:val="en-US" w:eastAsia="zh-CN" w:bidi="ar"/>
              </w:rPr>
              <w:t>、</w:t>
            </w:r>
            <w:r>
              <w:rPr>
                <w:rFonts w:hint="eastAsia" w:ascii="宋体" w:hAnsi="宋体" w:eastAsia="宋体" w:cs="宋体"/>
                <w:color w:val="auto"/>
                <w:kern w:val="0"/>
                <w:sz w:val="24"/>
                <w:szCs w:val="24"/>
                <w:highlight w:val="none"/>
                <w:lang w:val="en-US" w:eastAsia="zh-CN" w:bidi="ar"/>
              </w:rPr>
              <w:t>重点防渗区：按照《危险废物贮存污染控制标准》的要求，地面采用坚固、防渗、耐腐蚀的钢筋混凝土材料铺设，地面按照《环境影响评价技术导则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地下水环境》（</w:t>
            </w:r>
            <w:r>
              <w:rPr>
                <w:rFonts w:hint="default" w:ascii="Times New Roman" w:hAnsi="Times New Roman" w:eastAsia="宋体" w:cs="Times New Roman"/>
                <w:color w:val="auto"/>
                <w:kern w:val="0"/>
                <w:sz w:val="24"/>
                <w:szCs w:val="24"/>
                <w:highlight w:val="none"/>
                <w:lang w:val="en-US" w:eastAsia="zh-CN" w:bidi="ar"/>
              </w:rPr>
              <w:t>HJ610-2016</w:t>
            </w:r>
            <w:r>
              <w:rPr>
                <w:rFonts w:hint="eastAsia" w:ascii="宋体" w:hAnsi="宋体" w:eastAsia="宋体" w:cs="宋体"/>
                <w:color w:val="auto"/>
                <w:kern w:val="0"/>
                <w:sz w:val="24"/>
                <w:szCs w:val="24"/>
                <w:highlight w:val="none"/>
                <w:lang w:val="en-US" w:eastAsia="zh-CN" w:bidi="ar"/>
              </w:rPr>
              <w:t xml:space="preserve">）中等效黏土防渗层 </w:t>
            </w:r>
            <w:r>
              <w:rPr>
                <w:rFonts w:hint="default" w:ascii="Times New Roman" w:hAnsi="Times New Roman" w:eastAsia="宋体" w:cs="Times New Roman"/>
                <w:color w:val="auto"/>
                <w:kern w:val="0"/>
                <w:sz w:val="24"/>
                <w:szCs w:val="24"/>
                <w:highlight w:val="none"/>
                <w:lang w:val="en-US" w:eastAsia="zh-CN" w:bidi="ar"/>
              </w:rPr>
              <w:t>Mb≥6.0m</w:t>
            </w:r>
            <w:r>
              <w:rPr>
                <w:rFonts w:hint="eastAsia" w:ascii="宋体" w:hAnsi="宋体" w:eastAsia="宋体" w:cs="宋体"/>
                <w:color w:val="auto"/>
                <w:kern w:val="0"/>
                <w:sz w:val="24"/>
                <w:szCs w:val="24"/>
                <w:highlight w:val="none"/>
                <w:lang w:val="en-US" w:eastAsia="zh-CN" w:bidi="ar"/>
              </w:rPr>
              <w:t xml:space="preserve">，渗透系数 </w:t>
            </w:r>
            <w:r>
              <w:rPr>
                <w:rFonts w:hint="default" w:ascii="Times New Roman" w:hAnsi="Times New Roman" w:eastAsia="宋体" w:cs="Times New Roman"/>
                <w:color w:val="auto"/>
                <w:kern w:val="0"/>
                <w:sz w:val="24"/>
                <w:szCs w:val="24"/>
                <w:highlight w:val="none"/>
                <w:lang w:val="en-US" w:eastAsia="zh-CN" w:bidi="ar"/>
              </w:rPr>
              <w:t>K≤1.0×10</w:t>
            </w:r>
            <w:r>
              <w:rPr>
                <w:rFonts w:hint="eastAsia" w:cs="Times New Roman"/>
                <w:color w:val="auto"/>
                <w:kern w:val="0"/>
                <w:sz w:val="24"/>
                <w:szCs w:val="24"/>
                <w:highlight w:val="none"/>
                <w:vertAlign w:val="superscript"/>
                <w:lang w:val="en-US" w:eastAsia="zh-CN" w:bidi="ar"/>
              </w:rPr>
              <w:t>-7</w:t>
            </w:r>
            <w:r>
              <w:rPr>
                <w:rFonts w:hint="default" w:ascii="Times New Roman" w:hAnsi="Times New Roman" w:eastAsia="宋体" w:cs="Times New Roman"/>
                <w:color w:val="auto"/>
                <w:kern w:val="0"/>
                <w:sz w:val="24"/>
                <w:szCs w:val="24"/>
                <w:highlight w:val="none"/>
                <w:lang w:val="en-US" w:eastAsia="zh-CN" w:bidi="ar"/>
              </w:rPr>
              <w:t xml:space="preserve">cm/s </w:t>
            </w:r>
            <w:r>
              <w:rPr>
                <w:rFonts w:hint="eastAsia" w:ascii="宋体" w:hAnsi="宋体" w:eastAsia="宋体" w:cs="宋体"/>
                <w:color w:val="auto"/>
                <w:kern w:val="0"/>
                <w:sz w:val="24"/>
                <w:szCs w:val="24"/>
                <w:highlight w:val="none"/>
                <w:lang w:val="en-US" w:eastAsia="zh-CN" w:bidi="ar"/>
              </w:rPr>
              <w:t xml:space="preserve">的要求。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③风险事故应急响应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发现渗漏时应立即停止运营，组织人员查明渗漏源头，采取补救措施。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④跟踪监测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本项目不设置地下储罐，所有物料均储存于地面，一旦发生泄漏可及时发现，可以保证对污染源进行监控。若确因项目生产对周边的地下水、土壤造成污染事故的，建设单位应积极查漏，并切断泄漏源，并采取相应的补救措施杜绝此类事故的发生和消除污染造成的影响。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综上，本项目对可能产生地下水及土壤影响的各项途径均进行有效预防，在确保各项防渗措施得到落实，并加强维护和厂区环境管理的前提下，可有效控制厂区内的液态污染物下渗现象，避免污染地下水及土壤，因此本项目不会对地下水及土壤环境产生明显影响。</w:t>
            </w:r>
          </w:p>
          <w:p>
            <w:pPr>
              <w:keepNext w:val="0"/>
              <w:keepLines w:val="0"/>
              <w:widowControl/>
              <w:suppressLineNumbers w:val="0"/>
              <w:ind w:left="0" w:leftChars="0" w:firstLine="0" w:firstLineChars="0"/>
              <w:jc w:val="left"/>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 xml:space="preserve">4.7 </w:t>
            </w:r>
            <w:r>
              <w:rPr>
                <w:rFonts w:hint="eastAsia" w:ascii="Times New Roman" w:hAnsi="Times New Roman" w:eastAsia="宋体" w:cs="Times New Roman"/>
                <w:b/>
                <w:bCs/>
                <w:color w:val="auto"/>
                <w:kern w:val="0"/>
                <w:sz w:val="24"/>
                <w:szCs w:val="24"/>
                <w:highlight w:val="none"/>
                <w:lang w:val="en-US" w:eastAsia="zh-CN" w:bidi="ar"/>
              </w:rPr>
              <w:t>环境风险环境影响及保护措施</w:t>
            </w:r>
          </w:p>
          <w:p>
            <w:pPr>
              <w:keepNext w:val="0"/>
              <w:keepLines w:val="0"/>
              <w:widowControl/>
              <w:suppressLineNumbers w:val="0"/>
              <w:jc w:val="left"/>
              <w:rPr>
                <w:color w:val="auto"/>
                <w:highlight w:val="none"/>
              </w:rPr>
            </w:pPr>
            <w:r>
              <w:rPr>
                <w:rFonts w:hint="default" w:ascii="Times New Roman" w:hAnsi="Times New Roman" w:eastAsia="宋体" w:cs="Times New Roman"/>
                <w:b/>
                <w:bCs/>
                <w:color w:val="auto"/>
                <w:kern w:val="0"/>
                <w:sz w:val="24"/>
                <w:szCs w:val="24"/>
                <w:highlight w:val="none"/>
                <w:lang w:val="en-US" w:eastAsia="zh-CN" w:bidi="ar"/>
              </w:rPr>
              <w:t>1</w:t>
            </w:r>
            <w:r>
              <w:rPr>
                <w:rFonts w:hint="eastAsia" w:ascii="宋体" w:hAnsi="宋体" w:eastAsia="宋体" w:cs="宋体"/>
                <w:b/>
                <w:bCs/>
                <w:color w:val="auto"/>
                <w:kern w:val="0"/>
                <w:sz w:val="24"/>
                <w:szCs w:val="24"/>
                <w:highlight w:val="none"/>
                <w:lang w:val="en-US" w:eastAsia="zh-CN" w:bidi="ar"/>
              </w:rPr>
              <w:t xml:space="preserve">、风险物质识别 </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w:t>
            </w:r>
            <w:r>
              <w:rPr>
                <w:rFonts w:hint="default" w:ascii="宋体" w:hAnsi="宋体" w:eastAsia="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 xml:space="preserve">）风险源调查 </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根据《建设项目风险评价技术导则》（</w:t>
            </w:r>
            <w:r>
              <w:rPr>
                <w:rFonts w:hint="default" w:ascii="宋体" w:hAnsi="宋体" w:eastAsia="宋体" w:cs="宋体"/>
                <w:color w:val="auto"/>
                <w:kern w:val="0"/>
                <w:sz w:val="24"/>
                <w:szCs w:val="24"/>
                <w:highlight w:val="none"/>
                <w:lang w:val="en-US" w:eastAsia="zh-CN" w:bidi="ar"/>
              </w:rPr>
              <w:t>HJ169-2018</w:t>
            </w:r>
            <w:r>
              <w:rPr>
                <w:rFonts w:hint="eastAsia" w:ascii="宋体" w:hAnsi="宋体" w:eastAsia="宋体" w:cs="宋体"/>
                <w:color w:val="auto"/>
                <w:kern w:val="0"/>
                <w:sz w:val="24"/>
                <w:szCs w:val="24"/>
                <w:highlight w:val="none"/>
                <w:lang w:val="en-US" w:eastAsia="zh-CN" w:bidi="ar"/>
              </w:rPr>
              <w:t>）附录</w:t>
            </w:r>
            <w:r>
              <w:rPr>
                <w:rFonts w:hint="default" w:ascii="宋体" w:hAnsi="宋体" w:eastAsia="宋体" w:cs="宋体"/>
                <w:color w:val="auto"/>
                <w:kern w:val="0"/>
                <w:sz w:val="24"/>
                <w:szCs w:val="24"/>
                <w:highlight w:val="none"/>
                <w:lang w:val="en-US" w:eastAsia="zh-CN" w:bidi="ar"/>
              </w:rPr>
              <w:t>B</w:t>
            </w:r>
            <w:r>
              <w:rPr>
                <w:rFonts w:hint="eastAsia" w:ascii="宋体" w:hAnsi="宋体" w:eastAsia="宋体" w:cs="宋体"/>
                <w:color w:val="auto"/>
                <w:kern w:val="0"/>
                <w:sz w:val="24"/>
                <w:szCs w:val="24"/>
                <w:highlight w:val="none"/>
                <w:lang w:val="en-US" w:eastAsia="zh-CN" w:bidi="ar"/>
              </w:rPr>
              <w:t>可知，本项目主要环境风险物质为酒精、柴油，其统计情况见下表。</w:t>
            </w:r>
          </w:p>
          <w:p>
            <w:pPr>
              <w:keepNext w:val="0"/>
              <w:keepLines w:val="0"/>
              <w:widowControl/>
              <w:suppressLineNumbers w:val="0"/>
              <w:jc w:val="center"/>
              <w:rPr>
                <w:color w:val="auto"/>
                <w:highlight w:val="none"/>
              </w:rPr>
            </w:pPr>
            <w:r>
              <w:rPr>
                <w:rFonts w:hint="default"/>
                <w:b/>
                <w:bCs/>
                <w:color w:val="auto"/>
                <w:highlight w:val="none"/>
                <w:lang w:val="en-US" w:eastAsia="zh-CN"/>
              </w:rPr>
              <w:t>表4</w:t>
            </w:r>
            <w:r>
              <w:rPr>
                <w:rFonts w:hint="eastAsia"/>
                <w:b/>
                <w:bCs/>
                <w:color w:val="auto"/>
                <w:highlight w:val="none"/>
                <w:lang w:val="en-US" w:eastAsia="zh-CN"/>
              </w:rPr>
              <w:t>.29</w:t>
            </w:r>
            <w:r>
              <w:rPr>
                <w:rFonts w:hint="default"/>
                <w:b/>
                <w:bCs/>
                <w:color w:val="auto"/>
                <w:highlight w:val="none"/>
                <w:lang w:val="en-US" w:eastAsia="zh-CN"/>
              </w:rPr>
              <w:t xml:space="preserve"> </w:t>
            </w:r>
            <w:r>
              <w:rPr>
                <w:rFonts w:hint="eastAsia" w:ascii="宋体" w:hAnsi="宋体" w:cs="宋体"/>
                <w:b/>
                <w:bCs/>
                <w:color w:val="auto"/>
                <w:kern w:val="0"/>
                <w:sz w:val="24"/>
                <w:szCs w:val="24"/>
                <w:highlight w:val="none"/>
                <w:lang w:val="en-US" w:eastAsia="zh-CN" w:bidi="ar"/>
              </w:rPr>
              <w:t>拟建项目危险物质统计</w:t>
            </w:r>
            <w:r>
              <w:rPr>
                <w:rFonts w:hint="eastAsia" w:ascii="宋体" w:hAnsi="宋体" w:eastAsia="宋体" w:cs="宋体"/>
                <w:b/>
                <w:bCs/>
                <w:color w:val="auto"/>
                <w:kern w:val="0"/>
                <w:sz w:val="24"/>
                <w:szCs w:val="24"/>
                <w:highlight w:val="none"/>
                <w:lang w:val="en-US" w:eastAsia="zh-CN" w:bidi="ar"/>
              </w:rPr>
              <w:t>表</w:t>
            </w:r>
          </w:p>
          <w:tbl>
            <w:tblPr>
              <w:tblStyle w:val="30"/>
              <w:tblW w:w="80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372"/>
              <w:gridCol w:w="1426"/>
              <w:gridCol w:w="1156"/>
              <w:gridCol w:w="1156"/>
              <w:gridCol w:w="1156"/>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0" w:type="dxa"/>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序号</w:t>
                  </w:r>
                </w:p>
              </w:tc>
              <w:tc>
                <w:tcPr>
                  <w:tcW w:w="1372" w:type="dxa"/>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名称</w:t>
                  </w:r>
                </w:p>
              </w:tc>
              <w:tc>
                <w:tcPr>
                  <w:tcW w:w="1426" w:type="dxa"/>
                </w:tcPr>
                <w:p>
                  <w:pPr>
                    <w:pStyle w:val="27"/>
                    <w:ind w:left="0" w:leftChars="0" w:firstLine="0" w:firstLineChars="0"/>
                    <w:jc w:val="center"/>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储存位置</w:t>
                  </w:r>
                </w:p>
              </w:tc>
              <w:tc>
                <w:tcPr>
                  <w:tcW w:w="1156" w:type="dxa"/>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储存方式</w:t>
                  </w:r>
                </w:p>
              </w:tc>
              <w:tc>
                <w:tcPr>
                  <w:tcW w:w="1156" w:type="dxa"/>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最大储存量（</w:t>
                  </w:r>
                  <w:r>
                    <w:rPr>
                      <w:rFonts w:hint="default" w:ascii="Times New Roman" w:hAnsi="Times New Roman" w:eastAsia="宋体" w:cs="Times New Roman"/>
                      <w:color w:val="auto"/>
                      <w:kern w:val="2"/>
                      <w:sz w:val="21"/>
                      <w:szCs w:val="21"/>
                      <w:highlight w:val="none"/>
                      <w:vertAlign w:val="baseline"/>
                      <w:lang w:val="en-US" w:eastAsia="zh-CN" w:bidi="ar-SA"/>
                    </w:rPr>
                    <w:t>t</w:t>
                  </w:r>
                  <w:r>
                    <w:rPr>
                      <w:rFonts w:hint="eastAsia" w:ascii="Times New Roman" w:hAnsi="Times New Roman" w:eastAsia="宋体" w:cs="Times New Roman"/>
                      <w:color w:val="auto"/>
                      <w:kern w:val="2"/>
                      <w:sz w:val="21"/>
                      <w:szCs w:val="21"/>
                      <w:highlight w:val="none"/>
                      <w:vertAlign w:val="baseline"/>
                      <w:lang w:val="en-US" w:eastAsia="zh-CN" w:bidi="ar-SA"/>
                    </w:rPr>
                    <w:t>）</w:t>
                  </w:r>
                </w:p>
              </w:tc>
              <w:tc>
                <w:tcPr>
                  <w:tcW w:w="1156" w:type="dxa"/>
                </w:tcPr>
                <w:p>
                  <w:pPr>
                    <w:pStyle w:val="27"/>
                    <w:ind w:left="0" w:leftChars="0" w:firstLine="0" w:firstLineChars="0"/>
                    <w:jc w:val="center"/>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储存周期</w:t>
                  </w:r>
                </w:p>
              </w:tc>
              <w:tc>
                <w:tcPr>
                  <w:tcW w:w="1157" w:type="dxa"/>
                </w:tcPr>
                <w:p>
                  <w:pPr>
                    <w:pStyle w:val="27"/>
                    <w:ind w:left="0" w:leftChars="0" w:firstLine="0" w:firstLineChars="0"/>
                    <w:jc w:val="center"/>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0" w:type="dxa"/>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1</w:t>
                  </w:r>
                </w:p>
              </w:tc>
              <w:tc>
                <w:tcPr>
                  <w:tcW w:w="1372" w:type="dxa"/>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75%酒精</w:t>
                  </w:r>
                </w:p>
              </w:tc>
              <w:tc>
                <w:tcPr>
                  <w:tcW w:w="1426" w:type="dxa"/>
                </w:tcPr>
                <w:p>
                  <w:pPr>
                    <w:pStyle w:val="27"/>
                    <w:ind w:left="0" w:leftChars="0" w:firstLine="0" w:firstLineChars="0"/>
                    <w:jc w:val="center"/>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药房</w:t>
                  </w:r>
                </w:p>
              </w:tc>
              <w:tc>
                <w:tcPr>
                  <w:tcW w:w="1156" w:type="dxa"/>
                </w:tcPr>
                <w:p>
                  <w:pPr>
                    <w:pStyle w:val="27"/>
                    <w:ind w:left="0" w:leftChars="0" w:firstLine="0" w:firstLineChars="0"/>
                    <w:jc w:val="center"/>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w:t>
                  </w:r>
                </w:p>
              </w:tc>
              <w:tc>
                <w:tcPr>
                  <w:tcW w:w="1156" w:type="dxa"/>
                </w:tcPr>
                <w:p>
                  <w:pPr>
                    <w:pStyle w:val="27"/>
                    <w:ind w:left="0" w:leftChars="0" w:firstLine="0" w:firstLineChars="0"/>
                    <w:jc w:val="center"/>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0.0007</w:t>
                  </w:r>
                </w:p>
              </w:tc>
              <w:tc>
                <w:tcPr>
                  <w:tcW w:w="1156" w:type="dxa"/>
                </w:tcPr>
                <w:p>
                  <w:pPr>
                    <w:pStyle w:val="27"/>
                    <w:ind w:left="0" w:leftChars="0" w:firstLine="0" w:firstLineChars="0"/>
                    <w:jc w:val="center"/>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1月</w:t>
                  </w:r>
                </w:p>
              </w:tc>
              <w:tc>
                <w:tcPr>
                  <w:tcW w:w="1157" w:type="dxa"/>
                  <w:vMerge w:val="restart"/>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常温常压储存</w:t>
                  </w:r>
                </w:p>
                <w:p>
                  <w:pPr>
                    <w:pStyle w:val="27"/>
                    <w:ind w:left="0" w:leftChars="0" w:firstLine="0" w:firstLineChars="0"/>
                    <w:rPr>
                      <w:rFonts w:hint="eastAsia" w:ascii="宋体" w:hAnsi="宋体" w:eastAsia="宋体" w:cs="宋体"/>
                      <w:b/>
                      <w:bCs/>
                      <w:color w:val="auto"/>
                      <w:kern w:val="0"/>
                      <w:sz w:val="21"/>
                      <w:szCs w:val="21"/>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670" w:type="dxa"/>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2</w:t>
                  </w:r>
                </w:p>
              </w:tc>
              <w:tc>
                <w:tcPr>
                  <w:tcW w:w="1372" w:type="dxa"/>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柴油</w:t>
                  </w:r>
                </w:p>
              </w:tc>
              <w:tc>
                <w:tcPr>
                  <w:tcW w:w="1426" w:type="dxa"/>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柴油发电机房</w:t>
                  </w:r>
                </w:p>
              </w:tc>
              <w:tc>
                <w:tcPr>
                  <w:tcW w:w="1156" w:type="dxa"/>
                </w:tcPr>
                <w:p>
                  <w:pPr>
                    <w:pStyle w:val="27"/>
                    <w:ind w:left="0" w:leftChars="0" w:firstLine="0" w:firstLineChars="0"/>
                    <w:jc w:val="center"/>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桶装</w:t>
                  </w:r>
                </w:p>
              </w:tc>
              <w:tc>
                <w:tcPr>
                  <w:tcW w:w="1156" w:type="dxa"/>
                </w:tcPr>
                <w:p>
                  <w:pPr>
                    <w:pStyle w:val="27"/>
                    <w:ind w:left="0" w:leftChars="0" w:firstLine="0" w:firstLineChars="0"/>
                    <w:jc w:val="center"/>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0.6</w:t>
                  </w:r>
                </w:p>
              </w:tc>
              <w:tc>
                <w:tcPr>
                  <w:tcW w:w="1156" w:type="dxa"/>
                </w:tcPr>
                <w:p>
                  <w:pPr>
                    <w:pStyle w:val="27"/>
                    <w:ind w:left="0" w:leftChars="0" w:firstLine="0" w:firstLineChars="0"/>
                    <w:jc w:val="center"/>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w:t>
                  </w:r>
                </w:p>
              </w:tc>
              <w:tc>
                <w:tcPr>
                  <w:tcW w:w="1157" w:type="dxa"/>
                  <w:vMerge w:val="continue"/>
                </w:tcPr>
                <w:p>
                  <w:pPr>
                    <w:pStyle w:val="27"/>
                    <w:rPr>
                      <w:rFonts w:hint="eastAsia" w:ascii="宋体" w:hAnsi="宋体" w:eastAsia="宋体" w:cs="宋体"/>
                      <w:b/>
                      <w:bCs/>
                      <w:color w:val="auto"/>
                      <w:kern w:val="0"/>
                      <w:sz w:val="21"/>
                      <w:szCs w:val="21"/>
                      <w:highlight w:val="none"/>
                      <w:vertAlign w:val="baseline"/>
                      <w:lang w:val="en-US" w:eastAsia="zh-CN" w:bidi="ar"/>
                    </w:rPr>
                  </w:pP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2、</w:t>
            </w:r>
            <w:r>
              <w:rPr>
                <w:rFonts w:hint="eastAsia" w:ascii="Times New Roman" w:hAnsi="Times New Roman" w:eastAsia="宋体" w:cs="Times New Roman"/>
                <w:b/>
                <w:bCs/>
                <w:color w:val="auto"/>
                <w:kern w:val="0"/>
                <w:sz w:val="24"/>
                <w:szCs w:val="24"/>
                <w:highlight w:val="none"/>
                <w:lang w:val="en-US" w:eastAsia="zh-CN" w:bidi="ar"/>
              </w:rPr>
              <w:t>风险潜势初判及评价等级</w:t>
            </w:r>
          </w:p>
          <w:p>
            <w:pPr>
              <w:keepNext w:val="0"/>
              <w:keepLines w:val="0"/>
              <w:pageBreakBefore w:val="0"/>
              <w:widowControl w:val="0"/>
              <w:tabs>
                <w:tab w:val="left" w:pos="3675"/>
              </w:tabs>
              <w:kinsoku/>
              <w:wordWrap/>
              <w:overflowPunct/>
              <w:topLinePunct w:val="0"/>
              <w:autoSpaceDE/>
              <w:autoSpaceDN/>
              <w:bidi w:val="0"/>
              <w:adjustRightInd/>
              <w:snapToGrid/>
              <w:spacing w:line="360" w:lineRule="auto"/>
              <w:ind w:firstLine="480" w:firstLineChars="200"/>
              <w:textAlignment w:val="auto"/>
              <w:rPr>
                <w:color w:val="auto"/>
                <w:highlight w:val="none"/>
              </w:rPr>
            </w:pPr>
            <w:bookmarkStart w:id="5" w:name="_Toc936"/>
            <w:r>
              <w:rPr>
                <w:color w:val="auto"/>
                <w:highlight w:val="none"/>
              </w:rPr>
              <w:t>根据《建设项目环境风险评价技术导则》（HJ169-2018），对项目使用的原辅材料进行判定，判断其风险源类型，具体见表</w:t>
            </w:r>
            <w:r>
              <w:rPr>
                <w:rFonts w:hint="eastAsia"/>
                <w:color w:val="auto"/>
                <w:highlight w:val="none"/>
                <w:lang w:val="en-US" w:eastAsia="zh-CN"/>
              </w:rPr>
              <w:t>4.30</w:t>
            </w:r>
            <w:r>
              <w:rPr>
                <w:color w:val="auto"/>
                <w:highlight w:val="none"/>
              </w:rPr>
              <w:t>。</w:t>
            </w:r>
          </w:p>
          <w:p>
            <w:pPr>
              <w:keepNext w:val="0"/>
              <w:keepLines w:val="0"/>
              <w:widowControl/>
              <w:suppressLineNumbers w:val="0"/>
              <w:jc w:val="center"/>
              <w:rPr>
                <w:rFonts w:hint="eastAsia"/>
                <w:b/>
                <w:bCs/>
                <w:color w:val="auto"/>
                <w:highlight w:val="none"/>
                <w:lang w:val="en-US" w:eastAsia="zh-CN"/>
              </w:rPr>
            </w:pPr>
            <w:r>
              <w:rPr>
                <w:rFonts w:hint="eastAsia"/>
                <w:b/>
                <w:bCs/>
                <w:color w:val="auto"/>
                <w:highlight w:val="none"/>
                <w:lang w:val="en-US" w:eastAsia="zh-CN"/>
              </w:rPr>
              <w:t>表4.30  项目主要危险物料的特性、贮存情况与临界量对比表</w:t>
            </w:r>
          </w:p>
          <w:tbl>
            <w:tblPr>
              <w:tblStyle w:val="29"/>
              <w:tblW w:w="741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3"/>
              <w:gridCol w:w="1140"/>
              <w:gridCol w:w="1011"/>
              <w:gridCol w:w="1510"/>
              <w:gridCol w:w="1007"/>
              <w:gridCol w:w="965"/>
              <w:gridCol w:w="11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0" w:hRule="atLeast"/>
                <w:jc w:val="center"/>
              </w:trPr>
              <w:tc>
                <w:tcPr>
                  <w:tcW w:w="633" w:type="dxa"/>
                  <w:tcBorders>
                    <w:top w:val="single" w:color="000000" w:sz="4" w:space="0"/>
                    <w:left w:val="single" w:color="000000" w:sz="4" w:space="0"/>
                    <w:bottom w:val="single" w:color="000000" w:sz="4" w:space="0"/>
                    <w:right w:val="single" w:color="000000" w:sz="4" w:space="0"/>
                  </w:tcBorders>
                  <w:noWrap w:val="0"/>
                  <w:vAlign w:val="center"/>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序号</w:t>
                  </w:r>
                </w:p>
              </w:tc>
              <w:tc>
                <w:tcPr>
                  <w:tcW w:w="1140" w:type="dxa"/>
                  <w:tcBorders>
                    <w:top w:val="single" w:color="000000" w:sz="4" w:space="0"/>
                    <w:left w:val="nil"/>
                    <w:bottom w:val="single" w:color="000000" w:sz="4" w:space="0"/>
                    <w:right w:val="single" w:color="000000" w:sz="4" w:space="0"/>
                  </w:tcBorders>
                  <w:noWrap w:val="0"/>
                  <w:vAlign w:val="center"/>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物料名称</w:t>
                  </w:r>
                </w:p>
              </w:tc>
              <w:tc>
                <w:tcPr>
                  <w:tcW w:w="1011" w:type="dxa"/>
                  <w:tcBorders>
                    <w:top w:val="single" w:color="000000" w:sz="4" w:space="0"/>
                    <w:left w:val="nil"/>
                    <w:bottom w:val="single" w:color="000000" w:sz="4" w:space="0"/>
                    <w:right w:val="single" w:color="000000" w:sz="4" w:space="0"/>
                  </w:tcBorders>
                  <w:noWrap w:val="0"/>
                  <w:vAlign w:val="center"/>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CAS</w:t>
                  </w:r>
                </w:p>
              </w:tc>
              <w:tc>
                <w:tcPr>
                  <w:tcW w:w="1510" w:type="dxa"/>
                  <w:tcBorders>
                    <w:top w:val="single" w:color="000000" w:sz="4" w:space="0"/>
                    <w:left w:val="nil"/>
                    <w:bottom w:val="single" w:color="000000" w:sz="4" w:space="0"/>
                    <w:right w:val="single" w:color="000000" w:sz="4" w:space="0"/>
                  </w:tcBorders>
                  <w:noWrap w:val="0"/>
                  <w:vAlign w:val="center"/>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存放地点</w:t>
                  </w:r>
                </w:p>
              </w:tc>
              <w:tc>
                <w:tcPr>
                  <w:tcW w:w="1007" w:type="dxa"/>
                  <w:tcBorders>
                    <w:top w:val="single" w:color="000000" w:sz="4" w:space="0"/>
                    <w:left w:val="nil"/>
                    <w:bottom w:val="single" w:color="000000" w:sz="4" w:space="0"/>
                    <w:right w:val="single" w:color="auto" w:sz="4" w:space="0"/>
                  </w:tcBorders>
                  <w:noWrap w:val="0"/>
                  <w:vAlign w:val="center"/>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贮存量（t）</w:t>
                  </w:r>
                </w:p>
              </w:tc>
              <w:tc>
                <w:tcPr>
                  <w:tcW w:w="965" w:type="dxa"/>
                  <w:tcBorders>
                    <w:top w:val="single" w:color="000000" w:sz="4" w:space="0"/>
                    <w:left w:val="nil"/>
                    <w:bottom w:val="single" w:color="000000" w:sz="4" w:space="0"/>
                    <w:right w:val="single" w:color="000000" w:sz="4" w:space="0"/>
                  </w:tcBorders>
                  <w:noWrap w:val="0"/>
                  <w:vAlign w:val="center"/>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临界量（t）</w:t>
                  </w:r>
                </w:p>
              </w:tc>
              <w:tc>
                <w:tcPr>
                  <w:tcW w:w="1144" w:type="dxa"/>
                  <w:tcBorders>
                    <w:top w:val="single" w:color="000000" w:sz="4" w:space="0"/>
                    <w:left w:val="nil"/>
                    <w:bottom w:val="single" w:color="000000" w:sz="4" w:space="0"/>
                    <w:right w:val="single" w:color="000000" w:sz="4" w:space="0"/>
                  </w:tcBorders>
                  <w:noWrap w:val="0"/>
                  <w:vAlign w:val="center"/>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比值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0" w:hRule="atLeast"/>
                <w:jc w:val="center"/>
              </w:trPr>
              <w:tc>
                <w:tcPr>
                  <w:tcW w:w="633" w:type="dxa"/>
                  <w:tcBorders>
                    <w:top w:val="single" w:color="000000" w:sz="4" w:space="0"/>
                    <w:left w:val="single" w:color="000000" w:sz="4" w:space="0"/>
                    <w:bottom w:val="single" w:color="000000" w:sz="4" w:space="0"/>
                    <w:right w:val="single" w:color="000000" w:sz="4" w:space="0"/>
                  </w:tcBorders>
                  <w:noWrap w:val="0"/>
                  <w:vAlign w:val="center"/>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1</w:t>
                  </w:r>
                </w:p>
              </w:tc>
              <w:tc>
                <w:tcPr>
                  <w:tcW w:w="1140" w:type="dxa"/>
                  <w:tcBorders>
                    <w:top w:val="single" w:color="000000" w:sz="4" w:space="0"/>
                    <w:left w:val="nil"/>
                    <w:bottom w:val="single" w:color="000000" w:sz="4" w:space="0"/>
                    <w:right w:val="single" w:color="000000" w:sz="4" w:space="0"/>
                  </w:tcBorders>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75%酒精</w:t>
                  </w:r>
                </w:p>
              </w:tc>
              <w:tc>
                <w:tcPr>
                  <w:tcW w:w="1011" w:type="dxa"/>
                  <w:tcBorders>
                    <w:top w:val="single" w:color="000000" w:sz="4" w:space="0"/>
                    <w:left w:val="nil"/>
                    <w:bottom w:val="single" w:color="000000" w:sz="4" w:space="0"/>
                    <w:right w:val="single" w:color="000000" w:sz="4" w:space="0"/>
                  </w:tcBorders>
                  <w:noWrap w:val="0"/>
                  <w:vAlign w:val="center"/>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64-17-5</w:t>
                  </w:r>
                </w:p>
              </w:tc>
              <w:tc>
                <w:tcPr>
                  <w:tcW w:w="1510" w:type="dxa"/>
                  <w:tcBorders>
                    <w:top w:val="single" w:color="000000" w:sz="4" w:space="0"/>
                    <w:left w:val="nil"/>
                    <w:right w:val="single" w:color="000000" w:sz="4" w:space="0"/>
                  </w:tcBorders>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药房</w:t>
                  </w:r>
                </w:p>
              </w:tc>
              <w:tc>
                <w:tcPr>
                  <w:tcW w:w="1007" w:type="dxa"/>
                  <w:tcBorders>
                    <w:top w:val="single" w:color="000000" w:sz="4" w:space="0"/>
                    <w:left w:val="nil"/>
                    <w:bottom w:val="single" w:color="000000" w:sz="4" w:space="0"/>
                    <w:right w:val="single" w:color="auto" w:sz="4" w:space="0"/>
                  </w:tcBorders>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0.0007</w:t>
                  </w:r>
                </w:p>
              </w:tc>
              <w:tc>
                <w:tcPr>
                  <w:tcW w:w="965" w:type="dxa"/>
                  <w:tcBorders>
                    <w:top w:val="single" w:color="000000" w:sz="4" w:space="0"/>
                    <w:left w:val="nil"/>
                    <w:bottom w:val="single" w:color="000000" w:sz="4" w:space="0"/>
                    <w:right w:val="single" w:color="000000" w:sz="4" w:space="0"/>
                  </w:tcBorders>
                  <w:noWrap w:val="0"/>
                  <w:vAlign w:val="center"/>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500</w:t>
                  </w:r>
                </w:p>
              </w:tc>
              <w:tc>
                <w:tcPr>
                  <w:tcW w:w="1144" w:type="dxa"/>
                  <w:tcBorders>
                    <w:top w:val="single" w:color="000000" w:sz="4" w:space="0"/>
                    <w:left w:val="nil"/>
                    <w:bottom w:val="single" w:color="000000" w:sz="4" w:space="0"/>
                    <w:right w:val="single" w:color="000000" w:sz="4" w:space="0"/>
                  </w:tcBorders>
                  <w:noWrap w:val="0"/>
                  <w:vAlign w:val="center"/>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0.0000014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633" w:type="dxa"/>
                  <w:tcBorders>
                    <w:top w:val="single" w:color="000000" w:sz="4" w:space="0"/>
                    <w:left w:val="single" w:color="000000" w:sz="4" w:space="0"/>
                    <w:bottom w:val="single" w:color="000000" w:sz="4" w:space="0"/>
                    <w:right w:val="single" w:color="000000" w:sz="4" w:space="0"/>
                  </w:tcBorders>
                  <w:noWrap w:val="0"/>
                  <w:vAlign w:val="center"/>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2</w:t>
                  </w:r>
                </w:p>
              </w:tc>
              <w:tc>
                <w:tcPr>
                  <w:tcW w:w="1140" w:type="dxa"/>
                  <w:tcBorders>
                    <w:top w:val="single" w:color="000000" w:sz="4" w:space="0"/>
                    <w:left w:val="nil"/>
                    <w:bottom w:val="single" w:color="000000" w:sz="4" w:space="0"/>
                    <w:right w:val="single" w:color="000000" w:sz="4" w:space="0"/>
                  </w:tcBorders>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柴油</w:t>
                  </w:r>
                </w:p>
              </w:tc>
              <w:tc>
                <w:tcPr>
                  <w:tcW w:w="1011" w:type="dxa"/>
                  <w:tcBorders>
                    <w:top w:val="single" w:color="000000" w:sz="4" w:space="0"/>
                    <w:left w:val="nil"/>
                    <w:bottom w:val="single" w:color="000000" w:sz="4" w:space="0"/>
                    <w:right w:val="single" w:color="000000" w:sz="4" w:space="0"/>
                  </w:tcBorders>
                  <w:noWrap w:val="0"/>
                  <w:vAlign w:val="center"/>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w:t>
                  </w:r>
                </w:p>
              </w:tc>
              <w:tc>
                <w:tcPr>
                  <w:tcW w:w="1510" w:type="dxa"/>
                  <w:tcBorders>
                    <w:left w:val="nil"/>
                    <w:bottom w:val="single" w:color="000000" w:sz="4" w:space="0"/>
                    <w:right w:val="single" w:color="000000" w:sz="4" w:space="0"/>
                  </w:tcBorders>
                  <w:noWrap w:val="0"/>
                  <w:vAlign w:val="top"/>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柴油发电机房</w:t>
                  </w:r>
                </w:p>
              </w:tc>
              <w:tc>
                <w:tcPr>
                  <w:tcW w:w="1007" w:type="dxa"/>
                  <w:tcBorders>
                    <w:top w:val="single" w:color="000000" w:sz="4" w:space="0"/>
                    <w:left w:val="nil"/>
                    <w:bottom w:val="single" w:color="000000" w:sz="4" w:space="0"/>
                    <w:right w:val="single" w:color="auto" w:sz="4" w:space="0"/>
                  </w:tcBorders>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0.6</w:t>
                  </w:r>
                </w:p>
              </w:tc>
              <w:tc>
                <w:tcPr>
                  <w:tcW w:w="965" w:type="dxa"/>
                  <w:tcBorders>
                    <w:top w:val="single" w:color="000000" w:sz="4" w:space="0"/>
                    <w:left w:val="nil"/>
                    <w:bottom w:val="single" w:color="000000" w:sz="4" w:space="0"/>
                    <w:right w:val="single" w:color="000000" w:sz="4" w:space="0"/>
                  </w:tcBorders>
                  <w:noWrap w:val="0"/>
                  <w:vAlign w:val="center"/>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2500</w:t>
                  </w:r>
                </w:p>
              </w:tc>
              <w:tc>
                <w:tcPr>
                  <w:tcW w:w="1144" w:type="dxa"/>
                  <w:tcBorders>
                    <w:top w:val="single" w:color="000000" w:sz="4" w:space="0"/>
                    <w:left w:val="nil"/>
                    <w:bottom w:val="single" w:color="000000" w:sz="4" w:space="0"/>
                    <w:right w:val="single" w:color="000000" w:sz="4" w:space="0"/>
                  </w:tcBorders>
                  <w:noWrap w:val="0"/>
                  <w:vAlign w:val="center"/>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0.00</w:t>
                  </w:r>
                  <w:r>
                    <w:rPr>
                      <w:rFonts w:hint="eastAsia" w:cs="Times New Roman"/>
                      <w:color w:val="auto"/>
                      <w:kern w:val="2"/>
                      <w:sz w:val="21"/>
                      <w:szCs w:val="21"/>
                      <w:highlight w:val="none"/>
                      <w:vertAlign w:val="baseline"/>
                      <w:lang w:val="en-US" w:eastAsia="zh-CN" w:bidi="ar-SA"/>
                    </w:rPr>
                    <w:t>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633" w:type="dxa"/>
                  <w:tcBorders>
                    <w:top w:val="single" w:color="000000" w:sz="4" w:space="0"/>
                    <w:left w:val="single" w:color="000000" w:sz="4" w:space="0"/>
                    <w:bottom w:val="single" w:color="000000" w:sz="4" w:space="0"/>
                    <w:right w:val="single" w:color="000000" w:sz="4" w:space="0"/>
                  </w:tcBorders>
                  <w:noWrap w:val="0"/>
                  <w:vAlign w:val="center"/>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140" w:type="dxa"/>
                  <w:tcBorders>
                    <w:top w:val="single" w:color="000000" w:sz="4" w:space="0"/>
                    <w:left w:val="nil"/>
                    <w:bottom w:val="single" w:color="000000" w:sz="4" w:space="0"/>
                    <w:right w:val="single" w:color="000000" w:sz="4" w:space="0"/>
                  </w:tcBorders>
                  <w:noWrap w:val="0"/>
                  <w:vAlign w:val="center"/>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合计</w:t>
                  </w:r>
                </w:p>
              </w:tc>
              <w:tc>
                <w:tcPr>
                  <w:tcW w:w="4493" w:type="dxa"/>
                  <w:gridSpan w:val="4"/>
                  <w:tcBorders>
                    <w:top w:val="single" w:color="000000" w:sz="4" w:space="0"/>
                    <w:left w:val="nil"/>
                    <w:bottom w:val="single" w:color="000000" w:sz="4" w:space="0"/>
                    <w:right w:val="single" w:color="000000" w:sz="4" w:space="0"/>
                  </w:tcBorders>
                  <w:noWrap w:val="0"/>
                  <w:vAlign w:val="center"/>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w:t>
                  </w:r>
                </w:p>
              </w:tc>
              <w:tc>
                <w:tcPr>
                  <w:tcW w:w="1144" w:type="dxa"/>
                  <w:tcBorders>
                    <w:top w:val="single" w:color="000000" w:sz="4" w:space="0"/>
                    <w:left w:val="nil"/>
                    <w:bottom w:val="single" w:color="000000" w:sz="4" w:space="0"/>
                    <w:right w:val="single" w:color="000000" w:sz="4" w:space="0"/>
                  </w:tcBorders>
                  <w:noWrap w:val="0"/>
                  <w:vAlign w:val="center"/>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r>
                    <w:rPr>
                      <w:rFonts w:hint="eastAsia" w:cs="Times New Roman"/>
                      <w:color w:val="auto"/>
                      <w:kern w:val="2"/>
                      <w:sz w:val="21"/>
                      <w:szCs w:val="21"/>
                      <w:highlight w:val="none"/>
                      <w:vertAlign w:val="baseline"/>
                      <w:lang w:val="en-US" w:eastAsia="zh-CN" w:bidi="ar-SA"/>
                    </w:rPr>
                    <w:t>0002414</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color w:val="auto"/>
                <w:highlight w:val="none"/>
              </w:rPr>
            </w:pPr>
            <w:r>
              <w:rPr>
                <w:rFonts w:hint="eastAsia"/>
                <w:color w:val="auto"/>
                <w:highlight w:val="none"/>
              </w:rPr>
              <w:t>由上表可知，本项目Q=</w:t>
            </w:r>
            <w:r>
              <w:rPr>
                <w:rFonts w:hint="eastAsia"/>
                <w:color w:val="auto"/>
                <w:highlight w:val="none"/>
                <w:lang w:val="en-US" w:eastAsia="zh-CN"/>
              </w:rPr>
              <w:t>0.0002414</w:t>
            </w:r>
            <w:r>
              <w:rPr>
                <w:rFonts w:hint="eastAsia"/>
                <w:color w:val="auto"/>
                <w:highlight w:val="none"/>
              </w:rPr>
              <w:t>&lt;1，则本项目风险潜势为Ⅰ类。无需进行专题评价。根据《建设项目环境风险评价技术导则》（HJ 169-2018），本评价开展简单分析。</w:t>
            </w:r>
          </w:p>
          <w:bookmarkEnd w:id="5"/>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s="Times New Roman"/>
                <w:b/>
                <w:bCs/>
                <w:color w:val="auto"/>
                <w:kern w:val="0"/>
                <w:sz w:val="24"/>
                <w:szCs w:val="24"/>
                <w:highlight w:val="none"/>
                <w:lang w:val="en-US" w:eastAsia="zh-CN" w:bidi="ar"/>
              </w:rPr>
            </w:pPr>
            <w:r>
              <w:rPr>
                <w:rFonts w:hint="default" w:cs="Times New Roman"/>
                <w:b/>
                <w:bCs/>
                <w:color w:val="auto"/>
                <w:kern w:val="0"/>
                <w:sz w:val="24"/>
                <w:szCs w:val="24"/>
                <w:highlight w:val="none"/>
                <w:lang w:val="en-US" w:eastAsia="zh-CN" w:bidi="ar"/>
              </w:rPr>
              <w:t>3</w:t>
            </w:r>
            <w:r>
              <w:rPr>
                <w:rFonts w:hint="eastAsia" w:cs="Times New Roman"/>
                <w:b/>
                <w:bCs/>
                <w:color w:val="auto"/>
                <w:kern w:val="0"/>
                <w:sz w:val="24"/>
                <w:szCs w:val="24"/>
                <w:highlight w:val="none"/>
                <w:lang w:val="en-US" w:eastAsia="zh-CN" w:bidi="ar"/>
              </w:rPr>
              <w:t>、环境风险识别</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1</w:t>
            </w:r>
            <w:r>
              <w:rPr>
                <w:rFonts w:hint="eastAsia" w:ascii="宋体" w:hAnsi="宋体" w:eastAsia="宋体" w:cs="宋体"/>
                <w:b/>
                <w:bCs/>
                <w:color w:val="auto"/>
                <w:kern w:val="0"/>
                <w:sz w:val="24"/>
                <w:szCs w:val="24"/>
                <w:highlight w:val="none"/>
                <w:lang w:val="en-US" w:eastAsia="zh-CN" w:bidi="ar"/>
              </w:rPr>
              <w:t xml:space="preserve">）医疗废水事故排放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①风险分析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医院一体化医疗废水处理设施的污水非正常排放一般是指由于停电、污水处理设备故障、污染治理设施非正常使用等情况导致医院污水处理工艺的处理出水水质超过《医疗机构水污染物排放标准》（</w:t>
            </w:r>
            <w:r>
              <w:rPr>
                <w:rFonts w:hint="default" w:ascii="Times New Roman" w:hAnsi="Times New Roman" w:eastAsia="宋体" w:cs="Times New Roman"/>
                <w:color w:val="auto"/>
                <w:kern w:val="0"/>
                <w:sz w:val="24"/>
                <w:szCs w:val="24"/>
                <w:highlight w:val="none"/>
                <w:lang w:val="en-US" w:eastAsia="zh-CN" w:bidi="ar"/>
              </w:rPr>
              <w:t>GB18466-2005</w:t>
            </w:r>
            <w:r>
              <w:rPr>
                <w:rFonts w:hint="eastAsia" w:ascii="宋体" w:hAnsi="宋体" w:eastAsia="宋体" w:cs="宋体"/>
                <w:color w:val="auto"/>
                <w:kern w:val="0"/>
                <w:sz w:val="24"/>
                <w:szCs w:val="24"/>
                <w:highlight w:val="none"/>
                <w:lang w:val="en-US" w:eastAsia="zh-CN" w:bidi="ar"/>
              </w:rPr>
              <w:t xml:space="preserve">）预处理标准限值排入市政管网。未经处理的医疗废水内可能含有消毒剂、病毒、病菌、病原微生物、有毒有害和难生物降解的污染物，具有传染性，可以诱发疾病或造成伤害，若进入地表水体会对附近地表水环境造成不利影响。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②防范措施 </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、根据《医院污水处理工程技术规范》（</w:t>
            </w:r>
            <w:r>
              <w:rPr>
                <w:rFonts w:hint="default" w:ascii="Times New Roman" w:hAnsi="Times New Roman" w:eastAsia="宋体" w:cs="Times New Roman"/>
                <w:color w:val="auto"/>
                <w:kern w:val="0"/>
                <w:sz w:val="24"/>
                <w:szCs w:val="24"/>
                <w:highlight w:val="none"/>
                <w:lang w:val="en-US" w:eastAsia="zh-CN" w:bidi="ar"/>
              </w:rPr>
              <w:t>HJ2029-2013</w:t>
            </w:r>
            <w:r>
              <w:rPr>
                <w:rFonts w:hint="eastAsia" w:ascii="宋体" w:hAnsi="宋体" w:eastAsia="宋体" w:cs="宋体"/>
                <w:color w:val="auto"/>
                <w:kern w:val="0"/>
                <w:sz w:val="24"/>
                <w:szCs w:val="24"/>
                <w:highlight w:val="none"/>
                <w:lang w:val="en-US" w:eastAsia="zh-CN" w:bidi="ar"/>
              </w:rPr>
              <w:t>）规定，医院污水处理系统应设应急事故池，非传染病医院污水处理工程应急事故池容积不小于日排放量的</w:t>
            </w:r>
            <w:r>
              <w:rPr>
                <w:rFonts w:hint="default" w:ascii="Times New Roman" w:hAnsi="Times New Roman" w:eastAsia="宋体" w:cs="Times New Roman"/>
                <w:color w:val="auto"/>
                <w:kern w:val="0"/>
                <w:sz w:val="24"/>
                <w:szCs w:val="24"/>
                <w:highlight w:val="none"/>
                <w:lang w:val="en-US" w:eastAsia="zh-CN" w:bidi="ar"/>
              </w:rPr>
              <w:t>30%</w:t>
            </w:r>
            <w:r>
              <w:rPr>
                <w:rFonts w:hint="eastAsia" w:ascii="宋体" w:hAnsi="宋体" w:eastAsia="宋体" w:cs="宋体"/>
                <w:color w:val="auto"/>
                <w:kern w:val="0"/>
                <w:sz w:val="24"/>
                <w:szCs w:val="24"/>
                <w:highlight w:val="none"/>
                <w:lang w:val="en-US" w:eastAsia="zh-CN" w:bidi="ar"/>
              </w:rPr>
              <w:t>。拟建项目最大排水量</w:t>
            </w:r>
            <w:r>
              <w:rPr>
                <w:rFonts w:hint="eastAsia" w:ascii="Times New Roman" w:hAnsi="Times New Roman" w:eastAsia="宋体" w:cs="Times New Roman"/>
                <w:color w:val="auto"/>
                <w:kern w:val="0"/>
                <w:sz w:val="24"/>
                <w:szCs w:val="24"/>
                <w:highlight w:val="none"/>
                <w:lang w:val="en-US" w:eastAsia="zh-CN" w:bidi="ar"/>
              </w:rPr>
              <w:t>20.462</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15"/>
                <w:szCs w:val="15"/>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val="en-US" w:eastAsia="zh-CN" w:bidi="ar"/>
              </w:rPr>
              <w:t>，因此拟建项目应急事故池有效容积应不低于</w:t>
            </w:r>
            <w:r>
              <w:rPr>
                <w:rFonts w:hint="eastAsia"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 xml:space="preserve">，且应急事故池应配套完善的排水系统和切换阀，以保证事故突发时污水可全部进入应急事故池内，且出问题就停止用水，待事故结束后再分批次将事故池内的污水引入废水处理设施进行处理，直到事故解除。 </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b</w:t>
            </w:r>
            <w:r>
              <w:rPr>
                <w:rFonts w:hint="eastAsia" w:ascii="宋体" w:hAnsi="宋体" w:eastAsia="宋体" w:cs="宋体"/>
                <w:color w:val="auto"/>
                <w:kern w:val="0"/>
                <w:sz w:val="24"/>
                <w:szCs w:val="24"/>
                <w:highlight w:val="none"/>
                <w:lang w:val="en-US" w:eastAsia="zh-CN" w:bidi="ar"/>
              </w:rPr>
              <w:t xml:space="preserve">、一旦出现非正常情况，操作人员应立即关闭废水排放口阀门。查找原因，及时抢修，待废水处理设施系统正常运行后方可开启排放阀门。 </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c</w:t>
            </w:r>
            <w:r>
              <w:rPr>
                <w:rFonts w:hint="eastAsia" w:ascii="宋体" w:hAnsi="宋体" w:eastAsia="宋体" w:cs="宋体"/>
                <w:color w:val="auto"/>
                <w:kern w:val="0"/>
                <w:sz w:val="24"/>
                <w:szCs w:val="24"/>
                <w:highlight w:val="none"/>
                <w:lang w:val="en-US" w:eastAsia="zh-CN" w:bidi="ar"/>
              </w:rPr>
              <w:t xml:space="preserve">、加强废水处理设施的日常运行管理，加强对操作人员的岗位培训，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确保污水稳定达标排放，杜绝事故性排放。 </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val="en-US" w:eastAsia="zh-CN" w:bidi="ar"/>
              </w:rPr>
              <w:t xml:space="preserve">、按《医疗卫生机构医疗废物管理办法》第二章第五条：医疗卫生机构应当依据国家有关法律、行政法规、部门规章和规范性文件的规定，制定并落实医疗废物管理的规章制度、工作流程和要求、有关人员的工作职责及发生医疗卫生机构内医疗废物流失、泄漏、扩散和意外事故的应急方案。 </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2</w:t>
            </w:r>
            <w:r>
              <w:rPr>
                <w:rFonts w:hint="eastAsia" w:ascii="宋体" w:hAnsi="宋体" w:eastAsia="宋体" w:cs="宋体"/>
                <w:b/>
                <w:bCs/>
                <w:color w:val="auto"/>
                <w:kern w:val="0"/>
                <w:sz w:val="24"/>
                <w:szCs w:val="24"/>
                <w:highlight w:val="none"/>
                <w:lang w:val="en-US" w:eastAsia="zh-CN" w:bidi="ar"/>
              </w:rPr>
              <w:t xml:space="preserve">）医疗废物收集、暂存、转运风险分析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①风险分析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医疗废物在收集、储存、运输和处理处置过程中若管理不严或处置不当，极易成为传播病菌的源头，造成病毒感染。医疗废物应按照《医疗废物管理条例》规范操作和管理。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②防范措施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医疗废物科学分类收集是消除污染、无害化处置的保证，要采用专用容器，明确各类废弃物标识，分类包装，分类堆放，并本着及时、方便、安全、快捷的原则进行收集，并委托专业单位进行统一收运、处置，运输采用专门的车辆并密封运输，因此发生医疗废物污染事故的可能性很小。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如若发生医疗废物流失、泄漏、扩散和意外事故时，应当按照以下要求及时采取紧急处理措施：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Ⅰ、发生医疗废物流失、泄漏、扩散和意外事故时，应当在</w:t>
            </w:r>
            <w:r>
              <w:rPr>
                <w:rFonts w:hint="default" w:ascii="Times New Roman" w:hAnsi="Times New Roman" w:eastAsia="宋体" w:cs="Times New Roman"/>
                <w:color w:val="auto"/>
                <w:kern w:val="0"/>
                <w:sz w:val="24"/>
                <w:szCs w:val="24"/>
                <w:highlight w:val="none"/>
                <w:lang w:val="en-US" w:eastAsia="zh-CN" w:bidi="ar"/>
              </w:rPr>
              <w:t>48h</w:t>
            </w:r>
            <w:r>
              <w:rPr>
                <w:rFonts w:hint="eastAsia" w:ascii="宋体" w:hAnsi="宋体" w:eastAsia="宋体" w:cs="宋体"/>
                <w:color w:val="auto"/>
                <w:kern w:val="0"/>
                <w:sz w:val="24"/>
                <w:szCs w:val="24"/>
                <w:highlight w:val="none"/>
                <w:lang w:val="en-US" w:eastAsia="zh-CN" w:bidi="ar"/>
              </w:rPr>
              <w:t>内向当地卫生局、生态环境局报告；发生因医疗废物管理不当导致</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 xml:space="preserve">人以上死亡或者 </w:t>
            </w:r>
            <w:r>
              <w:rPr>
                <w:rFonts w:hint="default" w:ascii="Times New Roman" w:hAnsi="Times New Roman" w:eastAsia="宋体" w:cs="Times New Roman"/>
                <w:color w:val="auto"/>
                <w:kern w:val="0"/>
                <w:sz w:val="24"/>
                <w:szCs w:val="24"/>
                <w:highlight w:val="none"/>
                <w:lang w:val="en-US" w:eastAsia="zh-CN" w:bidi="ar"/>
              </w:rPr>
              <w:t xml:space="preserve">3 </w:t>
            </w:r>
            <w:r>
              <w:rPr>
                <w:rFonts w:hint="eastAsia" w:ascii="宋体" w:hAnsi="宋体" w:eastAsia="宋体" w:cs="宋体"/>
                <w:color w:val="auto"/>
                <w:kern w:val="0"/>
                <w:sz w:val="24"/>
                <w:szCs w:val="24"/>
                <w:highlight w:val="none"/>
                <w:lang w:val="en-US" w:eastAsia="zh-CN" w:bidi="ar"/>
              </w:rPr>
              <w:t xml:space="preserve">人以上健康损害，需要对致病人员提供医疗救护和现场救援时，应当在 </w:t>
            </w:r>
            <w:r>
              <w:rPr>
                <w:rFonts w:hint="default" w:ascii="Times New Roman" w:hAnsi="Times New Roman" w:eastAsia="宋体" w:cs="Times New Roman"/>
                <w:color w:val="auto"/>
                <w:kern w:val="0"/>
                <w:sz w:val="24"/>
                <w:szCs w:val="24"/>
                <w:highlight w:val="none"/>
                <w:lang w:val="en-US" w:eastAsia="zh-CN" w:bidi="ar"/>
              </w:rPr>
              <w:t xml:space="preserve">24h </w:t>
            </w:r>
            <w:r>
              <w:rPr>
                <w:rFonts w:hint="eastAsia" w:ascii="宋体" w:hAnsi="宋体" w:eastAsia="宋体" w:cs="宋体"/>
                <w:color w:val="auto"/>
                <w:kern w:val="0"/>
                <w:sz w:val="24"/>
                <w:szCs w:val="24"/>
                <w:highlight w:val="none"/>
                <w:lang w:val="en-US" w:eastAsia="zh-CN" w:bidi="ar"/>
              </w:rPr>
              <w:t xml:space="preserve">内向重庆市卫生局和重庆市生态环境局报告，并按以下规定采取紧急处理措施： </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 xml:space="preserve">、确定流失、泄漏、扩散的医疗废物的类别、数量、发生时间、影响范围及严重程度； </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b</w:t>
            </w:r>
            <w:r>
              <w:rPr>
                <w:rFonts w:hint="eastAsia" w:ascii="宋体" w:hAnsi="宋体" w:eastAsia="宋体" w:cs="宋体"/>
                <w:color w:val="auto"/>
                <w:kern w:val="0"/>
                <w:sz w:val="24"/>
                <w:szCs w:val="24"/>
                <w:highlight w:val="none"/>
                <w:lang w:val="en-US" w:eastAsia="zh-CN" w:bidi="ar"/>
              </w:rPr>
              <w:t xml:space="preserve">、组织有关人员对发生医疗废物泄漏、扩散的现场进行处理； </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c</w:t>
            </w:r>
            <w:r>
              <w:rPr>
                <w:rFonts w:hint="eastAsia" w:ascii="宋体" w:hAnsi="宋体" w:eastAsia="宋体" w:cs="宋体"/>
                <w:color w:val="auto"/>
                <w:kern w:val="0"/>
                <w:sz w:val="24"/>
                <w:szCs w:val="24"/>
                <w:highlight w:val="none"/>
                <w:lang w:val="en-US" w:eastAsia="zh-CN" w:bidi="ar"/>
              </w:rPr>
              <w:t xml:space="preserve">、对被医疗废物感染的区域进行处理时，应当尽可能减少对病人、医务人员、其他现场人员及环境的影响； </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val="en-US" w:eastAsia="zh-CN" w:bidi="ar"/>
              </w:rPr>
              <w:t>、采取适当的安全处置措施，对泄漏物及受污染的区域、物品进行消毒或者其他无害化处置，污染或可疑污染处用</w:t>
            </w:r>
            <w:r>
              <w:rPr>
                <w:rFonts w:hint="default" w:ascii="Times New Roman" w:hAnsi="Times New Roman" w:eastAsia="宋体" w:cs="Times New Roman"/>
                <w:color w:val="auto"/>
                <w:kern w:val="0"/>
                <w:sz w:val="24"/>
                <w:szCs w:val="24"/>
                <w:highlight w:val="none"/>
                <w:lang w:val="en-US" w:eastAsia="zh-CN" w:bidi="ar"/>
              </w:rPr>
              <w:t>2000mg/L</w:t>
            </w:r>
            <w:r>
              <w:rPr>
                <w:rFonts w:hint="eastAsia" w:ascii="宋体" w:hAnsi="宋体" w:eastAsia="宋体" w:cs="宋体"/>
                <w:color w:val="auto"/>
                <w:kern w:val="0"/>
                <w:sz w:val="24"/>
                <w:szCs w:val="24"/>
                <w:highlight w:val="none"/>
                <w:lang w:val="en-US" w:eastAsia="zh-CN" w:bidi="ar"/>
              </w:rPr>
              <w:t xml:space="preserve">含氯消毒剂喷洒消毒，停留 </w:t>
            </w:r>
            <w:r>
              <w:rPr>
                <w:rFonts w:hint="default" w:ascii="Times New Roman" w:hAnsi="Times New Roman" w:eastAsia="宋体" w:cs="Times New Roman"/>
                <w:color w:val="auto"/>
                <w:kern w:val="0"/>
                <w:sz w:val="24"/>
                <w:szCs w:val="24"/>
                <w:highlight w:val="none"/>
                <w:lang w:val="en-US" w:eastAsia="zh-CN" w:bidi="ar"/>
              </w:rPr>
              <w:t>30</w:t>
            </w:r>
            <w:r>
              <w:rPr>
                <w:rFonts w:hint="eastAsia" w:ascii="宋体" w:hAnsi="宋体" w:eastAsia="宋体" w:cs="宋体"/>
                <w:color w:val="auto"/>
                <w:kern w:val="0"/>
                <w:sz w:val="24"/>
                <w:szCs w:val="24"/>
                <w:highlight w:val="none"/>
                <w:lang w:val="en-US" w:eastAsia="zh-CN" w:bidi="ar"/>
              </w:rPr>
              <w:t xml:space="preserve">分钟后再做处理。必要时封锁污染区域，以防扩大污染； </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e</w:t>
            </w:r>
            <w:r>
              <w:rPr>
                <w:rFonts w:hint="eastAsia" w:ascii="宋体" w:hAnsi="宋体" w:eastAsia="宋体" w:cs="宋体"/>
                <w:color w:val="auto"/>
                <w:kern w:val="0"/>
                <w:sz w:val="24"/>
                <w:szCs w:val="24"/>
                <w:highlight w:val="none"/>
                <w:lang w:val="en-US" w:eastAsia="zh-CN" w:bidi="ar"/>
              </w:rPr>
              <w:t xml:space="preserve">、对感染性废物污染区域进行消毒时，消毒工作从污染最轻区域向污染最严重区域进行，对可能被污染的所有使用过的工具也应当 </w:t>
            </w:r>
            <w:r>
              <w:rPr>
                <w:rFonts w:hint="default" w:ascii="Times New Roman" w:hAnsi="Times New Roman" w:eastAsia="宋体" w:cs="Times New Roman"/>
                <w:color w:val="auto"/>
                <w:kern w:val="0"/>
                <w:sz w:val="24"/>
                <w:szCs w:val="24"/>
                <w:highlight w:val="none"/>
                <w:lang w:val="en-US" w:eastAsia="zh-CN" w:bidi="ar"/>
              </w:rPr>
              <w:t>2000mg/L</w:t>
            </w:r>
            <w:r>
              <w:rPr>
                <w:rFonts w:hint="eastAsia" w:ascii="宋体" w:hAnsi="宋体" w:eastAsia="宋体" w:cs="宋体"/>
                <w:color w:val="auto"/>
                <w:kern w:val="0"/>
                <w:sz w:val="24"/>
                <w:szCs w:val="24"/>
                <w:highlight w:val="none"/>
                <w:lang w:val="en-US" w:eastAsia="zh-CN" w:bidi="ar"/>
              </w:rPr>
              <w:t>含氯消毒剂喷洒消毒；</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f</w:t>
            </w:r>
            <w:r>
              <w:rPr>
                <w:rFonts w:hint="eastAsia" w:ascii="宋体" w:hAnsi="宋体" w:eastAsia="宋体" w:cs="宋体"/>
                <w:color w:val="auto"/>
                <w:kern w:val="0"/>
                <w:sz w:val="24"/>
                <w:szCs w:val="24"/>
                <w:highlight w:val="none"/>
                <w:lang w:val="en-US" w:eastAsia="zh-CN" w:bidi="ar"/>
              </w:rPr>
              <w:t xml:space="preserve">、工作人员应当做好卫生安全防护后进行工作，佩戴口罩、帽子和手套，进行工作时应避免用污染的手套接触其他物品，避免污染环境。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Ⅱ、调查处理工作结束后，及时将处理结果报告市卫生局和生态环境局。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Ⅲ、处理工作结束后，及时对事件的起因进行调查，并采取有效的防范措施预防类似事件的发生。 </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3</w:t>
            </w:r>
            <w:r>
              <w:rPr>
                <w:rFonts w:hint="eastAsia" w:ascii="宋体" w:hAnsi="宋体" w:eastAsia="宋体" w:cs="宋体"/>
                <w:b/>
                <w:bCs/>
                <w:color w:val="auto"/>
                <w:kern w:val="0"/>
                <w:sz w:val="24"/>
                <w:szCs w:val="24"/>
                <w:highlight w:val="none"/>
                <w:lang w:val="en-US" w:eastAsia="zh-CN" w:bidi="ar"/>
              </w:rPr>
              <w:t xml:space="preserve">）危险化学品贮存风险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①风险分析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拟建项目的化学品主要作为酒精、柴油等，根据实际运行情况，一般情况为限量购买，不会大量储存，其储存量远低于《建设项目环境风险评价技术导则》（</w:t>
            </w:r>
            <w:r>
              <w:rPr>
                <w:rFonts w:hint="default" w:ascii="Times New Roman" w:hAnsi="Times New Roman" w:eastAsia="宋体" w:cs="Times New Roman"/>
                <w:color w:val="auto"/>
                <w:kern w:val="0"/>
                <w:sz w:val="24"/>
                <w:szCs w:val="24"/>
                <w:highlight w:val="none"/>
                <w:lang w:val="en-US" w:eastAsia="zh-CN" w:bidi="ar"/>
              </w:rPr>
              <w:t>HJ169-2018</w:t>
            </w:r>
            <w:r>
              <w:rPr>
                <w:rFonts w:hint="eastAsia" w:ascii="宋体" w:hAnsi="宋体" w:eastAsia="宋体" w:cs="宋体"/>
                <w:color w:val="auto"/>
                <w:kern w:val="0"/>
                <w:sz w:val="24"/>
                <w:szCs w:val="24"/>
                <w:highlight w:val="none"/>
                <w:lang w:val="en-US" w:eastAsia="zh-CN" w:bidi="ar"/>
              </w:rPr>
              <w:t xml:space="preserve">）中规定的临界储存量，危险化学品的环境风险可以被控制在非常有限的范围内。危险化学品在医院的使用过程中发生事故，仅影响扩建项目内部区域，一般不会影响到项目区域以外的环境。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②防范措施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医用危险化学品的购买、储存、保管和使用以及运输，应当按照</w:t>
            </w:r>
            <w:r>
              <w:rPr>
                <w:rFonts w:hint="eastAsia" w:ascii="宋体" w:hAnsi="宋体" w:cs="宋体"/>
                <w:color w:val="auto"/>
                <w:kern w:val="0"/>
                <w:sz w:val="24"/>
                <w:szCs w:val="24"/>
                <w:highlight w:val="none"/>
                <w:lang w:val="en-US" w:eastAsia="zh-CN" w:bidi="ar"/>
              </w:rPr>
              <w:t>《危险化学品安全管理条例》</w:t>
            </w:r>
            <w:r>
              <w:rPr>
                <w:rFonts w:hint="eastAsia" w:ascii="宋体" w:hAnsi="宋体" w:eastAsia="宋体" w:cs="宋体"/>
                <w:color w:val="auto"/>
                <w:kern w:val="0"/>
                <w:sz w:val="24"/>
                <w:szCs w:val="24"/>
                <w:highlight w:val="none"/>
                <w:lang w:val="en-US" w:eastAsia="zh-CN" w:bidi="ar"/>
              </w:rPr>
              <w:t xml:space="preserve">的规定进行管理。危险化学品必须储存在专用的储存室内，其储存方式、方法和数量必须符合国家标准，由专人管理，危险化学品出入口应进行核查登记，并定期检查库存。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本项目主要的危险化学品为酒精、柴油和分类放至于药房、柴油发电机房内，药房位于综合楼</w:t>
            </w:r>
            <w:r>
              <w:rPr>
                <w:rFonts w:hint="eastAsia"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楼，地面砌瓷砖，且设有专柜放置；柴油发电机房内设一处</w:t>
            </w:r>
            <w:r>
              <w:rPr>
                <w:rFonts w:hint="default" w:ascii="Times New Roman" w:hAnsi="Times New Roman" w:eastAsia="宋体" w:cs="Times New Roman"/>
                <w:color w:val="auto"/>
                <w:kern w:val="0"/>
                <w:sz w:val="24"/>
                <w:szCs w:val="24"/>
                <w:highlight w:val="none"/>
                <w:lang w:val="en-US" w:eastAsia="zh-CN" w:bidi="ar"/>
              </w:rPr>
              <w:t>1m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的储油间，</w:t>
            </w:r>
            <w:r>
              <w:rPr>
                <w:rFonts w:hint="eastAsia" w:ascii="宋体" w:hAnsi="宋体" w:cs="宋体"/>
                <w:color w:val="auto"/>
                <w:kern w:val="0"/>
                <w:sz w:val="24"/>
                <w:szCs w:val="24"/>
                <w:highlight w:val="none"/>
                <w:lang w:val="en-US" w:eastAsia="zh-CN" w:bidi="ar"/>
              </w:rPr>
              <w:t>设置围堰，</w:t>
            </w:r>
            <w:r>
              <w:rPr>
                <w:rFonts w:hint="eastAsia" w:ascii="宋体" w:hAnsi="宋体" w:eastAsia="宋体" w:cs="宋体"/>
                <w:color w:val="auto"/>
                <w:kern w:val="0"/>
                <w:sz w:val="24"/>
                <w:szCs w:val="24"/>
                <w:highlight w:val="none"/>
                <w:lang w:val="en-US" w:eastAsia="zh-CN" w:bidi="ar"/>
              </w:rPr>
              <w:t xml:space="preserve">对柴油机房进行防渗处理。故项目不会发生泄露污染土壤和地下水。 </w:t>
            </w:r>
          </w:p>
          <w:p>
            <w:pPr>
              <w:keepNext w:val="0"/>
              <w:keepLines w:val="0"/>
              <w:widowControl/>
              <w:suppressLineNumbers w:val="0"/>
              <w:jc w:val="left"/>
              <w:rPr>
                <w:color w:val="auto"/>
                <w:highlight w:val="none"/>
              </w:rPr>
            </w:pPr>
            <w:r>
              <w:rPr>
                <w:rFonts w:hint="default" w:ascii="Times New Roman" w:hAnsi="Times New Roman" w:eastAsia="宋体" w:cs="Times New Roman"/>
                <w:b/>
                <w:bCs/>
                <w:color w:val="auto"/>
                <w:kern w:val="0"/>
                <w:sz w:val="24"/>
                <w:szCs w:val="24"/>
                <w:highlight w:val="none"/>
                <w:lang w:val="en-US" w:eastAsia="zh-CN" w:bidi="ar"/>
              </w:rPr>
              <w:t>3</w:t>
            </w:r>
            <w:r>
              <w:rPr>
                <w:rFonts w:hint="eastAsia" w:ascii="宋体" w:hAnsi="宋体" w:eastAsia="宋体" w:cs="宋体"/>
                <w:b/>
                <w:bCs/>
                <w:color w:val="auto"/>
                <w:kern w:val="0"/>
                <w:sz w:val="24"/>
                <w:szCs w:val="24"/>
                <w:highlight w:val="none"/>
                <w:lang w:val="en-US" w:eastAsia="zh-CN" w:bidi="ar"/>
              </w:rPr>
              <w:t xml:space="preserve">、风险评价结论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拟建项目潜在环境事故为医疗废物泄漏、医疗废水事故排放、危化品管理等。应加强医院管理，搞好劳动保护，落实设备、管件的维修管理工作，采取积极的风险防范措施以及应急体系，降低事故发生的概率。拟建项目只要采取适当的防范措施，造成的环境风险可控制的。</w:t>
            </w:r>
          </w:p>
          <w:p>
            <w:pPr>
              <w:keepNext w:val="0"/>
              <w:keepLines w:val="0"/>
              <w:widowControl/>
              <w:suppressLineNumbers w:val="0"/>
              <w:ind w:left="0" w:leftChars="0" w:firstLine="0" w:firstLineChars="0"/>
              <w:jc w:val="left"/>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4.8 “三本账”核算</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根据现有项目污染物排放情况计算，迁建项目实施后 </w:t>
            </w:r>
            <w:r>
              <w:rPr>
                <w:rFonts w:hint="default"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三本账</w:t>
            </w:r>
            <w:r>
              <w:rPr>
                <w:rFonts w:hint="default"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核算见表</w:t>
            </w:r>
            <w:r>
              <w:rPr>
                <w:rFonts w:hint="default" w:ascii="宋体" w:hAnsi="宋体" w:eastAsia="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31。</w:t>
            </w:r>
          </w:p>
          <w:p>
            <w:pPr>
              <w:keepNext w:val="0"/>
              <w:keepLines w:val="0"/>
              <w:widowControl/>
              <w:suppressLineNumbers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表4.31 项目建成前后污染物“三本账”核算表</w:t>
            </w:r>
          </w:p>
          <w:tbl>
            <w:tblPr>
              <w:tblStyle w:val="30"/>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1333"/>
              <w:gridCol w:w="1135"/>
              <w:gridCol w:w="1169"/>
              <w:gridCol w:w="985"/>
              <w:gridCol w:w="1132"/>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37" w:type="dxa"/>
                  <w:noWrap w:val="0"/>
                  <w:vAlign w:val="top"/>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种类</w:t>
                  </w:r>
                </w:p>
              </w:tc>
              <w:tc>
                <w:tcPr>
                  <w:tcW w:w="1333" w:type="dxa"/>
                  <w:noWrap w:val="0"/>
                  <w:vAlign w:val="top"/>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污染物名称</w:t>
                  </w:r>
                </w:p>
              </w:tc>
              <w:tc>
                <w:tcPr>
                  <w:tcW w:w="1135" w:type="dxa"/>
                  <w:noWrap w:val="0"/>
                  <w:vAlign w:val="top"/>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原有工程排放量</w:t>
                  </w:r>
                </w:p>
              </w:tc>
              <w:tc>
                <w:tcPr>
                  <w:tcW w:w="1169" w:type="dxa"/>
                  <w:noWrap w:val="0"/>
                  <w:vAlign w:val="top"/>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迁建工程排放量</w:t>
                  </w:r>
                </w:p>
              </w:tc>
              <w:tc>
                <w:tcPr>
                  <w:tcW w:w="985" w:type="dxa"/>
                  <w:noWrap w:val="0"/>
                  <w:vAlign w:val="top"/>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以新带老削减量</w:t>
                  </w:r>
                </w:p>
              </w:tc>
              <w:tc>
                <w:tcPr>
                  <w:tcW w:w="1132" w:type="dxa"/>
                  <w:noWrap w:val="0"/>
                  <w:vAlign w:val="top"/>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迁建完成后总排放量</w:t>
                  </w:r>
                </w:p>
              </w:tc>
              <w:tc>
                <w:tcPr>
                  <w:tcW w:w="1255" w:type="dxa"/>
                  <w:noWrap w:val="0"/>
                  <w:vAlign w:val="top"/>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迁建后增减量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7" w:type="dxa"/>
                  <w:noWrap w:val="0"/>
                  <w:vAlign w:val="top"/>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c>
                <w:tcPr>
                  <w:tcW w:w="1333" w:type="dxa"/>
                  <w:noWrap w:val="0"/>
                  <w:vAlign w:val="top"/>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水量</w:t>
                  </w:r>
                </w:p>
              </w:tc>
              <w:tc>
                <w:tcPr>
                  <w:tcW w:w="1135" w:type="dxa"/>
                  <w:noWrap w:val="0"/>
                  <w:vAlign w:val="top"/>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2000</w:t>
                  </w:r>
                </w:p>
              </w:tc>
              <w:tc>
                <w:tcPr>
                  <w:tcW w:w="1169" w:type="dxa"/>
                  <w:noWrap w:val="0"/>
                  <w:vAlign w:val="top"/>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lang w:val="en-US" w:eastAsia="zh-CN" w:bidi="ar-SA"/>
                    </w:rPr>
                    <w:t>7518.625</w:t>
                  </w:r>
                </w:p>
              </w:tc>
              <w:tc>
                <w:tcPr>
                  <w:tcW w:w="985" w:type="dxa"/>
                  <w:noWrap w:val="0"/>
                  <w:vAlign w:val="top"/>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132" w:type="dxa"/>
                  <w:noWrap w:val="0"/>
                  <w:vAlign w:val="top"/>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lang w:val="en-US" w:eastAsia="zh-CN" w:bidi="ar-SA"/>
                    </w:rPr>
                    <w:t>7518.625</w:t>
                  </w:r>
                </w:p>
              </w:tc>
              <w:tc>
                <w:tcPr>
                  <w:tcW w:w="1255" w:type="dxa"/>
                  <w:noWrap w:val="0"/>
                  <w:vAlign w:val="top"/>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+5518.625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7" w:type="dxa"/>
                  <w:vMerge w:val="restart"/>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p>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p>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废水</w:t>
                  </w:r>
                </w:p>
              </w:tc>
              <w:tc>
                <w:tcPr>
                  <w:tcW w:w="1333" w:type="dxa"/>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COD</w:t>
                  </w:r>
                </w:p>
              </w:tc>
              <w:tc>
                <w:tcPr>
                  <w:tcW w:w="113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0.18</w:t>
                  </w:r>
                </w:p>
              </w:tc>
              <w:tc>
                <w:tcPr>
                  <w:tcW w:w="1169" w:type="dxa"/>
                  <w:noWrap w:val="0"/>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0.451</w:t>
                  </w:r>
                </w:p>
              </w:tc>
              <w:tc>
                <w:tcPr>
                  <w:tcW w:w="98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132" w:type="dxa"/>
                  <w:noWrap w:val="0"/>
                  <w:vAlign w:val="center"/>
                </w:tcPr>
                <w:p>
                  <w:pPr>
                    <w:bidi w:val="0"/>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lang w:val="en-US" w:eastAsia="zh-CN" w:bidi="ar-SA"/>
                    </w:rPr>
                    <w:t>0.451</w:t>
                  </w:r>
                </w:p>
              </w:tc>
              <w:tc>
                <w:tcPr>
                  <w:tcW w:w="125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7" w:type="dxa"/>
                  <w:vMerge w:val="continue"/>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33" w:type="dxa"/>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SS</w:t>
                  </w:r>
                </w:p>
              </w:tc>
              <w:tc>
                <w:tcPr>
                  <w:tcW w:w="113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w:t>
                  </w:r>
                </w:p>
              </w:tc>
              <w:tc>
                <w:tcPr>
                  <w:tcW w:w="1169" w:type="dxa"/>
                  <w:noWrap w:val="0"/>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0.15</w:t>
                  </w:r>
                </w:p>
              </w:tc>
              <w:tc>
                <w:tcPr>
                  <w:tcW w:w="98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132" w:type="dxa"/>
                  <w:noWrap w:val="0"/>
                  <w:vAlign w:val="center"/>
                </w:tcPr>
                <w:p>
                  <w:pPr>
                    <w:bidi w:val="0"/>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lang w:val="en-US" w:eastAsia="zh-CN" w:bidi="ar-SA"/>
                    </w:rPr>
                    <w:t>0.15</w:t>
                  </w:r>
                </w:p>
              </w:tc>
              <w:tc>
                <w:tcPr>
                  <w:tcW w:w="125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7" w:type="dxa"/>
                  <w:vMerge w:val="continue"/>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33" w:type="dxa"/>
                  <w:noWrap w:val="0"/>
                  <w:vAlign w:val="center"/>
                </w:tcPr>
                <w:p>
                  <w:p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粪大肠菌群</w:t>
                  </w:r>
                </w:p>
              </w:tc>
              <w:tc>
                <w:tcPr>
                  <w:tcW w:w="113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w:t>
                  </w:r>
                </w:p>
              </w:tc>
              <w:tc>
                <w:tcPr>
                  <w:tcW w:w="1169" w:type="dxa"/>
                  <w:noWrap w:val="0"/>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0.72×10</w:t>
                  </w:r>
                  <w:r>
                    <w:rPr>
                      <w:rFonts w:hint="eastAsia"/>
                      <w:b w:val="0"/>
                      <w:bCs w:val="0"/>
                      <w:color w:val="auto"/>
                      <w:sz w:val="21"/>
                      <w:szCs w:val="21"/>
                      <w:highlight w:val="none"/>
                      <w:vertAlign w:val="superscript"/>
                      <w:lang w:val="en-US" w:eastAsia="zh-CN"/>
                    </w:rPr>
                    <w:t>9</w:t>
                  </w:r>
                  <w:r>
                    <w:rPr>
                      <w:rFonts w:hint="eastAsia"/>
                      <w:b w:val="0"/>
                      <w:bCs w:val="0"/>
                      <w:color w:val="auto"/>
                      <w:sz w:val="21"/>
                      <w:szCs w:val="21"/>
                      <w:highlight w:val="none"/>
                      <w:vertAlign w:val="baseline"/>
                      <w:lang w:val="en-US" w:eastAsia="zh-CN"/>
                    </w:rPr>
                    <w:t>MPN</w:t>
                  </w:r>
                </w:p>
              </w:tc>
              <w:tc>
                <w:tcPr>
                  <w:tcW w:w="98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132" w:type="dxa"/>
                  <w:noWrap w:val="0"/>
                  <w:vAlign w:val="center"/>
                </w:tcPr>
                <w:p>
                  <w:pPr>
                    <w:bidi w:val="0"/>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0.72×10</w:t>
                  </w:r>
                  <w:r>
                    <w:rPr>
                      <w:rFonts w:hint="eastAsia"/>
                      <w:b w:val="0"/>
                      <w:bCs w:val="0"/>
                      <w:color w:val="auto"/>
                      <w:sz w:val="21"/>
                      <w:szCs w:val="21"/>
                      <w:highlight w:val="none"/>
                      <w:vertAlign w:val="superscript"/>
                      <w:lang w:val="en-US" w:eastAsia="zh-CN"/>
                    </w:rPr>
                    <w:t>9</w:t>
                  </w:r>
                  <w:r>
                    <w:rPr>
                      <w:rFonts w:hint="eastAsia"/>
                      <w:b w:val="0"/>
                      <w:bCs w:val="0"/>
                      <w:color w:val="auto"/>
                      <w:sz w:val="21"/>
                      <w:szCs w:val="21"/>
                      <w:highlight w:val="none"/>
                      <w:vertAlign w:val="baseline"/>
                      <w:lang w:val="en-US" w:eastAsia="zh-CN"/>
                    </w:rPr>
                    <w:t>MPN</w:t>
                  </w:r>
                </w:p>
              </w:tc>
              <w:tc>
                <w:tcPr>
                  <w:tcW w:w="1255" w:type="dxa"/>
                  <w:noWrap w:val="0"/>
                  <w:vAlign w:val="top"/>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+0.72×10</w:t>
                  </w:r>
                  <w:r>
                    <w:rPr>
                      <w:rFonts w:hint="eastAsia"/>
                      <w:b w:val="0"/>
                      <w:bCs w:val="0"/>
                      <w:color w:val="auto"/>
                      <w:sz w:val="21"/>
                      <w:szCs w:val="21"/>
                      <w:highlight w:val="none"/>
                      <w:vertAlign w:val="superscript"/>
                      <w:lang w:val="en-US" w:eastAsia="zh-CN"/>
                    </w:rPr>
                    <w:t>9</w:t>
                  </w:r>
                  <w:r>
                    <w:rPr>
                      <w:rFonts w:hint="eastAsia"/>
                      <w:b w:val="0"/>
                      <w:bCs w:val="0"/>
                      <w:color w:val="auto"/>
                      <w:sz w:val="21"/>
                      <w:szCs w:val="21"/>
                      <w:highlight w:val="none"/>
                      <w:vertAlign w:val="baseline"/>
                      <w:lang w:val="en-US" w:eastAsia="zh-CN"/>
                    </w:rPr>
                    <w:t>MPN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937" w:type="dxa"/>
                  <w:vMerge w:val="continue"/>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33" w:type="dxa"/>
                  <w:noWrap w:val="0"/>
                  <w:vAlign w:val="center"/>
                </w:tcPr>
                <w:p>
                  <w:p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氨氮</w:t>
                  </w:r>
                </w:p>
              </w:tc>
              <w:tc>
                <w:tcPr>
                  <w:tcW w:w="113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0.0148</w:t>
                  </w:r>
                </w:p>
              </w:tc>
              <w:tc>
                <w:tcPr>
                  <w:tcW w:w="1169" w:type="dxa"/>
                  <w:noWrap w:val="0"/>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0.060</w:t>
                  </w:r>
                </w:p>
              </w:tc>
              <w:tc>
                <w:tcPr>
                  <w:tcW w:w="98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132" w:type="dxa"/>
                  <w:noWrap w:val="0"/>
                  <w:vAlign w:val="center"/>
                </w:tcPr>
                <w:p>
                  <w:pPr>
                    <w:bidi w:val="0"/>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lang w:val="en-US" w:eastAsia="zh-CN" w:bidi="ar-SA"/>
                    </w:rPr>
                    <w:t>0.060</w:t>
                  </w:r>
                </w:p>
              </w:tc>
              <w:tc>
                <w:tcPr>
                  <w:tcW w:w="125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7" w:type="dxa"/>
                  <w:vMerge w:val="continue"/>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33" w:type="dxa"/>
                  <w:noWrap w:val="0"/>
                  <w:vAlign w:val="center"/>
                </w:tcPr>
                <w:p>
                  <w:p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BOD</w:t>
                  </w:r>
                  <w:r>
                    <w:rPr>
                      <w:rFonts w:hint="eastAsia"/>
                      <w:b w:val="0"/>
                      <w:bCs w:val="0"/>
                      <w:color w:val="auto"/>
                      <w:sz w:val="21"/>
                      <w:szCs w:val="21"/>
                      <w:highlight w:val="none"/>
                      <w:vertAlign w:val="subscript"/>
                      <w:lang w:val="en-US" w:eastAsia="zh-CN"/>
                    </w:rPr>
                    <w:t>5</w:t>
                  </w:r>
                </w:p>
              </w:tc>
              <w:tc>
                <w:tcPr>
                  <w:tcW w:w="1135" w:type="dxa"/>
                  <w:noWrap w:val="0"/>
                  <w:vAlign w:val="center"/>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w:t>
                  </w:r>
                </w:p>
              </w:tc>
              <w:tc>
                <w:tcPr>
                  <w:tcW w:w="1169" w:type="dxa"/>
                  <w:noWrap w:val="0"/>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0.15</w:t>
                  </w:r>
                </w:p>
              </w:tc>
              <w:tc>
                <w:tcPr>
                  <w:tcW w:w="985" w:type="dxa"/>
                  <w:noWrap w:val="0"/>
                  <w:vAlign w:val="center"/>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132" w:type="dxa"/>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lang w:val="en-US" w:eastAsia="zh-CN" w:bidi="ar-SA"/>
                    </w:rPr>
                    <w:t>0.15</w:t>
                  </w:r>
                </w:p>
              </w:tc>
              <w:tc>
                <w:tcPr>
                  <w:tcW w:w="1255" w:type="dxa"/>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lang w:val="en-US" w:eastAsia="zh-CN" w:bidi="ar-SA"/>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7" w:type="dxa"/>
                  <w:vMerge w:val="continue"/>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33" w:type="dxa"/>
                  <w:noWrap w:val="0"/>
                  <w:vAlign w:val="center"/>
                </w:tcPr>
                <w:p>
                  <w:p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LAS</w:t>
                  </w:r>
                </w:p>
              </w:tc>
              <w:tc>
                <w:tcPr>
                  <w:tcW w:w="1135" w:type="dxa"/>
                  <w:noWrap w:val="0"/>
                  <w:vAlign w:val="center"/>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w:t>
                  </w:r>
                </w:p>
              </w:tc>
              <w:tc>
                <w:tcPr>
                  <w:tcW w:w="1169" w:type="dxa"/>
                  <w:noWrap w:val="0"/>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0.008</w:t>
                  </w:r>
                </w:p>
              </w:tc>
              <w:tc>
                <w:tcPr>
                  <w:tcW w:w="985" w:type="dxa"/>
                  <w:noWrap w:val="0"/>
                  <w:vAlign w:val="center"/>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132" w:type="dxa"/>
                  <w:noWrap w:val="0"/>
                  <w:vAlign w:val="center"/>
                </w:tcPr>
                <w:p>
                  <w:pPr>
                    <w:bidi w:val="0"/>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0.008</w:t>
                  </w:r>
                </w:p>
              </w:tc>
              <w:tc>
                <w:tcPr>
                  <w:tcW w:w="1255" w:type="dxa"/>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7" w:type="dxa"/>
                  <w:vMerge w:val="continue"/>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33" w:type="dxa"/>
                  <w:noWrap w:val="0"/>
                  <w:vAlign w:val="center"/>
                </w:tcPr>
                <w:p>
                  <w:p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总余氯</w:t>
                  </w:r>
                </w:p>
              </w:tc>
              <w:tc>
                <w:tcPr>
                  <w:tcW w:w="1135" w:type="dxa"/>
                  <w:noWrap w:val="0"/>
                  <w:vAlign w:val="center"/>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w:t>
                  </w:r>
                </w:p>
              </w:tc>
              <w:tc>
                <w:tcPr>
                  <w:tcW w:w="1169" w:type="dxa"/>
                  <w:noWrap w:val="0"/>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0.060</w:t>
                  </w:r>
                </w:p>
              </w:tc>
              <w:tc>
                <w:tcPr>
                  <w:tcW w:w="985" w:type="dxa"/>
                  <w:noWrap w:val="0"/>
                  <w:vAlign w:val="center"/>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132" w:type="dxa"/>
                  <w:noWrap w:val="0"/>
                  <w:vAlign w:val="center"/>
                </w:tcPr>
                <w:p>
                  <w:pPr>
                    <w:bidi w:val="0"/>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0.060</w:t>
                  </w:r>
                </w:p>
              </w:tc>
              <w:tc>
                <w:tcPr>
                  <w:tcW w:w="1255" w:type="dxa"/>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7" w:type="dxa"/>
                  <w:vMerge w:val="restart"/>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废气</w:t>
                  </w:r>
                </w:p>
              </w:tc>
              <w:tc>
                <w:tcPr>
                  <w:tcW w:w="1333" w:type="dxa"/>
                  <w:noWrap w:val="0"/>
                  <w:vAlign w:val="center"/>
                </w:tcPr>
                <w:p>
                  <w:pPr>
                    <w:pStyle w:val="16"/>
                    <w:spacing w:after="0" w:line="240" w:lineRule="atLeast"/>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cs="宋体"/>
                      <w:color w:val="auto"/>
                      <w:sz w:val="21"/>
                      <w:szCs w:val="21"/>
                      <w:highlight w:val="none"/>
                      <w:lang w:val="en-US" w:eastAsia="zh-CN"/>
                    </w:rPr>
                    <w:t>NH</w:t>
                  </w:r>
                  <w:r>
                    <w:rPr>
                      <w:rFonts w:hint="eastAsia" w:ascii="宋体" w:hAnsi="宋体" w:cs="宋体"/>
                      <w:color w:val="auto"/>
                      <w:sz w:val="21"/>
                      <w:szCs w:val="21"/>
                      <w:highlight w:val="none"/>
                      <w:vertAlign w:val="subscript"/>
                      <w:lang w:val="en-US" w:eastAsia="zh-CN"/>
                    </w:rPr>
                    <w:t>3</w:t>
                  </w:r>
                </w:p>
              </w:tc>
              <w:tc>
                <w:tcPr>
                  <w:tcW w:w="1135" w:type="dxa"/>
                  <w:noWrap w:val="0"/>
                  <w:vAlign w:val="center"/>
                </w:tcPr>
                <w:p>
                  <w:pPr>
                    <w:spacing w:line="300" w:lineRule="exact"/>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少量</w:t>
                  </w:r>
                </w:p>
              </w:tc>
              <w:tc>
                <w:tcPr>
                  <w:tcW w:w="1169" w:type="dxa"/>
                  <w:noWrap w:val="0"/>
                  <w:vAlign w:val="center"/>
                </w:tcPr>
                <w:p>
                  <w:pPr>
                    <w:pStyle w:val="20"/>
                    <w:spacing w:line="240" w:lineRule="auto"/>
                    <w:ind w:firstLine="0" w:firstLineChars="0"/>
                    <w:jc w:val="center"/>
                    <w:rPr>
                      <w:rFonts w:hint="default" w:ascii="宋体" w:hAnsi="宋体" w:eastAsia="宋体" w:cs="宋体"/>
                      <w:snapToGrid w:val="0"/>
                      <w:color w:val="auto"/>
                      <w:kern w:val="21"/>
                      <w:sz w:val="21"/>
                      <w:szCs w:val="21"/>
                      <w:highlight w:val="none"/>
                      <w:lang w:val="en-US" w:eastAsia="zh-CN" w:bidi="ar-SA"/>
                    </w:rPr>
                  </w:pPr>
                  <w:r>
                    <w:rPr>
                      <w:rFonts w:hint="eastAsia"/>
                      <w:color w:val="auto"/>
                      <w:sz w:val="21"/>
                      <w:szCs w:val="21"/>
                      <w:highlight w:val="none"/>
                      <w:lang w:val="en-US" w:eastAsia="zh-CN"/>
                    </w:rPr>
                    <w:t>1.0×10</w:t>
                  </w:r>
                  <w:r>
                    <w:rPr>
                      <w:rFonts w:hint="eastAsia"/>
                      <w:color w:val="auto"/>
                      <w:sz w:val="21"/>
                      <w:szCs w:val="21"/>
                      <w:highlight w:val="none"/>
                      <w:vertAlign w:val="superscript"/>
                      <w:lang w:val="en-US" w:eastAsia="zh-CN"/>
                    </w:rPr>
                    <w:t>-5</w:t>
                  </w:r>
                </w:p>
              </w:tc>
              <w:tc>
                <w:tcPr>
                  <w:tcW w:w="98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132" w:type="dxa"/>
                  <w:noWrap w:val="0"/>
                  <w:vAlign w:val="center"/>
                </w:tcPr>
                <w:p>
                  <w:pPr>
                    <w:pStyle w:val="2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lang w:val="en-US" w:eastAsia="zh-CN"/>
                    </w:rPr>
                    <w:t>1.0×10</w:t>
                  </w:r>
                  <w:r>
                    <w:rPr>
                      <w:rFonts w:hint="eastAsia"/>
                      <w:color w:val="auto"/>
                      <w:sz w:val="21"/>
                      <w:szCs w:val="21"/>
                      <w:highlight w:val="none"/>
                      <w:vertAlign w:val="superscript"/>
                      <w:lang w:val="en-US" w:eastAsia="zh-CN"/>
                    </w:rPr>
                    <w:t>-5</w:t>
                  </w:r>
                </w:p>
              </w:tc>
              <w:tc>
                <w:tcPr>
                  <w:tcW w:w="1255" w:type="dxa"/>
                  <w:noWrap w:val="0"/>
                  <w:vAlign w:val="center"/>
                </w:tcPr>
                <w:p>
                  <w:pPr>
                    <w:pStyle w:val="2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lang w:val="en-US" w:eastAsia="zh-CN"/>
                    </w:rPr>
                    <w:t>+1.0×10</w:t>
                  </w:r>
                  <w:r>
                    <w:rPr>
                      <w:rFonts w:hint="eastAsia"/>
                      <w:color w:val="auto"/>
                      <w:sz w:val="21"/>
                      <w:szCs w:val="21"/>
                      <w:highlight w:val="none"/>
                      <w:vertAlign w:val="superscrip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7" w:type="dxa"/>
                  <w:vMerge w:val="continue"/>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33" w:type="dxa"/>
                  <w:noWrap w:val="0"/>
                  <w:vAlign w:val="center"/>
                </w:tcPr>
                <w:p>
                  <w:pPr>
                    <w:pStyle w:val="16"/>
                    <w:spacing w:after="0" w:line="240" w:lineRule="atLeast"/>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cs="宋体"/>
                      <w:color w:val="auto"/>
                      <w:sz w:val="21"/>
                      <w:szCs w:val="21"/>
                      <w:highlight w:val="none"/>
                      <w:lang w:val="en-US" w:eastAsia="zh-CN"/>
                    </w:rPr>
                    <w:t>H</w:t>
                  </w:r>
                  <w:r>
                    <w:rPr>
                      <w:rFonts w:hint="eastAsia" w:ascii="宋体" w:hAnsi="宋体" w:cs="宋体"/>
                      <w:color w:val="auto"/>
                      <w:sz w:val="21"/>
                      <w:szCs w:val="21"/>
                      <w:highlight w:val="none"/>
                      <w:vertAlign w:val="subscript"/>
                      <w:lang w:val="en-US" w:eastAsia="zh-CN"/>
                    </w:rPr>
                    <w:t>2</w:t>
                  </w:r>
                  <w:r>
                    <w:rPr>
                      <w:rFonts w:hint="eastAsia" w:ascii="宋体" w:hAnsi="宋体" w:cs="宋体"/>
                      <w:color w:val="auto"/>
                      <w:sz w:val="21"/>
                      <w:szCs w:val="21"/>
                      <w:highlight w:val="none"/>
                      <w:lang w:val="en-US" w:eastAsia="zh-CN"/>
                    </w:rPr>
                    <w:t>S</w:t>
                  </w:r>
                </w:p>
              </w:tc>
              <w:tc>
                <w:tcPr>
                  <w:tcW w:w="1135" w:type="dxa"/>
                  <w:noWrap w:val="0"/>
                  <w:vAlign w:val="center"/>
                </w:tcPr>
                <w:p>
                  <w:pPr>
                    <w:spacing w:line="300" w:lineRule="exact"/>
                    <w:ind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少量</w:t>
                  </w:r>
                </w:p>
              </w:tc>
              <w:tc>
                <w:tcPr>
                  <w:tcW w:w="1169" w:type="dxa"/>
                  <w:noWrap w:val="0"/>
                  <w:vAlign w:val="center"/>
                </w:tcPr>
                <w:p>
                  <w:pPr>
                    <w:spacing w:line="24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color w:val="auto"/>
                      <w:sz w:val="21"/>
                      <w:szCs w:val="21"/>
                      <w:highlight w:val="none"/>
                      <w:lang w:val="en-US" w:eastAsia="zh-CN"/>
                    </w:rPr>
                    <w:t>3.4×10</w:t>
                  </w:r>
                  <w:r>
                    <w:rPr>
                      <w:rFonts w:hint="eastAsia"/>
                      <w:color w:val="auto"/>
                      <w:sz w:val="21"/>
                      <w:szCs w:val="21"/>
                      <w:highlight w:val="none"/>
                      <w:vertAlign w:val="superscript"/>
                      <w:lang w:val="en-US" w:eastAsia="zh-CN"/>
                    </w:rPr>
                    <w:t>-6</w:t>
                  </w:r>
                </w:p>
              </w:tc>
              <w:tc>
                <w:tcPr>
                  <w:tcW w:w="98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132" w:type="dxa"/>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lang w:val="en-US" w:eastAsia="zh-CN"/>
                    </w:rPr>
                    <w:t>3.4×10</w:t>
                  </w:r>
                  <w:r>
                    <w:rPr>
                      <w:rFonts w:hint="eastAsia"/>
                      <w:color w:val="auto"/>
                      <w:sz w:val="21"/>
                      <w:szCs w:val="21"/>
                      <w:highlight w:val="none"/>
                      <w:vertAlign w:val="superscript"/>
                      <w:lang w:val="en-US" w:eastAsia="zh-CN"/>
                    </w:rPr>
                    <w:t>-6</w:t>
                  </w:r>
                </w:p>
              </w:tc>
              <w:tc>
                <w:tcPr>
                  <w:tcW w:w="1255"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lang w:val="en-US" w:eastAsia="zh-CN"/>
                    </w:rPr>
                    <w:t>+3.4×10</w:t>
                  </w:r>
                  <w:r>
                    <w:rPr>
                      <w:rFonts w:hint="eastAsia"/>
                      <w:color w:val="auto"/>
                      <w:sz w:val="21"/>
                      <w:szCs w:val="21"/>
                      <w:highlight w:val="none"/>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7" w:type="dxa"/>
                  <w:vMerge w:val="restart"/>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p>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固废</w:t>
                  </w:r>
                </w:p>
              </w:tc>
              <w:tc>
                <w:tcPr>
                  <w:tcW w:w="1333"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一般工业固体废物</w:t>
                  </w:r>
                </w:p>
              </w:tc>
              <w:tc>
                <w:tcPr>
                  <w:tcW w:w="113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2.0</w:t>
                  </w:r>
                </w:p>
              </w:tc>
              <w:tc>
                <w:tcPr>
                  <w:tcW w:w="1169"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4.6</w:t>
                  </w:r>
                </w:p>
              </w:tc>
              <w:tc>
                <w:tcPr>
                  <w:tcW w:w="985" w:type="dxa"/>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132"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4.6</w:t>
                  </w:r>
                </w:p>
              </w:tc>
              <w:tc>
                <w:tcPr>
                  <w:tcW w:w="125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7" w:type="dxa"/>
                  <w:vMerge w:val="continue"/>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33" w:type="dxa"/>
                  <w:noWrap w:val="0"/>
                  <w:vAlign w:val="center"/>
                </w:tcPr>
                <w:p>
                  <w:pPr>
                    <w:spacing w:line="300" w:lineRule="exact"/>
                    <w:ind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医疗</w:t>
                  </w:r>
                  <w:r>
                    <w:rPr>
                      <w:rFonts w:hint="eastAsia" w:cs="Times New Roman"/>
                      <w:b w:val="0"/>
                      <w:bCs w:val="0"/>
                      <w:color w:val="auto"/>
                      <w:sz w:val="21"/>
                      <w:szCs w:val="21"/>
                      <w:highlight w:val="none"/>
                      <w:lang w:val="en-US" w:eastAsia="zh-CN"/>
                    </w:rPr>
                    <w:t>废物</w:t>
                  </w:r>
                </w:p>
              </w:tc>
              <w:tc>
                <w:tcPr>
                  <w:tcW w:w="113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3.2</w:t>
                  </w:r>
                </w:p>
              </w:tc>
              <w:tc>
                <w:tcPr>
                  <w:tcW w:w="1169" w:type="dxa"/>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lang w:val="en-US" w:eastAsia="zh-CN" w:bidi="ar-SA"/>
                    </w:rPr>
                    <w:t>11.4245</w:t>
                  </w:r>
                </w:p>
              </w:tc>
              <w:tc>
                <w:tcPr>
                  <w:tcW w:w="98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132" w:type="dxa"/>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lang w:val="en-US" w:eastAsia="zh-CN" w:bidi="ar-SA"/>
                    </w:rPr>
                    <w:t>11.4245</w:t>
                  </w:r>
                </w:p>
              </w:tc>
              <w:tc>
                <w:tcPr>
                  <w:tcW w:w="125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+8.2245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7" w:type="dxa"/>
                  <w:vMerge w:val="continue"/>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33" w:type="dxa"/>
                  <w:noWrap w:val="0"/>
                  <w:vAlign w:val="center"/>
                </w:tcPr>
                <w:p>
                  <w:pPr>
                    <w:spacing w:line="300" w:lineRule="exact"/>
                    <w:ind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医疗废水污泥</w:t>
                  </w:r>
                </w:p>
              </w:tc>
              <w:tc>
                <w:tcPr>
                  <w:tcW w:w="113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0.05</w:t>
                  </w:r>
                </w:p>
              </w:tc>
              <w:tc>
                <w:tcPr>
                  <w:tcW w:w="1169"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4.763</w:t>
                  </w:r>
                </w:p>
              </w:tc>
              <w:tc>
                <w:tcPr>
                  <w:tcW w:w="98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132" w:type="dxa"/>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4.763</w:t>
                  </w:r>
                </w:p>
              </w:tc>
              <w:tc>
                <w:tcPr>
                  <w:tcW w:w="125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+4.713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7" w:type="dxa"/>
                  <w:vMerge w:val="continue"/>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33" w:type="dxa"/>
                  <w:noWrap w:val="0"/>
                  <w:vAlign w:val="center"/>
                </w:tcPr>
                <w:p>
                  <w:pPr>
                    <w:spacing w:line="300" w:lineRule="exact"/>
                    <w:ind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废活性炭</w:t>
                  </w:r>
                </w:p>
              </w:tc>
              <w:tc>
                <w:tcPr>
                  <w:tcW w:w="113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0.1</w:t>
                  </w:r>
                </w:p>
              </w:tc>
              <w:tc>
                <w:tcPr>
                  <w:tcW w:w="1169"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0.1</w:t>
                  </w:r>
                </w:p>
              </w:tc>
              <w:tc>
                <w:tcPr>
                  <w:tcW w:w="98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132"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0.1</w:t>
                  </w:r>
                </w:p>
              </w:tc>
              <w:tc>
                <w:tcPr>
                  <w:tcW w:w="125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7" w:type="dxa"/>
                  <w:vMerge w:val="continue"/>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33" w:type="dxa"/>
                  <w:noWrap w:val="0"/>
                  <w:vAlign w:val="center"/>
                </w:tcPr>
                <w:p>
                  <w:pPr>
                    <w:spacing w:line="300" w:lineRule="exact"/>
                    <w:ind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生活垃圾</w:t>
                  </w:r>
                </w:p>
              </w:tc>
              <w:tc>
                <w:tcPr>
                  <w:tcW w:w="1135" w:type="dxa"/>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5.66</w:t>
                  </w:r>
                </w:p>
              </w:tc>
              <w:tc>
                <w:tcPr>
                  <w:tcW w:w="1169"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31.9375</w:t>
                  </w:r>
                </w:p>
              </w:tc>
              <w:tc>
                <w:tcPr>
                  <w:tcW w:w="985" w:type="dxa"/>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132" w:type="dxa"/>
                  <w:noWrap w:val="0"/>
                  <w:vAlign w:val="top"/>
                </w:tcPr>
                <w:p>
                  <w:pPr>
                    <w:pStyle w:val="27"/>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31.9375</w:t>
                  </w:r>
                </w:p>
              </w:tc>
              <w:tc>
                <w:tcPr>
                  <w:tcW w:w="1255" w:type="dxa"/>
                  <w:noWrap w:val="0"/>
                  <w:vAlign w:val="top"/>
                </w:tcPr>
                <w:p>
                  <w:pPr>
                    <w:pStyle w:val="27"/>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+26.2775</w:t>
                  </w:r>
                </w:p>
              </w:tc>
            </w:tr>
          </w:tbl>
          <w:p>
            <w:pPr>
              <w:pStyle w:val="27"/>
              <w:rPr>
                <w:rFonts w:hint="eastAsia" w:ascii="宋体" w:hAnsi="宋体" w:eastAsia="宋体" w:cs="宋体"/>
                <w:b/>
                <w:bCs/>
                <w:color w:val="auto"/>
                <w:kern w:val="0"/>
                <w:sz w:val="24"/>
                <w:szCs w:val="24"/>
                <w:highlight w:val="none"/>
                <w:lang w:val="en-US" w:eastAsia="zh-CN" w:bidi="ar"/>
              </w:rPr>
            </w:pPr>
          </w:p>
          <w:p>
            <w:pPr>
              <w:pStyle w:val="27"/>
              <w:spacing w:after="0" w:line="360" w:lineRule="auto"/>
              <w:ind w:left="0" w:leftChars="0" w:firstLine="0" w:firstLineChars="0"/>
              <w:rPr>
                <w:rFonts w:hint="eastAsia"/>
                <w:color w:val="auto"/>
                <w:sz w:val="24"/>
                <w:szCs w:val="24"/>
                <w:highlight w:val="none"/>
                <w:lang w:eastAsia="zh-CN"/>
              </w:rPr>
            </w:pPr>
          </w:p>
        </w:tc>
      </w:tr>
    </w:tbl>
    <w:p>
      <w:pPr>
        <w:pStyle w:val="24"/>
        <w:jc w:val="center"/>
        <w:outlineLvl w:val="0"/>
        <w:rPr>
          <w:rFonts w:ascii="Times New Roman" w:hAnsi="Times New Roman" w:eastAsia="黑体"/>
          <w:snapToGrid w:val="0"/>
          <w:color w:val="auto"/>
          <w:sz w:val="30"/>
          <w:szCs w:val="30"/>
          <w:highlight w:val="none"/>
        </w:rPr>
      </w:pPr>
    </w:p>
    <w:p>
      <w:pPr>
        <w:pStyle w:val="24"/>
        <w:jc w:val="center"/>
        <w:outlineLvl w:val="0"/>
        <w:rPr>
          <w:rFonts w:ascii="Times New Roman" w:hAnsi="Times New Roman" w:eastAsia="黑体"/>
          <w:snapToGrid w:val="0"/>
          <w:color w:val="auto"/>
          <w:sz w:val="30"/>
          <w:szCs w:val="30"/>
          <w:highlight w:val="none"/>
        </w:rPr>
      </w:pPr>
    </w:p>
    <w:p>
      <w:pPr>
        <w:pStyle w:val="24"/>
        <w:jc w:val="center"/>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0"/>
          <w:szCs w:val="30"/>
          <w:highlight w:val="none"/>
        </w:rPr>
        <w:t>五、</w:t>
      </w:r>
      <w:bookmarkStart w:id="6" w:name="_Hlk54167917"/>
      <w:r>
        <w:rPr>
          <w:rFonts w:ascii="Times New Roman" w:hAnsi="Times New Roman" w:eastAsia="黑体"/>
          <w:snapToGrid w:val="0"/>
          <w:color w:val="auto"/>
          <w:sz w:val="30"/>
          <w:szCs w:val="30"/>
          <w:highlight w:val="none"/>
        </w:rPr>
        <w:t>环境保护措施监督检查清单</w:t>
      </w:r>
      <w:bookmarkEnd w:id="6"/>
    </w:p>
    <w:tbl>
      <w:tblPr>
        <w:tblStyle w:val="29"/>
        <w:tblW w:w="975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361"/>
        <w:gridCol w:w="1552"/>
        <w:gridCol w:w="2565"/>
        <w:gridCol w:w="30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10" w:type="dxa"/>
            <w:tcBorders>
              <w:tl2br w:val="single" w:color="auto" w:sz="4" w:space="0"/>
            </w:tcBorders>
          </w:tcPr>
          <w:p>
            <w:pPr>
              <w:adjustRightInd w:val="0"/>
              <w:snapToGrid w:val="0"/>
              <w:spacing w:line="240" w:lineRule="auto"/>
              <w:ind w:left="0" w:leftChars="0" w:firstLine="0" w:firstLineChars="0"/>
              <w:jc w:val="center"/>
              <w:rPr>
                <w:color w:val="auto"/>
                <w:sz w:val="21"/>
                <w:szCs w:val="21"/>
                <w:highlight w:val="none"/>
              </w:rPr>
            </w:pPr>
          </w:p>
          <w:p>
            <w:pPr>
              <w:adjustRightInd w:val="0"/>
              <w:snapToGrid w:val="0"/>
              <w:spacing w:line="240" w:lineRule="auto"/>
              <w:ind w:left="0" w:leftChars="0" w:firstLine="0" w:firstLineChars="0"/>
              <w:jc w:val="center"/>
              <w:rPr>
                <w:color w:val="auto"/>
                <w:sz w:val="21"/>
                <w:szCs w:val="21"/>
                <w:highlight w:val="none"/>
              </w:rPr>
            </w:pPr>
            <w:r>
              <w:rPr>
                <w:rFonts w:hint="eastAsia"/>
                <w:color w:val="auto"/>
                <w:sz w:val="21"/>
                <w:szCs w:val="21"/>
                <w:highlight w:val="none"/>
                <w:lang w:val="en-US" w:eastAsia="zh-CN"/>
              </w:rPr>
              <w:t xml:space="preserve">    </w:t>
            </w:r>
            <w:r>
              <w:rPr>
                <w:color w:val="auto"/>
                <w:sz w:val="21"/>
                <w:szCs w:val="21"/>
                <w:highlight w:val="none"/>
              </w:rPr>
              <w:t>内容</w:t>
            </w:r>
          </w:p>
          <w:p>
            <w:pPr>
              <w:adjustRightInd w:val="0"/>
              <w:snapToGrid w:val="0"/>
              <w:spacing w:line="240" w:lineRule="auto"/>
              <w:ind w:left="0" w:leftChars="0" w:firstLine="0" w:firstLineChars="0"/>
              <w:jc w:val="center"/>
              <w:rPr>
                <w:color w:val="auto"/>
                <w:sz w:val="21"/>
                <w:szCs w:val="21"/>
                <w:highlight w:val="none"/>
              </w:rPr>
            </w:pPr>
            <w:r>
              <w:rPr>
                <w:color w:val="auto"/>
                <w:sz w:val="21"/>
                <w:szCs w:val="21"/>
                <w:highlight w:val="none"/>
              </w:rPr>
              <w:t>要素</w:t>
            </w:r>
          </w:p>
        </w:tc>
        <w:tc>
          <w:tcPr>
            <w:tcW w:w="1361" w:type="dxa"/>
            <w:vAlign w:val="center"/>
          </w:tcPr>
          <w:p>
            <w:pPr>
              <w:adjustRightInd w:val="0"/>
              <w:snapToGrid w:val="0"/>
              <w:spacing w:line="240" w:lineRule="auto"/>
              <w:ind w:left="0" w:leftChars="0" w:firstLine="0" w:firstLineChars="0"/>
              <w:jc w:val="center"/>
              <w:rPr>
                <w:color w:val="auto"/>
                <w:sz w:val="21"/>
                <w:szCs w:val="21"/>
                <w:highlight w:val="none"/>
              </w:rPr>
            </w:pPr>
            <w:r>
              <w:rPr>
                <w:color w:val="auto"/>
                <w:sz w:val="21"/>
                <w:szCs w:val="21"/>
                <w:highlight w:val="none"/>
              </w:rPr>
              <w:t>排放口(编号、名称)/污染源</w:t>
            </w:r>
          </w:p>
        </w:tc>
        <w:tc>
          <w:tcPr>
            <w:tcW w:w="1552" w:type="dxa"/>
            <w:vAlign w:val="center"/>
          </w:tcPr>
          <w:p>
            <w:pPr>
              <w:adjustRightInd w:val="0"/>
              <w:snapToGrid w:val="0"/>
              <w:spacing w:line="240" w:lineRule="auto"/>
              <w:ind w:left="0" w:leftChars="0" w:firstLine="0" w:firstLineChars="0"/>
              <w:jc w:val="center"/>
              <w:rPr>
                <w:color w:val="auto"/>
                <w:sz w:val="21"/>
                <w:szCs w:val="21"/>
                <w:highlight w:val="none"/>
              </w:rPr>
            </w:pPr>
            <w:r>
              <w:rPr>
                <w:color w:val="auto"/>
                <w:sz w:val="21"/>
                <w:szCs w:val="21"/>
                <w:highlight w:val="none"/>
              </w:rPr>
              <w:t>污染物项目</w:t>
            </w:r>
          </w:p>
        </w:tc>
        <w:tc>
          <w:tcPr>
            <w:tcW w:w="2565" w:type="dxa"/>
            <w:vAlign w:val="center"/>
          </w:tcPr>
          <w:p>
            <w:pPr>
              <w:adjustRightInd w:val="0"/>
              <w:snapToGrid w:val="0"/>
              <w:spacing w:line="240" w:lineRule="auto"/>
              <w:ind w:left="0" w:leftChars="0" w:firstLine="0" w:firstLineChars="0"/>
              <w:jc w:val="center"/>
              <w:rPr>
                <w:color w:val="auto"/>
                <w:sz w:val="21"/>
                <w:szCs w:val="21"/>
                <w:highlight w:val="none"/>
              </w:rPr>
            </w:pPr>
            <w:r>
              <w:rPr>
                <w:color w:val="auto"/>
                <w:sz w:val="21"/>
                <w:szCs w:val="21"/>
                <w:highlight w:val="none"/>
              </w:rPr>
              <w:t>环境保护措施</w:t>
            </w:r>
          </w:p>
        </w:tc>
        <w:tc>
          <w:tcPr>
            <w:tcW w:w="3070" w:type="dxa"/>
            <w:vAlign w:val="center"/>
          </w:tcPr>
          <w:p>
            <w:pPr>
              <w:adjustRightInd w:val="0"/>
              <w:snapToGrid w:val="0"/>
              <w:spacing w:line="240" w:lineRule="auto"/>
              <w:ind w:left="0" w:leftChars="0" w:firstLine="0" w:firstLineChars="0"/>
              <w:jc w:val="center"/>
              <w:rPr>
                <w:color w:val="auto"/>
                <w:sz w:val="21"/>
                <w:szCs w:val="21"/>
                <w:highlight w:val="none"/>
              </w:rPr>
            </w:pPr>
            <w:r>
              <w:rPr>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10" w:type="dxa"/>
            <w:vMerge w:val="restart"/>
            <w:vAlign w:val="center"/>
          </w:tcPr>
          <w:p>
            <w:pPr>
              <w:adjustRightInd w:val="0"/>
              <w:snapToGrid w:val="0"/>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大气环境</w:t>
            </w:r>
          </w:p>
        </w:tc>
        <w:tc>
          <w:tcPr>
            <w:tcW w:w="1361" w:type="dxa"/>
            <w:vAlign w:val="center"/>
          </w:tcPr>
          <w:p>
            <w:pPr>
              <w:adjustRightInd w:val="0"/>
              <w:snapToGrid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DA001</w:t>
            </w:r>
            <w:r>
              <w:rPr>
                <w:rFonts w:hint="eastAsia" w:ascii="Times New Roman" w:hAnsi="Times New Roman" w:cs="Times New Roman"/>
                <w:color w:val="auto"/>
                <w:sz w:val="21"/>
                <w:szCs w:val="21"/>
                <w:highlight w:val="none"/>
                <w:lang w:val="en-US" w:eastAsia="zh-CN"/>
              </w:rPr>
              <w:t>污水处理</w:t>
            </w:r>
            <w:r>
              <w:rPr>
                <w:rFonts w:hint="eastAsia" w:cs="Times New Roman"/>
                <w:color w:val="auto"/>
                <w:sz w:val="21"/>
                <w:szCs w:val="21"/>
                <w:highlight w:val="none"/>
                <w:lang w:val="en-US" w:eastAsia="zh-CN"/>
              </w:rPr>
              <w:t>设施废气</w:t>
            </w:r>
            <w:r>
              <w:rPr>
                <w:rFonts w:hint="eastAsia" w:ascii="Times New Roman" w:hAnsi="Times New Roman" w:cs="Times New Roman"/>
                <w:color w:val="auto"/>
                <w:sz w:val="21"/>
                <w:szCs w:val="21"/>
                <w:highlight w:val="none"/>
                <w:lang w:val="en-US" w:eastAsia="zh-CN"/>
              </w:rPr>
              <w:t>排放口</w:t>
            </w:r>
          </w:p>
        </w:tc>
        <w:tc>
          <w:tcPr>
            <w:tcW w:w="1552" w:type="dxa"/>
            <w:vAlign w:val="center"/>
          </w:tcPr>
          <w:p>
            <w:pPr>
              <w:adjustRightInd w:val="0"/>
              <w:snapToGrid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氨气、硫化氢、臭气浓度</w:t>
            </w:r>
          </w:p>
        </w:tc>
        <w:tc>
          <w:tcPr>
            <w:tcW w:w="2565" w:type="dxa"/>
            <w:vAlign w:val="center"/>
          </w:tcPr>
          <w:p>
            <w:pPr>
              <w:adjustRightInd w:val="0"/>
              <w:snapToGrid w:val="0"/>
              <w:spacing w:line="240" w:lineRule="auto"/>
              <w:ind w:left="0" w:leftChars="0"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池体加盖，管道收集经</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活性炭</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处理后经</w:t>
            </w:r>
            <w:r>
              <w:rPr>
                <w:rFonts w:hint="default" w:ascii="Times New Roman" w:hAnsi="Times New Roman" w:cs="Times New Roman"/>
                <w:color w:val="auto"/>
                <w:sz w:val="21"/>
                <w:szCs w:val="21"/>
                <w:highlight w:val="none"/>
                <w:lang w:val="en-US" w:eastAsia="zh-CN"/>
              </w:rPr>
              <w:t xml:space="preserve">15 </w:t>
            </w:r>
            <w:r>
              <w:rPr>
                <w:rFonts w:hint="eastAsia" w:ascii="Times New Roman" w:hAnsi="Times New Roman" w:cs="Times New Roman"/>
                <w:color w:val="auto"/>
                <w:sz w:val="21"/>
                <w:szCs w:val="21"/>
                <w:highlight w:val="none"/>
                <w:lang w:val="en-US" w:eastAsia="zh-CN"/>
              </w:rPr>
              <w:t>米高排气筒有组织排放。</w:t>
            </w:r>
          </w:p>
          <w:p>
            <w:pPr>
              <w:adjustRightInd w:val="0"/>
              <w:snapToGrid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p>
        </w:tc>
        <w:tc>
          <w:tcPr>
            <w:tcW w:w="3070" w:type="dxa"/>
            <w:vAlign w:val="center"/>
          </w:tcPr>
          <w:p>
            <w:pPr>
              <w:adjustRightInd w:val="0"/>
              <w:snapToGrid w:val="0"/>
              <w:spacing w:line="240" w:lineRule="auto"/>
              <w:ind w:left="0" w:leftChars="0" w:firstLine="0" w:firstLineChars="0"/>
              <w:jc w:val="center"/>
              <w:rPr>
                <w:rFonts w:hint="eastAsia"/>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《医疗机构水污染物排放标准》（GB18466-2005）中表3要求《恶臭污染物排放标准》（GB14554-93）表2中排放标准；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10" w:type="dxa"/>
            <w:vMerge w:val="continue"/>
            <w:vAlign w:val="center"/>
          </w:tcPr>
          <w:p>
            <w:pPr>
              <w:adjustRightInd w:val="0"/>
              <w:snapToGrid w:val="0"/>
              <w:spacing w:line="240" w:lineRule="auto"/>
              <w:ind w:left="0" w:leftChars="0" w:firstLine="0" w:firstLineChars="0"/>
              <w:jc w:val="center"/>
              <w:rPr>
                <w:rFonts w:hint="eastAsia"/>
                <w:color w:val="auto"/>
                <w:sz w:val="21"/>
                <w:szCs w:val="21"/>
                <w:highlight w:val="none"/>
                <w:lang w:val="en-US" w:eastAsia="zh-CN"/>
              </w:rPr>
            </w:pPr>
          </w:p>
        </w:tc>
        <w:tc>
          <w:tcPr>
            <w:tcW w:w="1361" w:type="dxa"/>
            <w:vAlign w:val="center"/>
          </w:tcPr>
          <w:p>
            <w:pPr>
              <w:adjustRightInd w:val="0"/>
              <w:snapToGrid w:val="0"/>
              <w:spacing w:line="240" w:lineRule="auto"/>
              <w:ind w:left="0" w:leftChars="0" w:firstLine="0" w:firstLineChars="0"/>
              <w:jc w:val="center"/>
              <w:rPr>
                <w:rFonts w:hint="eastAsia" w:cs="Times New Roman"/>
                <w:color w:val="auto"/>
                <w:sz w:val="21"/>
                <w:szCs w:val="21"/>
                <w:highlight w:val="none"/>
                <w:lang w:val="en-US" w:eastAsia="zh-CN"/>
              </w:rPr>
            </w:pPr>
            <w:r>
              <w:rPr>
                <w:rFonts w:hint="eastAsia"/>
                <w:color w:val="auto"/>
                <w:sz w:val="21"/>
                <w:szCs w:val="21"/>
                <w:highlight w:val="none"/>
                <w:lang w:val="en-US" w:eastAsia="zh-CN"/>
              </w:rPr>
              <w:t>医疗废物暂存间</w:t>
            </w:r>
          </w:p>
        </w:tc>
        <w:tc>
          <w:tcPr>
            <w:tcW w:w="1552" w:type="dxa"/>
            <w:vAlign w:val="center"/>
          </w:tcPr>
          <w:p>
            <w:pPr>
              <w:adjustRightInd w:val="0"/>
              <w:snapToGrid w:val="0"/>
              <w:spacing w:line="240" w:lineRule="auto"/>
              <w:ind w:left="0" w:leftChars="0" w:firstLine="0" w:firstLineChars="0"/>
              <w:jc w:val="center"/>
              <w:rPr>
                <w:rFonts w:hint="eastAsia"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臭气</w:t>
            </w:r>
            <w:r>
              <w:rPr>
                <w:rFonts w:hint="eastAsia" w:ascii="Times New Roman" w:hAnsi="Times New Roman" w:cs="Times New Roman"/>
                <w:color w:val="auto"/>
                <w:sz w:val="21"/>
                <w:szCs w:val="21"/>
                <w:highlight w:val="none"/>
                <w:lang w:val="en-US" w:eastAsia="zh-CN"/>
              </w:rPr>
              <w:t>浓度</w:t>
            </w:r>
          </w:p>
        </w:tc>
        <w:tc>
          <w:tcPr>
            <w:tcW w:w="2565" w:type="dxa"/>
            <w:vAlign w:val="center"/>
          </w:tcPr>
          <w:p>
            <w:pPr>
              <w:adjustRightInd w:val="0"/>
              <w:snapToGrid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及时清理，定期消毒，废气收集经</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活性炭</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处理引至</w:t>
            </w:r>
            <w:r>
              <w:rPr>
                <w:rFonts w:hint="eastAsia" w:cs="Times New Roman"/>
                <w:color w:val="auto"/>
                <w:sz w:val="21"/>
                <w:szCs w:val="21"/>
                <w:highlight w:val="none"/>
                <w:lang w:val="en-US" w:eastAsia="zh-CN"/>
              </w:rPr>
              <w:t>医疗</w:t>
            </w:r>
            <w:r>
              <w:rPr>
                <w:rFonts w:hint="eastAsia" w:ascii="Times New Roman" w:hAnsi="Times New Roman" w:cs="Times New Roman"/>
                <w:color w:val="auto"/>
                <w:sz w:val="21"/>
                <w:szCs w:val="21"/>
                <w:highlight w:val="none"/>
                <w:lang w:val="en-US" w:eastAsia="zh-CN"/>
              </w:rPr>
              <w:t xml:space="preserve">废物暂存间站 </w:t>
            </w:r>
          </w:p>
          <w:p>
            <w:pPr>
              <w:adjustRightInd w:val="0"/>
              <w:snapToGrid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房屋顶排放</w:t>
            </w:r>
          </w:p>
        </w:tc>
        <w:tc>
          <w:tcPr>
            <w:tcW w:w="3070" w:type="dxa"/>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《医疗机构水污染物排放标准》（GB18466-2005）中表3要求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10" w:type="dxa"/>
            <w:vMerge w:val="continue"/>
            <w:vAlign w:val="center"/>
          </w:tcPr>
          <w:p>
            <w:pPr>
              <w:adjustRightInd w:val="0"/>
              <w:snapToGrid w:val="0"/>
              <w:spacing w:line="240" w:lineRule="auto"/>
              <w:ind w:left="0" w:leftChars="0" w:firstLine="0" w:firstLineChars="0"/>
              <w:jc w:val="center"/>
              <w:rPr>
                <w:rFonts w:hint="eastAsia"/>
                <w:color w:val="auto"/>
                <w:sz w:val="21"/>
                <w:szCs w:val="21"/>
                <w:highlight w:val="none"/>
                <w:lang w:val="en-US" w:eastAsia="zh-CN"/>
              </w:rPr>
            </w:pPr>
          </w:p>
        </w:tc>
        <w:tc>
          <w:tcPr>
            <w:tcW w:w="1361" w:type="dxa"/>
            <w:vAlign w:val="center"/>
          </w:tcPr>
          <w:p>
            <w:pPr>
              <w:adjustRightInd w:val="0"/>
              <w:snapToGrid w:val="0"/>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备用柴油发 </w:t>
            </w:r>
          </w:p>
          <w:p>
            <w:pPr>
              <w:adjustRightInd w:val="0"/>
              <w:snapToGrid w:val="0"/>
              <w:spacing w:line="240" w:lineRule="auto"/>
              <w:ind w:left="0" w:leftChars="0" w:firstLine="0" w:firstLineChars="0"/>
              <w:jc w:val="center"/>
              <w:rPr>
                <w:rFonts w:hint="eastAsia" w:cs="Times New Roman"/>
                <w:color w:val="auto"/>
                <w:sz w:val="21"/>
                <w:szCs w:val="21"/>
                <w:highlight w:val="none"/>
                <w:lang w:val="en-US" w:eastAsia="zh-CN"/>
              </w:rPr>
            </w:pPr>
            <w:r>
              <w:rPr>
                <w:rFonts w:hint="eastAsia"/>
                <w:color w:val="auto"/>
                <w:sz w:val="21"/>
                <w:szCs w:val="21"/>
                <w:highlight w:val="none"/>
                <w:lang w:val="en-US" w:eastAsia="zh-CN"/>
              </w:rPr>
              <w:t>电机</w:t>
            </w:r>
          </w:p>
        </w:tc>
        <w:tc>
          <w:tcPr>
            <w:tcW w:w="1552" w:type="dxa"/>
            <w:vAlign w:val="center"/>
          </w:tcPr>
          <w:p>
            <w:pPr>
              <w:adjustRightInd w:val="0"/>
              <w:snapToGrid w:val="0"/>
              <w:spacing w:line="240" w:lineRule="auto"/>
              <w:ind w:left="0" w:leftChars="0" w:firstLine="0" w:firstLineChars="0"/>
              <w:jc w:val="center"/>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CO</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NOx</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HC</w:t>
            </w:r>
          </w:p>
          <w:p>
            <w:pPr>
              <w:adjustRightInd w:val="0"/>
              <w:snapToGrid w:val="0"/>
              <w:spacing w:line="240" w:lineRule="auto"/>
              <w:ind w:left="0" w:leftChars="0" w:firstLine="0" w:firstLineChars="0"/>
              <w:jc w:val="center"/>
              <w:rPr>
                <w:rFonts w:hint="eastAsia" w:ascii="Times New Roman" w:hAnsi="Times New Roman" w:cs="Times New Roman"/>
                <w:color w:val="auto"/>
                <w:sz w:val="21"/>
                <w:szCs w:val="21"/>
                <w:highlight w:val="none"/>
                <w:lang w:val="en-US" w:eastAsia="zh-CN"/>
              </w:rPr>
            </w:pPr>
          </w:p>
        </w:tc>
        <w:tc>
          <w:tcPr>
            <w:tcW w:w="2565" w:type="dxa"/>
            <w:vAlign w:val="center"/>
          </w:tcPr>
          <w:p>
            <w:pPr>
              <w:adjustRightInd w:val="0"/>
              <w:snapToGrid w:val="0"/>
              <w:spacing w:line="240" w:lineRule="auto"/>
              <w:ind w:left="0" w:leftChars="0"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经柴油发电机配带的烟尘处理设备处理后经专用 </w:t>
            </w:r>
          </w:p>
          <w:p>
            <w:pPr>
              <w:adjustRightInd w:val="0"/>
              <w:snapToGrid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烟道高空排放</w:t>
            </w:r>
          </w:p>
        </w:tc>
        <w:tc>
          <w:tcPr>
            <w:tcW w:w="3070" w:type="dxa"/>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10" w:type="dxa"/>
            <w:vMerge w:val="continue"/>
            <w:vAlign w:val="center"/>
          </w:tcPr>
          <w:p>
            <w:pPr>
              <w:adjustRightInd w:val="0"/>
              <w:snapToGrid w:val="0"/>
              <w:spacing w:line="240" w:lineRule="auto"/>
              <w:ind w:left="0" w:leftChars="0" w:firstLine="0" w:firstLineChars="0"/>
              <w:jc w:val="center"/>
              <w:rPr>
                <w:rFonts w:hint="eastAsia"/>
                <w:color w:val="auto"/>
                <w:sz w:val="21"/>
                <w:szCs w:val="21"/>
                <w:highlight w:val="none"/>
                <w:lang w:val="en-US" w:eastAsia="zh-CN"/>
              </w:rPr>
            </w:pPr>
          </w:p>
        </w:tc>
        <w:tc>
          <w:tcPr>
            <w:tcW w:w="1361" w:type="dxa"/>
            <w:vAlign w:val="center"/>
          </w:tcPr>
          <w:p>
            <w:pPr>
              <w:adjustRightInd w:val="0"/>
              <w:snapToGrid w:val="0"/>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煎药废气</w:t>
            </w:r>
          </w:p>
        </w:tc>
        <w:tc>
          <w:tcPr>
            <w:tcW w:w="1552" w:type="dxa"/>
            <w:vAlign w:val="center"/>
          </w:tcPr>
          <w:p>
            <w:pPr>
              <w:adjustRightInd w:val="0"/>
              <w:snapToGrid w:val="0"/>
              <w:spacing w:line="240" w:lineRule="auto"/>
              <w:ind w:left="0" w:leftChars="0" w:firstLine="0" w:firstLineChars="0"/>
              <w:jc w:val="center"/>
              <w:rPr>
                <w:rFonts w:hint="eastAsia"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臭气</w:t>
            </w:r>
            <w:r>
              <w:rPr>
                <w:rFonts w:hint="eastAsia" w:ascii="Times New Roman" w:hAnsi="Times New Roman" w:cs="Times New Roman"/>
                <w:color w:val="auto"/>
                <w:sz w:val="21"/>
                <w:szCs w:val="21"/>
                <w:highlight w:val="none"/>
                <w:lang w:val="en-US" w:eastAsia="zh-CN"/>
              </w:rPr>
              <w:t>浓度</w:t>
            </w:r>
          </w:p>
        </w:tc>
        <w:tc>
          <w:tcPr>
            <w:tcW w:w="2565" w:type="dxa"/>
            <w:vAlign w:val="center"/>
          </w:tcPr>
          <w:p>
            <w:pPr>
              <w:adjustRightInd w:val="0"/>
              <w:snapToGrid w:val="0"/>
              <w:spacing w:line="240" w:lineRule="auto"/>
              <w:ind w:left="0" w:leftChars="0" w:firstLine="0" w:firstLineChars="0"/>
              <w:jc w:val="center"/>
              <w:rPr>
                <w:rFonts w:hint="eastAsia"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由专用烟道综合楼屋顶排放</w:t>
            </w:r>
          </w:p>
        </w:tc>
        <w:tc>
          <w:tcPr>
            <w:tcW w:w="3070" w:type="dxa"/>
            <w:vAlign w:val="center"/>
          </w:tcPr>
          <w:p>
            <w:pPr>
              <w:adjustRightInd w:val="0"/>
              <w:snapToGrid w:val="0"/>
              <w:spacing w:line="240" w:lineRule="auto"/>
              <w:ind w:left="0" w:lef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10" w:type="dxa"/>
            <w:vMerge w:val="continue"/>
            <w:vAlign w:val="center"/>
          </w:tcPr>
          <w:p>
            <w:pPr>
              <w:adjustRightInd w:val="0"/>
              <w:snapToGrid w:val="0"/>
              <w:spacing w:line="240" w:lineRule="auto"/>
              <w:ind w:left="0" w:leftChars="0" w:firstLine="0" w:firstLineChars="0"/>
              <w:jc w:val="center"/>
              <w:rPr>
                <w:rFonts w:hint="eastAsia"/>
                <w:color w:val="auto"/>
                <w:sz w:val="21"/>
                <w:szCs w:val="21"/>
                <w:highlight w:val="none"/>
                <w:lang w:val="en-US" w:eastAsia="zh-CN"/>
              </w:rPr>
            </w:pPr>
          </w:p>
        </w:tc>
        <w:tc>
          <w:tcPr>
            <w:tcW w:w="1361" w:type="dxa"/>
            <w:vAlign w:val="center"/>
          </w:tcPr>
          <w:p>
            <w:pPr>
              <w:adjustRightInd w:val="0"/>
              <w:snapToGrid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污水处理站周界</w:t>
            </w:r>
          </w:p>
        </w:tc>
        <w:tc>
          <w:tcPr>
            <w:tcW w:w="1552" w:type="dxa"/>
            <w:vAlign w:val="center"/>
          </w:tcPr>
          <w:p>
            <w:pPr>
              <w:adjustRightInd w:val="0"/>
              <w:snapToGrid w:val="0"/>
              <w:spacing w:line="240" w:lineRule="auto"/>
              <w:ind w:left="0" w:leftChars="0"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硫化氢、氨、臭气浓度、氯气、甲烷</w:t>
            </w:r>
          </w:p>
        </w:tc>
        <w:tc>
          <w:tcPr>
            <w:tcW w:w="2565" w:type="dxa"/>
            <w:vAlign w:val="center"/>
          </w:tcPr>
          <w:p>
            <w:pPr>
              <w:adjustRightInd w:val="0"/>
              <w:snapToGrid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池体密闭</w:t>
            </w:r>
          </w:p>
        </w:tc>
        <w:tc>
          <w:tcPr>
            <w:tcW w:w="3070" w:type="dxa"/>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周边执行《医疗机构水污染物排放标准》（GB18466-2005）中表3要求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10" w:type="dxa"/>
            <w:vAlign w:val="center"/>
          </w:tcPr>
          <w:p>
            <w:pPr>
              <w:adjustRightInd w:val="0"/>
              <w:snapToGrid w:val="0"/>
              <w:spacing w:line="240" w:lineRule="auto"/>
              <w:ind w:left="0" w:leftChars="0" w:firstLine="0" w:firstLineChars="0"/>
              <w:jc w:val="center"/>
              <w:rPr>
                <w:color w:val="auto"/>
                <w:sz w:val="21"/>
                <w:szCs w:val="21"/>
                <w:highlight w:val="none"/>
              </w:rPr>
            </w:pPr>
            <w:r>
              <w:rPr>
                <w:color w:val="auto"/>
                <w:sz w:val="21"/>
                <w:szCs w:val="21"/>
                <w:highlight w:val="none"/>
              </w:rPr>
              <w:t>地表水环境</w:t>
            </w:r>
          </w:p>
        </w:tc>
        <w:tc>
          <w:tcPr>
            <w:tcW w:w="1361" w:type="dxa"/>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医疗废水处理设施排放口</w:t>
            </w:r>
          </w:p>
        </w:tc>
        <w:tc>
          <w:tcPr>
            <w:tcW w:w="1552" w:type="dxa"/>
            <w:vAlign w:val="center"/>
          </w:tcPr>
          <w:p>
            <w:pPr>
              <w:adjustRightInd w:val="0"/>
              <w:snapToGrid w:val="0"/>
              <w:spacing w:line="240" w:lineRule="auto"/>
              <w:ind w:left="0" w:leftChars="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pH、</w:t>
            </w:r>
            <w:r>
              <w:rPr>
                <w:rFonts w:hint="eastAsia"/>
                <w:color w:val="auto"/>
                <w:sz w:val="21"/>
                <w:szCs w:val="21"/>
                <w:highlight w:val="none"/>
              </w:rPr>
              <w:t>C</w:t>
            </w:r>
            <w:r>
              <w:rPr>
                <w:color w:val="auto"/>
                <w:sz w:val="21"/>
                <w:szCs w:val="21"/>
                <w:highlight w:val="none"/>
              </w:rPr>
              <w:t>OD</w:t>
            </w:r>
            <w:r>
              <w:rPr>
                <w:rFonts w:hint="eastAsia"/>
                <w:color w:val="auto"/>
                <w:sz w:val="21"/>
                <w:szCs w:val="21"/>
                <w:highlight w:val="none"/>
              </w:rPr>
              <w:t>、S</w:t>
            </w:r>
            <w:r>
              <w:rPr>
                <w:color w:val="auto"/>
                <w:sz w:val="21"/>
                <w:szCs w:val="21"/>
                <w:highlight w:val="none"/>
              </w:rPr>
              <w:t>S</w:t>
            </w:r>
            <w:r>
              <w:rPr>
                <w:rFonts w:hint="eastAsia"/>
                <w:color w:val="auto"/>
                <w:sz w:val="21"/>
                <w:szCs w:val="21"/>
                <w:highlight w:val="none"/>
              </w:rPr>
              <w:t>、</w:t>
            </w:r>
            <w:r>
              <w:rPr>
                <w:rFonts w:hint="eastAsia"/>
                <w:color w:val="auto"/>
                <w:sz w:val="21"/>
                <w:szCs w:val="21"/>
                <w:highlight w:val="none"/>
                <w:lang w:val="en-US" w:eastAsia="zh-CN"/>
              </w:rPr>
              <w:t>BOD</w:t>
            </w:r>
            <w:r>
              <w:rPr>
                <w:rFonts w:hint="eastAsia"/>
                <w:color w:val="auto"/>
                <w:sz w:val="21"/>
                <w:szCs w:val="21"/>
                <w:highlight w:val="none"/>
                <w:vertAlign w:val="subscript"/>
                <w:lang w:val="en-US" w:eastAsia="zh-CN"/>
              </w:rPr>
              <w:t>5</w:t>
            </w:r>
            <w:r>
              <w:rPr>
                <w:rFonts w:hint="eastAsia"/>
                <w:color w:val="auto"/>
                <w:sz w:val="21"/>
                <w:szCs w:val="21"/>
                <w:highlight w:val="none"/>
                <w:lang w:val="en-US" w:eastAsia="zh-CN"/>
              </w:rPr>
              <w:t>、</w:t>
            </w:r>
            <w:r>
              <w:rPr>
                <w:rFonts w:hint="eastAsia"/>
                <w:color w:val="auto"/>
                <w:sz w:val="21"/>
                <w:szCs w:val="21"/>
                <w:highlight w:val="none"/>
              </w:rPr>
              <w:t>氨氮、</w:t>
            </w:r>
            <w:r>
              <w:rPr>
                <w:rFonts w:hint="eastAsia"/>
                <w:color w:val="auto"/>
                <w:sz w:val="21"/>
                <w:szCs w:val="21"/>
                <w:highlight w:val="none"/>
                <w:lang w:val="en-US" w:eastAsia="zh-CN"/>
              </w:rPr>
              <w:t>粪大肠菌群、LAS、总余氯</w:t>
            </w:r>
          </w:p>
        </w:tc>
        <w:tc>
          <w:tcPr>
            <w:tcW w:w="2565" w:type="dxa"/>
            <w:vAlign w:val="center"/>
          </w:tcPr>
          <w:p>
            <w:pPr>
              <w:spacing w:line="240" w:lineRule="auto"/>
              <w:ind w:left="0" w:leftChars="0" w:firstLine="0" w:firstLineChars="0"/>
              <w:jc w:val="left"/>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自建污水处理站，处理规模不小于36m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/d，处理工艺为生化</w:t>
            </w:r>
            <w:r>
              <w:rPr>
                <w:rFonts w:hint="default"/>
                <w:color w:val="auto"/>
                <w:sz w:val="21"/>
                <w:szCs w:val="21"/>
                <w:highlight w:val="none"/>
                <w:lang w:val="en-US" w:eastAsia="zh-CN"/>
              </w:rPr>
              <w:t>+</w:t>
            </w:r>
            <w:r>
              <w:rPr>
                <w:rFonts w:hint="eastAsia"/>
                <w:color w:val="auto"/>
                <w:sz w:val="21"/>
                <w:szCs w:val="21"/>
                <w:highlight w:val="none"/>
                <w:lang w:val="en-US" w:eastAsia="zh-CN"/>
              </w:rPr>
              <w:t>消毒，全院医疗废水、生活污水处理达《医疗机构水污染物排放标准》（</w:t>
            </w:r>
            <w:r>
              <w:rPr>
                <w:rFonts w:hint="default"/>
                <w:color w:val="auto"/>
                <w:sz w:val="21"/>
                <w:szCs w:val="21"/>
                <w:highlight w:val="none"/>
                <w:lang w:val="en-US" w:eastAsia="zh-CN"/>
              </w:rPr>
              <w:t>GB18466-2005</w:t>
            </w:r>
            <w:r>
              <w:rPr>
                <w:rFonts w:hint="eastAsia"/>
                <w:color w:val="auto"/>
                <w:sz w:val="21"/>
                <w:szCs w:val="21"/>
                <w:highlight w:val="none"/>
                <w:lang w:val="en-US" w:eastAsia="zh-CN"/>
              </w:rPr>
              <w:t>）表</w:t>
            </w:r>
            <w:r>
              <w:rPr>
                <w:rFonts w:hint="default"/>
                <w:color w:val="auto"/>
                <w:sz w:val="21"/>
                <w:szCs w:val="21"/>
                <w:highlight w:val="none"/>
                <w:lang w:val="en-US" w:eastAsia="zh-CN"/>
              </w:rPr>
              <w:t>2</w:t>
            </w:r>
            <w:r>
              <w:rPr>
                <w:rFonts w:hint="eastAsia"/>
                <w:color w:val="auto"/>
                <w:sz w:val="21"/>
                <w:szCs w:val="21"/>
                <w:highlight w:val="none"/>
                <w:lang w:val="en-US" w:eastAsia="zh-CN"/>
              </w:rPr>
              <w:t>中的预处理标准后排入市政污水管网，最终进入羊市镇污水处理厂处理；其中发热门诊和肠道门诊废水单独收集，并经预消毒处理后再排入污水处理站处理。医院特殊废液单独收集交由有相应资质的单位收运、处置。</w:t>
            </w:r>
          </w:p>
        </w:tc>
        <w:tc>
          <w:tcPr>
            <w:tcW w:w="3070" w:type="dxa"/>
            <w:vAlign w:val="center"/>
          </w:tcPr>
          <w:p>
            <w:pPr>
              <w:adjustRightInd w:val="0"/>
              <w:snapToGrid w:val="0"/>
              <w:spacing w:line="240" w:lineRule="auto"/>
              <w:ind w:left="0" w:leftChars="0" w:firstLine="0" w:firstLineChars="0"/>
              <w:jc w:val="both"/>
              <w:rPr>
                <w:rFonts w:hint="eastAsia"/>
                <w:color w:val="auto"/>
                <w:sz w:val="21"/>
                <w:szCs w:val="21"/>
                <w:highlight w:val="none"/>
              </w:rPr>
            </w:pPr>
            <w:r>
              <w:rPr>
                <w:rFonts w:hint="eastAsia"/>
                <w:color w:val="auto"/>
                <w:sz w:val="21"/>
                <w:szCs w:val="21"/>
                <w:highlight w:val="none"/>
              </w:rPr>
              <w:t>《医疗机构水污染物排放标准》</w:t>
            </w:r>
          </w:p>
          <w:p>
            <w:pPr>
              <w:adjustRightInd w:val="0"/>
              <w:snapToGrid w:val="0"/>
              <w:spacing w:line="240" w:lineRule="auto"/>
              <w:ind w:left="0" w:leftChars="0"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（GB18466-2005）表2预处理标准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148" w:hRule="atLeast"/>
          <w:jc w:val="center"/>
        </w:trPr>
        <w:tc>
          <w:tcPr>
            <w:tcW w:w="1210" w:type="dxa"/>
            <w:vAlign w:val="center"/>
          </w:tcPr>
          <w:p>
            <w:pPr>
              <w:adjustRightInd w:val="0"/>
              <w:snapToGrid w:val="0"/>
              <w:spacing w:line="240" w:lineRule="auto"/>
              <w:ind w:left="0" w:leftChars="0" w:firstLine="0" w:firstLineChars="0"/>
              <w:jc w:val="center"/>
              <w:rPr>
                <w:color w:val="auto"/>
                <w:sz w:val="21"/>
                <w:szCs w:val="21"/>
                <w:highlight w:val="none"/>
              </w:rPr>
            </w:pPr>
            <w:r>
              <w:rPr>
                <w:color w:val="auto"/>
                <w:sz w:val="21"/>
                <w:szCs w:val="21"/>
                <w:highlight w:val="none"/>
              </w:rPr>
              <w:t>声环境</w:t>
            </w:r>
          </w:p>
        </w:tc>
        <w:tc>
          <w:tcPr>
            <w:tcW w:w="1361" w:type="dxa"/>
            <w:vAlign w:val="center"/>
          </w:tcPr>
          <w:p>
            <w:pPr>
              <w:adjustRightInd w:val="0"/>
              <w:snapToGrid w:val="0"/>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生产设备</w:t>
            </w:r>
          </w:p>
          <w:p>
            <w:pPr>
              <w:adjustRightInd w:val="0"/>
              <w:snapToGrid w:val="0"/>
              <w:spacing w:line="240" w:lineRule="auto"/>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噪声</w:t>
            </w:r>
          </w:p>
        </w:tc>
        <w:tc>
          <w:tcPr>
            <w:tcW w:w="1552" w:type="dxa"/>
            <w:vAlign w:val="center"/>
          </w:tcPr>
          <w:p>
            <w:pPr>
              <w:adjustRightInd w:val="0"/>
              <w:snapToGrid w:val="0"/>
              <w:spacing w:line="240" w:lineRule="auto"/>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场界噪声</w:t>
            </w:r>
          </w:p>
        </w:tc>
        <w:tc>
          <w:tcPr>
            <w:tcW w:w="2565" w:type="dxa"/>
            <w:vAlign w:val="center"/>
          </w:tcPr>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设备均选用低噪声设备和基础减震以及墙体隔声；水泵吸水管和出水管加设可曲绕橡胶头；风机进风口和出风口安装消声器；大楼设计时预留空调外机位置，并采用安装支架</w:t>
            </w:r>
          </w:p>
          <w:p>
            <w:pPr>
              <w:spacing w:line="240" w:lineRule="auto"/>
              <w:ind w:left="0" w:leftChars="0" w:firstLine="0" w:firstLineChars="0"/>
              <w:jc w:val="center"/>
              <w:rPr>
                <w:color w:val="auto"/>
                <w:sz w:val="21"/>
                <w:szCs w:val="21"/>
                <w:highlight w:val="none"/>
              </w:rPr>
            </w:pPr>
            <w:r>
              <w:rPr>
                <w:rFonts w:hint="eastAsia"/>
                <w:color w:val="auto"/>
                <w:sz w:val="21"/>
                <w:szCs w:val="21"/>
                <w:highlight w:val="none"/>
                <w:lang w:val="en-US" w:eastAsia="zh-CN"/>
              </w:rPr>
              <w:t>固定减震、百叶隔声</w:t>
            </w:r>
          </w:p>
        </w:tc>
        <w:tc>
          <w:tcPr>
            <w:tcW w:w="3070" w:type="dxa"/>
            <w:vAlign w:val="center"/>
          </w:tcPr>
          <w:p>
            <w:pPr>
              <w:adjustRightInd w:val="0"/>
              <w:snapToGrid w:val="0"/>
              <w:spacing w:line="240" w:lineRule="auto"/>
              <w:ind w:left="0" w:leftChars="0" w:firstLine="0" w:firstLineChars="0"/>
              <w:jc w:val="both"/>
              <w:rPr>
                <w:color w:val="auto"/>
                <w:sz w:val="21"/>
                <w:szCs w:val="21"/>
                <w:highlight w:val="none"/>
              </w:rPr>
            </w:pPr>
            <w:r>
              <w:rPr>
                <w:rFonts w:hint="eastAsia"/>
                <w:color w:val="auto"/>
                <w:sz w:val="21"/>
                <w:szCs w:val="21"/>
                <w:highlight w:val="none"/>
              </w:rPr>
              <w:t>《</w:t>
            </w:r>
            <w:r>
              <w:rPr>
                <w:rFonts w:hint="eastAsia"/>
                <w:color w:val="auto"/>
                <w:sz w:val="21"/>
                <w:szCs w:val="21"/>
                <w:highlight w:val="none"/>
                <w:lang w:eastAsia="zh-CN"/>
              </w:rPr>
              <w:t>工业企业场界环境噪声排放标准</w:t>
            </w:r>
            <w:r>
              <w:rPr>
                <w:rFonts w:hint="eastAsia"/>
                <w:color w:val="auto"/>
                <w:sz w:val="21"/>
                <w:szCs w:val="21"/>
                <w:highlight w:val="none"/>
              </w:rPr>
              <w:t>》（ GB12348-2008 ） 的</w:t>
            </w:r>
            <w:r>
              <w:rPr>
                <w:rFonts w:hint="eastAsia"/>
                <w:color w:val="auto"/>
                <w:sz w:val="21"/>
                <w:szCs w:val="21"/>
                <w:highlight w:val="none"/>
                <w:lang w:val="en-US" w:eastAsia="zh-CN"/>
              </w:rPr>
              <w:t>2</w:t>
            </w:r>
            <w:r>
              <w:rPr>
                <w:rFonts w:hint="eastAsia"/>
                <w:color w:val="auto"/>
                <w:sz w:val="21"/>
                <w:szCs w:val="21"/>
                <w:highlight w:val="none"/>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10" w:type="dxa"/>
            <w:vAlign w:val="center"/>
          </w:tcPr>
          <w:p>
            <w:pPr>
              <w:adjustRightInd w:val="0"/>
              <w:snapToGrid w:val="0"/>
              <w:spacing w:line="240" w:lineRule="auto"/>
              <w:ind w:left="0" w:leftChars="0" w:firstLine="0" w:firstLineChars="0"/>
              <w:jc w:val="center"/>
              <w:rPr>
                <w:color w:val="auto"/>
                <w:sz w:val="21"/>
                <w:szCs w:val="21"/>
                <w:highlight w:val="none"/>
              </w:rPr>
            </w:pPr>
            <w:r>
              <w:rPr>
                <w:color w:val="auto"/>
                <w:sz w:val="21"/>
                <w:szCs w:val="21"/>
                <w:highlight w:val="none"/>
              </w:rPr>
              <w:t>电磁辐射</w:t>
            </w:r>
          </w:p>
        </w:tc>
        <w:tc>
          <w:tcPr>
            <w:tcW w:w="1361" w:type="dxa"/>
            <w:vAlign w:val="center"/>
          </w:tcPr>
          <w:p>
            <w:pPr>
              <w:adjustRightInd w:val="0"/>
              <w:snapToGrid w:val="0"/>
              <w:spacing w:line="240" w:lineRule="auto"/>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X射线装置</w:t>
            </w:r>
          </w:p>
        </w:tc>
        <w:tc>
          <w:tcPr>
            <w:tcW w:w="1552" w:type="dxa"/>
            <w:vAlign w:val="center"/>
          </w:tcPr>
          <w:p>
            <w:pPr>
              <w:adjustRightInd w:val="0"/>
              <w:snapToGrid w:val="0"/>
              <w:spacing w:line="240" w:lineRule="auto"/>
              <w:ind w:left="0" w:leftChars="0"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X射线</w:t>
            </w:r>
          </w:p>
        </w:tc>
        <w:tc>
          <w:tcPr>
            <w:tcW w:w="2565" w:type="dxa"/>
            <w:vAlign w:val="center"/>
          </w:tcPr>
          <w:p>
            <w:pPr>
              <w:spacing w:line="240" w:lineRule="auto"/>
              <w:ind w:left="0" w:leftChars="0"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机房有足够的使用面积，四周墙体、天棚、铅防护门、铅观察窗满足屏蔽要求；机房电离辐射警示标志及门灯连锁装置，工作人员配戴个人剂量计等</w:t>
            </w:r>
          </w:p>
        </w:tc>
        <w:tc>
          <w:tcPr>
            <w:tcW w:w="3070" w:type="dxa"/>
            <w:vAlign w:val="center"/>
          </w:tcPr>
          <w:p>
            <w:pPr>
              <w:adjustRightInd w:val="0"/>
              <w:snapToGrid w:val="0"/>
              <w:spacing w:line="240" w:lineRule="auto"/>
              <w:ind w:left="0" w:leftChars="0" w:firstLine="0" w:firstLineChars="0"/>
              <w:jc w:val="both"/>
              <w:rPr>
                <w:rFonts w:hint="eastAsia"/>
                <w:color w:val="auto"/>
                <w:sz w:val="21"/>
                <w:szCs w:val="21"/>
                <w:highlight w:val="none"/>
                <w:lang w:eastAsia="zh-CN"/>
              </w:rPr>
            </w:pPr>
            <w:r>
              <w:rPr>
                <w:rFonts w:hint="eastAsia"/>
                <w:color w:val="auto"/>
                <w:sz w:val="21"/>
                <w:szCs w:val="21"/>
                <w:highlight w:val="none"/>
                <w:lang w:val="en-US" w:eastAsia="zh-CN"/>
              </w:rPr>
              <w:t>《电离辐射防护与辐射源安全基本标准》（</w:t>
            </w:r>
            <w:r>
              <w:rPr>
                <w:rFonts w:hint="default"/>
                <w:color w:val="auto"/>
                <w:sz w:val="21"/>
                <w:szCs w:val="21"/>
                <w:highlight w:val="none"/>
                <w:lang w:val="en-US" w:eastAsia="zh-CN"/>
              </w:rPr>
              <w:t>GB18871-2002</w:t>
            </w:r>
            <w:r>
              <w:rPr>
                <w:rFonts w:hint="eastAsia"/>
                <w:color w:val="auto"/>
                <w:sz w:val="21"/>
                <w:szCs w:val="21"/>
                <w:highlight w:val="none"/>
                <w:lang w:val="en-US" w:eastAsia="zh-CN"/>
              </w:rPr>
              <w:t xml:space="preserve">） </w:t>
            </w:r>
          </w:p>
          <w:p>
            <w:pPr>
              <w:adjustRightInd w:val="0"/>
              <w:snapToGrid w:val="0"/>
              <w:spacing w:line="240" w:lineRule="auto"/>
              <w:ind w:left="0" w:leftChars="0" w:firstLine="0" w:firstLineChars="0"/>
              <w:jc w:val="both"/>
              <w:rPr>
                <w:rFonts w:hint="eastAsia"/>
                <w:color w:val="auto"/>
                <w:sz w:val="21"/>
                <w:szCs w:val="21"/>
                <w:highlight w:val="none"/>
                <w:lang w:eastAsia="zh-CN"/>
              </w:rPr>
            </w:pPr>
            <w:r>
              <w:rPr>
                <w:rFonts w:hint="eastAsia"/>
                <w:color w:val="auto"/>
                <w:sz w:val="21"/>
                <w:szCs w:val="21"/>
                <w:highlight w:val="none"/>
                <w:lang w:val="en-US" w:eastAsia="zh-CN"/>
              </w:rPr>
              <w:t>、《医用</w:t>
            </w:r>
            <w:r>
              <w:rPr>
                <w:rFonts w:hint="default"/>
                <w:color w:val="auto"/>
                <w:sz w:val="21"/>
                <w:szCs w:val="21"/>
                <w:highlight w:val="none"/>
                <w:lang w:val="en-US" w:eastAsia="zh-CN"/>
              </w:rPr>
              <w:t>X</w:t>
            </w:r>
            <w:r>
              <w:rPr>
                <w:rFonts w:hint="eastAsia"/>
                <w:color w:val="auto"/>
                <w:sz w:val="21"/>
                <w:szCs w:val="21"/>
                <w:highlight w:val="none"/>
                <w:lang w:val="en-US" w:eastAsia="zh-CN"/>
              </w:rPr>
              <w:t>射线诊断放射防护要求》（</w:t>
            </w:r>
            <w:r>
              <w:rPr>
                <w:rFonts w:hint="default"/>
                <w:color w:val="auto"/>
                <w:sz w:val="21"/>
                <w:szCs w:val="21"/>
                <w:highlight w:val="none"/>
                <w:lang w:val="en-US" w:eastAsia="zh-CN"/>
              </w:rPr>
              <w:t>GBZ130</w:t>
            </w:r>
            <w:r>
              <w:rPr>
                <w:rFonts w:hint="eastAsia"/>
                <w:color w:val="auto"/>
                <w:sz w:val="21"/>
                <w:szCs w:val="21"/>
                <w:highlight w:val="none"/>
                <w:lang w:val="en-US" w:eastAsia="zh-CN"/>
              </w:rPr>
              <w:t>－</w:t>
            </w:r>
            <w:r>
              <w:rPr>
                <w:rFonts w:hint="default"/>
                <w:color w:val="auto"/>
                <w:sz w:val="21"/>
                <w:szCs w:val="21"/>
                <w:highlight w:val="none"/>
                <w:lang w:val="en-US" w:eastAsia="zh-CN"/>
              </w:rPr>
              <w:t>2013</w:t>
            </w:r>
            <w:r>
              <w:rPr>
                <w:rFonts w:hint="eastAsia"/>
                <w:color w:val="auto"/>
                <w:sz w:val="21"/>
                <w:szCs w:val="21"/>
                <w:highlight w:val="none"/>
                <w:lang w:val="en-US" w:eastAsia="zh-CN"/>
              </w:rPr>
              <w:t>）</w:t>
            </w:r>
          </w:p>
          <w:p>
            <w:pPr>
              <w:adjustRightInd w:val="0"/>
              <w:snapToGrid w:val="0"/>
              <w:spacing w:line="240" w:lineRule="auto"/>
              <w:ind w:left="0" w:leftChars="0" w:firstLine="0" w:firstLineChars="0"/>
              <w:jc w:val="center"/>
              <w:rPr>
                <w:rFonts w:hint="eastAsia" w:eastAsia="宋体"/>
                <w:color w:val="auto"/>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32" w:hRule="atLeast"/>
          <w:jc w:val="center"/>
        </w:trPr>
        <w:tc>
          <w:tcPr>
            <w:tcW w:w="1210" w:type="dxa"/>
            <w:vAlign w:val="center"/>
          </w:tcPr>
          <w:p>
            <w:pPr>
              <w:adjustRightInd w:val="0"/>
              <w:snapToGrid w:val="0"/>
              <w:spacing w:line="240" w:lineRule="auto"/>
              <w:ind w:left="0" w:leftChars="0" w:firstLine="0" w:firstLineChars="0"/>
              <w:jc w:val="center"/>
              <w:rPr>
                <w:color w:val="auto"/>
                <w:sz w:val="21"/>
                <w:szCs w:val="21"/>
                <w:highlight w:val="none"/>
              </w:rPr>
            </w:pPr>
            <w:r>
              <w:rPr>
                <w:color w:val="auto"/>
                <w:sz w:val="21"/>
                <w:szCs w:val="21"/>
                <w:highlight w:val="none"/>
              </w:rPr>
              <w:t>固体废物</w:t>
            </w:r>
          </w:p>
        </w:tc>
        <w:tc>
          <w:tcPr>
            <w:tcW w:w="8548"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color w:val="auto"/>
                <w:sz w:val="21"/>
                <w:szCs w:val="21"/>
                <w:highlight w:val="none"/>
                <w:lang w:val="en-US" w:eastAsia="zh-CN"/>
              </w:rPr>
            </w:pPr>
            <w:r>
              <w:rPr>
                <w:rFonts w:hint="eastAsia"/>
                <w:color w:val="auto"/>
                <w:sz w:val="21"/>
                <w:szCs w:val="21"/>
                <w:highlight w:val="none"/>
                <w:lang w:val="en-US" w:eastAsia="zh-CN"/>
              </w:rPr>
              <w:t>①一般固体废物：主要包括一般固废（塑料包装材料、废药盒、废包装瓶）、废中药渣。塑料包装材料、废药盒、废包装瓶、废中药渣分类收集后暂存于医院综合楼1F南侧的一般固废暂存区，再交由相应的回收单位处理。面积约2</w:t>
            </w:r>
            <w:r>
              <w:rPr>
                <w:rFonts w:hint="default"/>
                <w:color w:val="auto"/>
                <w:sz w:val="21"/>
                <w:szCs w:val="21"/>
                <w:highlight w:val="none"/>
                <w:lang w:val="en-US" w:eastAsia="zh-CN"/>
              </w:rPr>
              <w:t>0m</w:t>
            </w:r>
            <w:r>
              <w:rPr>
                <w:rFonts w:hint="default"/>
                <w:color w:val="auto"/>
                <w:sz w:val="21"/>
                <w:szCs w:val="21"/>
                <w:highlight w:val="none"/>
                <w:vertAlign w:val="superscript"/>
                <w:lang w:val="en-US" w:eastAsia="zh-CN"/>
              </w:rPr>
              <w:t>2</w:t>
            </w:r>
            <w:r>
              <w:rPr>
                <w:rFonts w:hint="eastAsia"/>
                <w:color w:val="auto"/>
                <w:sz w:val="21"/>
                <w:szCs w:val="21"/>
                <w:highlight w:val="none"/>
                <w:lang w:val="en-US" w:eastAsia="zh-CN"/>
              </w:rPr>
              <w:t xml:space="preserve">，设标识牌。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color w:val="auto"/>
                <w:sz w:val="21"/>
                <w:szCs w:val="21"/>
                <w:highlight w:val="none"/>
                <w:lang w:val="en-US" w:eastAsia="zh-CN"/>
              </w:rPr>
            </w:pPr>
            <w:r>
              <w:rPr>
                <w:rFonts w:hint="eastAsia"/>
                <w:color w:val="auto"/>
                <w:sz w:val="21"/>
                <w:szCs w:val="21"/>
                <w:highlight w:val="none"/>
                <w:lang w:val="en-US" w:eastAsia="zh-CN"/>
              </w:rPr>
              <w:t xml:space="preserve">②危险废物：主要包括医疗废物、废 </w:t>
            </w:r>
            <w:r>
              <w:rPr>
                <w:rFonts w:hint="default"/>
                <w:color w:val="auto"/>
                <w:sz w:val="21"/>
                <w:szCs w:val="21"/>
                <w:highlight w:val="none"/>
                <w:lang w:val="en-US" w:eastAsia="zh-CN"/>
              </w:rPr>
              <w:t xml:space="preserve">UV </w:t>
            </w:r>
            <w:r>
              <w:rPr>
                <w:rFonts w:hint="eastAsia"/>
                <w:color w:val="auto"/>
                <w:sz w:val="21"/>
                <w:szCs w:val="21"/>
                <w:highlight w:val="none"/>
                <w:lang w:val="en-US" w:eastAsia="zh-CN"/>
              </w:rPr>
              <w:t>灯管、废活性炭、废水处理设施污泥等，集中收集，医疗废物暂存于医疗废物暂存间，委托有资质单位收运、处置。其他危险废物暂存于危废暂存间内。</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color w:val="auto"/>
                <w:highlight w:val="none"/>
              </w:rPr>
            </w:pPr>
            <w:r>
              <w:rPr>
                <w:rFonts w:hint="eastAsia" w:ascii="Times New Roman" w:hAnsi="Times New Roman" w:eastAsia="宋体" w:cs="Times New Roman"/>
                <w:color w:val="auto"/>
                <w:sz w:val="21"/>
                <w:szCs w:val="21"/>
                <w:highlight w:val="none"/>
                <w:lang w:val="en-US" w:eastAsia="zh-CN"/>
              </w:rPr>
              <w:t>医疗废物暂存间设置在一层南侧，面积约20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，按相关规范要求进行设置，并定期消毒处理。危险废物暂存区，位于医疗废物暂存区旁，建筑面积20</w:t>
            </w:r>
            <w:r>
              <w:rPr>
                <w:rFonts w:hint="default"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，应采取“六防”（防风、防晒、防雨、防漏、防渗、防腐）措施。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9" w:hRule="atLeast"/>
          <w:jc w:val="center"/>
        </w:trPr>
        <w:tc>
          <w:tcPr>
            <w:tcW w:w="1210" w:type="dxa"/>
            <w:vAlign w:val="center"/>
          </w:tcPr>
          <w:p>
            <w:pPr>
              <w:adjustRightInd w:val="0"/>
              <w:snapToGrid w:val="0"/>
              <w:spacing w:line="240" w:lineRule="auto"/>
              <w:ind w:left="0" w:leftChars="0" w:firstLine="0" w:firstLineChars="0"/>
              <w:jc w:val="center"/>
              <w:rPr>
                <w:color w:val="auto"/>
                <w:sz w:val="21"/>
                <w:szCs w:val="21"/>
                <w:highlight w:val="none"/>
              </w:rPr>
            </w:pPr>
            <w:r>
              <w:rPr>
                <w:color w:val="auto"/>
                <w:sz w:val="21"/>
                <w:szCs w:val="21"/>
                <w:highlight w:val="none"/>
              </w:rPr>
              <w:t>土壤及地下水污染防治措施</w:t>
            </w:r>
          </w:p>
        </w:tc>
        <w:tc>
          <w:tcPr>
            <w:tcW w:w="8548"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eastAsia="宋体" w:cs="宋体"/>
                <w:color w:val="auto"/>
                <w:kern w:val="0"/>
                <w:sz w:val="21"/>
                <w:szCs w:val="21"/>
                <w:highlight w:val="none"/>
                <w:lang w:eastAsia="zh-CN"/>
              </w:rPr>
            </w:pPr>
            <w:r>
              <w:rPr>
                <w:rFonts w:hint="eastAsia"/>
                <w:color w:val="auto"/>
                <w:sz w:val="21"/>
                <w:szCs w:val="21"/>
                <w:highlight w:val="none"/>
                <w:lang w:val="en-US" w:eastAsia="zh-CN"/>
              </w:rPr>
              <w:t xml:space="preserve">将医疗废物暂存间、事故池、柴油发电机房做为重点防渗区进行防渗、防腐。防渗层防渗技术要求满足等效黏土防渗层 </w:t>
            </w:r>
            <w:r>
              <w:rPr>
                <w:rFonts w:hint="default"/>
                <w:color w:val="auto"/>
                <w:sz w:val="21"/>
                <w:szCs w:val="21"/>
                <w:highlight w:val="none"/>
                <w:lang w:val="en-US" w:eastAsia="zh-CN"/>
              </w:rPr>
              <w:t>Mb≥6.0m</w:t>
            </w:r>
            <w:r>
              <w:rPr>
                <w:rFonts w:hint="eastAsia"/>
                <w:color w:val="auto"/>
                <w:sz w:val="21"/>
                <w:szCs w:val="21"/>
                <w:highlight w:val="none"/>
                <w:lang w:val="en-US" w:eastAsia="zh-CN"/>
              </w:rPr>
              <w:t>，</w:t>
            </w:r>
            <w:r>
              <w:rPr>
                <w:rFonts w:hint="default"/>
                <w:color w:val="auto"/>
                <w:sz w:val="21"/>
                <w:szCs w:val="21"/>
                <w:highlight w:val="none"/>
                <w:lang w:val="en-US" w:eastAsia="zh-CN"/>
              </w:rPr>
              <w:t xml:space="preserve">K≤1×10 </w:t>
            </w:r>
            <w:r>
              <w:rPr>
                <w:rFonts w:hint="default"/>
                <w:color w:val="auto"/>
                <w:sz w:val="21"/>
                <w:szCs w:val="21"/>
                <w:highlight w:val="none"/>
                <w:vertAlign w:val="superscript"/>
                <w:lang w:val="en-US" w:eastAsia="zh-CN"/>
              </w:rPr>
              <w:t>-7</w:t>
            </w:r>
            <w:r>
              <w:rPr>
                <w:rFonts w:hint="default"/>
                <w:color w:val="auto"/>
                <w:sz w:val="21"/>
                <w:szCs w:val="21"/>
                <w:highlight w:val="none"/>
                <w:lang w:val="en-US" w:eastAsia="zh-CN"/>
              </w:rPr>
              <w:t>cm/s</w:t>
            </w:r>
            <w:r>
              <w:rPr>
                <w:rFonts w:hint="eastAsia"/>
                <w:color w:val="auto"/>
                <w:sz w:val="21"/>
                <w:szCs w:val="21"/>
                <w:highlight w:val="none"/>
                <w:lang w:val="en-US" w:eastAsia="zh-CN"/>
              </w:rPr>
              <w:t>。或</w:t>
            </w:r>
            <w:r>
              <w:rPr>
                <w:rFonts w:hint="default"/>
                <w:color w:val="auto"/>
                <w:sz w:val="21"/>
                <w:szCs w:val="21"/>
                <w:highlight w:val="none"/>
                <w:lang w:val="en-US" w:eastAsia="zh-CN"/>
              </w:rPr>
              <w:t>2mm</w:t>
            </w:r>
            <w:r>
              <w:rPr>
                <w:rFonts w:hint="eastAsia"/>
                <w:color w:val="auto"/>
                <w:sz w:val="21"/>
                <w:szCs w:val="21"/>
                <w:highlight w:val="none"/>
                <w:lang w:val="en-US" w:eastAsia="zh-CN"/>
              </w:rPr>
              <w:t xml:space="preserve">厚高密度聚乙烯，或至少 </w:t>
            </w:r>
            <w:r>
              <w:rPr>
                <w:rFonts w:hint="default"/>
                <w:color w:val="auto"/>
                <w:sz w:val="21"/>
                <w:szCs w:val="21"/>
                <w:highlight w:val="none"/>
                <w:lang w:val="en-US" w:eastAsia="zh-CN"/>
              </w:rPr>
              <w:t>2mm</w:t>
            </w:r>
            <w:r>
              <w:rPr>
                <w:rFonts w:hint="eastAsia"/>
                <w:color w:val="auto"/>
                <w:sz w:val="21"/>
                <w:szCs w:val="21"/>
                <w:highlight w:val="none"/>
                <w:lang w:val="en-US" w:eastAsia="zh-CN"/>
              </w:rPr>
              <w:t>厚的其他人工材料，渗透系数</w:t>
            </w:r>
            <w:r>
              <w:rPr>
                <w:rFonts w:hint="default"/>
                <w:color w:val="auto"/>
                <w:sz w:val="21"/>
                <w:szCs w:val="21"/>
                <w:highlight w:val="none"/>
                <w:lang w:val="en-US" w:eastAsia="zh-CN"/>
              </w:rPr>
              <w:t>≤10</w:t>
            </w:r>
            <w:r>
              <w:rPr>
                <w:rFonts w:hint="default"/>
                <w:color w:val="auto"/>
                <w:sz w:val="21"/>
                <w:szCs w:val="21"/>
                <w:highlight w:val="none"/>
                <w:vertAlign w:val="superscript"/>
                <w:lang w:val="en-US" w:eastAsia="zh-CN"/>
              </w:rPr>
              <w:t xml:space="preserve"> -12</w:t>
            </w:r>
            <w:r>
              <w:rPr>
                <w:rFonts w:hint="default"/>
                <w:color w:val="auto"/>
                <w:sz w:val="21"/>
                <w:szCs w:val="21"/>
                <w:highlight w:val="none"/>
                <w:lang w:val="en-US" w:eastAsia="zh-CN"/>
              </w:rPr>
              <w:t>cm/s</w:t>
            </w:r>
            <w:r>
              <w:rPr>
                <w:rFonts w:hint="eastAsia"/>
                <w:color w:val="auto"/>
                <w:sz w:val="21"/>
                <w:szCs w:val="21"/>
                <w:highlight w:val="none"/>
                <w:lang w:val="en-US" w:eastAsia="zh-CN"/>
              </w:rPr>
              <w:t>）；其他区域按照简单防渗区建设，做好混凝土硬化要求。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jc w:val="center"/>
        </w:trPr>
        <w:tc>
          <w:tcPr>
            <w:tcW w:w="1210" w:type="dxa"/>
            <w:vAlign w:val="center"/>
          </w:tcPr>
          <w:p>
            <w:pPr>
              <w:adjustRightInd w:val="0"/>
              <w:snapToGrid w:val="0"/>
              <w:spacing w:line="240" w:lineRule="auto"/>
              <w:ind w:left="0" w:leftChars="0" w:firstLine="0" w:firstLineChars="0"/>
              <w:jc w:val="center"/>
              <w:rPr>
                <w:color w:val="auto"/>
                <w:sz w:val="21"/>
                <w:szCs w:val="21"/>
                <w:highlight w:val="none"/>
              </w:rPr>
            </w:pPr>
            <w:r>
              <w:rPr>
                <w:color w:val="auto"/>
                <w:sz w:val="21"/>
                <w:szCs w:val="21"/>
                <w:highlight w:val="none"/>
              </w:rPr>
              <w:t>生态保护措施</w:t>
            </w:r>
          </w:p>
        </w:tc>
        <w:tc>
          <w:tcPr>
            <w:tcW w:w="8548" w:type="dxa"/>
            <w:gridSpan w:val="4"/>
            <w:vAlign w:val="center"/>
          </w:tcPr>
          <w:p>
            <w:pPr>
              <w:adjustRightInd w:val="0"/>
              <w:snapToGrid w:val="0"/>
              <w:spacing w:line="240" w:lineRule="auto"/>
              <w:ind w:left="0" w:leftChars="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210" w:type="dxa"/>
            <w:vAlign w:val="center"/>
          </w:tcPr>
          <w:p>
            <w:pPr>
              <w:adjustRightInd w:val="0"/>
              <w:snapToGrid w:val="0"/>
              <w:spacing w:line="240" w:lineRule="auto"/>
              <w:ind w:left="0" w:leftChars="0" w:firstLine="0" w:firstLineChars="0"/>
              <w:jc w:val="center"/>
              <w:rPr>
                <w:color w:val="auto"/>
                <w:spacing w:val="-8"/>
                <w:sz w:val="21"/>
                <w:szCs w:val="21"/>
                <w:highlight w:val="none"/>
              </w:rPr>
            </w:pPr>
            <w:r>
              <w:rPr>
                <w:color w:val="auto"/>
                <w:spacing w:val="-8"/>
                <w:sz w:val="21"/>
                <w:szCs w:val="21"/>
                <w:highlight w:val="none"/>
              </w:rPr>
              <w:t>环境风险</w:t>
            </w:r>
          </w:p>
          <w:p>
            <w:pPr>
              <w:adjustRightInd w:val="0"/>
              <w:snapToGrid w:val="0"/>
              <w:spacing w:line="240" w:lineRule="auto"/>
              <w:ind w:left="0" w:leftChars="0" w:firstLine="0" w:firstLineChars="0"/>
              <w:jc w:val="center"/>
              <w:rPr>
                <w:color w:val="auto"/>
                <w:spacing w:val="-8"/>
                <w:sz w:val="21"/>
                <w:szCs w:val="21"/>
                <w:highlight w:val="none"/>
              </w:rPr>
            </w:pPr>
            <w:r>
              <w:rPr>
                <w:color w:val="auto"/>
                <w:spacing w:val="-8"/>
                <w:sz w:val="21"/>
                <w:szCs w:val="21"/>
                <w:highlight w:val="none"/>
              </w:rPr>
              <w:t>防范措施</w:t>
            </w:r>
          </w:p>
        </w:tc>
        <w:tc>
          <w:tcPr>
            <w:tcW w:w="8548"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r>
              <w:rPr>
                <w:rFonts w:hint="default"/>
                <w:color w:val="auto"/>
                <w:sz w:val="21"/>
                <w:szCs w:val="21"/>
                <w:highlight w:val="none"/>
                <w:lang w:val="en-US" w:eastAsia="zh-CN"/>
              </w:rPr>
              <w:t>1</w:t>
            </w:r>
            <w:r>
              <w:rPr>
                <w:rFonts w:hint="eastAsia"/>
                <w:color w:val="auto"/>
                <w:sz w:val="21"/>
                <w:szCs w:val="21"/>
                <w:highlight w:val="none"/>
                <w:lang w:val="en-US" w:eastAsia="zh-CN"/>
              </w:rPr>
              <w:t>）医疗废水事故：项目应急事故池有效容积应不低于7</w:t>
            </w:r>
            <w:r>
              <w:rPr>
                <w:rFonts w:hint="default"/>
                <w:color w:val="auto"/>
                <w:sz w:val="21"/>
                <w:szCs w:val="21"/>
                <w:highlight w:val="none"/>
                <w:lang w:val="en-US" w:eastAsia="zh-CN"/>
              </w:rPr>
              <w:t>m</w:t>
            </w:r>
            <w:r>
              <w:rPr>
                <w:rFonts w:hint="default"/>
                <w:color w:val="auto"/>
                <w:sz w:val="21"/>
                <w:szCs w:val="21"/>
                <w:highlight w:val="none"/>
                <w:vertAlign w:val="superscript"/>
                <w:lang w:val="en-US" w:eastAsia="zh-CN"/>
              </w:rPr>
              <w:t>3</w:t>
            </w:r>
            <w:r>
              <w:rPr>
                <w:rFonts w:hint="eastAsia"/>
                <w:color w:val="auto"/>
                <w:sz w:val="21"/>
                <w:szCs w:val="21"/>
                <w:highlight w:val="none"/>
                <w:lang w:val="en-US" w:eastAsia="zh-CN"/>
              </w:rPr>
              <w:t xml:space="preserve">，且应急事故池应配套完善的排水系统和切换阀，以保证事故突发时污水可全部进入应急事故池内，且出问题就停止用水，待事故结束后再分批次将事故池内的污水引入废水处理设施进行处理，直到事故解除。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r>
              <w:rPr>
                <w:rFonts w:hint="default"/>
                <w:color w:val="auto"/>
                <w:sz w:val="21"/>
                <w:szCs w:val="21"/>
                <w:highlight w:val="none"/>
                <w:lang w:val="en-US" w:eastAsia="zh-CN"/>
              </w:rPr>
              <w:t>2</w:t>
            </w:r>
            <w:r>
              <w:rPr>
                <w:rFonts w:hint="eastAsia"/>
                <w:color w:val="auto"/>
                <w:sz w:val="21"/>
                <w:szCs w:val="21"/>
                <w:highlight w:val="none"/>
                <w:lang w:val="en-US" w:eastAsia="zh-CN"/>
              </w:rPr>
              <w:t>）医疗废物收集、暂存、转运风险：①医院发生医疗废物流失、泄漏、扩散和意外事故时，应当在</w:t>
            </w:r>
            <w:r>
              <w:rPr>
                <w:rFonts w:hint="default"/>
                <w:color w:val="auto"/>
                <w:sz w:val="21"/>
                <w:szCs w:val="21"/>
                <w:highlight w:val="none"/>
                <w:lang w:val="en-US" w:eastAsia="zh-CN"/>
              </w:rPr>
              <w:t>48</w:t>
            </w:r>
            <w:r>
              <w:rPr>
                <w:rFonts w:hint="eastAsia"/>
                <w:color w:val="auto"/>
                <w:sz w:val="21"/>
                <w:szCs w:val="21"/>
                <w:highlight w:val="none"/>
                <w:lang w:val="en-US" w:eastAsia="zh-CN"/>
              </w:rPr>
              <w:t>小时内向当地卫生局、环保局报告；发生因医疗废物管理不当导致</w:t>
            </w:r>
            <w:r>
              <w:rPr>
                <w:rFonts w:hint="default"/>
                <w:color w:val="auto"/>
                <w:sz w:val="21"/>
                <w:szCs w:val="21"/>
                <w:highlight w:val="none"/>
                <w:lang w:val="en-US" w:eastAsia="zh-CN"/>
              </w:rPr>
              <w:t>1</w:t>
            </w:r>
            <w:r>
              <w:rPr>
                <w:rFonts w:hint="eastAsia"/>
                <w:color w:val="auto"/>
                <w:sz w:val="21"/>
                <w:szCs w:val="21"/>
                <w:highlight w:val="none"/>
                <w:lang w:val="en-US" w:eastAsia="zh-CN"/>
              </w:rPr>
              <w:t xml:space="preserve">人以上死亡或者 </w:t>
            </w:r>
            <w:r>
              <w:rPr>
                <w:rFonts w:hint="default"/>
                <w:color w:val="auto"/>
                <w:sz w:val="21"/>
                <w:szCs w:val="21"/>
                <w:highlight w:val="none"/>
                <w:lang w:val="en-US" w:eastAsia="zh-CN"/>
              </w:rPr>
              <w:t xml:space="preserve">3 </w:t>
            </w:r>
            <w:r>
              <w:rPr>
                <w:rFonts w:hint="eastAsia"/>
                <w:color w:val="auto"/>
                <w:sz w:val="21"/>
                <w:szCs w:val="21"/>
                <w:highlight w:val="none"/>
                <w:lang w:val="en-US" w:eastAsia="zh-CN"/>
              </w:rPr>
              <w:t xml:space="preserve">人以上健康损害，需要对致病例员提供医疗救护和现场救援时，应当在 </w:t>
            </w:r>
            <w:r>
              <w:rPr>
                <w:rFonts w:hint="default"/>
                <w:color w:val="auto"/>
                <w:sz w:val="21"/>
                <w:szCs w:val="21"/>
                <w:highlight w:val="none"/>
                <w:lang w:val="en-US" w:eastAsia="zh-CN"/>
              </w:rPr>
              <w:t xml:space="preserve">24 </w:t>
            </w:r>
            <w:r>
              <w:rPr>
                <w:rFonts w:hint="eastAsia"/>
                <w:color w:val="auto"/>
                <w:sz w:val="21"/>
                <w:szCs w:val="21"/>
                <w:highlight w:val="none"/>
                <w:lang w:val="en-US" w:eastAsia="zh-CN"/>
              </w:rPr>
              <w:t xml:space="preserve">小时内向市卫生局和生态环境局报告。②调查处理工作结束后，及时将处理结果报告市卫生局和环保局。③处理工作结束后，及时对事件的起因进行调查，并采取有效的防范措施预防类似事件的发生。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color w:val="auto"/>
                <w:sz w:val="21"/>
                <w:szCs w:val="21"/>
                <w:highlight w:val="none"/>
                <w:lang w:val="en-US" w:eastAsia="zh-CN"/>
              </w:rPr>
            </w:pPr>
            <w:r>
              <w:rPr>
                <w:rFonts w:hint="eastAsia"/>
                <w:color w:val="auto"/>
                <w:sz w:val="21"/>
                <w:szCs w:val="21"/>
                <w:highlight w:val="none"/>
                <w:lang w:val="en-US" w:eastAsia="zh-CN"/>
              </w:rPr>
              <w:t>（</w:t>
            </w:r>
            <w:r>
              <w:rPr>
                <w:rFonts w:hint="default"/>
                <w:color w:val="auto"/>
                <w:sz w:val="21"/>
                <w:szCs w:val="21"/>
                <w:highlight w:val="none"/>
                <w:lang w:val="en-US" w:eastAsia="zh-CN"/>
              </w:rPr>
              <w:t>3</w:t>
            </w:r>
            <w:r>
              <w:rPr>
                <w:rFonts w:hint="eastAsia"/>
                <w:color w:val="auto"/>
                <w:sz w:val="21"/>
                <w:szCs w:val="21"/>
                <w:highlight w:val="none"/>
                <w:lang w:val="en-US" w:eastAsia="zh-CN"/>
              </w:rPr>
              <w:t xml:space="preserve">）危险化学品贮存风险：各危险化学品暂存区均做防渗处理。柴油储罐下设置有效容积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eastAsia="宋体" w:cs="宋体"/>
                <w:color w:val="auto"/>
                <w:kern w:val="0"/>
                <w:sz w:val="21"/>
                <w:szCs w:val="21"/>
                <w:highlight w:val="none"/>
                <w:lang w:eastAsia="zh-CN"/>
              </w:rPr>
            </w:pPr>
            <w:r>
              <w:rPr>
                <w:rFonts w:hint="default"/>
                <w:color w:val="auto"/>
                <w:sz w:val="21"/>
                <w:szCs w:val="21"/>
                <w:highlight w:val="none"/>
                <w:lang w:val="en-US" w:eastAsia="zh-CN"/>
              </w:rPr>
              <w:t>1m</w:t>
            </w:r>
            <w:r>
              <w:rPr>
                <w:rFonts w:hint="default"/>
                <w:color w:val="auto"/>
                <w:sz w:val="21"/>
                <w:szCs w:val="21"/>
                <w:highlight w:val="none"/>
                <w:vertAlign w:val="superscript"/>
                <w:lang w:val="en-US" w:eastAsia="zh-CN"/>
              </w:rPr>
              <w:t>3</w:t>
            </w:r>
            <w:r>
              <w:rPr>
                <w:rFonts w:hint="eastAsia"/>
                <w:color w:val="auto"/>
                <w:sz w:val="21"/>
                <w:szCs w:val="21"/>
                <w:highlight w:val="none"/>
                <w:lang w:val="en-US" w:eastAsia="zh-CN"/>
              </w:rPr>
              <w:t>托盘，柴油间地面设置防渗层，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jc w:val="center"/>
        </w:trPr>
        <w:tc>
          <w:tcPr>
            <w:tcW w:w="1210" w:type="dxa"/>
            <w:vAlign w:val="center"/>
          </w:tcPr>
          <w:p>
            <w:pPr>
              <w:adjustRightInd w:val="0"/>
              <w:snapToGrid w:val="0"/>
              <w:spacing w:line="240" w:lineRule="auto"/>
              <w:ind w:left="0" w:leftChars="0" w:firstLine="0" w:firstLineChars="0"/>
              <w:jc w:val="center"/>
              <w:rPr>
                <w:color w:val="auto"/>
                <w:spacing w:val="-8"/>
                <w:sz w:val="21"/>
                <w:szCs w:val="21"/>
                <w:highlight w:val="none"/>
              </w:rPr>
            </w:pPr>
            <w:r>
              <w:rPr>
                <w:color w:val="auto"/>
                <w:spacing w:val="-8"/>
                <w:sz w:val="21"/>
                <w:szCs w:val="21"/>
                <w:highlight w:val="none"/>
              </w:rPr>
              <w:t>其他环境</w:t>
            </w:r>
          </w:p>
          <w:p>
            <w:pPr>
              <w:adjustRightInd w:val="0"/>
              <w:snapToGrid w:val="0"/>
              <w:spacing w:line="240" w:lineRule="auto"/>
              <w:ind w:left="0" w:leftChars="0" w:firstLine="0" w:firstLineChars="0"/>
              <w:jc w:val="center"/>
              <w:rPr>
                <w:color w:val="auto"/>
                <w:spacing w:val="-8"/>
                <w:sz w:val="21"/>
                <w:szCs w:val="21"/>
                <w:highlight w:val="none"/>
              </w:rPr>
            </w:pPr>
            <w:r>
              <w:rPr>
                <w:color w:val="auto"/>
                <w:spacing w:val="-8"/>
                <w:sz w:val="21"/>
                <w:szCs w:val="21"/>
                <w:highlight w:val="none"/>
              </w:rPr>
              <w:t>管理要求</w:t>
            </w:r>
          </w:p>
        </w:tc>
        <w:tc>
          <w:tcPr>
            <w:tcW w:w="8548" w:type="dxa"/>
            <w:gridSpan w:val="4"/>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jc w:val="left"/>
              <w:textAlignment w:val="auto"/>
              <w:rPr>
                <w:rFonts w:hint="eastAsia" w:ascii="宋体" w:eastAsia="宋体" w:cs="宋体"/>
                <w:color w:val="auto"/>
                <w:kern w:val="0"/>
                <w:sz w:val="21"/>
                <w:szCs w:val="21"/>
                <w:highlight w:val="none"/>
                <w:lang w:eastAsia="zh-CN"/>
              </w:rPr>
            </w:pPr>
            <w:r>
              <w:rPr>
                <w:rFonts w:hint="eastAsia"/>
                <w:color w:val="auto"/>
                <w:sz w:val="21"/>
                <w:szCs w:val="21"/>
                <w:highlight w:val="none"/>
                <w:lang w:val="en-US" w:eastAsia="zh-CN"/>
              </w:rPr>
              <w:t>明确环保兼职人员的工作职责，制定并督促执行相应的环境保护规章制度。如岗位责任制、操作规程、安全制度、环境设施管理规定等，对员工进行定期和不定期的环境保护知识培训，提高职工的环境保护意识，保证环境管理和环保工作顺利进行。</w:t>
            </w:r>
          </w:p>
        </w:tc>
      </w:tr>
    </w:tbl>
    <w:p>
      <w:pPr>
        <w:pStyle w:val="24"/>
        <w:jc w:val="center"/>
        <w:outlineLvl w:val="0"/>
        <w:rPr>
          <w:rFonts w:ascii="Times New Roman" w:hAnsi="Times New Roman" w:eastAsia="黑体"/>
          <w:snapToGrid w:val="0"/>
          <w:color w:val="auto"/>
          <w:sz w:val="30"/>
          <w:szCs w:val="30"/>
          <w:highlight w:val="none"/>
        </w:rPr>
      </w:pPr>
      <w:r>
        <w:rPr>
          <w:rFonts w:ascii="Times New Roman" w:hAnsi="Times New Roman"/>
          <w:snapToGrid w:val="0"/>
          <w:color w:val="auto"/>
          <w:highlight w:val="none"/>
        </w:rPr>
        <w:br w:type="page"/>
      </w:r>
      <w:r>
        <w:rPr>
          <w:rFonts w:ascii="Times New Roman" w:hAnsi="Times New Roman" w:eastAsia="黑体"/>
          <w:snapToGrid w:val="0"/>
          <w:color w:val="auto"/>
          <w:sz w:val="30"/>
          <w:szCs w:val="30"/>
          <w:highlight w:val="none"/>
        </w:rPr>
        <w:t>六、结论</w:t>
      </w:r>
    </w:p>
    <w:tbl>
      <w:tblPr>
        <w:tblStyle w:val="29"/>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tcPr>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拟建项目的建设符合国家、地方的产业政策及相关规划，项目组成、选址、布 </w:t>
            </w:r>
          </w:p>
          <w:p>
            <w:pPr>
              <w:keepNext w:val="0"/>
              <w:keepLines w:val="0"/>
              <w:widowControl/>
              <w:suppressLineNumbers w:val="0"/>
              <w:ind w:left="0" w:leftChars="0" w:firstLine="0" w:firstLineChars="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局、规模等合理可行。建设单位严格按本环评提出的污染防治措施对污染物进行治 </w:t>
            </w:r>
          </w:p>
          <w:p>
            <w:pPr>
              <w:keepNext w:val="0"/>
              <w:keepLines w:val="0"/>
              <w:widowControl/>
              <w:suppressLineNumbers w:val="0"/>
              <w:ind w:left="0" w:leftChars="0" w:firstLine="0" w:firstLineChars="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理，满足达标排放，对周围环境影响较小，区域环境功能不会发生改变。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在建设单位认真落实各项环境治理措施的情况下，从环境保护角度分析，项目 </w:t>
            </w:r>
          </w:p>
          <w:p>
            <w:pPr>
              <w:keepNext w:val="0"/>
              <w:keepLines w:val="0"/>
              <w:widowControl/>
              <w:suppressLineNumbers w:val="0"/>
              <w:ind w:left="0" w:leftChars="0" w:firstLine="0" w:firstLineChars="0"/>
              <w:jc w:val="left"/>
              <w:rPr>
                <w:color w:val="auto"/>
                <w:highlight w:val="none"/>
              </w:rPr>
            </w:pPr>
            <w:r>
              <w:rPr>
                <w:rFonts w:hint="eastAsia" w:ascii="宋体" w:hAnsi="宋体" w:eastAsia="宋体" w:cs="宋体"/>
                <w:color w:val="auto"/>
                <w:kern w:val="0"/>
                <w:sz w:val="24"/>
                <w:szCs w:val="24"/>
                <w:highlight w:val="none"/>
                <w:lang w:val="en-US" w:eastAsia="zh-CN" w:bidi="ar"/>
              </w:rPr>
              <w:t>环境影响可行。</w:t>
            </w:r>
          </w:p>
          <w:p>
            <w:pPr>
              <w:spacing w:line="360" w:lineRule="auto"/>
              <w:ind w:left="0" w:leftChars="0" w:firstLine="0" w:firstLineChars="0"/>
              <w:rPr>
                <w:rFonts w:hint="eastAsia"/>
                <w:color w:val="auto"/>
                <w:sz w:val="24"/>
                <w:highlight w:val="none"/>
              </w:rPr>
            </w:pPr>
          </w:p>
        </w:tc>
      </w:tr>
    </w:tbl>
    <w:p>
      <w:pPr>
        <w:rPr>
          <w:color w:val="auto"/>
          <w:highlight w:val="none"/>
        </w:rPr>
        <w:sectPr>
          <w:pgSz w:w="11906" w:h="16838"/>
          <w:pgMar w:top="1701" w:right="1531" w:bottom="1701" w:left="1531"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p>
      <w:pPr>
        <w:pStyle w:val="24"/>
        <w:adjustRightInd w:val="0"/>
        <w:snapToGrid w:val="0"/>
        <w:spacing w:before="0" w:beforeAutospacing="0" w:after="0" w:afterAutospacing="0" w:line="648" w:lineRule="auto"/>
        <w:outlineLvl w:val="0"/>
        <w:rPr>
          <w:rFonts w:ascii="Times New Roman" w:hAnsi="Times New Roman" w:eastAsia="黑体"/>
          <w:snapToGrid w:val="0"/>
          <w:color w:val="auto"/>
          <w:sz w:val="32"/>
          <w:szCs w:val="32"/>
          <w:highlight w:val="none"/>
        </w:rPr>
      </w:pPr>
      <w:r>
        <w:rPr>
          <w:rFonts w:ascii="Times New Roman" w:hAnsi="Times New Roman" w:eastAsia="黑体"/>
          <w:snapToGrid w:val="0"/>
          <w:color w:val="auto"/>
          <w:sz w:val="32"/>
          <w:szCs w:val="32"/>
          <w:highlight w:val="none"/>
        </w:rPr>
        <w:t>附表</w:t>
      </w:r>
    </w:p>
    <w:p>
      <w:pPr>
        <w:pStyle w:val="24"/>
        <w:adjustRightInd w:val="0"/>
        <w:snapToGrid w:val="0"/>
        <w:spacing w:before="0" w:beforeAutospacing="0" w:after="0" w:afterAutospacing="0" w:line="360" w:lineRule="auto"/>
        <w:jc w:val="center"/>
        <w:outlineLvl w:val="0"/>
        <w:rPr>
          <w:rFonts w:ascii="Times New Roman" w:hAnsi="Times New Roman" w:eastAsia="方正小标宋_GBK"/>
          <w:snapToGrid w:val="0"/>
          <w:color w:val="auto"/>
          <w:sz w:val="38"/>
          <w:szCs w:val="38"/>
          <w:highlight w:val="none"/>
        </w:rPr>
      </w:pPr>
      <w:r>
        <w:rPr>
          <w:rFonts w:hint="eastAsia" w:ascii="Times New Roman" w:hAnsi="Times New Roman" w:eastAsia="方正小标宋_GBK"/>
          <w:snapToGrid w:val="0"/>
          <w:color w:val="auto"/>
          <w:sz w:val="38"/>
          <w:szCs w:val="38"/>
          <w:highlight w:val="none"/>
          <w:lang w:val="en-US" w:eastAsia="zh-CN"/>
        </w:rPr>
        <w:t xml:space="preserve">  </w:t>
      </w:r>
      <w:r>
        <w:rPr>
          <w:rFonts w:ascii="Times New Roman" w:hAnsi="Times New Roman" w:eastAsia="方正小标宋_GBK"/>
          <w:snapToGrid w:val="0"/>
          <w:color w:val="auto"/>
          <w:sz w:val="38"/>
          <w:szCs w:val="38"/>
          <w:highlight w:val="none"/>
        </w:rPr>
        <w:t>建设项目污染物排放量汇总表</w:t>
      </w:r>
    </w:p>
    <w:tbl>
      <w:tblPr>
        <w:tblStyle w:val="29"/>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517"/>
        <w:gridCol w:w="1367"/>
        <w:gridCol w:w="1216"/>
        <w:gridCol w:w="1584"/>
        <w:gridCol w:w="1716"/>
        <w:gridCol w:w="1667"/>
        <w:gridCol w:w="1917"/>
        <w:gridCol w:w="17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061" w:type="dxa"/>
            <w:tcBorders>
              <w:tl2br w:val="single" w:color="auto" w:sz="4" w:space="0"/>
            </w:tcBorders>
            <w:tcMar>
              <w:left w:w="28" w:type="dxa"/>
              <w:right w:w="28" w:type="dxa"/>
            </w:tcMar>
            <w:vAlign w:val="center"/>
          </w:tcPr>
          <w:p>
            <w:pPr>
              <w:pStyle w:val="62"/>
              <w:spacing w:beforeLines="0" w:afterLines="0" w:line="240" w:lineRule="auto"/>
              <w:jc w:val="center"/>
              <w:rPr>
                <w:rFonts w:hint="eastAsia" w:ascii="宋体" w:hAnsi="宋体" w:eastAsia="宋体" w:cs="宋体"/>
                <w:snapToGrid w:val="0"/>
                <w:color w:val="auto"/>
                <w:spacing w:val="-6"/>
                <w:kern w:val="21"/>
                <w:sz w:val="21"/>
                <w:szCs w:val="21"/>
                <w:highlight w:val="none"/>
              </w:rPr>
            </w:pPr>
            <w:r>
              <w:rPr>
                <w:rFonts w:hint="eastAsia" w:ascii="宋体" w:hAnsi="宋体" w:eastAsia="宋体" w:cs="宋体"/>
                <w:snapToGrid w:val="0"/>
                <w:color w:val="auto"/>
                <w:spacing w:val="-6"/>
                <w:kern w:val="21"/>
                <w:sz w:val="21"/>
                <w:szCs w:val="21"/>
                <w:highlight w:val="none"/>
              </w:rPr>
              <w:t>项目</w:t>
            </w:r>
          </w:p>
          <w:p>
            <w:pPr>
              <w:pStyle w:val="62"/>
              <w:spacing w:beforeLines="0" w:afterLines="0" w:line="240" w:lineRule="auto"/>
              <w:ind w:left="0" w:leftChars="0" w:firstLine="0" w:firstLineChars="0"/>
              <w:jc w:val="center"/>
              <w:rPr>
                <w:rFonts w:hint="eastAsia" w:ascii="宋体" w:hAnsi="宋体" w:eastAsia="宋体" w:cs="宋体"/>
                <w:snapToGrid w:val="0"/>
                <w:color w:val="auto"/>
                <w:spacing w:val="-6"/>
                <w:kern w:val="21"/>
                <w:sz w:val="21"/>
                <w:szCs w:val="21"/>
                <w:highlight w:val="none"/>
              </w:rPr>
            </w:pPr>
            <w:r>
              <w:rPr>
                <w:rFonts w:hint="eastAsia" w:ascii="宋体" w:hAnsi="宋体" w:eastAsia="宋体" w:cs="宋体"/>
                <w:snapToGrid w:val="0"/>
                <w:color w:val="auto"/>
                <w:spacing w:val="-6"/>
                <w:kern w:val="21"/>
                <w:sz w:val="21"/>
                <w:szCs w:val="21"/>
                <w:highlight w:val="none"/>
              </w:rPr>
              <w:t>分类</w:t>
            </w:r>
          </w:p>
        </w:tc>
        <w:tc>
          <w:tcPr>
            <w:tcW w:w="1517" w:type="dxa"/>
            <w:tcMar>
              <w:left w:w="28" w:type="dxa"/>
              <w:right w:w="28" w:type="dxa"/>
            </w:tcMar>
            <w:vAlign w:val="center"/>
          </w:tcPr>
          <w:p>
            <w:pPr>
              <w:pStyle w:val="62"/>
              <w:spacing w:beforeLines="0" w:afterLines="0" w:line="240" w:lineRule="auto"/>
              <w:ind w:left="0" w:leftChars="0" w:firstLine="0" w:firstLineChars="0"/>
              <w:jc w:val="center"/>
              <w:rPr>
                <w:rFonts w:hint="eastAsia" w:ascii="宋体" w:hAnsi="宋体" w:eastAsia="宋体" w:cs="宋体"/>
                <w:snapToGrid w:val="0"/>
                <w:color w:val="auto"/>
                <w:spacing w:val="-6"/>
                <w:kern w:val="21"/>
                <w:sz w:val="21"/>
                <w:szCs w:val="21"/>
                <w:highlight w:val="none"/>
              </w:rPr>
            </w:pPr>
            <w:r>
              <w:rPr>
                <w:rFonts w:hint="eastAsia" w:ascii="宋体" w:hAnsi="宋体" w:eastAsia="宋体" w:cs="宋体"/>
                <w:snapToGrid w:val="0"/>
                <w:color w:val="auto"/>
                <w:spacing w:val="-6"/>
                <w:kern w:val="21"/>
                <w:sz w:val="21"/>
                <w:szCs w:val="21"/>
                <w:highlight w:val="none"/>
              </w:rPr>
              <w:t>污染物名称</w:t>
            </w:r>
          </w:p>
        </w:tc>
        <w:tc>
          <w:tcPr>
            <w:tcW w:w="1367" w:type="dxa"/>
            <w:tcMar>
              <w:left w:w="28" w:type="dxa"/>
              <w:right w:w="28" w:type="dxa"/>
            </w:tcMar>
            <w:vAlign w:val="center"/>
          </w:tcPr>
          <w:p>
            <w:pPr>
              <w:pStyle w:val="62"/>
              <w:spacing w:beforeLines="0" w:afterLines="0" w:line="240" w:lineRule="auto"/>
              <w:ind w:left="0" w:leftChars="0" w:firstLine="0" w:firstLineChars="0"/>
              <w:jc w:val="center"/>
              <w:rPr>
                <w:rFonts w:hint="eastAsia" w:ascii="宋体" w:hAnsi="宋体" w:eastAsia="宋体" w:cs="宋体"/>
                <w:snapToGrid w:val="0"/>
                <w:color w:val="auto"/>
                <w:spacing w:val="-6"/>
                <w:kern w:val="21"/>
                <w:sz w:val="21"/>
                <w:szCs w:val="21"/>
                <w:highlight w:val="none"/>
              </w:rPr>
            </w:pPr>
            <w:r>
              <w:rPr>
                <w:rFonts w:hint="eastAsia" w:ascii="宋体" w:hAnsi="宋体" w:eastAsia="宋体" w:cs="宋体"/>
                <w:snapToGrid w:val="0"/>
                <w:color w:val="auto"/>
                <w:spacing w:val="-6"/>
                <w:kern w:val="21"/>
                <w:sz w:val="21"/>
                <w:szCs w:val="21"/>
                <w:highlight w:val="none"/>
              </w:rPr>
              <w:t>现有工程排放量（固体废物产生量）</w:t>
            </w:r>
            <w:r>
              <w:rPr>
                <w:rFonts w:hint="eastAsia" w:ascii="宋体" w:hAnsi="宋体" w:eastAsia="宋体" w:cs="宋体"/>
                <w:snapToGrid w:val="0"/>
                <w:color w:val="auto"/>
                <w:spacing w:val="-6"/>
                <w:kern w:val="21"/>
                <w:sz w:val="21"/>
                <w:szCs w:val="21"/>
                <w:highlight w:val="none"/>
              </w:rPr>
              <w:fldChar w:fldCharType="begin"/>
            </w:r>
            <w:r>
              <w:rPr>
                <w:rFonts w:hint="eastAsia" w:ascii="宋体" w:hAnsi="宋体" w:eastAsia="宋体" w:cs="宋体"/>
                <w:snapToGrid w:val="0"/>
                <w:color w:val="auto"/>
                <w:spacing w:val="-6"/>
                <w:kern w:val="21"/>
                <w:sz w:val="21"/>
                <w:szCs w:val="21"/>
                <w:highlight w:val="none"/>
              </w:rPr>
              <w:instrText xml:space="preserve"> = 1 \* GB3 \* MERGEFORMAT </w:instrText>
            </w:r>
            <w:r>
              <w:rPr>
                <w:rFonts w:hint="eastAsia" w:ascii="宋体" w:hAnsi="宋体" w:eastAsia="宋体" w:cs="宋体"/>
                <w:snapToGrid w:val="0"/>
                <w:color w:val="auto"/>
                <w:spacing w:val="-6"/>
                <w:kern w:val="21"/>
                <w:sz w:val="21"/>
                <w:szCs w:val="21"/>
                <w:highlight w:val="none"/>
              </w:rPr>
              <w:fldChar w:fldCharType="separate"/>
            </w:r>
            <w:r>
              <w:rPr>
                <w:rFonts w:hint="eastAsia" w:ascii="宋体" w:hAnsi="宋体" w:eastAsia="宋体" w:cs="宋体"/>
                <w:color w:val="auto"/>
                <w:kern w:val="2"/>
                <w:sz w:val="21"/>
                <w:szCs w:val="21"/>
                <w:highlight w:val="none"/>
              </w:rPr>
              <w:t>①</w:t>
            </w:r>
            <w:r>
              <w:rPr>
                <w:rFonts w:hint="eastAsia" w:ascii="宋体" w:hAnsi="宋体" w:eastAsia="宋体" w:cs="宋体"/>
                <w:snapToGrid w:val="0"/>
                <w:color w:val="auto"/>
                <w:spacing w:val="-6"/>
                <w:kern w:val="21"/>
                <w:sz w:val="21"/>
                <w:szCs w:val="21"/>
                <w:highlight w:val="none"/>
              </w:rPr>
              <w:fldChar w:fldCharType="end"/>
            </w:r>
          </w:p>
        </w:tc>
        <w:tc>
          <w:tcPr>
            <w:tcW w:w="1216" w:type="dxa"/>
            <w:tcMar>
              <w:left w:w="28" w:type="dxa"/>
              <w:right w:w="28" w:type="dxa"/>
            </w:tcMar>
            <w:vAlign w:val="center"/>
          </w:tcPr>
          <w:p>
            <w:pPr>
              <w:pStyle w:val="62"/>
              <w:spacing w:beforeLines="0" w:afterLines="0" w:line="240" w:lineRule="auto"/>
              <w:ind w:left="0" w:leftChars="0" w:firstLine="0" w:firstLineChars="0"/>
              <w:jc w:val="center"/>
              <w:rPr>
                <w:rFonts w:hint="eastAsia" w:ascii="宋体" w:hAnsi="宋体" w:eastAsia="宋体" w:cs="宋体"/>
                <w:snapToGrid w:val="0"/>
                <w:color w:val="auto"/>
                <w:spacing w:val="-6"/>
                <w:kern w:val="21"/>
                <w:sz w:val="21"/>
                <w:szCs w:val="21"/>
                <w:highlight w:val="none"/>
              </w:rPr>
            </w:pPr>
            <w:r>
              <w:rPr>
                <w:rFonts w:hint="eastAsia" w:ascii="宋体" w:hAnsi="宋体" w:eastAsia="宋体" w:cs="宋体"/>
                <w:snapToGrid w:val="0"/>
                <w:color w:val="auto"/>
                <w:spacing w:val="-6"/>
                <w:kern w:val="21"/>
                <w:sz w:val="21"/>
                <w:szCs w:val="21"/>
                <w:highlight w:val="none"/>
              </w:rPr>
              <w:t>现有工程许可排放量</w:t>
            </w:r>
            <w:r>
              <w:rPr>
                <w:rFonts w:hint="eastAsia" w:ascii="宋体" w:hAnsi="宋体" w:eastAsia="宋体" w:cs="宋体"/>
                <w:snapToGrid w:val="0"/>
                <w:color w:val="auto"/>
                <w:spacing w:val="-6"/>
                <w:kern w:val="21"/>
                <w:sz w:val="21"/>
                <w:szCs w:val="21"/>
                <w:highlight w:val="none"/>
              </w:rPr>
              <w:fldChar w:fldCharType="begin"/>
            </w:r>
            <w:r>
              <w:rPr>
                <w:rFonts w:hint="eastAsia" w:ascii="宋体" w:hAnsi="宋体" w:eastAsia="宋体" w:cs="宋体"/>
                <w:snapToGrid w:val="0"/>
                <w:color w:val="auto"/>
                <w:spacing w:val="-6"/>
                <w:kern w:val="21"/>
                <w:sz w:val="21"/>
                <w:szCs w:val="21"/>
                <w:highlight w:val="none"/>
              </w:rPr>
              <w:instrText xml:space="preserve"> = 2 \* GB3 \* MERGEFORMAT </w:instrText>
            </w:r>
            <w:r>
              <w:rPr>
                <w:rFonts w:hint="eastAsia" w:ascii="宋体" w:hAnsi="宋体" w:eastAsia="宋体" w:cs="宋体"/>
                <w:snapToGrid w:val="0"/>
                <w:color w:val="auto"/>
                <w:spacing w:val="-6"/>
                <w:kern w:val="21"/>
                <w:sz w:val="21"/>
                <w:szCs w:val="21"/>
                <w:highlight w:val="none"/>
              </w:rPr>
              <w:fldChar w:fldCharType="separate"/>
            </w:r>
            <w:r>
              <w:rPr>
                <w:rFonts w:hint="eastAsia" w:ascii="宋体" w:hAnsi="宋体" w:eastAsia="宋体" w:cs="宋体"/>
                <w:snapToGrid w:val="0"/>
                <w:color w:val="auto"/>
                <w:spacing w:val="-6"/>
                <w:kern w:val="21"/>
                <w:sz w:val="21"/>
                <w:szCs w:val="21"/>
                <w:highlight w:val="none"/>
              </w:rPr>
              <w:t>②</w:t>
            </w:r>
            <w:r>
              <w:rPr>
                <w:rFonts w:hint="eastAsia" w:ascii="宋体" w:hAnsi="宋体" w:eastAsia="宋体" w:cs="宋体"/>
                <w:snapToGrid w:val="0"/>
                <w:color w:val="auto"/>
                <w:spacing w:val="-6"/>
                <w:kern w:val="21"/>
                <w:sz w:val="21"/>
                <w:szCs w:val="21"/>
                <w:highlight w:val="none"/>
              </w:rPr>
              <w:fldChar w:fldCharType="end"/>
            </w:r>
          </w:p>
        </w:tc>
        <w:tc>
          <w:tcPr>
            <w:tcW w:w="1584" w:type="dxa"/>
            <w:tcMar>
              <w:left w:w="28" w:type="dxa"/>
              <w:right w:w="28" w:type="dxa"/>
            </w:tcMar>
            <w:vAlign w:val="center"/>
          </w:tcPr>
          <w:p>
            <w:pPr>
              <w:pStyle w:val="62"/>
              <w:spacing w:beforeLines="0" w:afterLines="0" w:line="240" w:lineRule="auto"/>
              <w:ind w:left="0" w:leftChars="0" w:firstLine="0" w:firstLineChars="0"/>
              <w:jc w:val="center"/>
              <w:rPr>
                <w:rFonts w:hint="eastAsia" w:ascii="宋体" w:hAnsi="宋体" w:eastAsia="宋体" w:cs="宋体"/>
                <w:snapToGrid w:val="0"/>
                <w:color w:val="auto"/>
                <w:spacing w:val="-6"/>
                <w:kern w:val="21"/>
                <w:sz w:val="21"/>
                <w:szCs w:val="21"/>
                <w:highlight w:val="none"/>
              </w:rPr>
            </w:pPr>
            <w:r>
              <w:rPr>
                <w:rFonts w:hint="eastAsia" w:ascii="宋体" w:hAnsi="宋体" w:eastAsia="宋体" w:cs="宋体"/>
                <w:snapToGrid w:val="0"/>
                <w:color w:val="auto"/>
                <w:spacing w:val="-6"/>
                <w:kern w:val="21"/>
                <w:sz w:val="21"/>
                <w:szCs w:val="21"/>
                <w:highlight w:val="none"/>
              </w:rPr>
              <w:t>在建工程排放量（固体废物产生量）</w:t>
            </w:r>
            <w:r>
              <w:rPr>
                <w:rFonts w:hint="eastAsia" w:ascii="宋体" w:hAnsi="宋体" w:eastAsia="宋体" w:cs="宋体"/>
                <w:snapToGrid w:val="0"/>
                <w:color w:val="auto"/>
                <w:spacing w:val="-6"/>
                <w:kern w:val="21"/>
                <w:sz w:val="21"/>
                <w:szCs w:val="21"/>
                <w:highlight w:val="none"/>
              </w:rPr>
              <w:fldChar w:fldCharType="begin"/>
            </w:r>
            <w:r>
              <w:rPr>
                <w:rFonts w:hint="eastAsia" w:ascii="宋体" w:hAnsi="宋体" w:eastAsia="宋体" w:cs="宋体"/>
                <w:snapToGrid w:val="0"/>
                <w:color w:val="auto"/>
                <w:spacing w:val="-6"/>
                <w:kern w:val="21"/>
                <w:sz w:val="21"/>
                <w:szCs w:val="21"/>
                <w:highlight w:val="none"/>
              </w:rPr>
              <w:instrText xml:space="preserve"> = 3 \* GB3 \* MERGEFORMAT </w:instrText>
            </w:r>
            <w:r>
              <w:rPr>
                <w:rFonts w:hint="eastAsia" w:ascii="宋体" w:hAnsi="宋体" w:eastAsia="宋体" w:cs="宋体"/>
                <w:snapToGrid w:val="0"/>
                <w:color w:val="auto"/>
                <w:spacing w:val="-6"/>
                <w:kern w:val="21"/>
                <w:sz w:val="21"/>
                <w:szCs w:val="21"/>
                <w:highlight w:val="none"/>
              </w:rPr>
              <w:fldChar w:fldCharType="separate"/>
            </w:r>
            <w:r>
              <w:rPr>
                <w:rFonts w:hint="eastAsia" w:ascii="宋体" w:hAnsi="宋体" w:eastAsia="宋体" w:cs="宋体"/>
                <w:color w:val="auto"/>
                <w:kern w:val="2"/>
                <w:sz w:val="21"/>
                <w:szCs w:val="21"/>
                <w:highlight w:val="none"/>
              </w:rPr>
              <w:t>③</w:t>
            </w:r>
            <w:r>
              <w:rPr>
                <w:rFonts w:hint="eastAsia" w:ascii="宋体" w:hAnsi="宋体" w:eastAsia="宋体" w:cs="宋体"/>
                <w:snapToGrid w:val="0"/>
                <w:color w:val="auto"/>
                <w:spacing w:val="-6"/>
                <w:kern w:val="21"/>
                <w:sz w:val="21"/>
                <w:szCs w:val="21"/>
                <w:highlight w:val="none"/>
              </w:rPr>
              <w:fldChar w:fldCharType="end"/>
            </w:r>
          </w:p>
        </w:tc>
        <w:tc>
          <w:tcPr>
            <w:tcW w:w="1716" w:type="dxa"/>
            <w:tcMar>
              <w:left w:w="28" w:type="dxa"/>
              <w:right w:w="28" w:type="dxa"/>
            </w:tcMar>
            <w:vAlign w:val="center"/>
          </w:tcPr>
          <w:p>
            <w:pPr>
              <w:pStyle w:val="62"/>
              <w:spacing w:beforeLines="0" w:afterLines="0" w:line="240" w:lineRule="auto"/>
              <w:ind w:left="0" w:leftChars="0" w:firstLine="0" w:firstLineChars="0"/>
              <w:jc w:val="center"/>
              <w:rPr>
                <w:rFonts w:hint="eastAsia" w:ascii="宋体" w:hAnsi="宋体" w:eastAsia="宋体" w:cs="宋体"/>
                <w:snapToGrid w:val="0"/>
                <w:color w:val="auto"/>
                <w:spacing w:val="-6"/>
                <w:kern w:val="21"/>
                <w:sz w:val="21"/>
                <w:szCs w:val="21"/>
                <w:highlight w:val="none"/>
              </w:rPr>
            </w:pPr>
            <w:r>
              <w:rPr>
                <w:rFonts w:hint="eastAsia" w:hAnsi="宋体" w:cs="宋体"/>
                <w:snapToGrid w:val="0"/>
                <w:color w:val="auto"/>
                <w:spacing w:val="-6"/>
                <w:kern w:val="21"/>
                <w:sz w:val="21"/>
                <w:szCs w:val="21"/>
                <w:highlight w:val="none"/>
                <w:lang w:eastAsia="zh-CN"/>
              </w:rPr>
              <w:t>拟建项目</w:t>
            </w:r>
            <w:r>
              <w:rPr>
                <w:rFonts w:hint="eastAsia" w:ascii="宋体" w:hAnsi="宋体" w:eastAsia="宋体" w:cs="宋体"/>
                <w:snapToGrid w:val="0"/>
                <w:color w:val="auto"/>
                <w:spacing w:val="-6"/>
                <w:kern w:val="21"/>
                <w:sz w:val="21"/>
                <w:szCs w:val="21"/>
                <w:highlight w:val="none"/>
              </w:rPr>
              <w:t>排放量（固体废物产生量）</w:t>
            </w:r>
            <w:r>
              <w:rPr>
                <w:rFonts w:hint="eastAsia" w:ascii="宋体" w:hAnsi="宋体" w:eastAsia="宋体" w:cs="宋体"/>
                <w:snapToGrid w:val="0"/>
                <w:color w:val="auto"/>
                <w:spacing w:val="-6"/>
                <w:kern w:val="21"/>
                <w:sz w:val="21"/>
                <w:szCs w:val="21"/>
                <w:highlight w:val="none"/>
              </w:rPr>
              <w:fldChar w:fldCharType="begin"/>
            </w:r>
            <w:r>
              <w:rPr>
                <w:rFonts w:hint="eastAsia" w:ascii="宋体" w:hAnsi="宋体" w:eastAsia="宋体" w:cs="宋体"/>
                <w:snapToGrid w:val="0"/>
                <w:color w:val="auto"/>
                <w:spacing w:val="-6"/>
                <w:kern w:val="21"/>
                <w:sz w:val="21"/>
                <w:szCs w:val="21"/>
                <w:highlight w:val="none"/>
              </w:rPr>
              <w:instrText xml:space="preserve"> = 4 \* GB3 \* MERGEFORMAT </w:instrText>
            </w:r>
            <w:r>
              <w:rPr>
                <w:rFonts w:hint="eastAsia" w:ascii="宋体" w:hAnsi="宋体" w:eastAsia="宋体" w:cs="宋体"/>
                <w:snapToGrid w:val="0"/>
                <w:color w:val="auto"/>
                <w:spacing w:val="-6"/>
                <w:kern w:val="21"/>
                <w:sz w:val="21"/>
                <w:szCs w:val="21"/>
                <w:highlight w:val="none"/>
              </w:rPr>
              <w:fldChar w:fldCharType="separate"/>
            </w:r>
            <w:r>
              <w:rPr>
                <w:rFonts w:hint="eastAsia" w:ascii="宋体" w:hAnsi="宋体" w:eastAsia="宋体" w:cs="宋体"/>
                <w:color w:val="auto"/>
                <w:kern w:val="2"/>
                <w:sz w:val="21"/>
                <w:szCs w:val="21"/>
                <w:highlight w:val="none"/>
              </w:rPr>
              <w:t>④</w:t>
            </w:r>
            <w:r>
              <w:rPr>
                <w:rFonts w:hint="eastAsia" w:ascii="宋体" w:hAnsi="宋体" w:eastAsia="宋体" w:cs="宋体"/>
                <w:snapToGrid w:val="0"/>
                <w:color w:val="auto"/>
                <w:spacing w:val="-6"/>
                <w:kern w:val="21"/>
                <w:sz w:val="21"/>
                <w:szCs w:val="21"/>
                <w:highlight w:val="none"/>
              </w:rPr>
              <w:fldChar w:fldCharType="end"/>
            </w:r>
          </w:p>
        </w:tc>
        <w:tc>
          <w:tcPr>
            <w:tcW w:w="1667" w:type="dxa"/>
            <w:tcMar>
              <w:left w:w="28" w:type="dxa"/>
              <w:right w:w="28" w:type="dxa"/>
            </w:tcMar>
            <w:vAlign w:val="center"/>
          </w:tcPr>
          <w:p>
            <w:pPr>
              <w:pStyle w:val="62"/>
              <w:spacing w:beforeLines="0" w:afterLines="0" w:line="240" w:lineRule="auto"/>
              <w:ind w:left="0" w:leftChars="0" w:firstLine="0" w:firstLineChars="0"/>
              <w:jc w:val="center"/>
              <w:rPr>
                <w:rFonts w:hint="eastAsia" w:ascii="宋体" w:hAnsi="宋体" w:eastAsia="宋体" w:cs="宋体"/>
                <w:snapToGrid w:val="0"/>
                <w:color w:val="auto"/>
                <w:spacing w:val="-16"/>
                <w:kern w:val="21"/>
                <w:sz w:val="21"/>
                <w:szCs w:val="21"/>
                <w:highlight w:val="none"/>
              </w:rPr>
            </w:pPr>
            <w:r>
              <w:rPr>
                <w:rFonts w:hint="eastAsia" w:ascii="宋体" w:hAnsi="宋体" w:eastAsia="宋体" w:cs="宋体"/>
                <w:snapToGrid w:val="0"/>
                <w:color w:val="auto"/>
                <w:spacing w:val="-16"/>
                <w:kern w:val="21"/>
                <w:sz w:val="21"/>
                <w:szCs w:val="21"/>
                <w:highlight w:val="none"/>
              </w:rPr>
              <w:t>以新带老削减量（新建项目不填）</w:t>
            </w:r>
            <w:r>
              <w:rPr>
                <w:rFonts w:hint="eastAsia" w:ascii="宋体" w:hAnsi="宋体" w:eastAsia="宋体" w:cs="宋体"/>
                <w:snapToGrid w:val="0"/>
                <w:color w:val="auto"/>
                <w:spacing w:val="-16"/>
                <w:kern w:val="21"/>
                <w:sz w:val="21"/>
                <w:szCs w:val="21"/>
                <w:highlight w:val="none"/>
              </w:rPr>
              <w:fldChar w:fldCharType="begin"/>
            </w:r>
            <w:r>
              <w:rPr>
                <w:rFonts w:hint="eastAsia" w:ascii="宋体" w:hAnsi="宋体" w:eastAsia="宋体" w:cs="宋体"/>
                <w:snapToGrid w:val="0"/>
                <w:color w:val="auto"/>
                <w:spacing w:val="-16"/>
                <w:kern w:val="21"/>
                <w:sz w:val="21"/>
                <w:szCs w:val="21"/>
                <w:highlight w:val="none"/>
              </w:rPr>
              <w:instrText xml:space="preserve"> = 5 \* GB3 \* MERGEFORMAT </w:instrText>
            </w:r>
            <w:r>
              <w:rPr>
                <w:rFonts w:hint="eastAsia" w:ascii="宋体" w:hAnsi="宋体" w:eastAsia="宋体" w:cs="宋体"/>
                <w:snapToGrid w:val="0"/>
                <w:color w:val="auto"/>
                <w:spacing w:val="-16"/>
                <w:kern w:val="21"/>
                <w:sz w:val="21"/>
                <w:szCs w:val="21"/>
                <w:highlight w:val="none"/>
              </w:rPr>
              <w:fldChar w:fldCharType="separate"/>
            </w:r>
            <w:r>
              <w:rPr>
                <w:rFonts w:hint="eastAsia" w:ascii="宋体" w:hAnsi="宋体" w:eastAsia="宋体" w:cs="宋体"/>
                <w:color w:val="auto"/>
                <w:kern w:val="2"/>
                <w:sz w:val="21"/>
                <w:szCs w:val="21"/>
                <w:highlight w:val="none"/>
              </w:rPr>
              <w:t>⑤</w:t>
            </w:r>
            <w:r>
              <w:rPr>
                <w:rFonts w:hint="eastAsia" w:ascii="宋体" w:hAnsi="宋体" w:eastAsia="宋体" w:cs="宋体"/>
                <w:snapToGrid w:val="0"/>
                <w:color w:val="auto"/>
                <w:spacing w:val="-16"/>
                <w:kern w:val="21"/>
                <w:sz w:val="21"/>
                <w:szCs w:val="21"/>
                <w:highlight w:val="none"/>
              </w:rPr>
              <w:fldChar w:fldCharType="end"/>
            </w:r>
          </w:p>
        </w:tc>
        <w:tc>
          <w:tcPr>
            <w:tcW w:w="1917" w:type="dxa"/>
            <w:tcMar>
              <w:left w:w="28" w:type="dxa"/>
              <w:right w:w="28" w:type="dxa"/>
            </w:tcMar>
            <w:vAlign w:val="center"/>
          </w:tcPr>
          <w:p>
            <w:pPr>
              <w:pStyle w:val="62"/>
              <w:spacing w:beforeLines="0" w:afterLines="0" w:line="240" w:lineRule="auto"/>
              <w:ind w:left="0" w:leftChars="0" w:firstLine="0" w:firstLineChars="0"/>
              <w:jc w:val="center"/>
              <w:rPr>
                <w:rFonts w:hint="eastAsia" w:ascii="宋体" w:hAnsi="宋体" w:eastAsia="宋体" w:cs="宋体"/>
                <w:snapToGrid w:val="0"/>
                <w:color w:val="auto"/>
                <w:spacing w:val="-16"/>
                <w:kern w:val="21"/>
                <w:sz w:val="21"/>
                <w:szCs w:val="21"/>
                <w:highlight w:val="none"/>
              </w:rPr>
            </w:pPr>
            <w:r>
              <w:rPr>
                <w:rFonts w:hint="eastAsia" w:hAnsi="宋体" w:cs="宋体"/>
                <w:snapToGrid w:val="0"/>
                <w:color w:val="auto"/>
                <w:spacing w:val="-16"/>
                <w:kern w:val="21"/>
                <w:sz w:val="21"/>
                <w:szCs w:val="21"/>
                <w:highlight w:val="none"/>
                <w:lang w:eastAsia="zh-CN"/>
              </w:rPr>
              <w:t>拟建项目</w:t>
            </w:r>
            <w:r>
              <w:rPr>
                <w:rFonts w:hint="eastAsia" w:ascii="宋体" w:hAnsi="宋体" w:eastAsia="宋体" w:cs="宋体"/>
                <w:snapToGrid w:val="0"/>
                <w:color w:val="auto"/>
                <w:spacing w:val="-16"/>
                <w:kern w:val="21"/>
                <w:sz w:val="21"/>
                <w:szCs w:val="21"/>
                <w:highlight w:val="none"/>
              </w:rPr>
              <w:t>建成后</w:t>
            </w:r>
            <w:r>
              <w:rPr>
                <w:rFonts w:hint="eastAsia" w:hAnsi="宋体" w:cs="宋体"/>
                <w:snapToGrid w:val="0"/>
                <w:color w:val="auto"/>
                <w:spacing w:val="-16"/>
                <w:kern w:val="21"/>
                <w:sz w:val="21"/>
                <w:szCs w:val="21"/>
                <w:highlight w:val="none"/>
                <w:lang w:eastAsia="zh-CN"/>
              </w:rPr>
              <w:t>全院</w:t>
            </w:r>
            <w:r>
              <w:rPr>
                <w:rFonts w:hint="eastAsia" w:ascii="宋体" w:hAnsi="宋体" w:eastAsia="宋体" w:cs="宋体"/>
                <w:snapToGrid w:val="0"/>
                <w:color w:val="auto"/>
                <w:spacing w:val="-16"/>
                <w:kern w:val="21"/>
                <w:sz w:val="21"/>
                <w:szCs w:val="21"/>
                <w:highlight w:val="none"/>
              </w:rPr>
              <w:t>排放量（固体废物产生量）</w:t>
            </w:r>
            <w:r>
              <w:rPr>
                <w:rFonts w:hint="eastAsia" w:ascii="宋体" w:hAnsi="宋体" w:eastAsia="宋体" w:cs="宋体"/>
                <w:snapToGrid w:val="0"/>
                <w:color w:val="auto"/>
                <w:spacing w:val="-16"/>
                <w:kern w:val="21"/>
                <w:sz w:val="21"/>
                <w:szCs w:val="21"/>
                <w:highlight w:val="none"/>
              </w:rPr>
              <w:fldChar w:fldCharType="begin"/>
            </w:r>
            <w:r>
              <w:rPr>
                <w:rFonts w:hint="eastAsia" w:ascii="宋体" w:hAnsi="宋体" w:eastAsia="宋体" w:cs="宋体"/>
                <w:snapToGrid w:val="0"/>
                <w:color w:val="auto"/>
                <w:spacing w:val="-16"/>
                <w:kern w:val="21"/>
                <w:sz w:val="21"/>
                <w:szCs w:val="21"/>
                <w:highlight w:val="none"/>
              </w:rPr>
              <w:instrText xml:space="preserve"> = 6 \* GB3 \* MERGEFORMAT </w:instrText>
            </w:r>
            <w:r>
              <w:rPr>
                <w:rFonts w:hint="eastAsia" w:ascii="宋体" w:hAnsi="宋体" w:eastAsia="宋体" w:cs="宋体"/>
                <w:snapToGrid w:val="0"/>
                <w:color w:val="auto"/>
                <w:spacing w:val="-16"/>
                <w:kern w:val="21"/>
                <w:sz w:val="21"/>
                <w:szCs w:val="21"/>
                <w:highlight w:val="none"/>
              </w:rPr>
              <w:fldChar w:fldCharType="separate"/>
            </w:r>
            <w:r>
              <w:rPr>
                <w:rFonts w:hint="eastAsia" w:ascii="宋体" w:hAnsi="宋体" w:eastAsia="宋体" w:cs="宋体"/>
                <w:color w:val="auto"/>
                <w:kern w:val="2"/>
                <w:sz w:val="21"/>
                <w:szCs w:val="21"/>
                <w:highlight w:val="none"/>
              </w:rPr>
              <w:t>⑥</w:t>
            </w:r>
            <w:r>
              <w:rPr>
                <w:rFonts w:hint="eastAsia" w:ascii="宋体" w:hAnsi="宋体" w:eastAsia="宋体" w:cs="宋体"/>
                <w:snapToGrid w:val="0"/>
                <w:color w:val="auto"/>
                <w:spacing w:val="-16"/>
                <w:kern w:val="21"/>
                <w:sz w:val="21"/>
                <w:szCs w:val="21"/>
                <w:highlight w:val="none"/>
              </w:rPr>
              <w:fldChar w:fldCharType="end"/>
            </w:r>
          </w:p>
        </w:tc>
        <w:tc>
          <w:tcPr>
            <w:tcW w:w="1743" w:type="dxa"/>
            <w:tcMar>
              <w:left w:w="28" w:type="dxa"/>
              <w:right w:w="28" w:type="dxa"/>
            </w:tcMar>
            <w:vAlign w:val="center"/>
          </w:tcPr>
          <w:p>
            <w:pPr>
              <w:pStyle w:val="62"/>
              <w:spacing w:beforeLines="0" w:afterLines="0" w:line="240" w:lineRule="auto"/>
              <w:ind w:left="0" w:leftChars="0" w:firstLine="0" w:firstLineChars="0"/>
              <w:jc w:val="center"/>
              <w:rPr>
                <w:rFonts w:hint="eastAsia" w:ascii="宋体" w:hAnsi="宋体" w:eastAsia="宋体" w:cs="宋体"/>
                <w:snapToGrid w:val="0"/>
                <w:color w:val="auto"/>
                <w:spacing w:val="-6"/>
                <w:kern w:val="21"/>
                <w:sz w:val="21"/>
                <w:szCs w:val="21"/>
                <w:highlight w:val="none"/>
              </w:rPr>
            </w:pPr>
            <w:r>
              <w:rPr>
                <w:rFonts w:hint="eastAsia" w:ascii="宋体" w:hAnsi="宋体" w:eastAsia="宋体" w:cs="宋体"/>
                <w:snapToGrid w:val="0"/>
                <w:color w:val="auto"/>
                <w:spacing w:val="-6"/>
                <w:kern w:val="21"/>
                <w:sz w:val="21"/>
                <w:szCs w:val="21"/>
                <w:highlight w:val="none"/>
              </w:rPr>
              <w:t>变化量</w:t>
            </w:r>
            <w:r>
              <w:rPr>
                <w:rFonts w:hint="eastAsia" w:ascii="宋体" w:hAnsi="宋体" w:eastAsia="宋体" w:cs="宋体"/>
                <w:snapToGrid w:val="0"/>
                <w:color w:val="auto"/>
                <w:spacing w:val="-6"/>
                <w:kern w:val="21"/>
                <w:sz w:val="21"/>
                <w:szCs w:val="21"/>
                <w:highlight w:val="none"/>
              </w:rPr>
              <w:fldChar w:fldCharType="begin"/>
            </w:r>
            <w:r>
              <w:rPr>
                <w:rFonts w:hint="eastAsia" w:ascii="宋体" w:hAnsi="宋体" w:eastAsia="宋体" w:cs="宋体"/>
                <w:snapToGrid w:val="0"/>
                <w:color w:val="auto"/>
                <w:spacing w:val="-6"/>
                <w:kern w:val="21"/>
                <w:sz w:val="21"/>
                <w:szCs w:val="21"/>
                <w:highlight w:val="none"/>
              </w:rPr>
              <w:instrText xml:space="preserve"> = 7 \* GB3 \* MERGEFORMAT </w:instrText>
            </w:r>
            <w:r>
              <w:rPr>
                <w:rFonts w:hint="eastAsia" w:ascii="宋体" w:hAnsi="宋体" w:eastAsia="宋体" w:cs="宋体"/>
                <w:snapToGrid w:val="0"/>
                <w:color w:val="auto"/>
                <w:spacing w:val="-6"/>
                <w:kern w:val="21"/>
                <w:sz w:val="21"/>
                <w:szCs w:val="21"/>
                <w:highlight w:val="none"/>
              </w:rPr>
              <w:fldChar w:fldCharType="separate"/>
            </w:r>
            <w:r>
              <w:rPr>
                <w:rFonts w:hint="eastAsia" w:ascii="宋体" w:hAnsi="宋体" w:eastAsia="宋体" w:cs="宋体"/>
                <w:color w:val="auto"/>
                <w:kern w:val="2"/>
                <w:sz w:val="21"/>
                <w:szCs w:val="21"/>
                <w:highlight w:val="none"/>
              </w:rPr>
              <w:t>⑦</w:t>
            </w:r>
            <w:r>
              <w:rPr>
                <w:rFonts w:hint="eastAsia" w:ascii="宋体" w:hAnsi="宋体" w:eastAsia="宋体" w:cs="宋体"/>
                <w:snapToGrid w:val="0"/>
                <w:color w:val="auto"/>
                <w:spacing w:val="-6"/>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61" w:type="dxa"/>
            <w:vMerge w:val="restart"/>
            <w:vAlign w:val="center"/>
          </w:tcPr>
          <w:p>
            <w:pPr>
              <w:pStyle w:val="62"/>
              <w:spacing w:beforeLines="0" w:afterLines="0" w:line="240" w:lineRule="auto"/>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废气</w:t>
            </w:r>
          </w:p>
        </w:tc>
        <w:tc>
          <w:tcPr>
            <w:tcW w:w="1517" w:type="dxa"/>
            <w:vAlign w:val="center"/>
          </w:tcPr>
          <w:p>
            <w:pPr>
              <w:pStyle w:val="16"/>
              <w:spacing w:after="0" w:line="240" w:lineRule="atLeast"/>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NH</w:t>
            </w:r>
            <w:r>
              <w:rPr>
                <w:rFonts w:hint="eastAsia" w:ascii="宋体" w:hAnsi="宋体" w:cs="宋体"/>
                <w:color w:val="auto"/>
                <w:sz w:val="21"/>
                <w:szCs w:val="21"/>
                <w:highlight w:val="none"/>
                <w:vertAlign w:val="subscript"/>
                <w:lang w:val="en-US" w:eastAsia="zh-CN"/>
              </w:rPr>
              <w:t>3</w:t>
            </w:r>
          </w:p>
        </w:tc>
        <w:tc>
          <w:tcPr>
            <w:tcW w:w="1367"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rPr>
              <w:t>/</w:t>
            </w:r>
          </w:p>
        </w:tc>
        <w:tc>
          <w:tcPr>
            <w:tcW w:w="1216" w:type="dxa"/>
            <w:vAlign w:val="center"/>
          </w:tcPr>
          <w:p>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snapToGrid w:val="0"/>
                <w:color w:val="auto"/>
                <w:kern w:val="21"/>
                <w:sz w:val="21"/>
                <w:szCs w:val="21"/>
                <w:highlight w:val="none"/>
              </w:rPr>
              <w:t>/</w:t>
            </w:r>
          </w:p>
        </w:tc>
        <w:tc>
          <w:tcPr>
            <w:tcW w:w="1584" w:type="dxa"/>
            <w:vAlign w:val="center"/>
          </w:tcPr>
          <w:p>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w:t>
            </w:r>
          </w:p>
        </w:tc>
        <w:tc>
          <w:tcPr>
            <w:tcW w:w="1716" w:type="dxa"/>
            <w:vAlign w:val="center"/>
          </w:tcPr>
          <w:p>
            <w:pPr>
              <w:pStyle w:val="20"/>
              <w:spacing w:line="240" w:lineRule="auto"/>
              <w:ind w:firstLine="0" w:firstLineChars="0"/>
              <w:jc w:val="center"/>
              <w:rPr>
                <w:rFonts w:hint="eastAsia" w:ascii="宋体" w:hAnsi="宋体" w:eastAsia="宋体" w:cs="宋体"/>
                <w:snapToGrid w:val="0"/>
                <w:color w:val="auto"/>
                <w:kern w:val="21"/>
                <w:sz w:val="21"/>
                <w:szCs w:val="21"/>
                <w:highlight w:val="none"/>
              </w:rPr>
            </w:pPr>
            <w:r>
              <w:rPr>
                <w:rFonts w:hint="eastAsia"/>
                <w:color w:val="auto"/>
                <w:sz w:val="21"/>
                <w:szCs w:val="21"/>
                <w:highlight w:val="none"/>
                <w:lang w:val="en-US" w:eastAsia="zh-CN"/>
              </w:rPr>
              <w:t>1.0×10</w:t>
            </w:r>
            <w:r>
              <w:rPr>
                <w:rFonts w:hint="eastAsia"/>
                <w:color w:val="auto"/>
                <w:sz w:val="21"/>
                <w:szCs w:val="21"/>
                <w:highlight w:val="none"/>
                <w:vertAlign w:val="superscript"/>
                <w:lang w:val="en-US" w:eastAsia="zh-CN"/>
              </w:rPr>
              <w:t>-5</w:t>
            </w:r>
          </w:p>
        </w:tc>
        <w:tc>
          <w:tcPr>
            <w:tcW w:w="1667"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cs="宋体"/>
                <w:color w:val="auto"/>
                <w:sz w:val="21"/>
                <w:szCs w:val="21"/>
                <w:highlight w:val="none"/>
                <w:lang w:val="en-US" w:eastAsia="zh-CN"/>
              </w:rPr>
              <w:t>/</w:t>
            </w:r>
          </w:p>
        </w:tc>
        <w:tc>
          <w:tcPr>
            <w:tcW w:w="1917" w:type="dxa"/>
            <w:vAlign w:val="center"/>
          </w:tcPr>
          <w:p>
            <w:pPr>
              <w:pStyle w:val="20"/>
              <w:spacing w:line="240" w:lineRule="auto"/>
              <w:ind w:firstLine="0" w:firstLineChars="0"/>
              <w:jc w:val="center"/>
              <w:rPr>
                <w:rFonts w:hint="eastAsia" w:ascii="宋体" w:hAnsi="宋体" w:eastAsia="宋体" w:cs="宋体"/>
                <w:snapToGrid w:val="0"/>
                <w:color w:val="auto"/>
                <w:kern w:val="21"/>
                <w:sz w:val="21"/>
                <w:szCs w:val="21"/>
                <w:highlight w:val="none"/>
                <w:lang w:val="en-US" w:eastAsia="zh-CN" w:bidi="ar-SA"/>
              </w:rPr>
            </w:pPr>
            <w:r>
              <w:rPr>
                <w:rFonts w:hint="eastAsia"/>
                <w:color w:val="auto"/>
                <w:sz w:val="21"/>
                <w:szCs w:val="21"/>
                <w:highlight w:val="none"/>
                <w:lang w:val="en-US" w:eastAsia="zh-CN"/>
              </w:rPr>
              <w:t>1.0×10</w:t>
            </w:r>
            <w:r>
              <w:rPr>
                <w:rFonts w:hint="eastAsia"/>
                <w:color w:val="auto"/>
                <w:sz w:val="21"/>
                <w:szCs w:val="21"/>
                <w:highlight w:val="none"/>
                <w:vertAlign w:val="superscript"/>
                <w:lang w:val="en-US" w:eastAsia="zh-CN"/>
              </w:rPr>
              <w:t>-5</w:t>
            </w:r>
          </w:p>
        </w:tc>
        <w:tc>
          <w:tcPr>
            <w:tcW w:w="1743"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cs="宋体"/>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61" w:type="dxa"/>
            <w:vMerge w:val="continue"/>
            <w:vAlign w:val="center"/>
          </w:tcPr>
          <w:p>
            <w:pPr>
              <w:pStyle w:val="62"/>
              <w:spacing w:beforeLines="0" w:afterLines="0" w:line="240" w:lineRule="auto"/>
              <w:ind w:left="0" w:leftChars="0" w:firstLine="0" w:firstLineChars="0"/>
              <w:jc w:val="center"/>
              <w:rPr>
                <w:rFonts w:hint="eastAsia" w:ascii="宋体" w:hAnsi="宋体" w:eastAsia="宋体" w:cs="宋体"/>
                <w:snapToGrid w:val="0"/>
                <w:color w:val="auto"/>
                <w:kern w:val="21"/>
                <w:sz w:val="21"/>
                <w:szCs w:val="21"/>
                <w:highlight w:val="none"/>
              </w:rPr>
            </w:pPr>
          </w:p>
        </w:tc>
        <w:tc>
          <w:tcPr>
            <w:tcW w:w="1517" w:type="dxa"/>
            <w:vAlign w:val="center"/>
          </w:tcPr>
          <w:p>
            <w:pPr>
              <w:pStyle w:val="16"/>
              <w:spacing w:after="0" w:line="240" w:lineRule="atLeast"/>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H</w:t>
            </w:r>
            <w:r>
              <w:rPr>
                <w:rFonts w:hint="eastAsia" w:ascii="宋体" w:hAnsi="宋体" w:cs="宋体"/>
                <w:color w:val="auto"/>
                <w:sz w:val="21"/>
                <w:szCs w:val="21"/>
                <w:highlight w:val="none"/>
                <w:vertAlign w:val="subscript"/>
                <w:lang w:val="en-US" w:eastAsia="zh-CN"/>
              </w:rPr>
              <w:t>2</w:t>
            </w:r>
            <w:r>
              <w:rPr>
                <w:rFonts w:hint="eastAsia" w:ascii="宋体" w:hAnsi="宋体" w:cs="宋体"/>
                <w:color w:val="auto"/>
                <w:sz w:val="21"/>
                <w:szCs w:val="21"/>
                <w:highlight w:val="none"/>
                <w:lang w:val="en-US" w:eastAsia="zh-CN"/>
              </w:rPr>
              <w:t>S</w:t>
            </w:r>
          </w:p>
        </w:tc>
        <w:tc>
          <w:tcPr>
            <w:tcW w:w="1367"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rPr>
              <w:t>/</w:t>
            </w:r>
          </w:p>
        </w:tc>
        <w:tc>
          <w:tcPr>
            <w:tcW w:w="1216" w:type="dxa"/>
            <w:vAlign w:val="center"/>
          </w:tcPr>
          <w:p>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eastAsia="宋体" w:cs="宋体"/>
                <w:snapToGrid w:val="0"/>
                <w:color w:val="auto"/>
                <w:kern w:val="21"/>
                <w:sz w:val="21"/>
                <w:szCs w:val="21"/>
                <w:highlight w:val="none"/>
              </w:rPr>
              <w:t>/</w:t>
            </w:r>
          </w:p>
        </w:tc>
        <w:tc>
          <w:tcPr>
            <w:tcW w:w="1584" w:type="dxa"/>
            <w:vAlign w:val="center"/>
          </w:tcPr>
          <w:p>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c>
          <w:tcPr>
            <w:tcW w:w="1716" w:type="dxa"/>
            <w:vAlign w:val="center"/>
          </w:tcPr>
          <w:p>
            <w:pPr>
              <w:spacing w:line="240" w:lineRule="auto"/>
              <w:ind w:firstLine="0" w:firstLineChars="0"/>
              <w:jc w:val="center"/>
              <w:rPr>
                <w:rFonts w:hint="eastAsia" w:ascii="宋体" w:hAnsi="宋体" w:cs="宋体"/>
                <w:color w:val="auto"/>
                <w:sz w:val="21"/>
                <w:szCs w:val="21"/>
                <w:highlight w:val="none"/>
                <w:lang w:val="en-US" w:eastAsia="zh-CN"/>
              </w:rPr>
            </w:pPr>
            <w:r>
              <w:rPr>
                <w:rFonts w:hint="eastAsia"/>
                <w:color w:val="auto"/>
                <w:sz w:val="21"/>
                <w:szCs w:val="21"/>
                <w:highlight w:val="none"/>
                <w:lang w:val="en-US" w:eastAsia="zh-CN"/>
              </w:rPr>
              <w:t>3.4×10</w:t>
            </w:r>
            <w:r>
              <w:rPr>
                <w:rFonts w:hint="eastAsia"/>
                <w:color w:val="auto"/>
                <w:sz w:val="21"/>
                <w:szCs w:val="21"/>
                <w:highlight w:val="none"/>
                <w:vertAlign w:val="superscript"/>
                <w:lang w:val="en-US" w:eastAsia="zh-CN"/>
              </w:rPr>
              <w:t>-6</w:t>
            </w:r>
          </w:p>
        </w:tc>
        <w:tc>
          <w:tcPr>
            <w:tcW w:w="1667" w:type="dxa"/>
            <w:vAlign w:val="center"/>
          </w:tcPr>
          <w:p>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c>
          <w:tcPr>
            <w:tcW w:w="1917" w:type="dxa"/>
            <w:vAlign w:val="center"/>
          </w:tcPr>
          <w:p>
            <w:pPr>
              <w:spacing w:line="24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color w:val="auto"/>
                <w:sz w:val="21"/>
                <w:szCs w:val="21"/>
                <w:highlight w:val="none"/>
                <w:lang w:val="en-US" w:eastAsia="zh-CN"/>
              </w:rPr>
              <w:t>3.4×10</w:t>
            </w:r>
            <w:r>
              <w:rPr>
                <w:rFonts w:hint="eastAsia"/>
                <w:color w:val="auto"/>
                <w:sz w:val="21"/>
                <w:szCs w:val="21"/>
                <w:highlight w:val="none"/>
                <w:vertAlign w:val="superscript"/>
                <w:lang w:val="en-US" w:eastAsia="zh-CN"/>
              </w:rPr>
              <w:t>-6</w:t>
            </w:r>
          </w:p>
        </w:tc>
        <w:tc>
          <w:tcPr>
            <w:tcW w:w="1743" w:type="dxa"/>
            <w:vAlign w:val="center"/>
          </w:tcPr>
          <w:p>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61" w:type="dxa"/>
            <w:vMerge w:val="restart"/>
            <w:vAlign w:val="center"/>
          </w:tcPr>
          <w:p>
            <w:pPr>
              <w:pStyle w:val="62"/>
              <w:spacing w:beforeLines="0" w:afterLines="0" w:line="240" w:lineRule="auto"/>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废水</w:t>
            </w:r>
          </w:p>
        </w:tc>
        <w:tc>
          <w:tcPr>
            <w:tcW w:w="1517" w:type="dxa"/>
            <w:vAlign w:val="center"/>
          </w:tcPr>
          <w:p>
            <w:p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COD</w:t>
            </w:r>
          </w:p>
        </w:tc>
        <w:tc>
          <w:tcPr>
            <w:tcW w:w="1367"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rPr>
              <w:t>/</w:t>
            </w:r>
          </w:p>
        </w:tc>
        <w:tc>
          <w:tcPr>
            <w:tcW w:w="1216" w:type="dxa"/>
            <w:vAlign w:val="center"/>
          </w:tcPr>
          <w:p>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snapToGrid w:val="0"/>
                <w:color w:val="auto"/>
                <w:kern w:val="21"/>
                <w:sz w:val="21"/>
                <w:szCs w:val="21"/>
                <w:highlight w:val="none"/>
              </w:rPr>
              <w:t>/</w:t>
            </w:r>
          </w:p>
        </w:tc>
        <w:tc>
          <w:tcPr>
            <w:tcW w:w="1584" w:type="dxa"/>
            <w:vAlign w:val="center"/>
          </w:tcPr>
          <w:p>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c>
          <w:tcPr>
            <w:tcW w:w="1716" w:type="dxa"/>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0.451</w:t>
            </w:r>
          </w:p>
        </w:tc>
        <w:tc>
          <w:tcPr>
            <w:tcW w:w="1667" w:type="dxa"/>
            <w:vAlign w:val="center"/>
          </w:tcPr>
          <w:p>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w:t>
            </w:r>
          </w:p>
        </w:tc>
        <w:tc>
          <w:tcPr>
            <w:tcW w:w="1917" w:type="dxa"/>
            <w:vAlign w:val="center"/>
          </w:tcPr>
          <w:p>
            <w:p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0.451</w:t>
            </w:r>
          </w:p>
        </w:tc>
        <w:tc>
          <w:tcPr>
            <w:tcW w:w="1743" w:type="dxa"/>
            <w:vAlign w:val="center"/>
          </w:tcPr>
          <w:p>
            <w:pPr>
              <w:ind w:left="0" w:leftChars="0"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61" w:type="dxa"/>
            <w:vMerge w:val="continue"/>
            <w:vAlign w:val="center"/>
          </w:tcPr>
          <w:p>
            <w:pPr>
              <w:pStyle w:val="62"/>
              <w:spacing w:beforeLines="0" w:afterLines="0" w:line="240" w:lineRule="auto"/>
              <w:ind w:left="0" w:leftChars="0" w:firstLine="0" w:firstLineChars="0"/>
              <w:jc w:val="center"/>
              <w:rPr>
                <w:rFonts w:hint="eastAsia" w:ascii="宋体" w:hAnsi="宋体" w:eastAsia="宋体" w:cs="宋体"/>
                <w:snapToGrid w:val="0"/>
                <w:color w:val="auto"/>
                <w:kern w:val="21"/>
                <w:sz w:val="21"/>
                <w:szCs w:val="21"/>
                <w:highlight w:val="none"/>
              </w:rPr>
            </w:pPr>
          </w:p>
        </w:tc>
        <w:tc>
          <w:tcPr>
            <w:tcW w:w="1517" w:type="dxa"/>
            <w:vAlign w:val="center"/>
          </w:tcPr>
          <w:p>
            <w:p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SS</w:t>
            </w:r>
          </w:p>
        </w:tc>
        <w:tc>
          <w:tcPr>
            <w:tcW w:w="1367"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w:t>
            </w:r>
          </w:p>
        </w:tc>
        <w:tc>
          <w:tcPr>
            <w:tcW w:w="1216"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w:t>
            </w:r>
          </w:p>
        </w:tc>
        <w:tc>
          <w:tcPr>
            <w:tcW w:w="1584" w:type="dxa"/>
            <w:vAlign w:val="center"/>
          </w:tcPr>
          <w:p>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c>
          <w:tcPr>
            <w:tcW w:w="1716" w:type="dxa"/>
            <w:vAlign w:val="center"/>
          </w:tcPr>
          <w:p>
            <w:p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0.15</w:t>
            </w:r>
          </w:p>
        </w:tc>
        <w:tc>
          <w:tcPr>
            <w:tcW w:w="1667" w:type="dxa"/>
            <w:vAlign w:val="center"/>
          </w:tcPr>
          <w:p>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c>
          <w:tcPr>
            <w:tcW w:w="1917" w:type="dxa"/>
            <w:vAlign w:val="center"/>
          </w:tcPr>
          <w:p>
            <w:p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0.15</w:t>
            </w:r>
          </w:p>
        </w:tc>
        <w:tc>
          <w:tcPr>
            <w:tcW w:w="1743" w:type="dxa"/>
            <w:vAlign w:val="center"/>
          </w:tcPr>
          <w:p>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61" w:type="dxa"/>
            <w:vMerge w:val="continue"/>
            <w:vAlign w:val="center"/>
          </w:tcPr>
          <w:p>
            <w:pPr>
              <w:pStyle w:val="62"/>
              <w:spacing w:beforeLines="0" w:afterLines="0" w:line="240" w:lineRule="auto"/>
              <w:ind w:left="0" w:leftChars="0" w:firstLine="0" w:firstLineChars="0"/>
              <w:jc w:val="center"/>
              <w:rPr>
                <w:rFonts w:hint="eastAsia" w:ascii="宋体" w:hAnsi="宋体" w:eastAsia="宋体" w:cs="宋体"/>
                <w:snapToGrid w:val="0"/>
                <w:color w:val="auto"/>
                <w:kern w:val="21"/>
                <w:sz w:val="21"/>
                <w:szCs w:val="21"/>
                <w:highlight w:val="none"/>
              </w:rPr>
            </w:pPr>
          </w:p>
        </w:tc>
        <w:tc>
          <w:tcPr>
            <w:tcW w:w="1517" w:type="dxa"/>
            <w:vAlign w:val="center"/>
          </w:tcPr>
          <w:p>
            <w:p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粪大肠菌群</w:t>
            </w:r>
          </w:p>
        </w:tc>
        <w:tc>
          <w:tcPr>
            <w:tcW w:w="1367"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w:t>
            </w:r>
          </w:p>
        </w:tc>
        <w:tc>
          <w:tcPr>
            <w:tcW w:w="1216"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w:t>
            </w:r>
          </w:p>
        </w:tc>
        <w:tc>
          <w:tcPr>
            <w:tcW w:w="1584" w:type="dxa"/>
            <w:vAlign w:val="center"/>
          </w:tcPr>
          <w:p>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c>
          <w:tcPr>
            <w:tcW w:w="1716" w:type="dxa"/>
            <w:vAlign w:val="center"/>
          </w:tcPr>
          <w:p>
            <w:p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0.72×10</w:t>
            </w:r>
            <w:r>
              <w:rPr>
                <w:rFonts w:hint="eastAsia"/>
                <w:b w:val="0"/>
                <w:bCs w:val="0"/>
                <w:color w:val="auto"/>
                <w:sz w:val="21"/>
                <w:szCs w:val="21"/>
                <w:highlight w:val="none"/>
                <w:vertAlign w:val="superscript"/>
                <w:lang w:val="en-US" w:eastAsia="zh-CN"/>
              </w:rPr>
              <w:t>9</w:t>
            </w:r>
            <w:r>
              <w:rPr>
                <w:rFonts w:hint="eastAsia"/>
                <w:b w:val="0"/>
                <w:bCs w:val="0"/>
                <w:color w:val="auto"/>
                <w:sz w:val="21"/>
                <w:szCs w:val="21"/>
                <w:highlight w:val="none"/>
                <w:vertAlign w:val="baseline"/>
                <w:lang w:val="en-US" w:eastAsia="zh-CN"/>
              </w:rPr>
              <w:t>MPN</w:t>
            </w:r>
          </w:p>
        </w:tc>
        <w:tc>
          <w:tcPr>
            <w:tcW w:w="1667" w:type="dxa"/>
            <w:vAlign w:val="center"/>
          </w:tcPr>
          <w:p>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c>
          <w:tcPr>
            <w:tcW w:w="1917" w:type="dxa"/>
            <w:vAlign w:val="center"/>
          </w:tcPr>
          <w:p>
            <w:p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0.72×10</w:t>
            </w:r>
            <w:r>
              <w:rPr>
                <w:rFonts w:hint="eastAsia"/>
                <w:b w:val="0"/>
                <w:bCs w:val="0"/>
                <w:color w:val="auto"/>
                <w:sz w:val="21"/>
                <w:szCs w:val="21"/>
                <w:highlight w:val="none"/>
                <w:vertAlign w:val="superscript"/>
                <w:lang w:val="en-US" w:eastAsia="zh-CN"/>
              </w:rPr>
              <w:t>9</w:t>
            </w:r>
            <w:r>
              <w:rPr>
                <w:rFonts w:hint="eastAsia"/>
                <w:b w:val="0"/>
                <w:bCs w:val="0"/>
                <w:color w:val="auto"/>
                <w:sz w:val="21"/>
                <w:szCs w:val="21"/>
                <w:highlight w:val="none"/>
                <w:vertAlign w:val="baseline"/>
                <w:lang w:val="en-US" w:eastAsia="zh-CN"/>
              </w:rPr>
              <w:t>MPN</w:t>
            </w:r>
          </w:p>
        </w:tc>
        <w:tc>
          <w:tcPr>
            <w:tcW w:w="1743" w:type="dxa"/>
            <w:vAlign w:val="center"/>
          </w:tcPr>
          <w:p>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61" w:type="dxa"/>
            <w:vMerge w:val="continue"/>
            <w:vAlign w:val="center"/>
          </w:tcPr>
          <w:p>
            <w:pPr>
              <w:pStyle w:val="62"/>
              <w:spacing w:beforeLines="0" w:afterLines="0" w:line="240" w:lineRule="auto"/>
              <w:ind w:left="0" w:leftChars="0" w:firstLine="0" w:firstLineChars="0"/>
              <w:jc w:val="center"/>
              <w:rPr>
                <w:rFonts w:hint="eastAsia" w:ascii="宋体" w:hAnsi="宋体" w:eastAsia="宋体" w:cs="宋体"/>
                <w:snapToGrid w:val="0"/>
                <w:color w:val="auto"/>
                <w:kern w:val="21"/>
                <w:sz w:val="21"/>
                <w:szCs w:val="21"/>
                <w:highlight w:val="none"/>
              </w:rPr>
            </w:pPr>
          </w:p>
        </w:tc>
        <w:tc>
          <w:tcPr>
            <w:tcW w:w="1517" w:type="dxa"/>
            <w:vAlign w:val="center"/>
          </w:tcPr>
          <w:p>
            <w:p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氨氮</w:t>
            </w:r>
          </w:p>
        </w:tc>
        <w:tc>
          <w:tcPr>
            <w:tcW w:w="1367"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w:t>
            </w:r>
          </w:p>
        </w:tc>
        <w:tc>
          <w:tcPr>
            <w:tcW w:w="1216"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w:t>
            </w:r>
          </w:p>
        </w:tc>
        <w:tc>
          <w:tcPr>
            <w:tcW w:w="1584" w:type="dxa"/>
            <w:vAlign w:val="center"/>
          </w:tcPr>
          <w:p>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c>
          <w:tcPr>
            <w:tcW w:w="1716" w:type="dxa"/>
            <w:vAlign w:val="center"/>
          </w:tcPr>
          <w:p>
            <w:p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0.060</w:t>
            </w:r>
          </w:p>
        </w:tc>
        <w:tc>
          <w:tcPr>
            <w:tcW w:w="1667" w:type="dxa"/>
            <w:vAlign w:val="center"/>
          </w:tcPr>
          <w:p>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c>
          <w:tcPr>
            <w:tcW w:w="1917" w:type="dxa"/>
            <w:vAlign w:val="center"/>
          </w:tcPr>
          <w:p>
            <w:p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0.060</w:t>
            </w:r>
          </w:p>
        </w:tc>
        <w:tc>
          <w:tcPr>
            <w:tcW w:w="1743" w:type="dxa"/>
            <w:vAlign w:val="center"/>
          </w:tcPr>
          <w:p>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61" w:type="dxa"/>
            <w:vMerge w:val="continue"/>
            <w:vAlign w:val="center"/>
          </w:tcPr>
          <w:p>
            <w:pPr>
              <w:pStyle w:val="62"/>
              <w:spacing w:beforeLines="0" w:afterLines="0" w:line="240" w:lineRule="auto"/>
              <w:ind w:left="0" w:leftChars="0" w:firstLine="0" w:firstLineChars="0"/>
              <w:jc w:val="center"/>
              <w:rPr>
                <w:rFonts w:hint="eastAsia" w:ascii="宋体" w:hAnsi="宋体" w:eastAsia="宋体" w:cs="宋体"/>
                <w:snapToGrid w:val="0"/>
                <w:color w:val="auto"/>
                <w:kern w:val="21"/>
                <w:sz w:val="21"/>
                <w:szCs w:val="21"/>
                <w:highlight w:val="none"/>
              </w:rPr>
            </w:pPr>
          </w:p>
        </w:tc>
        <w:tc>
          <w:tcPr>
            <w:tcW w:w="1517" w:type="dxa"/>
            <w:vAlign w:val="center"/>
          </w:tcPr>
          <w:p>
            <w:p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BOD</w:t>
            </w:r>
            <w:r>
              <w:rPr>
                <w:rFonts w:hint="eastAsia"/>
                <w:b w:val="0"/>
                <w:bCs w:val="0"/>
                <w:color w:val="auto"/>
                <w:sz w:val="21"/>
                <w:szCs w:val="21"/>
                <w:highlight w:val="none"/>
                <w:vertAlign w:val="subscript"/>
                <w:lang w:val="en-US" w:eastAsia="zh-CN"/>
              </w:rPr>
              <w:t>5</w:t>
            </w:r>
          </w:p>
        </w:tc>
        <w:tc>
          <w:tcPr>
            <w:tcW w:w="1367"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w:t>
            </w:r>
          </w:p>
        </w:tc>
        <w:tc>
          <w:tcPr>
            <w:tcW w:w="1216"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w:t>
            </w:r>
          </w:p>
        </w:tc>
        <w:tc>
          <w:tcPr>
            <w:tcW w:w="1584" w:type="dxa"/>
            <w:vAlign w:val="center"/>
          </w:tcPr>
          <w:p>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c>
          <w:tcPr>
            <w:tcW w:w="1716" w:type="dxa"/>
            <w:vAlign w:val="center"/>
          </w:tcPr>
          <w:p>
            <w:p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0.15</w:t>
            </w:r>
          </w:p>
        </w:tc>
        <w:tc>
          <w:tcPr>
            <w:tcW w:w="1667" w:type="dxa"/>
            <w:vAlign w:val="center"/>
          </w:tcPr>
          <w:p>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c>
          <w:tcPr>
            <w:tcW w:w="1917" w:type="dxa"/>
            <w:vAlign w:val="center"/>
          </w:tcPr>
          <w:p>
            <w:p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0.15</w:t>
            </w:r>
          </w:p>
        </w:tc>
        <w:tc>
          <w:tcPr>
            <w:tcW w:w="1743" w:type="dxa"/>
            <w:vAlign w:val="center"/>
          </w:tcPr>
          <w:p>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61" w:type="dxa"/>
            <w:vMerge w:val="continue"/>
            <w:vAlign w:val="center"/>
          </w:tcPr>
          <w:p>
            <w:pPr>
              <w:pStyle w:val="62"/>
              <w:spacing w:beforeLines="0" w:afterLines="0" w:line="240" w:lineRule="auto"/>
              <w:ind w:left="0" w:leftChars="0" w:firstLine="0" w:firstLineChars="0"/>
              <w:jc w:val="center"/>
              <w:rPr>
                <w:rFonts w:hint="eastAsia" w:ascii="宋体" w:hAnsi="宋体" w:eastAsia="宋体" w:cs="宋体"/>
                <w:snapToGrid w:val="0"/>
                <w:color w:val="auto"/>
                <w:kern w:val="21"/>
                <w:sz w:val="21"/>
                <w:szCs w:val="21"/>
                <w:highlight w:val="none"/>
              </w:rPr>
            </w:pPr>
          </w:p>
        </w:tc>
        <w:tc>
          <w:tcPr>
            <w:tcW w:w="1517" w:type="dxa"/>
            <w:vAlign w:val="center"/>
          </w:tcPr>
          <w:p>
            <w:p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LAS</w:t>
            </w:r>
          </w:p>
        </w:tc>
        <w:tc>
          <w:tcPr>
            <w:tcW w:w="1367"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w:t>
            </w:r>
          </w:p>
        </w:tc>
        <w:tc>
          <w:tcPr>
            <w:tcW w:w="1216"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w:t>
            </w:r>
          </w:p>
        </w:tc>
        <w:tc>
          <w:tcPr>
            <w:tcW w:w="1584" w:type="dxa"/>
            <w:vAlign w:val="center"/>
          </w:tcPr>
          <w:p>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c>
          <w:tcPr>
            <w:tcW w:w="1716" w:type="dxa"/>
            <w:vAlign w:val="center"/>
          </w:tcPr>
          <w:p>
            <w:p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0.008</w:t>
            </w:r>
          </w:p>
        </w:tc>
        <w:tc>
          <w:tcPr>
            <w:tcW w:w="1667" w:type="dxa"/>
            <w:vAlign w:val="center"/>
          </w:tcPr>
          <w:p>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c>
          <w:tcPr>
            <w:tcW w:w="1917" w:type="dxa"/>
            <w:vAlign w:val="center"/>
          </w:tcPr>
          <w:p>
            <w:p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0.008</w:t>
            </w:r>
          </w:p>
        </w:tc>
        <w:tc>
          <w:tcPr>
            <w:tcW w:w="1743" w:type="dxa"/>
            <w:vAlign w:val="center"/>
          </w:tcPr>
          <w:p>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61" w:type="dxa"/>
            <w:vMerge w:val="continue"/>
            <w:vAlign w:val="center"/>
          </w:tcPr>
          <w:p>
            <w:pPr>
              <w:pStyle w:val="62"/>
              <w:spacing w:beforeLines="0" w:afterLines="0" w:line="240" w:lineRule="auto"/>
              <w:jc w:val="center"/>
              <w:rPr>
                <w:rFonts w:hint="eastAsia" w:ascii="宋体" w:hAnsi="宋体" w:eastAsia="宋体" w:cs="宋体"/>
                <w:snapToGrid w:val="0"/>
                <w:color w:val="auto"/>
                <w:kern w:val="21"/>
                <w:sz w:val="21"/>
                <w:szCs w:val="21"/>
                <w:highlight w:val="none"/>
              </w:rPr>
            </w:pPr>
          </w:p>
        </w:tc>
        <w:tc>
          <w:tcPr>
            <w:tcW w:w="1517" w:type="dxa"/>
            <w:vAlign w:val="center"/>
          </w:tcPr>
          <w:p>
            <w:p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总余氯</w:t>
            </w:r>
          </w:p>
        </w:tc>
        <w:tc>
          <w:tcPr>
            <w:tcW w:w="1367"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w:t>
            </w:r>
          </w:p>
        </w:tc>
        <w:tc>
          <w:tcPr>
            <w:tcW w:w="1216" w:type="dxa"/>
            <w:vAlign w:val="center"/>
          </w:tcPr>
          <w:p>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snapToGrid w:val="0"/>
                <w:color w:val="auto"/>
                <w:kern w:val="21"/>
                <w:sz w:val="21"/>
                <w:szCs w:val="21"/>
                <w:highlight w:val="none"/>
              </w:rPr>
              <w:t>/</w:t>
            </w:r>
          </w:p>
        </w:tc>
        <w:tc>
          <w:tcPr>
            <w:tcW w:w="1584" w:type="dxa"/>
            <w:vAlign w:val="center"/>
          </w:tcPr>
          <w:p>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snapToGrid w:val="0"/>
                <w:color w:val="auto"/>
                <w:kern w:val="21"/>
                <w:sz w:val="21"/>
                <w:szCs w:val="21"/>
                <w:highlight w:val="none"/>
              </w:rPr>
              <w:t>/</w:t>
            </w:r>
          </w:p>
        </w:tc>
        <w:tc>
          <w:tcPr>
            <w:tcW w:w="1716" w:type="dxa"/>
            <w:vAlign w:val="center"/>
          </w:tcPr>
          <w:p>
            <w:p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0.060</w:t>
            </w:r>
          </w:p>
        </w:tc>
        <w:tc>
          <w:tcPr>
            <w:tcW w:w="1667" w:type="dxa"/>
            <w:vAlign w:val="center"/>
          </w:tcPr>
          <w:p>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napToGrid w:val="0"/>
                <w:color w:val="auto"/>
                <w:kern w:val="21"/>
                <w:sz w:val="21"/>
                <w:szCs w:val="21"/>
                <w:highlight w:val="none"/>
              </w:rPr>
              <w:t>/</w:t>
            </w:r>
          </w:p>
        </w:tc>
        <w:tc>
          <w:tcPr>
            <w:tcW w:w="1917" w:type="dxa"/>
            <w:vAlign w:val="center"/>
          </w:tcPr>
          <w:p>
            <w:p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0.060</w:t>
            </w:r>
          </w:p>
        </w:tc>
        <w:tc>
          <w:tcPr>
            <w:tcW w:w="1743" w:type="dxa"/>
            <w:vAlign w:val="center"/>
          </w:tcPr>
          <w:p>
            <w:pPr>
              <w:ind w:left="0" w:leftChars="0"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snapToGrid w:val="0"/>
                <w:color w:val="auto"/>
                <w:kern w:val="21"/>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61" w:type="dxa"/>
            <w:vMerge w:val="restart"/>
            <w:vAlign w:val="center"/>
          </w:tcPr>
          <w:p>
            <w:pPr>
              <w:pStyle w:val="62"/>
              <w:spacing w:beforeLines="0" w:afterLines="0" w:line="240" w:lineRule="auto"/>
              <w:ind w:left="0" w:leftChars="0" w:firstLine="0" w:firstLineChars="0"/>
              <w:jc w:val="both"/>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一</w:t>
            </w:r>
            <w:r>
              <w:rPr>
                <w:rFonts w:hint="eastAsia" w:ascii="宋体" w:hAnsi="宋体" w:eastAsia="宋体" w:cs="宋体"/>
                <w:snapToGrid w:val="0"/>
                <w:color w:val="auto"/>
                <w:kern w:val="21"/>
                <w:sz w:val="21"/>
                <w:szCs w:val="21"/>
                <w:highlight w:val="none"/>
              </w:rPr>
              <w:t>般工业固体废物</w:t>
            </w:r>
          </w:p>
        </w:tc>
        <w:tc>
          <w:tcPr>
            <w:tcW w:w="1517" w:type="dxa"/>
            <w:vAlign w:val="center"/>
          </w:tcPr>
          <w:p>
            <w:pPr>
              <w:topLinePunct/>
              <w:adjustRightInd w:val="0"/>
              <w:snapToGrid w:val="0"/>
              <w:spacing w:line="0" w:lineRule="atLeast"/>
              <w:ind w:left="0" w:leftChars="0"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废包装材料</w:t>
            </w:r>
          </w:p>
        </w:tc>
        <w:tc>
          <w:tcPr>
            <w:tcW w:w="1367"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w:t>
            </w:r>
          </w:p>
        </w:tc>
        <w:tc>
          <w:tcPr>
            <w:tcW w:w="1216" w:type="dxa"/>
            <w:vAlign w:val="center"/>
          </w:tcPr>
          <w:p>
            <w:pPr>
              <w:pStyle w:val="62"/>
              <w:spacing w:beforeLines="0" w:afterLines="0" w:line="240" w:lineRule="auto"/>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w:t>
            </w:r>
          </w:p>
        </w:tc>
        <w:tc>
          <w:tcPr>
            <w:tcW w:w="1584" w:type="dxa"/>
            <w:vAlign w:val="center"/>
          </w:tcPr>
          <w:p>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snapToGrid w:val="0"/>
                <w:color w:val="auto"/>
                <w:kern w:val="21"/>
                <w:sz w:val="21"/>
                <w:szCs w:val="21"/>
                <w:highlight w:val="none"/>
              </w:rPr>
              <w:t>/</w:t>
            </w:r>
          </w:p>
        </w:tc>
        <w:tc>
          <w:tcPr>
            <w:tcW w:w="1716"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2.0</w:t>
            </w:r>
          </w:p>
        </w:tc>
        <w:tc>
          <w:tcPr>
            <w:tcW w:w="1667" w:type="dxa"/>
            <w:vAlign w:val="center"/>
          </w:tcPr>
          <w:p>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napToGrid w:val="0"/>
                <w:color w:val="auto"/>
                <w:kern w:val="21"/>
                <w:sz w:val="21"/>
                <w:szCs w:val="21"/>
                <w:highlight w:val="none"/>
              </w:rPr>
              <w:t>/</w:t>
            </w:r>
          </w:p>
        </w:tc>
        <w:tc>
          <w:tcPr>
            <w:tcW w:w="1917"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2.0</w:t>
            </w:r>
          </w:p>
        </w:tc>
        <w:tc>
          <w:tcPr>
            <w:tcW w:w="1743" w:type="dxa"/>
            <w:vAlign w:val="center"/>
          </w:tcPr>
          <w:p>
            <w:pPr>
              <w:ind w:left="0" w:leftChars="0"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snapToGrid w:val="0"/>
                <w:color w:val="auto"/>
                <w:kern w:val="21"/>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61" w:type="dxa"/>
            <w:vMerge w:val="continue"/>
            <w:vAlign w:val="center"/>
          </w:tcPr>
          <w:p>
            <w:pPr>
              <w:pStyle w:val="62"/>
              <w:spacing w:beforeLines="0" w:afterLines="0" w:line="240" w:lineRule="auto"/>
              <w:jc w:val="center"/>
              <w:rPr>
                <w:rFonts w:hint="eastAsia" w:ascii="宋体" w:hAnsi="宋体" w:eastAsia="宋体" w:cs="宋体"/>
                <w:snapToGrid w:val="0"/>
                <w:color w:val="auto"/>
                <w:kern w:val="21"/>
                <w:sz w:val="21"/>
                <w:szCs w:val="21"/>
                <w:highlight w:val="none"/>
              </w:rPr>
            </w:pPr>
          </w:p>
        </w:tc>
        <w:tc>
          <w:tcPr>
            <w:tcW w:w="1517" w:type="dxa"/>
            <w:vAlign w:val="center"/>
          </w:tcPr>
          <w:p>
            <w:pPr>
              <w:topLinePunct/>
              <w:adjustRightInd w:val="0"/>
              <w:snapToGrid w:val="0"/>
              <w:spacing w:line="0" w:lineRule="atLeast"/>
              <w:ind w:left="0" w:leftChars="0"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废中药渣</w:t>
            </w:r>
          </w:p>
        </w:tc>
        <w:tc>
          <w:tcPr>
            <w:tcW w:w="1367"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w:t>
            </w:r>
          </w:p>
        </w:tc>
        <w:tc>
          <w:tcPr>
            <w:tcW w:w="1216" w:type="dxa"/>
            <w:vAlign w:val="center"/>
          </w:tcPr>
          <w:p>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snapToGrid w:val="0"/>
                <w:color w:val="auto"/>
                <w:kern w:val="21"/>
                <w:sz w:val="21"/>
                <w:szCs w:val="21"/>
                <w:highlight w:val="none"/>
              </w:rPr>
              <w:t>/</w:t>
            </w:r>
          </w:p>
        </w:tc>
        <w:tc>
          <w:tcPr>
            <w:tcW w:w="1584" w:type="dxa"/>
            <w:vAlign w:val="center"/>
          </w:tcPr>
          <w:p>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snapToGrid w:val="0"/>
                <w:color w:val="auto"/>
                <w:kern w:val="21"/>
                <w:sz w:val="21"/>
                <w:szCs w:val="21"/>
                <w:highlight w:val="none"/>
              </w:rPr>
              <w:t>/</w:t>
            </w:r>
          </w:p>
        </w:tc>
        <w:tc>
          <w:tcPr>
            <w:tcW w:w="1716"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2.5</w:t>
            </w:r>
          </w:p>
        </w:tc>
        <w:tc>
          <w:tcPr>
            <w:tcW w:w="1667" w:type="dxa"/>
            <w:vAlign w:val="center"/>
          </w:tcPr>
          <w:p>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napToGrid w:val="0"/>
                <w:color w:val="auto"/>
                <w:kern w:val="21"/>
                <w:sz w:val="21"/>
                <w:szCs w:val="21"/>
                <w:highlight w:val="none"/>
              </w:rPr>
              <w:t>/</w:t>
            </w:r>
          </w:p>
        </w:tc>
        <w:tc>
          <w:tcPr>
            <w:tcW w:w="1917"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2.5</w:t>
            </w:r>
          </w:p>
        </w:tc>
        <w:tc>
          <w:tcPr>
            <w:tcW w:w="1743" w:type="dxa"/>
            <w:vAlign w:val="center"/>
          </w:tcPr>
          <w:p>
            <w:pPr>
              <w:ind w:left="0" w:leftChars="0"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snapToGrid w:val="0"/>
                <w:color w:val="auto"/>
                <w:kern w:val="21"/>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61" w:type="dxa"/>
            <w:vMerge w:val="continue"/>
            <w:vAlign w:val="center"/>
          </w:tcPr>
          <w:p>
            <w:pPr>
              <w:pStyle w:val="62"/>
              <w:spacing w:beforeLines="0" w:afterLines="0" w:line="240" w:lineRule="auto"/>
              <w:jc w:val="center"/>
              <w:rPr>
                <w:rFonts w:hint="eastAsia" w:ascii="宋体" w:hAnsi="宋体" w:eastAsia="宋体" w:cs="宋体"/>
                <w:snapToGrid w:val="0"/>
                <w:color w:val="auto"/>
                <w:kern w:val="21"/>
                <w:sz w:val="21"/>
                <w:szCs w:val="21"/>
                <w:highlight w:val="none"/>
              </w:rPr>
            </w:pPr>
          </w:p>
        </w:tc>
        <w:tc>
          <w:tcPr>
            <w:tcW w:w="1517" w:type="dxa"/>
            <w:vAlign w:val="center"/>
          </w:tcPr>
          <w:p>
            <w:pPr>
              <w:topLinePunct/>
              <w:adjustRightInd w:val="0"/>
              <w:snapToGrid w:val="0"/>
              <w:spacing w:line="0" w:lineRule="atLeast"/>
              <w:ind w:left="0" w:leftChars="0" w:firstLine="0" w:firstLineChars="0"/>
              <w:jc w:val="center"/>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废树脂</w:t>
            </w:r>
          </w:p>
        </w:tc>
        <w:tc>
          <w:tcPr>
            <w:tcW w:w="1367"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cs="宋体"/>
                <w:snapToGrid w:val="0"/>
                <w:color w:val="auto"/>
                <w:kern w:val="21"/>
                <w:sz w:val="21"/>
                <w:szCs w:val="21"/>
                <w:highlight w:val="none"/>
                <w:lang w:val="en-US" w:eastAsia="zh-CN"/>
              </w:rPr>
              <w:t>/</w:t>
            </w:r>
          </w:p>
        </w:tc>
        <w:tc>
          <w:tcPr>
            <w:tcW w:w="1216"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cs="宋体"/>
                <w:snapToGrid w:val="0"/>
                <w:color w:val="auto"/>
                <w:kern w:val="21"/>
                <w:sz w:val="21"/>
                <w:szCs w:val="21"/>
                <w:highlight w:val="none"/>
                <w:lang w:val="en-US" w:eastAsia="zh-CN"/>
              </w:rPr>
              <w:t>/</w:t>
            </w:r>
          </w:p>
        </w:tc>
        <w:tc>
          <w:tcPr>
            <w:tcW w:w="1584"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cs="宋体"/>
                <w:snapToGrid w:val="0"/>
                <w:color w:val="auto"/>
                <w:kern w:val="21"/>
                <w:sz w:val="21"/>
                <w:szCs w:val="21"/>
                <w:highlight w:val="none"/>
                <w:lang w:val="en-US" w:eastAsia="zh-CN"/>
              </w:rPr>
              <w:t>/</w:t>
            </w:r>
          </w:p>
        </w:tc>
        <w:tc>
          <w:tcPr>
            <w:tcW w:w="1716"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0.10</w:t>
            </w:r>
          </w:p>
        </w:tc>
        <w:tc>
          <w:tcPr>
            <w:tcW w:w="1667"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cs="宋体"/>
                <w:color w:val="auto"/>
                <w:sz w:val="21"/>
                <w:szCs w:val="21"/>
                <w:highlight w:val="none"/>
                <w:lang w:val="en-US" w:eastAsia="zh-CN"/>
              </w:rPr>
              <w:t>/</w:t>
            </w:r>
          </w:p>
        </w:tc>
        <w:tc>
          <w:tcPr>
            <w:tcW w:w="1917"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0.10</w:t>
            </w:r>
          </w:p>
        </w:tc>
        <w:tc>
          <w:tcPr>
            <w:tcW w:w="1743" w:type="dxa"/>
            <w:vAlign w:val="center"/>
          </w:tcPr>
          <w:p>
            <w:pPr>
              <w:ind w:left="0" w:leftChars="0" w:firstLine="0" w:firstLineChars="0"/>
              <w:jc w:val="center"/>
              <w:rPr>
                <w:rFonts w:hint="default" w:ascii="宋体" w:hAnsi="宋体" w:eastAsia="宋体" w:cs="宋体"/>
                <w:snapToGrid w:val="0"/>
                <w:color w:val="auto"/>
                <w:kern w:val="21"/>
                <w:sz w:val="21"/>
                <w:szCs w:val="21"/>
                <w:highlight w:val="none"/>
                <w:lang w:val="en-US" w:eastAsia="zh-CN" w:bidi="ar-SA"/>
              </w:rPr>
            </w:pPr>
            <w:r>
              <w:rPr>
                <w:rFonts w:hint="eastAsia" w:ascii="宋体" w:hAnsi="宋体" w:cs="宋体"/>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61" w:type="dxa"/>
            <w:vMerge w:val="restart"/>
            <w:vAlign w:val="center"/>
          </w:tcPr>
          <w:p>
            <w:pPr>
              <w:pStyle w:val="62"/>
              <w:spacing w:beforeLines="0" w:afterLines="0" w:line="240" w:lineRule="auto"/>
              <w:ind w:left="0" w:leftChars="0" w:firstLine="0" w:firstLineChars="0"/>
              <w:jc w:val="both"/>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危险废物</w:t>
            </w:r>
          </w:p>
        </w:tc>
        <w:tc>
          <w:tcPr>
            <w:tcW w:w="1517" w:type="dxa"/>
            <w:vAlign w:val="center"/>
          </w:tcPr>
          <w:p>
            <w:pPr>
              <w:keepNext w:val="0"/>
              <w:keepLines w:val="0"/>
              <w:widowControl/>
              <w:suppressLineNumbers w:val="0"/>
              <w:ind w:left="0" w:leftChars="0" w:firstLine="210" w:firstLineChars="100"/>
              <w:jc w:val="center"/>
              <w:rPr>
                <w:rFonts w:hint="default" w:ascii="宋体" w:hAnsi="宋体" w:eastAsia="宋体" w:cs="宋体"/>
                <w:color w:val="auto"/>
                <w:kern w:val="0"/>
                <w:sz w:val="21"/>
                <w:szCs w:val="21"/>
                <w:highlight w:val="none"/>
                <w:lang w:val="en-US" w:eastAsia="zh-CN" w:bidi="ar"/>
              </w:rPr>
            </w:pPr>
            <w:r>
              <w:rPr>
                <w:rFonts w:hint="eastAsia" w:cs="Times New Roman"/>
                <w:color w:val="auto"/>
                <w:sz w:val="21"/>
                <w:szCs w:val="21"/>
                <w:highlight w:val="none"/>
                <w:lang w:val="en-US" w:eastAsia="zh-CN"/>
              </w:rPr>
              <w:t>医疗废物</w:t>
            </w:r>
          </w:p>
        </w:tc>
        <w:tc>
          <w:tcPr>
            <w:tcW w:w="1367" w:type="dxa"/>
            <w:vAlign w:val="center"/>
          </w:tcPr>
          <w:p>
            <w:pPr>
              <w:spacing w:after="0" w:line="240" w:lineRule="atLeast"/>
              <w:ind w:left="0" w:leftChars="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snapToGrid w:val="0"/>
                <w:color w:val="auto"/>
                <w:kern w:val="21"/>
                <w:sz w:val="21"/>
                <w:szCs w:val="21"/>
                <w:highlight w:val="none"/>
              </w:rPr>
              <w:t>/</w:t>
            </w:r>
          </w:p>
        </w:tc>
        <w:tc>
          <w:tcPr>
            <w:tcW w:w="1216" w:type="dxa"/>
            <w:vAlign w:val="center"/>
          </w:tcPr>
          <w:p>
            <w:pPr>
              <w:pStyle w:val="62"/>
              <w:spacing w:beforeLines="0" w:afterLines="0" w:line="240" w:lineRule="auto"/>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w:t>
            </w:r>
          </w:p>
        </w:tc>
        <w:tc>
          <w:tcPr>
            <w:tcW w:w="1584" w:type="dxa"/>
            <w:vAlign w:val="center"/>
          </w:tcPr>
          <w:p>
            <w:pPr>
              <w:pStyle w:val="62"/>
              <w:spacing w:beforeLines="0" w:afterLines="0" w:line="240" w:lineRule="auto"/>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w:t>
            </w:r>
          </w:p>
        </w:tc>
        <w:tc>
          <w:tcPr>
            <w:tcW w:w="1716"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11.4245</w:t>
            </w:r>
          </w:p>
        </w:tc>
        <w:tc>
          <w:tcPr>
            <w:tcW w:w="1667" w:type="dxa"/>
            <w:vAlign w:val="center"/>
          </w:tcPr>
          <w:p>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w:t>
            </w:r>
          </w:p>
        </w:tc>
        <w:tc>
          <w:tcPr>
            <w:tcW w:w="1917"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11.4245</w:t>
            </w:r>
          </w:p>
        </w:tc>
        <w:tc>
          <w:tcPr>
            <w:tcW w:w="1743" w:type="dxa"/>
            <w:vAlign w:val="center"/>
          </w:tcPr>
          <w:p>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61" w:type="dxa"/>
            <w:vMerge w:val="continue"/>
            <w:vAlign w:val="center"/>
          </w:tcPr>
          <w:p>
            <w:pPr>
              <w:pStyle w:val="62"/>
              <w:spacing w:beforeLines="0" w:afterLines="0" w:line="240" w:lineRule="auto"/>
              <w:ind w:left="0" w:leftChars="0" w:firstLine="0" w:firstLineChars="0"/>
              <w:jc w:val="both"/>
              <w:rPr>
                <w:rFonts w:hint="eastAsia" w:ascii="宋体" w:hAnsi="宋体" w:eastAsia="宋体" w:cs="宋体"/>
                <w:snapToGrid w:val="0"/>
                <w:color w:val="auto"/>
                <w:kern w:val="21"/>
                <w:sz w:val="21"/>
                <w:szCs w:val="21"/>
                <w:highlight w:val="none"/>
              </w:rPr>
            </w:pPr>
          </w:p>
        </w:tc>
        <w:tc>
          <w:tcPr>
            <w:tcW w:w="1517" w:type="dxa"/>
            <w:vAlign w:val="center"/>
          </w:tcPr>
          <w:p>
            <w:pPr>
              <w:keepNext w:val="0"/>
              <w:keepLines w:val="0"/>
              <w:widowControl/>
              <w:suppressLineNumbers w:val="0"/>
              <w:ind w:left="0" w:leftChars="0" w:firstLine="210" w:firstLineChars="100"/>
              <w:jc w:val="center"/>
              <w:rPr>
                <w:rFonts w:hint="default" w:ascii="宋体" w:hAnsi="宋体" w:eastAsia="宋体" w:cs="宋体"/>
                <w:color w:val="auto"/>
                <w:kern w:val="0"/>
                <w:sz w:val="21"/>
                <w:szCs w:val="21"/>
                <w:highlight w:val="none"/>
                <w:lang w:val="en-US" w:eastAsia="zh-CN" w:bidi="ar"/>
              </w:rPr>
            </w:pPr>
            <w:r>
              <w:rPr>
                <w:rFonts w:hint="eastAsia" w:cs="Times New Roman"/>
                <w:color w:val="auto"/>
                <w:sz w:val="21"/>
                <w:szCs w:val="21"/>
                <w:highlight w:val="none"/>
                <w:lang w:val="en-US" w:eastAsia="zh-CN"/>
              </w:rPr>
              <w:t>废活性炭</w:t>
            </w:r>
          </w:p>
        </w:tc>
        <w:tc>
          <w:tcPr>
            <w:tcW w:w="1367" w:type="dxa"/>
            <w:vAlign w:val="center"/>
          </w:tcPr>
          <w:p>
            <w:pPr>
              <w:ind w:left="0" w:leftChars="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snapToGrid w:val="0"/>
                <w:color w:val="auto"/>
                <w:kern w:val="21"/>
                <w:sz w:val="21"/>
                <w:szCs w:val="21"/>
                <w:highlight w:val="none"/>
              </w:rPr>
              <w:t>/</w:t>
            </w:r>
          </w:p>
        </w:tc>
        <w:tc>
          <w:tcPr>
            <w:tcW w:w="1216"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w:t>
            </w:r>
          </w:p>
        </w:tc>
        <w:tc>
          <w:tcPr>
            <w:tcW w:w="1584"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w:t>
            </w:r>
          </w:p>
        </w:tc>
        <w:tc>
          <w:tcPr>
            <w:tcW w:w="1716"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w:t>
            </w:r>
          </w:p>
        </w:tc>
        <w:tc>
          <w:tcPr>
            <w:tcW w:w="1667" w:type="dxa"/>
            <w:vAlign w:val="center"/>
          </w:tcPr>
          <w:p>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w:t>
            </w:r>
          </w:p>
        </w:tc>
        <w:tc>
          <w:tcPr>
            <w:tcW w:w="1917"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w:t>
            </w:r>
          </w:p>
        </w:tc>
        <w:tc>
          <w:tcPr>
            <w:tcW w:w="1743" w:type="dxa"/>
            <w:vAlign w:val="center"/>
          </w:tcPr>
          <w:p>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61" w:type="dxa"/>
            <w:vMerge w:val="continue"/>
            <w:vAlign w:val="center"/>
          </w:tcPr>
          <w:p>
            <w:pPr>
              <w:pStyle w:val="62"/>
              <w:spacing w:beforeLines="0" w:afterLines="0" w:line="240" w:lineRule="auto"/>
              <w:ind w:left="0" w:leftChars="0" w:firstLine="0" w:firstLineChars="0"/>
              <w:jc w:val="both"/>
              <w:rPr>
                <w:rFonts w:hint="eastAsia" w:ascii="宋体" w:hAnsi="宋体" w:eastAsia="宋体" w:cs="宋体"/>
                <w:snapToGrid w:val="0"/>
                <w:color w:val="auto"/>
                <w:kern w:val="21"/>
                <w:sz w:val="21"/>
                <w:szCs w:val="21"/>
                <w:highlight w:val="none"/>
              </w:rPr>
            </w:pPr>
          </w:p>
        </w:tc>
        <w:tc>
          <w:tcPr>
            <w:tcW w:w="1517" w:type="dxa"/>
            <w:vAlign w:val="center"/>
          </w:tcPr>
          <w:p>
            <w:pPr>
              <w:keepNext w:val="0"/>
              <w:keepLines w:val="0"/>
              <w:widowControl/>
              <w:suppressLineNumbers w:val="0"/>
              <w:ind w:left="0" w:leftChars="0" w:firstLine="210" w:firstLineChars="100"/>
              <w:jc w:val="center"/>
              <w:rPr>
                <w:rFonts w:hint="default" w:ascii="宋体" w:hAnsi="宋体" w:eastAsia="宋体" w:cs="宋体"/>
                <w:b w:val="0"/>
                <w:snapToGrid w:val="0"/>
                <w:color w:val="auto"/>
                <w:kern w:val="44"/>
                <w:sz w:val="21"/>
                <w:szCs w:val="21"/>
                <w:highlight w:val="none"/>
                <w:lang w:val="en-US" w:eastAsia="zh-CN" w:bidi="ar-SA"/>
              </w:rPr>
            </w:pPr>
            <w:r>
              <w:rPr>
                <w:rFonts w:hint="eastAsia" w:cs="Times New Roman"/>
                <w:color w:val="auto"/>
                <w:sz w:val="21"/>
                <w:szCs w:val="21"/>
                <w:highlight w:val="none"/>
                <w:lang w:val="en-US" w:eastAsia="zh-CN"/>
              </w:rPr>
              <w:t>废UV灯管</w:t>
            </w:r>
          </w:p>
        </w:tc>
        <w:tc>
          <w:tcPr>
            <w:tcW w:w="1367" w:type="dxa"/>
            <w:vAlign w:val="center"/>
          </w:tcPr>
          <w:p>
            <w:pPr>
              <w:ind w:left="0" w:leftChars="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snapToGrid w:val="0"/>
                <w:color w:val="auto"/>
                <w:kern w:val="21"/>
                <w:sz w:val="21"/>
                <w:szCs w:val="21"/>
                <w:highlight w:val="none"/>
              </w:rPr>
              <w:t>/</w:t>
            </w:r>
          </w:p>
        </w:tc>
        <w:tc>
          <w:tcPr>
            <w:tcW w:w="1216" w:type="dxa"/>
            <w:vAlign w:val="center"/>
          </w:tcPr>
          <w:p>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snapToGrid w:val="0"/>
                <w:color w:val="auto"/>
                <w:kern w:val="21"/>
                <w:sz w:val="21"/>
                <w:szCs w:val="21"/>
                <w:highlight w:val="none"/>
              </w:rPr>
              <w:t>/</w:t>
            </w:r>
          </w:p>
        </w:tc>
        <w:tc>
          <w:tcPr>
            <w:tcW w:w="1584" w:type="dxa"/>
            <w:vAlign w:val="center"/>
          </w:tcPr>
          <w:p>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snapToGrid w:val="0"/>
                <w:color w:val="auto"/>
                <w:kern w:val="21"/>
                <w:sz w:val="21"/>
                <w:szCs w:val="21"/>
                <w:highlight w:val="none"/>
              </w:rPr>
              <w:t>/</w:t>
            </w:r>
          </w:p>
        </w:tc>
        <w:tc>
          <w:tcPr>
            <w:tcW w:w="1716"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0.01</w:t>
            </w:r>
          </w:p>
        </w:tc>
        <w:tc>
          <w:tcPr>
            <w:tcW w:w="1667" w:type="dxa"/>
            <w:vAlign w:val="center"/>
          </w:tcPr>
          <w:p>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w:t>
            </w:r>
          </w:p>
        </w:tc>
        <w:tc>
          <w:tcPr>
            <w:tcW w:w="1917"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0.01</w:t>
            </w:r>
          </w:p>
        </w:tc>
        <w:tc>
          <w:tcPr>
            <w:tcW w:w="1743" w:type="dxa"/>
            <w:vAlign w:val="center"/>
          </w:tcPr>
          <w:p>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61" w:type="dxa"/>
            <w:vMerge w:val="continue"/>
            <w:vAlign w:val="center"/>
          </w:tcPr>
          <w:p>
            <w:pPr>
              <w:pStyle w:val="62"/>
              <w:spacing w:beforeLines="0" w:afterLines="0" w:line="240" w:lineRule="auto"/>
              <w:ind w:left="0" w:leftChars="0" w:firstLine="0" w:firstLineChars="0"/>
              <w:jc w:val="both"/>
              <w:rPr>
                <w:rFonts w:hint="eastAsia" w:ascii="宋体" w:hAnsi="宋体" w:eastAsia="宋体" w:cs="宋体"/>
                <w:snapToGrid w:val="0"/>
                <w:color w:val="auto"/>
                <w:kern w:val="21"/>
                <w:sz w:val="21"/>
                <w:szCs w:val="21"/>
                <w:highlight w:val="none"/>
              </w:rPr>
            </w:pPr>
          </w:p>
        </w:tc>
        <w:tc>
          <w:tcPr>
            <w:tcW w:w="1517" w:type="dxa"/>
            <w:vAlign w:val="center"/>
          </w:tcPr>
          <w:p>
            <w:pPr>
              <w:keepNext w:val="0"/>
              <w:keepLines w:val="0"/>
              <w:widowControl/>
              <w:suppressLineNumbers w:val="0"/>
              <w:ind w:left="0" w:leftChars="0" w:firstLine="0" w:firstLine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sz w:val="21"/>
                <w:szCs w:val="21"/>
                <w:highlight w:val="none"/>
                <w:lang w:val="en-US" w:eastAsia="zh-CN" w:bidi="ar-SA"/>
              </w:rPr>
              <w:t>废水处理设施污泥</w:t>
            </w:r>
          </w:p>
        </w:tc>
        <w:tc>
          <w:tcPr>
            <w:tcW w:w="1367" w:type="dxa"/>
            <w:vAlign w:val="center"/>
          </w:tcPr>
          <w:p>
            <w:pPr>
              <w:ind w:left="0" w:leftChars="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snapToGrid w:val="0"/>
                <w:color w:val="auto"/>
                <w:kern w:val="21"/>
                <w:sz w:val="21"/>
                <w:szCs w:val="21"/>
                <w:highlight w:val="none"/>
              </w:rPr>
              <w:t>/</w:t>
            </w:r>
          </w:p>
        </w:tc>
        <w:tc>
          <w:tcPr>
            <w:tcW w:w="1216"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w:t>
            </w:r>
          </w:p>
        </w:tc>
        <w:tc>
          <w:tcPr>
            <w:tcW w:w="1584"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w:t>
            </w:r>
          </w:p>
        </w:tc>
        <w:tc>
          <w:tcPr>
            <w:tcW w:w="1716"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4.763</w:t>
            </w:r>
          </w:p>
        </w:tc>
        <w:tc>
          <w:tcPr>
            <w:tcW w:w="1667"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cs="宋体"/>
                <w:color w:val="auto"/>
                <w:sz w:val="21"/>
                <w:szCs w:val="21"/>
                <w:highlight w:val="none"/>
                <w:lang w:val="en-US" w:eastAsia="zh-CN"/>
              </w:rPr>
              <w:t>/</w:t>
            </w:r>
          </w:p>
        </w:tc>
        <w:tc>
          <w:tcPr>
            <w:tcW w:w="1917"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4.763</w:t>
            </w:r>
          </w:p>
        </w:tc>
        <w:tc>
          <w:tcPr>
            <w:tcW w:w="1743"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cs="宋体"/>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61" w:type="dxa"/>
            <w:vMerge w:val="continue"/>
            <w:vAlign w:val="center"/>
          </w:tcPr>
          <w:p>
            <w:pPr>
              <w:pStyle w:val="62"/>
              <w:spacing w:beforeLines="0" w:afterLines="0" w:line="240" w:lineRule="auto"/>
              <w:ind w:left="0" w:leftChars="0" w:firstLine="0" w:firstLineChars="0"/>
              <w:jc w:val="both"/>
              <w:rPr>
                <w:rFonts w:hint="eastAsia" w:ascii="宋体" w:hAnsi="宋体" w:eastAsia="宋体" w:cs="宋体"/>
                <w:snapToGrid w:val="0"/>
                <w:color w:val="auto"/>
                <w:kern w:val="21"/>
                <w:sz w:val="21"/>
                <w:szCs w:val="21"/>
                <w:highlight w:val="none"/>
              </w:rPr>
            </w:pPr>
          </w:p>
        </w:tc>
        <w:tc>
          <w:tcPr>
            <w:tcW w:w="1517"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sz w:val="21"/>
                <w:szCs w:val="21"/>
                <w:highlight w:val="none"/>
                <w:lang w:val="en-US" w:eastAsia="zh-CN" w:bidi="ar-SA"/>
              </w:rPr>
              <w:t>检验废液</w:t>
            </w:r>
          </w:p>
        </w:tc>
        <w:tc>
          <w:tcPr>
            <w:tcW w:w="1367" w:type="dxa"/>
            <w:vAlign w:val="center"/>
          </w:tcPr>
          <w:p>
            <w:pPr>
              <w:ind w:left="0" w:leftChars="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snapToGrid w:val="0"/>
                <w:color w:val="auto"/>
                <w:kern w:val="21"/>
                <w:sz w:val="21"/>
                <w:szCs w:val="21"/>
                <w:highlight w:val="none"/>
              </w:rPr>
              <w:t>/</w:t>
            </w:r>
          </w:p>
        </w:tc>
        <w:tc>
          <w:tcPr>
            <w:tcW w:w="1216"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w:t>
            </w:r>
          </w:p>
        </w:tc>
        <w:tc>
          <w:tcPr>
            <w:tcW w:w="1584"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w:t>
            </w:r>
          </w:p>
        </w:tc>
        <w:tc>
          <w:tcPr>
            <w:tcW w:w="1716"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15</w:t>
            </w:r>
          </w:p>
        </w:tc>
        <w:tc>
          <w:tcPr>
            <w:tcW w:w="1667"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cs="宋体"/>
                <w:color w:val="auto"/>
                <w:sz w:val="21"/>
                <w:szCs w:val="21"/>
                <w:highlight w:val="none"/>
                <w:lang w:val="en-US" w:eastAsia="zh-CN"/>
              </w:rPr>
              <w:t>/</w:t>
            </w:r>
          </w:p>
        </w:tc>
        <w:tc>
          <w:tcPr>
            <w:tcW w:w="1917"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15</w:t>
            </w:r>
          </w:p>
        </w:tc>
        <w:tc>
          <w:tcPr>
            <w:tcW w:w="1743"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cs="宋体"/>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61" w:type="dxa"/>
            <w:vAlign w:val="center"/>
          </w:tcPr>
          <w:p>
            <w:pPr>
              <w:pStyle w:val="62"/>
              <w:spacing w:beforeLines="0" w:afterLines="0" w:line="240" w:lineRule="auto"/>
              <w:ind w:left="0" w:leftChars="0" w:firstLine="0" w:firstLineChars="0"/>
              <w:jc w:val="both"/>
              <w:rPr>
                <w:rFonts w:hint="default"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生活垃圾</w:t>
            </w:r>
          </w:p>
        </w:tc>
        <w:tc>
          <w:tcPr>
            <w:tcW w:w="1517" w:type="dxa"/>
            <w:vAlign w:val="center"/>
          </w:tcPr>
          <w:p>
            <w:pPr>
              <w:widowControl/>
              <w:ind w:left="0" w:leftChars="0" w:firstLine="0" w:firstLineChars="0"/>
              <w:jc w:val="center"/>
              <w:textAlignment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sz w:val="21"/>
                <w:szCs w:val="21"/>
                <w:highlight w:val="none"/>
                <w:lang w:val="en-US" w:eastAsia="zh-CN" w:bidi="ar-SA"/>
              </w:rPr>
              <w:t>生活垃圾</w:t>
            </w:r>
          </w:p>
        </w:tc>
        <w:tc>
          <w:tcPr>
            <w:tcW w:w="1367" w:type="dxa"/>
            <w:vAlign w:val="center"/>
          </w:tcPr>
          <w:p>
            <w:pPr>
              <w:ind w:left="0" w:leftChars="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snapToGrid w:val="0"/>
                <w:color w:val="auto"/>
                <w:kern w:val="21"/>
                <w:sz w:val="21"/>
                <w:szCs w:val="21"/>
                <w:highlight w:val="none"/>
              </w:rPr>
              <w:t>/</w:t>
            </w:r>
          </w:p>
        </w:tc>
        <w:tc>
          <w:tcPr>
            <w:tcW w:w="1216"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w:t>
            </w:r>
          </w:p>
        </w:tc>
        <w:tc>
          <w:tcPr>
            <w:tcW w:w="1584"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w:t>
            </w:r>
          </w:p>
        </w:tc>
        <w:tc>
          <w:tcPr>
            <w:tcW w:w="1716"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31.9375</w:t>
            </w:r>
          </w:p>
        </w:tc>
        <w:tc>
          <w:tcPr>
            <w:tcW w:w="1667"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cs="宋体"/>
                <w:color w:val="auto"/>
                <w:sz w:val="21"/>
                <w:szCs w:val="21"/>
                <w:highlight w:val="none"/>
                <w:lang w:val="en-US" w:eastAsia="zh-CN"/>
              </w:rPr>
              <w:t>/</w:t>
            </w:r>
          </w:p>
        </w:tc>
        <w:tc>
          <w:tcPr>
            <w:tcW w:w="1917"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31.9375</w:t>
            </w:r>
          </w:p>
        </w:tc>
        <w:tc>
          <w:tcPr>
            <w:tcW w:w="1743" w:type="dxa"/>
            <w:vAlign w:val="center"/>
          </w:tcPr>
          <w:p>
            <w:pPr>
              <w:ind w:left="0" w:leftChars="0" w:firstLine="0" w:firstLine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cs="宋体"/>
                <w:color w:val="auto"/>
                <w:sz w:val="21"/>
                <w:szCs w:val="21"/>
                <w:highlight w:val="none"/>
                <w:lang w:val="en-US" w:eastAsia="zh-CN"/>
              </w:rPr>
              <w:t>/</w:t>
            </w:r>
          </w:p>
        </w:tc>
      </w:tr>
    </w:tbl>
    <w:p>
      <w:pPr>
        <w:pStyle w:val="62"/>
        <w:spacing w:before="192" w:beforeLines="80" w:after="24"/>
        <w:jc w:val="left"/>
        <w:rPr>
          <w:rFonts w:ascii="Times New Roman"/>
          <w:snapToGrid w:val="0"/>
          <w:color w:val="auto"/>
          <w:spacing w:val="-6"/>
          <w:kern w:val="21"/>
          <w:szCs w:val="21"/>
          <w:highlight w:val="none"/>
        </w:rPr>
      </w:pPr>
      <w:r>
        <w:rPr>
          <w:rFonts w:ascii="Times New Roman"/>
          <w:snapToGrid w:val="0"/>
          <w:color w:val="auto"/>
          <w:kern w:val="21"/>
          <w:szCs w:val="21"/>
          <w:highlight w:val="none"/>
        </w:rPr>
        <w:t>注：</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hint="eastAsia" w:hAnsi="宋体" w:cs="宋体"/>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①</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3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③</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4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④</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5 \* GB3 \* MERGEFORMAT </w:instrText>
      </w:r>
      <w:r>
        <w:rPr>
          <w:rFonts w:ascii="Times New Roman"/>
          <w:snapToGrid w:val="0"/>
          <w:color w:val="auto"/>
          <w:spacing w:val="-16"/>
          <w:kern w:val="21"/>
          <w:szCs w:val="21"/>
          <w:highlight w:val="none"/>
        </w:rPr>
        <w:fldChar w:fldCharType="separate"/>
      </w:r>
      <w:r>
        <w:rPr>
          <w:rFonts w:hint="eastAsia" w:hAnsi="宋体" w:cs="宋体"/>
          <w:color w:val="auto"/>
          <w:szCs w:val="21"/>
          <w:highlight w:val="none"/>
        </w:rPr>
        <w:t>⑤</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7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⑦</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hint="eastAsia" w:hAnsi="宋体" w:cs="宋体"/>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①</w:t>
      </w:r>
      <w:r>
        <w:rPr>
          <w:rFonts w:ascii="Times New Roman"/>
          <w:snapToGrid w:val="0"/>
          <w:color w:val="auto"/>
          <w:spacing w:val="-6"/>
          <w:kern w:val="21"/>
          <w:szCs w:val="21"/>
          <w:highlight w:val="none"/>
        </w:rPr>
        <w:fldChar w:fldCharType="end"/>
      </w:r>
    </w:p>
    <w:sectPr>
      <w:footerReference r:id="rId6" w:type="default"/>
      <w:pgSz w:w="16838" w:h="11906" w:orient="landscape"/>
      <w:pgMar w:top="1531" w:right="1701" w:bottom="1531" w:left="1701" w:header="851" w:footer="850"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time new roman">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Dutch801 Rm BT">
    <w:altName w:val="Times New Roman"/>
    <w:panose1 w:val="02020603060505020304"/>
    <w:charset w:val="00"/>
    <w:family w:val="roman"/>
    <w:pitch w:val="default"/>
    <w:sig w:usb0="00000000" w:usb1="00000000" w:usb2="00000000" w:usb3="00000000" w:csb0="00000000"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2FF" w:usb1="42002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方正小标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Zk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j4BmRQCAAAVBAAADgAAAAAAAAAB&#10;ACAAAAAfAQAAZHJzL2Uyb0RvYy54bWxQSwUGAAAAAAYABgBZAQAApQU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63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E1FA6E"/>
    <w:multiLevelType w:val="singleLevel"/>
    <w:tmpl w:val="85E1FA6E"/>
    <w:lvl w:ilvl="0" w:tentative="0">
      <w:start w:val="1"/>
      <w:numFmt w:val="decimal"/>
      <w:suff w:val="nothing"/>
      <w:lvlText w:val="%1、"/>
      <w:lvlJc w:val="left"/>
    </w:lvl>
  </w:abstractNum>
  <w:abstractNum w:abstractNumId="1">
    <w:nsid w:val="E3F1BB57"/>
    <w:multiLevelType w:val="singleLevel"/>
    <w:tmpl w:val="E3F1BB57"/>
    <w:lvl w:ilvl="0" w:tentative="0">
      <w:start w:val="1"/>
      <w:numFmt w:val="decimal"/>
      <w:lvlText w:val="%1."/>
      <w:lvlJc w:val="left"/>
      <w:pPr>
        <w:ind w:left="425" w:hanging="425"/>
      </w:pPr>
      <w:rPr>
        <w:rFonts w:hint="default"/>
      </w:rPr>
    </w:lvl>
  </w:abstractNum>
  <w:abstractNum w:abstractNumId="2">
    <w:nsid w:val="30DF14F3"/>
    <w:multiLevelType w:val="singleLevel"/>
    <w:tmpl w:val="30DF14F3"/>
    <w:lvl w:ilvl="0" w:tentative="0">
      <w:start w:val="3"/>
      <w:numFmt w:val="decimal"/>
      <w:suff w:val="nothing"/>
      <w:lvlText w:val="（%1）"/>
      <w:lvlJc w:val="left"/>
    </w:lvl>
  </w:abstractNum>
  <w:abstractNum w:abstractNumId="3">
    <w:nsid w:val="3E7B9279"/>
    <w:multiLevelType w:val="singleLevel"/>
    <w:tmpl w:val="3E7B9279"/>
    <w:lvl w:ilvl="0" w:tentative="0">
      <w:start w:val="1"/>
      <w:numFmt w:val="decimal"/>
      <w:suff w:val="nothing"/>
      <w:lvlText w:val="%1、"/>
      <w:lvlJc w:val="left"/>
    </w:lvl>
  </w:abstractNum>
  <w:abstractNum w:abstractNumId="4">
    <w:nsid w:val="441E5CA8"/>
    <w:multiLevelType w:val="singleLevel"/>
    <w:tmpl w:val="441E5CA8"/>
    <w:lvl w:ilvl="0" w:tentative="0">
      <w:start w:val="2"/>
      <w:numFmt w:val="decimal"/>
      <w:suff w:val="nothing"/>
      <w:lvlText w:val="%1）"/>
      <w:lvlJc w:val="left"/>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MwZmNmODYxNjNiMDA1NmFjMWYwMWI4YzA2MTY0NmUifQ=="/>
  </w:docVars>
  <w:rsids>
    <w:rsidRoot w:val="00172A27"/>
    <w:rsid w:val="000060B3"/>
    <w:rsid w:val="000108AD"/>
    <w:rsid w:val="00017798"/>
    <w:rsid w:val="000209BE"/>
    <w:rsid w:val="00022671"/>
    <w:rsid w:val="000232E8"/>
    <w:rsid w:val="000324D0"/>
    <w:rsid w:val="000355F4"/>
    <w:rsid w:val="00036021"/>
    <w:rsid w:val="00042200"/>
    <w:rsid w:val="0004364B"/>
    <w:rsid w:val="00043A88"/>
    <w:rsid w:val="000506D4"/>
    <w:rsid w:val="00056D8A"/>
    <w:rsid w:val="0006071C"/>
    <w:rsid w:val="0006114F"/>
    <w:rsid w:val="00061B1F"/>
    <w:rsid w:val="000733C4"/>
    <w:rsid w:val="00074783"/>
    <w:rsid w:val="0008070B"/>
    <w:rsid w:val="000810AC"/>
    <w:rsid w:val="00081A02"/>
    <w:rsid w:val="000820B6"/>
    <w:rsid w:val="00082231"/>
    <w:rsid w:val="00087DB6"/>
    <w:rsid w:val="000900C4"/>
    <w:rsid w:val="000901EC"/>
    <w:rsid w:val="00091685"/>
    <w:rsid w:val="00092D38"/>
    <w:rsid w:val="0009377B"/>
    <w:rsid w:val="000A20C9"/>
    <w:rsid w:val="000B0514"/>
    <w:rsid w:val="000B058F"/>
    <w:rsid w:val="000B4467"/>
    <w:rsid w:val="000B4DB9"/>
    <w:rsid w:val="000C09AC"/>
    <w:rsid w:val="000C6BB9"/>
    <w:rsid w:val="000C767F"/>
    <w:rsid w:val="000D15F8"/>
    <w:rsid w:val="000D2AB1"/>
    <w:rsid w:val="000D5A44"/>
    <w:rsid w:val="000D6963"/>
    <w:rsid w:val="000E3ED2"/>
    <w:rsid w:val="000E57E0"/>
    <w:rsid w:val="000F41FF"/>
    <w:rsid w:val="0010217D"/>
    <w:rsid w:val="00111678"/>
    <w:rsid w:val="00124DD5"/>
    <w:rsid w:val="00130B9F"/>
    <w:rsid w:val="00131F42"/>
    <w:rsid w:val="0013398E"/>
    <w:rsid w:val="00133BF3"/>
    <w:rsid w:val="001357F1"/>
    <w:rsid w:val="00136FC5"/>
    <w:rsid w:val="00140FA8"/>
    <w:rsid w:val="0014137C"/>
    <w:rsid w:val="00142FEB"/>
    <w:rsid w:val="00143A2D"/>
    <w:rsid w:val="00145A41"/>
    <w:rsid w:val="00151675"/>
    <w:rsid w:val="00152969"/>
    <w:rsid w:val="001563AA"/>
    <w:rsid w:val="001570EE"/>
    <w:rsid w:val="00157435"/>
    <w:rsid w:val="00161431"/>
    <w:rsid w:val="001663D2"/>
    <w:rsid w:val="00170EF1"/>
    <w:rsid w:val="0017429B"/>
    <w:rsid w:val="0017504D"/>
    <w:rsid w:val="0017671A"/>
    <w:rsid w:val="00177422"/>
    <w:rsid w:val="00182990"/>
    <w:rsid w:val="00184590"/>
    <w:rsid w:val="001870D1"/>
    <w:rsid w:val="0018781E"/>
    <w:rsid w:val="001916F1"/>
    <w:rsid w:val="0019262D"/>
    <w:rsid w:val="001A0A8E"/>
    <w:rsid w:val="001A1B35"/>
    <w:rsid w:val="001A48A2"/>
    <w:rsid w:val="001A6F61"/>
    <w:rsid w:val="001B29A4"/>
    <w:rsid w:val="001B62F4"/>
    <w:rsid w:val="001B72B8"/>
    <w:rsid w:val="001C24CB"/>
    <w:rsid w:val="001C69B3"/>
    <w:rsid w:val="001C753E"/>
    <w:rsid w:val="001D3A4B"/>
    <w:rsid w:val="001D5595"/>
    <w:rsid w:val="001D7874"/>
    <w:rsid w:val="001D7A72"/>
    <w:rsid w:val="001D7EBA"/>
    <w:rsid w:val="001D7F22"/>
    <w:rsid w:val="001E0201"/>
    <w:rsid w:val="001E3C81"/>
    <w:rsid w:val="001E59D3"/>
    <w:rsid w:val="001E681C"/>
    <w:rsid w:val="001F0F17"/>
    <w:rsid w:val="001F3347"/>
    <w:rsid w:val="001F69E4"/>
    <w:rsid w:val="001F6C90"/>
    <w:rsid w:val="002125B4"/>
    <w:rsid w:val="002155B8"/>
    <w:rsid w:val="002222A8"/>
    <w:rsid w:val="00224749"/>
    <w:rsid w:val="00224839"/>
    <w:rsid w:val="002249B2"/>
    <w:rsid w:val="00224CA8"/>
    <w:rsid w:val="00226555"/>
    <w:rsid w:val="00226574"/>
    <w:rsid w:val="002278EC"/>
    <w:rsid w:val="0023280E"/>
    <w:rsid w:val="002377D1"/>
    <w:rsid w:val="00237D0D"/>
    <w:rsid w:val="00244737"/>
    <w:rsid w:val="002460DD"/>
    <w:rsid w:val="002506BC"/>
    <w:rsid w:val="00254345"/>
    <w:rsid w:val="002573BD"/>
    <w:rsid w:val="00264557"/>
    <w:rsid w:val="002729EF"/>
    <w:rsid w:val="00275876"/>
    <w:rsid w:val="002805AB"/>
    <w:rsid w:val="00282F81"/>
    <w:rsid w:val="00284204"/>
    <w:rsid w:val="00284E75"/>
    <w:rsid w:val="00287B9B"/>
    <w:rsid w:val="00290FFA"/>
    <w:rsid w:val="00291773"/>
    <w:rsid w:val="002A168C"/>
    <w:rsid w:val="002A3DC7"/>
    <w:rsid w:val="002A549E"/>
    <w:rsid w:val="002B49E2"/>
    <w:rsid w:val="002B7B00"/>
    <w:rsid w:val="002B7C44"/>
    <w:rsid w:val="002C2B17"/>
    <w:rsid w:val="002D0258"/>
    <w:rsid w:val="002D3DD0"/>
    <w:rsid w:val="002D6570"/>
    <w:rsid w:val="002D70D7"/>
    <w:rsid w:val="002D71B9"/>
    <w:rsid w:val="002D791D"/>
    <w:rsid w:val="002E1F3A"/>
    <w:rsid w:val="002E298A"/>
    <w:rsid w:val="002F07D4"/>
    <w:rsid w:val="002F456A"/>
    <w:rsid w:val="002F58F7"/>
    <w:rsid w:val="0030112C"/>
    <w:rsid w:val="003016DA"/>
    <w:rsid w:val="00301978"/>
    <w:rsid w:val="0030332C"/>
    <w:rsid w:val="003051C2"/>
    <w:rsid w:val="00312296"/>
    <w:rsid w:val="00314F0E"/>
    <w:rsid w:val="00315965"/>
    <w:rsid w:val="00321D8E"/>
    <w:rsid w:val="003251B0"/>
    <w:rsid w:val="00325627"/>
    <w:rsid w:val="00325928"/>
    <w:rsid w:val="00326563"/>
    <w:rsid w:val="00330186"/>
    <w:rsid w:val="0033061D"/>
    <w:rsid w:val="00332863"/>
    <w:rsid w:val="0033684D"/>
    <w:rsid w:val="00337B42"/>
    <w:rsid w:val="00341B42"/>
    <w:rsid w:val="003429C2"/>
    <w:rsid w:val="00342E87"/>
    <w:rsid w:val="0034348F"/>
    <w:rsid w:val="00345993"/>
    <w:rsid w:val="00354F02"/>
    <w:rsid w:val="00356653"/>
    <w:rsid w:val="0035743F"/>
    <w:rsid w:val="00357BE2"/>
    <w:rsid w:val="0036170C"/>
    <w:rsid w:val="0036206B"/>
    <w:rsid w:val="00365D9C"/>
    <w:rsid w:val="00366E0F"/>
    <w:rsid w:val="00367ECA"/>
    <w:rsid w:val="00370099"/>
    <w:rsid w:val="00372DC6"/>
    <w:rsid w:val="003733AE"/>
    <w:rsid w:val="00381A72"/>
    <w:rsid w:val="00384676"/>
    <w:rsid w:val="00390857"/>
    <w:rsid w:val="003970A8"/>
    <w:rsid w:val="003A3B54"/>
    <w:rsid w:val="003A4BF3"/>
    <w:rsid w:val="003A7192"/>
    <w:rsid w:val="003B420D"/>
    <w:rsid w:val="003B4D34"/>
    <w:rsid w:val="003C69DF"/>
    <w:rsid w:val="003C6C16"/>
    <w:rsid w:val="003C79B6"/>
    <w:rsid w:val="003D03C5"/>
    <w:rsid w:val="003D2D4E"/>
    <w:rsid w:val="003D36D6"/>
    <w:rsid w:val="003D794D"/>
    <w:rsid w:val="003E2020"/>
    <w:rsid w:val="003E3058"/>
    <w:rsid w:val="003E4014"/>
    <w:rsid w:val="003E76A9"/>
    <w:rsid w:val="003F0809"/>
    <w:rsid w:val="003F13FA"/>
    <w:rsid w:val="003F34DA"/>
    <w:rsid w:val="003F6324"/>
    <w:rsid w:val="003F6A8C"/>
    <w:rsid w:val="003F755C"/>
    <w:rsid w:val="003F7CCA"/>
    <w:rsid w:val="00402DAB"/>
    <w:rsid w:val="00406F01"/>
    <w:rsid w:val="004119A4"/>
    <w:rsid w:val="004131B6"/>
    <w:rsid w:val="00416D50"/>
    <w:rsid w:val="00416FD5"/>
    <w:rsid w:val="00417772"/>
    <w:rsid w:val="00420E6A"/>
    <w:rsid w:val="00425A9E"/>
    <w:rsid w:val="00426A36"/>
    <w:rsid w:val="00426D6B"/>
    <w:rsid w:val="00431CF4"/>
    <w:rsid w:val="00431E6C"/>
    <w:rsid w:val="00432ED0"/>
    <w:rsid w:val="00433CE7"/>
    <w:rsid w:val="00437599"/>
    <w:rsid w:val="00444CC2"/>
    <w:rsid w:val="00450B5F"/>
    <w:rsid w:val="00452738"/>
    <w:rsid w:val="0045412A"/>
    <w:rsid w:val="00454A33"/>
    <w:rsid w:val="00456091"/>
    <w:rsid w:val="00464624"/>
    <w:rsid w:val="00466321"/>
    <w:rsid w:val="00472C3B"/>
    <w:rsid w:val="0047408D"/>
    <w:rsid w:val="004751BD"/>
    <w:rsid w:val="004768E0"/>
    <w:rsid w:val="004809C4"/>
    <w:rsid w:val="00484B9B"/>
    <w:rsid w:val="00484E03"/>
    <w:rsid w:val="004855F6"/>
    <w:rsid w:val="0048661E"/>
    <w:rsid w:val="0048795C"/>
    <w:rsid w:val="00487CD1"/>
    <w:rsid w:val="00493380"/>
    <w:rsid w:val="00494670"/>
    <w:rsid w:val="004959A8"/>
    <w:rsid w:val="004A3823"/>
    <w:rsid w:val="004A5137"/>
    <w:rsid w:val="004A71B5"/>
    <w:rsid w:val="004B1A05"/>
    <w:rsid w:val="004C0D96"/>
    <w:rsid w:val="004C0E2A"/>
    <w:rsid w:val="004C1889"/>
    <w:rsid w:val="004C349B"/>
    <w:rsid w:val="004C34C3"/>
    <w:rsid w:val="004C370F"/>
    <w:rsid w:val="004D094C"/>
    <w:rsid w:val="004D4A7E"/>
    <w:rsid w:val="004D6E36"/>
    <w:rsid w:val="004E5E83"/>
    <w:rsid w:val="004E6946"/>
    <w:rsid w:val="004F0DAB"/>
    <w:rsid w:val="004F0DC2"/>
    <w:rsid w:val="004F1AD8"/>
    <w:rsid w:val="005039CB"/>
    <w:rsid w:val="00504F90"/>
    <w:rsid w:val="0050558F"/>
    <w:rsid w:val="00506286"/>
    <w:rsid w:val="00507392"/>
    <w:rsid w:val="005074F4"/>
    <w:rsid w:val="00510813"/>
    <w:rsid w:val="005111FE"/>
    <w:rsid w:val="00511990"/>
    <w:rsid w:val="00511DE0"/>
    <w:rsid w:val="00512CF2"/>
    <w:rsid w:val="00514870"/>
    <w:rsid w:val="00514B9B"/>
    <w:rsid w:val="00517F02"/>
    <w:rsid w:val="005226E7"/>
    <w:rsid w:val="00524303"/>
    <w:rsid w:val="005258A2"/>
    <w:rsid w:val="00531591"/>
    <w:rsid w:val="00531F93"/>
    <w:rsid w:val="00536852"/>
    <w:rsid w:val="005401AE"/>
    <w:rsid w:val="00542E07"/>
    <w:rsid w:val="00545424"/>
    <w:rsid w:val="00546045"/>
    <w:rsid w:val="005510D1"/>
    <w:rsid w:val="00554A7B"/>
    <w:rsid w:val="00555309"/>
    <w:rsid w:val="0055572C"/>
    <w:rsid w:val="0056106A"/>
    <w:rsid w:val="005704A9"/>
    <w:rsid w:val="005720AE"/>
    <w:rsid w:val="005854E0"/>
    <w:rsid w:val="0058762F"/>
    <w:rsid w:val="00594D77"/>
    <w:rsid w:val="00595309"/>
    <w:rsid w:val="005969E4"/>
    <w:rsid w:val="005A06B7"/>
    <w:rsid w:val="005A11AB"/>
    <w:rsid w:val="005A1759"/>
    <w:rsid w:val="005A4605"/>
    <w:rsid w:val="005A68A7"/>
    <w:rsid w:val="005C17A5"/>
    <w:rsid w:val="005C2EC0"/>
    <w:rsid w:val="005C303C"/>
    <w:rsid w:val="005C6819"/>
    <w:rsid w:val="005C6DD1"/>
    <w:rsid w:val="005D0EFD"/>
    <w:rsid w:val="005D36AB"/>
    <w:rsid w:val="005E29B6"/>
    <w:rsid w:val="005F7C34"/>
    <w:rsid w:val="00600D07"/>
    <w:rsid w:val="006110DC"/>
    <w:rsid w:val="00615407"/>
    <w:rsid w:val="00617CC3"/>
    <w:rsid w:val="00620954"/>
    <w:rsid w:val="00626C18"/>
    <w:rsid w:val="00632074"/>
    <w:rsid w:val="006377A6"/>
    <w:rsid w:val="00637A3D"/>
    <w:rsid w:val="006411EF"/>
    <w:rsid w:val="006463DC"/>
    <w:rsid w:val="00647483"/>
    <w:rsid w:val="00647AB1"/>
    <w:rsid w:val="00665670"/>
    <w:rsid w:val="006748B8"/>
    <w:rsid w:val="006752CD"/>
    <w:rsid w:val="006775C3"/>
    <w:rsid w:val="006775DC"/>
    <w:rsid w:val="00691ACA"/>
    <w:rsid w:val="0069290A"/>
    <w:rsid w:val="0069562A"/>
    <w:rsid w:val="0069775A"/>
    <w:rsid w:val="00697813"/>
    <w:rsid w:val="006A1B23"/>
    <w:rsid w:val="006A3EE8"/>
    <w:rsid w:val="006A4AE7"/>
    <w:rsid w:val="006A72BF"/>
    <w:rsid w:val="006B03F2"/>
    <w:rsid w:val="006B2EA1"/>
    <w:rsid w:val="006B37DC"/>
    <w:rsid w:val="006B4F68"/>
    <w:rsid w:val="006C0592"/>
    <w:rsid w:val="006C272E"/>
    <w:rsid w:val="006C5479"/>
    <w:rsid w:val="006C65E0"/>
    <w:rsid w:val="006D13B5"/>
    <w:rsid w:val="006D1DA8"/>
    <w:rsid w:val="006D6C5A"/>
    <w:rsid w:val="006E12FF"/>
    <w:rsid w:val="006E1BDB"/>
    <w:rsid w:val="006E2D0B"/>
    <w:rsid w:val="006E607E"/>
    <w:rsid w:val="006F3EDD"/>
    <w:rsid w:val="006F506A"/>
    <w:rsid w:val="00701086"/>
    <w:rsid w:val="00706C5D"/>
    <w:rsid w:val="0071060E"/>
    <w:rsid w:val="007157AE"/>
    <w:rsid w:val="00725DA1"/>
    <w:rsid w:val="00732922"/>
    <w:rsid w:val="007330D8"/>
    <w:rsid w:val="007340FD"/>
    <w:rsid w:val="00741827"/>
    <w:rsid w:val="007446C7"/>
    <w:rsid w:val="007465EA"/>
    <w:rsid w:val="0075162E"/>
    <w:rsid w:val="00754034"/>
    <w:rsid w:val="00756556"/>
    <w:rsid w:val="00757B78"/>
    <w:rsid w:val="007618C4"/>
    <w:rsid w:val="00767980"/>
    <w:rsid w:val="00770B19"/>
    <w:rsid w:val="00772A03"/>
    <w:rsid w:val="0077463F"/>
    <w:rsid w:val="0077583D"/>
    <w:rsid w:val="007836EA"/>
    <w:rsid w:val="00784CDA"/>
    <w:rsid w:val="00785BED"/>
    <w:rsid w:val="00786647"/>
    <w:rsid w:val="007906C4"/>
    <w:rsid w:val="00791178"/>
    <w:rsid w:val="007916F2"/>
    <w:rsid w:val="0079288A"/>
    <w:rsid w:val="00793456"/>
    <w:rsid w:val="007940EA"/>
    <w:rsid w:val="007967E8"/>
    <w:rsid w:val="007A0286"/>
    <w:rsid w:val="007A2170"/>
    <w:rsid w:val="007A22BF"/>
    <w:rsid w:val="007A26F7"/>
    <w:rsid w:val="007A3323"/>
    <w:rsid w:val="007A5175"/>
    <w:rsid w:val="007A7A8A"/>
    <w:rsid w:val="007B0F62"/>
    <w:rsid w:val="007B72B8"/>
    <w:rsid w:val="007B7A58"/>
    <w:rsid w:val="007C21B5"/>
    <w:rsid w:val="007D14F6"/>
    <w:rsid w:val="007D21DC"/>
    <w:rsid w:val="007D2F26"/>
    <w:rsid w:val="007D328E"/>
    <w:rsid w:val="007E4BD2"/>
    <w:rsid w:val="007E6914"/>
    <w:rsid w:val="007E79FC"/>
    <w:rsid w:val="007F0EBA"/>
    <w:rsid w:val="007F136F"/>
    <w:rsid w:val="007F1E90"/>
    <w:rsid w:val="007F55BF"/>
    <w:rsid w:val="007F6774"/>
    <w:rsid w:val="00801393"/>
    <w:rsid w:val="00802F88"/>
    <w:rsid w:val="00806721"/>
    <w:rsid w:val="00807749"/>
    <w:rsid w:val="008078E6"/>
    <w:rsid w:val="0081293E"/>
    <w:rsid w:val="008152A9"/>
    <w:rsid w:val="00815465"/>
    <w:rsid w:val="00817E9A"/>
    <w:rsid w:val="00826073"/>
    <w:rsid w:val="00826405"/>
    <w:rsid w:val="008306BD"/>
    <w:rsid w:val="00831A80"/>
    <w:rsid w:val="00833743"/>
    <w:rsid w:val="008340A4"/>
    <w:rsid w:val="00835822"/>
    <w:rsid w:val="00841205"/>
    <w:rsid w:val="00846057"/>
    <w:rsid w:val="008556C4"/>
    <w:rsid w:val="0085596D"/>
    <w:rsid w:val="00857166"/>
    <w:rsid w:val="0087135F"/>
    <w:rsid w:val="00872D94"/>
    <w:rsid w:val="00880364"/>
    <w:rsid w:val="008853CD"/>
    <w:rsid w:val="00886A5A"/>
    <w:rsid w:val="00886B62"/>
    <w:rsid w:val="008903A0"/>
    <w:rsid w:val="00891592"/>
    <w:rsid w:val="00891E9E"/>
    <w:rsid w:val="00896269"/>
    <w:rsid w:val="00896670"/>
    <w:rsid w:val="00897053"/>
    <w:rsid w:val="008A2F68"/>
    <w:rsid w:val="008B4FA6"/>
    <w:rsid w:val="008B5282"/>
    <w:rsid w:val="008B7C17"/>
    <w:rsid w:val="008C1257"/>
    <w:rsid w:val="008C2D01"/>
    <w:rsid w:val="008C40E6"/>
    <w:rsid w:val="008D0F7A"/>
    <w:rsid w:val="008D50FC"/>
    <w:rsid w:val="008D5285"/>
    <w:rsid w:val="008D68E4"/>
    <w:rsid w:val="008E0506"/>
    <w:rsid w:val="008E0CFF"/>
    <w:rsid w:val="008E5D6B"/>
    <w:rsid w:val="008E76F0"/>
    <w:rsid w:val="008F15FE"/>
    <w:rsid w:val="008F2D29"/>
    <w:rsid w:val="008F5187"/>
    <w:rsid w:val="008F60D8"/>
    <w:rsid w:val="008F72EB"/>
    <w:rsid w:val="00900826"/>
    <w:rsid w:val="00902727"/>
    <w:rsid w:val="0090312B"/>
    <w:rsid w:val="00903DBC"/>
    <w:rsid w:val="00913CF3"/>
    <w:rsid w:val="00915EFC"/>
    <w:rsid w:val="0091736D"/>
    <w:rsid w:val="009258FF"/>
    <w:rsid w:val="009263CA"/>
    <w:rsid w:val="0093037A"/>
    <w:rsid w:val="00932798"/>
    <w:rsid w:val="0094154D"/>
    <w:rsid w:val="00942778"/>
    <w:rsid w:val="00942BC0"/>
    <w:rsid w:val="0095155F"/>
    <w:rsid w:val="00954429"/>
    <w:rsid w:val="00954459"/>
    <w:rsid w:val="009563CE"/>
    <w:rsid w:val="009568D8"/>
    <w:rsid w:val="00964BCF"/>
    <w:rsid w:val="00976328"/>
    <w:rsid w:val="0097680D"/>
    <w:rsid w:val="00982438"/>
    <w:rsid w:val="0098404C"/>
    <w:rsid w:val="00985283"/>
    <w:rsid w:val="00995992"/>
    <w:rsid w:val="0099634F"/>
    <w:rsid w:val="009A03E5"/>
    <w:rsid w:val="009A0F3B"/>
    <w:rsid w:val="009A1247"/>
    <w:rsid w:val="009A1BB4"/>
    <w:rsid w:val="009A2628"/>
    <w:rsid w:val="009A3200"/>
    <w:rsid w:val="009A77FE"/>
    <w:rsid w:val="009B0897"/>
    <w:rsid w:val="009B7BD9"/>
    <w:rsid w:val="009C584E"/>
    <w:rsid w:val="009C7DD5"/>
    <w:rsid w:val="009D1148"/>
    <w:rsid w:val="009D71FC"/>
    <w:rsid w:val="009E227D"/>
    <w:rsid w:val="009E5019"/>
    <w:rsid w:val="009F0CA0"/>
    <w:rsid w:val="009F6689"/>
    <w:rsid w:val="00A04F1B"/>
    <w:rsid w:val="00A0501B"/>
    <w:rsid w:val="00A07BF7"/>
    <w:rsid w:val="00A11C5C"/>
    <w:rsid w:val="00A14947"/>
    <w:rsid w:val="00A17DFF"/>
    <w:rsid w:val="00A32A83"/>
    <w:rsid w:val="00A368DB"/>
    <w:rsid w:val="00A423AA"/>
    <w:rsid w:val="00A531C6"/>
    <w:rsid w:val="00A53EC6"/>
    <w:rsid w:val="00A55C0F"/>
    <w:rsid w:val="00A60A2D"/>
    <w:rsid w:val="00A62860"/>
    <w:rsid w:val="00A6751F"/>
    <w:rsid w:val="00A75BCA"/>
    <w:rsid w:val="00A8086D"/>
    <w:rsid w:val="00A822C8"/>
    <w:rsid w:val="00A8713F"/>
    <w:rsid w:val="00A90BA1"/>
    <w:rsid w:val="00A979A7"/>
    <w:rsid w:val="00A97A9A"/>
    <w:rsid w:val="00AA0671"/>
    <w:rsid w:val="00AA2531"/>
    <w:rsid w:val="00AA748A"/>
    <w:rsid w:val="00AB1E09"/>
    <w:rsid w:val="00AB5330"/>
    <w:rsid w:val="00AB7747"/>
    <w:rsid w:val="00AC0C98"/>
    <w:rsid w:val="00AC14CE"/>
    <w:rsid w:val="00AC2A56"/>
    <w:rsid w:val="00AC3598"/>
    <w:rsid w:val="00AD055E"/>
    <w:rsid w:val="00AD099E"/>
    <w:rsid w:val="00AD47A7"/>
    <w:rsid w:val="00AE532D"/>
    <w:rsid w:val="00AE629A"/>
    <w:rsid w:val="00AF0CBF"/>
    <w:rsid w:val="00AF257F"/>
    <w:rsid w:val="00AF33CF"/>
    <w:rsid w:val="00AF4D50"/>
    <w:rsid w:val="00AF6179"/>
    <w:rsid w:val="00B025F5"/>
    <w:rsid w:val="00B046DA"/>
    <w:rsid w:val="00B073BE"/>
    <w:rsid w:val="00B1295A"/>
    <w:rsid w:val="00B14578"/>
    <w:rsid w:val="00B20A45"/>
    <w:rsid w:val="00B22C5C"/>
    <w:rsid w:val="00B24F30"/>
    <w:rsid w:val="00B31ABF"/>
    <w:rsid w:val="00B33BE3"/>
    <w:rsid w:val="00B36451"/>
    <w:rsid w:val="00B37E51"/>
    <w:rsid w:val="00B414C0"/>
    <w:rsid w:val="00B422C2"/>
    <w:rsid w:val="00B439A5"/>
    <w:rsid w:val="00B53B5D"/>
    <w:rsid w:val="00B6055E"/>
    <w:rsid w:val="00B6317D"/>
    <w:rsid w:val="00B635B4"/>
    <w:rsid w:val="00B65ECD"/>
    <w:rsid w:val="00B730EE"/>
    <w:rsid w:val="00B770BF"/>
    <w:rsid w:val="00B7723F"/>
    <w:rsid w:val="00B80534"/>
    <w:rsid w:val="00B81CC1"/>
    <w:rsid w:val="00B8433C"/>
    <w:rsid w:val="00B87491"/>
    <w:rsid w:val="00B946F8"/>
    <w:rsid w:val="00B96449"/>
    <w:rsid w:val="00BA1E7D"/>
    <w:rsid w:val="00BA29E9"/>
    <w:rsid w:val="00BA3243"/>
    <w:rsid w:val="00BA7142"/>
    <w:rsid w:val="00BA724C"/>
    <w:rsid w:val="00BB237C"/>
    <w:rsid w:val="00BB41A3"/>
    <w:rsid w:val="00BC32DC"/>
    <w:rsid w:val="00BC35B6"/>
    <w:rsid w:val="00BD1B51"/>
    <w:rsid w:val="00BD4596"/>
    <w:rsid w:val="00BD5963"/>
    <w:rsid w:val="00BD70CC"/>
    <w:rsid w:val="00BE1405"/>
    <w:rsid w:val="00BE312D"/>
    <w:rsid w:val="00BF1C20"/>
    <w:rsid w:val="00BF1F80"/>
    <w:rsid w:val="00C060E7"/>
    <w:rsid w:val="00C10578"/>
    <w:rsid w:val="00C135BC"/>
    <w:rsid w:val="00C15C95"/>
    <w:rsid w:val="00C2596A"/>
    <w:rsid w:val="00C27537"/>
    <w:rsid w:val="00C328FE"/>
    <w:rsid w:val="00C33507"/>
    <w:rsid w:val="00C4409D"/>
    <w:rsid w:val="00C442F3"/>
    <w:rsid w:val="00C44E72"/>
    <w:rsid w:val="00C45260"/>
    <w:rsid w:val="00C45A06"/>
    <w:rsid w:val="00C46CE8"/>
    <w:rsid w:val="00C47E5B"/>
    <w:rsid w:val="00C5146C"/>
    <w:rsid w:val="00C60023"/>
    <w:rsid w:val="00C6165A"/>
    <w:rsid w:val="00C61E4B"/>
    <w:rsid w:val="00C62E9C"/>
    <w:rsid w:val="00C64BFF"/>
    <w:rsid w:val="00C704E9"/>
    <w:rsid w:val="00C763C9"/>
    <w:rsid w:val="00C80057"/>
    <w:rsid w:val="00C814D9"/>
    <w:rsid w:val="00C82232"/>
    <w:rsid w:val="00C82913"/>
    <w:rsid w:val="00C972B1"/>
    <w:rsid w:val="00CA1458"/>
    <w:rsid w:val="00CA2CCE"/>
    <w:rsid w:val="00CA43FD"/>
    <w:rsid w:val="00CA611B"/>
    <w:rsid w:val="00CA7EF8"/>
    <w:rsid w:val="00CB2C08"/>
    <w:rsid w:val="00CB3952"/>
    <w:rsid w:val="00CB7786"/>
    <w:rsid w:val="00CC489B"/>
    <w:rsid w:val="00CC5CD0"/>
    <w:rsid w:val="00CC60E7"/>
    <w:rsid w:val="00CC6F1B"/>
    <w:rsid w:val="00CC790C"/>
    <w:rsid w:val="00CC7D66"/>
    <w:rsid w:val="00CD2BCD"/>
    <w:rsid w:val="00CD3A4C"/>
    <w:rsid w:val="00CD47EB"/>
    <w:rsid w:val="00CE10E9"/>
    <w:rsid w:val="00CE12D0"/>
    <w:rsid w:val="00CE2910"/>
    <w:rsid w:val="00CE5393"/>
    <w:rsid w:val="00CE5700"/>
    <w:rsid w:val="00CE5D43"/>
    <w:rsid w:val="00CF27FA"/>
    <w:rsid w:val="00CF2862"/>
    <w:rsid w:val="00CF36BE"/>
    <w:rsid w:val="00CF6000"/>
    <w:rsid w:val="00D003F3"/>
    <w:rsid w:val="00D0364F"/>
    <w:rsid w:val="00D06834"/>
    <w:rsid w:val="00D140EE"/>
    <w:rsid w:val="00D26427"/>
    <w:rsid w:val="00D308ED"/>
    <w:rsid w:val="00D322EF"/>
    <w:rsid w:val="00D33D7B"/>
    <w:rsid w:val="00D34C2C"/>
    <w:rsid w:val="00D36D86"/>
    <w:rsid w:val="00D428AA"/>
    <w:rsid w:val="00D44FCA"/>
    <w:rsid w:val="00D45030"/>
    <w:rsid w:val="00D45ED6"/>
    <w:rsid w:val="00D50A34"/>
    <w:rsid w:val="00D53EFA"/>
    <w:rsid w:val="00D65665"/>
    <w:rsid w:val="00D732A1"/>
    <w:rsid w:val="00D7581D"/>
    <w:rsid w:val="00D85C68"/>
    <w:rsid w:val="00D85E5B"/>
    <w:rsid w:val="00D8733F"/>
    <w:rsid w:val="00D901A5"/>
    <w:rsid w:val="00D94A7C"/>
    <w:rsid w:val="00D95896"/>
    <w:rsid w:val="00DA08DE"/>
    <w:rsid w:val="00DB2983"/>
    <w:rsid w:val="00DB745E"/>
    <w:rsid w:val="00DC1257"/>
    <w:rsid w:val="00DC3745"/>
    <w:rsid w:val="00DC3DC0"/>
    <w:rsid w:val="00DC5059"/>
    <w:rsid w:val="00DC5B2B"/>
    <w:rsid w:val="00DD224E"/>
    <w:rsid w:val="00DD318D"/>
    <w:rsid w:val="00DE2B9C"/>
    <w:rsid w:val="00DF2E12"/>
    <w:rsid w:val="00DF514A"/>
    <w:rsid w:val="00DF6690"/>
    <w:rsid w:val="00DF6804"/>
    <w:rsid w:val="00E0358D"/>
    <w:rsid w:val="00E04323"/>
    <w:rsid w:val="00E05092"/>
    <w:rsid w:val="00E070A2"/>
    <w:rsid w:val="00E07842"/>
    <w:rsid w:val="00E10267"/>
    <w:rsid w:val="00E110B7"/>
    <w:rsid w:val="00E17C37"/>
    <w:rsid w:val="00E2656A"/>
    <w:rsid w:val="00E40107"/>
    <w:rsid w:val="00E40981"/>
    <w:rsid w:val="00E412D0"/>
    <w:rsid w:val="00E41FBC"/>
    <w:rsid w:val="00E42F35"/>
    <w:rsid w:val="00E56322"/>
    <w:rsid w:val="00E57433"/>
    <w:rsid w:val="00E60205"/>
    <w:rsid w:val="00E60982"/>
    <w:rsid w:val="00E6237F"/>
    <w:rsid w:val="00E62C62"/>
    <w:rsid w:val="00E631AC"/>
    <w:rsid w:val="00E63E58"/>
    <w:rsid w:val="00E654C1"/>
    <w:rsid w:val="00E65D97"/>
    <w:rsid w:val="00E70867"/>
    <w:rsid w:val="00E71873"/>
    <w:rsid w:val="00E72A5A"/>
    <w:rsid w:val="00E73354"/>
    <w:rsid w:val="00E76C72"/>
    <w:rsid w:val="00E9242D"/>
    <w:rsid w:val="00EA11C2"/>
    <w:rsid w:val="00EB476F"/>
    <w:rsid w:val="00EB5255"/>
    <w:rsid w:val="00EB5C47"/>
    <w:rsid w:val="00EC47D6"/>
    <w:rsid w:val="00EC5DF5"/>
    <w:rsid w:val="00ED0639"/>
    <w:rsid w:val="00ED623A"/>
    <w:rsid w:val="00EE1DF5"/>
    <w:rsid w:val="00EF152F"/>
    <w:rsid w:val="00EF1C00"/>
    <w:rsid w:val="00EF4755"/>
    <w:rsid w:val="00EF4CCC"/>
    <w:rsid w:val="00EF7135"/>
    <w:rsid w:val="00F00E43"/>
    <w:rsid w:val="00F027DB"/>
    <w:rsid w:val="00F04B96"/>
    <w:rsid w:val="00F14A7A"/>
    <w:rsid w:val="00F22985"/>
    <w:rsid w:val="00F268B0"/>
    <w:rsid w:val="00F26D6D"/>
    <w:rsid w:val="00F275F1"/>
    <w:rsid w:val="00F3383E"/>
    <w:rsid w:val="00F45937"/>
    <w:rsid w:val="00F465A7"/>
    <w:rsid w:val="00F467FD"/>
    <w:rsid w:val="00F50B7C"/>
    <w:rsid w:val="00F522CE"/>
    <w:rsid w:val="00F550E6"/>
    <w:rsid w:val="00F55C8A"/>
    <w:rsid w:val="00F57FAB"/>
    <w:rsid w:val="00F600F5"/>
    <w:rsid w:val="00F66CE8"/>
    <w:rsid w:val="00F7246F"/>
    <w:rsid w:val="00F74345"/>
    <w:rsid w:val="00F80A0A"/>
    <w:rsid w:val="00F82B19"/>
    <w:rsid w:val="00F84FDB"/>
    <w:rsid w:val="00F9212D"/>
    <w:rsid w:val="00F93603"/>
    <w:rsid w:val="00F965DA"/>
    <w:rsid w:val="00FA406A"/>
    <w:rsid w:val="00FB1981"/>
    <w:rsid w:val="00FB503A"/>
    <w:rsid w:val="00FB516C"/>
    <w:rsid w:val="00FC1C5B"/>
    <w:rsid w:val="00FC3E84"/>
    <w:rsid w:val="00FC77D6"/>
    <w:rsid w:val="00FD0236"/>
    <w:rsid w:val="00FD18F4"/>
    <w:rsid w:val="00FD46CD"/>
    <w:rsid w:val="00FD54DB"/>
    <w:rsid w:val="00FD619F"/>
    <w:rsid w:val="00FD6736"/>
    <w:rsid w:val="00FD6E5C"/>
    <w:rsid w:val="00FE5010"/>
    <w:rsid w:val="00FE627B"/>
    <w:rsid w:val="00FF6297"/>
    <w:rsid w:val="00FF6A50"/>
    <w:rsid w:val="010A4F45"/>
    <w:rsid w:val="01222861"/>
    <w:rsid w:val="01290F7E"/>
    <w:rsid w:val="01347C2F"/>
    <w:rsid w:val="01562B00"/>
    <w:rsid w:val="015D1E09"/>
    <w:rsid w:val="0162798F"/>
    <w:rsid w:val="01961C22"/>
    <w:rsid w:val="019E4ED3"/>
    <w:rsid w:val="019E54E5"/>
    <w:rsid w:val="01A93FA3"/>
    <w:rsid w:val="01B67601"/>
    <w:rsid w:val="01BF37C7"/>
    <w:rsid w:val="01BF5575"/>
    <w:rsid w:val="01C42B8B"/>
    <w:rsid w:val="02191378"/>
    <w:rsid w:val="021D5627"/>
    <w:rsid w:val="022A7AC1"/>
    <w:rsid w:val="023E1535"/>
    <w:rsid w:val="02523816"/>
    <w:rsid w:val="02550AEC"/>
    <w:rsid w:val="02697903"/>
    <w:rsid w:val="028F4223"/>
    <w:rsid w:val="02A354D6"/>
    <w:rsid w:val="02F96569"/>
    <w:rsid w:val="033412E1"/>
    <w:rsid w:val="0337738D"/>
    <w:rsid w:val="034018FF"/>
    <w:rsid w:val="035275F2"/>
    <w:rsid w:val="0354642E"/>
    <w:rsid w:val="03EA7B21"/>
    <w:rsid w:val="03EE2F3C"/>
    <w:rsid w:val="03F948EC"/>
    <w:rsid w:val="03FC43E2"/>
    <w:rsid w:val="04051239"/>
    <w:rsid w:val="04087B2D"/>
    <w:rsid w:val="04272627"/>
    <w:rsid w:val="047231D0"/>
    <w:rsid w:val="0472779E"/>
    <w:rsid w:val="04786A62"/>
    <w:rsid w:val="04787C2D"/>
    <w:rsid w:val="04824226"/>
    <w:rsid w:val="04841D73"/>
    <w:rsid w:val="04C609C8"/>
    <w:rsid w:val="04E87D91"/>
    <w:rsid w:val="04F61C33"/>
    <w:rsid w:val="05017C52"/>
    <w:rsid w:val="050E236F"/>
    <w:rsid w:val="052E44FE"/>
    <w:rsid w:val="05355367"/>
    <w:rsid w:val="05A47918"/>
    <w:rsid w:val="05B253F0"/>
    <w:rsid w:val="05B3047D"/>
    <w:rsid w:val="05C07B0D"/>
    <w:rsid w:val="05D435B9"/>
    <w:rsid w:val="05D45885"/>
    <w:rsid w:val="05E062FA"/>
    <w:rsid w:val="05F6352F"/>
    <w:rsid w:val="05F83EAE"/>
    <w:rsid w:val="061501EB"/>
    <w:rsid w:val="061E51F2"/>
    <w:rsid w:val="063B53E6"/>
    <w:rsid w:val="063E7D85"/>
    <w:rsid w:val="0650264D"/>
    <w:rsid w:val="06624721"/>
    <w:rsid w:val="06793BDF"/>
    <w:rsid w:val="06844055"/>
    <w:rsid w:val="06D84AD0"/>
    <w:rsid w:val="06DF1D07"/>
    <w:rsid w:val="06EB6E0C"/>
    <w:rsid w:val="070F40C6"/>
    <w:rsid w:val="07293586"/>
    <w:rsid w:val="07295285"/>
    <w:rsid w:val="073338F9"/>
    <w:rsid w:val="07376953"/>
    <w:rsid w:val="07437BFA"/>
    <w:rsid w:val="075700A4"/>
    <w:rsid w:val="07636392"/>
    <w:rsid w:val="07731CCC"/>
    <w:rsid w:val="07770C56"/>
    <w:rsid w:val="078D723E"/>
    <w:rsid w:val="079210A9"/>
    <w:rsid w:val="079A0E09"/>
    <w:rsid w:val="07C803EC"/>
    <w:rsid w:val="07EB6D0E"/>
    <w:rsid w:val="080B044A"/>
    <w:rsid w:val="081136E6"/>
    <w:rsid w:val="081A09F7"/>
    <w:rsid w:val="082D6FB0"/>
    <w:rsid w:val="08391DD9"/>
    <w:rsid w:val="08454EF1"/>
    <w:rsid w:val="08474A79"/>
    <w:rsid w:val="08496D42"/>
    <w:rsid w:val="08834AC2"/>
    <w:rsid w:val="08C16634"/>
    <w:rsid w:val="08CD3F70"/>
    <w:rsid w:val="08DC4C5E"/>
    <w:rsid w:val="090D717D"/>
    <w:rsid w:val="091E569B"/>
    <w:rsid w:val="092217DD"/>
    <w:rsid w:val="093A7294"/>
    <w:rsid w:val="097E5D15"/>
    <w:rsid w:val="09910E3E"/>
    <w:rsid w:val="0995039F"/>
    <w:rsid w:val="099C3FDF"/>
    <w:rsid w:val="099F6038"/>
    <w:rsid w:val="09A34DF4"/>
    <w:rsid w:val="09B04D87"/>
    <w:rsid w:val="09B50C62"/>
    <w:rsid w:val="09F818C8"/>
    <w:rsid w:val="0A263993"/>
    <w:rsid w:val="0A2D3AC2"/>
    <w:rsid w:val="0A4206EA"/>
    <w:rsid w:val="0A7B4636"/>
    <w:rsid w:val="0AA1025C"/>
    <w:rsid w:val="0AA413E9"/>
    <w:rsid w:val="0AA755DF"/>
    <w:rsid w:val="0AB359AE"/>
    <w:rsid w:val="0ACB616E"/>
    <w:rsid w:val="0AD23BE8"/>
    <w:rsid w:val="0B0B35D9"/>
    <w:rsid w:val="0B0E131B"/>
    <w:rsid w:val="0B120D44"/>
    <w:rsid w:val="0B1B1342"/>
    <w:rsid w:val="0B440899"/>
    <w:rsid w:val="0B460AB5"/>
    <w:rsid w:val="0B4C0C51"/>
    <w:rsid w:val="0B5D0839"/>
    <w:rsid w:val="0B9D5FD1"/>
    <w:rsid w:val="0BA952F4"/>
    <w:rsid w:val="0BB179ED"/>
    <w:rsid w:val="0BBF7D50"/>
    <w:rsid w:val="0BC86369"/>
    <w:rsid w:val="0BD27BF6"/>
    <w:rsid w:val="0BFC1173"/>
    <w:rsid w:val="0C2A7A8F"/>
    <w:rsid w:val="0C3B3C7D"/>
    <w:rsid w:val="0C8421DE"/>
    <w:rsid w:val="0C915D60"/>
    <w:rsid w:val="0CAB2EAE"/>
    <w:rsid w:val="0CC128B8"/>
    <w:rsid w:val="0CD808D6"/>
    <w:rsid w:val="0CF64E24"/>
    <w:rsid w:val="0D621C7D"/>
    <w:rsid w:val="0D865C68"/>
    <w:rsid w:val="0DA7666B"/>
    <w:rsid w:val="0DB50404"/>
    <w:rsid w:val="0DB830B1"/>
    <w:rsid w:val="0DE85E0D"/>
    <w:rsid w:val="0DE85E53"/>
    <w:rsid w:val="0E2F5830"/>
    <w:rsid w:val="0E73034D"/>
    <w:rsid w:val="0E8D7D9E"/>
    <w:rsid w:val="0E956A8F"/>
    <w:rsid w:val="0EAE6868"/>
    <w:rsid w:val="0EB254B2"/>
    <w:rsid w:val="0EDB1514"/>
    <w:rsid w:val="0F13775A"/>
    <w:rsid w:val="0F281D2D"/>
    <w:rsid w:val="0F3957E8"/>
    <w:rsid w:val="0F546BCA"/>
    <w:rsid w:val="0F5F45FE"/>
    <w:rsid w:val="0F7014AD"/>
    <w:rsid w:val="0F8A01CC"/>
    <w:rsid w:val="0F9A112B"/>
    <w:rsid w:val="0FCB3337"/>
    <w:rsid w:val="0FD814C2"/>
    <w:rsid w:val="0FFD72CF"/>
    <w:rsid w:val="102360C2"/>
    <w:rsid w:val="10572E8C"/>
    <w:rsid w:val="105A290D"/>
    <w:rsid w:val="106A4038"/>
    <w:rsid w:val="106D2F64"/>
    <w:rsid w:val="109752E3"/>
    <w:rsid w:val="10B244F7"/>
    <w:rsid w:val="10B63710"/>
    <w:rsid w:val="10E96B5E"/>
    <w:rsid w:val="10F10820"/>
    <w:rsid w:val="111C2F7A"/>
    <w:rsid w:val="11665CA1"/>
    <w:rsid w:val="11D51075"/>
    <w:rsid w:val="120F5BA7"/>
    <w:rsid w:val="12395518"/>
    <w:rsid w:val="12607FBE"/>
    <w:rsid w:val="126D3216"/>
    <w:rsid w:val="127952CC"/>
    <w:rsid w:val="12AF0CEE"/>
    <w:rsid w:val="12D539F2"/>
    <w:rsid w:val="13055FEE"/>
    <w:rsid w:val="131C20FB"/>
    <w:rsid w:val="132D584E"/>
    <w:rsid w:val="133108B1"/>
    <w:rsid w:val="138E3E0F"/>
    <w:rsid w:val="13936861"/>
    <w:rsid w:val="13951726"/>
    <w:rsid w:val="13A4281C"/>
    <w:rsid w:val="13AF58EF"/>
    <w:rsid w:val="13DC1FB6"/>
    <w:rsid w:val="13F3713A"/>
    <w:rsid w:val="141863F1"/>
    <w:rsid w:val="14396509"/>
    <w:rsid w:val="14830CF0"/>
    <w:rsid w:val="14921ECC"/>
    <w:rsid w:val="14972EFE"/>
    <w:rsid w:val="14983A03"/>
    <w:rsid w:val="149F4D92"/>
    <w:rsid w:val="14BB6070"/>
    <w:rsid w:val="14BE16BC"/>
    <w:rsid w:val="14C362CC"/>
    <w:rsid w:val="14DD2C3C"/>
    <w:rsid w:val="1503346B"/>
    <w:rsid w:val="15192D96"/>
    <w:rsid w:val="1546436C"/>
    <w:rsid w:val="154F12D3"/>
    <w:rsid w:val="15512219"/>
    <w:rsid w:val="15592EC8"/>
    <w:rsid w:val="156A7D35"/>
    <w:rsid w:val="158C17BA"/>
    <w:rsid w:val="15C0622B"/>
    <w:rsid w:val="15D848FF"/>
    <w:rsid w:val="15F345AA"/>
    <w:rsid w:val="16087E1D"/>
    <w:rsid w:val="164200CB"/>
    <w:rsid w:val="164719BE"/>
    <w:rsid w:val="165D602A"/>
    <w:rsid w:val="16702E8A"/>
    <w:rsid w:val="167143ED"/>
    <w:rsid w:val="16C50F7C"/>
    <w:rsid w:val="16C56088"/>
    <w:rsid w:val="16C64443"/>
    <w:rsid w:val="16DB7190"/>
    <w:rsid w:val="16E27078"/>
    <w:rsid w:val="17046B5C"/>
    <w:rsid w:val="17125CEF"/>
    <w:rsid w:val="173D505E"/>
    <w:rsid w:val="17484A5C"/>
    <w:rsid w:val="174A66F7"/>
    <w:rsid w:val="17517AB7"/>
    <w:rsid w:val="175D1CDF"/>
    <w:rsid w:val="176B01E9"/>
    <w:rsid w:val="17701D14"/>
    <w:rsid w:val="17735226"/>
    <w:rsid w:val="1783099B"/>
    <w:rsid w:val="178905E0"/>
    <w:rsid w:val="17D30A2B"/>
    <w:rsid w:val="17E710DC"/>
    <w:rsid w:val="17F92A0B"/>
    <w:rsid w:val="181B5F3D"/>
    <w:rsid w:val="186D58D3"/>
    <w:rsid w:val="1876528F"/>
    <w:rsid w:val="187D6710"/>
    <w:rsid w:val="189F624C"/>
    <w:rsid w:val="18A67A11"/>
    <w:rsid w:val="18B05567"/>
    <w:rsid w:val="18B73CFB"/>
    <w:rsid w:val="18C8761E"/>
    <w:rsid w:val="18E530CF"/>
    <w:rsid w:val="190D49C0"/>
    <w:rsid w:val="19341F4D"/>
    <w:rsid w:val="194D74B2"/>
    <w:rsid w:val="19A71F58"/>
    <w:rsid w:val="19A846E9"/>
    <w:rsid w:val="19CB70D4"/>
    <w:rsid w:val="19FD2C86"/>
    <w:rsid w:val="1A1A7E43"/>
    <w:rsid w:val="1A1C66C0"/>
    <w:rsid w:val="1A2975D8"/>
    <w:rsid w:val="1A42393B"/>
    <w:rsid w:val="1A82269E"/>
    <w:rsid w:val="1A9F5AEC"/>
    <w:rsid w:val="1AAB2FEA"/>
    <w:rsid w:val="1AAD45DE"/>
    <w:rsid w:val="1AC64991"/>
    <w:rsid w:val="1AFD7151"/>
    <w:rsid w:val="1B046F80"/>
    <w:rsid w:val="1B3267B5"/>
    <w:rsid w:val="1B40161D"/>
    <w:rsid w:val="1B441859"/>
    <w:rsid w:val="1B4E0F00"/>
    <w:rsid w:val="1B4F6962"/>
    <w:rsid w:val="1B5554FE"/>
    <w:rsid w:val="1B6606B1"/>
    <w:rsid w:val="1B816BBC"/>
    <w:rsid w:val="1B9C5A84"/>
    <w:rsid w:val="1BA95002"/>
    <w:rsid w:val="1BC17F66"/>
    <w:rsid w:val="1BCD54C9"/>
    <w:rsid w:val="1BF41E67"/>
    <w:rsid w:val="1C0A7326"/>
    <w:rsid w:val="1C2937E5"/>
    <w:rsid w:val="1C4812D2"/>
    <w:rsid w:val="1C4F3541"/>
    <w:rsid w:val="1C5E7925"/>
    <w:rsid w:val="1C7B644A"/>
    <w:rsid w:val="1CA340D7"/>
    <w:rsid w:val="1CC3394E"/>
    <w:rsid w:val="1CD6727F"/>
    <w:rsid w:val="1CFD070F"/>
    <w:rsid w:val="1D494602"/>
    <w:rsid w:val="1D596426"/>
    <w:rsid w:val="1D5F5A06"/>
    <w:rsid w:val="1D5F6196"/>
    <w:rsid w:val="1D6132A5"/>
    <w:rsid w:val="1D796AC8"/>
    <w:rsid w:val="1D8E56D5"/>
    <w:rsid w:val="1D962FA8"/>
    <w:rsid w:val="1DAA4ED3"/>
    <w:rsid w:val="1DD4763E"/>
    <w:rsid w:val="1E4F61F2"/>
    <w:rsid w:val="1E7A43DA"/>
    <w:rsid w:val="1E7D7EF2"/>
    <w:rsid w:val="1E9B246D"/>
    <w:rsid w:val="1ED146E2"/>
    <w:rsid w:val="1F1B0525"/>
    <w:rsid w:val="1F3A4773"/>
    <w:rsid w:val="1F490DBD"/>
    <w:rsid w:val="1F5709FE"/>
    <w:rsid w:val="1F7756C6"/>
    <w:rsid w:val="1F7A08D5"/>
    <w:rsid w:val="1FA60967"/>
    <w:rsid w:val="1FD53D5E"/>
    <w:rsid w:val="1FD61FB0"/>
    <w:rsid w:val="1FD97B4B"/>
    <w:rsid w:val="1FE7539E"/>
    <w:rsid w:val="200A572A"/>
    <w:rsid w:val="2044711D"/>
    <w:rsid w:val="20517888"/>
    <w:rsid w:val="20671BE0"/>
    <w:rsid w:val="207B4B05"/>
    <w:rsid w:val="208D3AC2"/>
    <w:rsid w:val="20963CB8"/>
    <w:rsid w:val="20A81A1B"/>
    <w:rsid w:val="20B07FB6"/>
    <w:rsid w:val="20B646FB"/>
    <w:rsid w:val="20C95670"/>
    <w:rsid w:val="20CC6F0F"/>
    <w:rsid w:val="20E06E5E"/>
    <w:rsid w:val="20F32C04"/>
    <w:rsid w:val="21076199"/>
    <w:rsid w:val="2114213B"/>
    <w:rsid w:val="211C0BC7"/>
    <w:rsid w:val="21370B77"/>
    <w:rsid w:val="213B74B1"/>
    <w:rsid w:val="215A2310"/>
    <w:rsid w:val="21A258A5"/>
    <w:rsid w:val="21C14D8D"/>
    <w:rsid w:val="21D02A2F"/>
    <w:rsid w:val="21DB7B11"/>
    <w:rsid w:val="21DE318A"/>
    <w:rsid w:val="21EF5B80"/>
    <w:rsid w:val="22281B59"/>
    <w:rsid w:val="222B5EB7"/>
    <w:rsid w:val="222B6132"/>
    <w:rsid w:val="224849FC"/>
    <w:rsid w:val="224B1EF8"/>
    <w:rsid w:val="22576990"/>
    <w:rsid w:val="22607389"/>
    <w:rsid w:val="22680EB9"/>
    <w:rsid w:val="226A7B50"/>
    <w:rsid w:val="227A1400"/>
    <w:rsid w:val="228C0BEC"/>
    <w:rsid w:val="229E0695"/>
    <w:rsid w:val="22F47480"/>
    <w:rsid w:val="231D6147"/>
    <w:rsid w:val="232C5706"/>
    <w:rsid w:val="23681082"/>
    <w:rsid w:val="23832B31"/>
    <w:rsid w:val="23890393"/>
    <w:rsid w:val="23AC4C9C"/>
    <w:rsid w:val="23B01D72"/>
    <w:rsid w:val="23DD7DF1"/>
    <w:rsid w:val="23DE1C48"/>
    <w:rsid w:val="23DF10E2"/>
    <w:rsid w:val="23E44ADD"/>
    <w:rsid w:val="23E46CFB"/>
    <w:rsid w:val="23E8593E"/>
    <w:rsid w:val="240210CD"/>
    <w:rsid w:val="24224CF5"/>
    <w:rsid w:val="242855A6"/>
    <w:rsid w:val="24382E25"/>
    <w:rsid w:val="24510EA6"/>
    <w:rsid w:val="2477026F"/>
    <w:rsid w:val="249B5576"/>
    <w:rsid w:val="24A460AD"/>
    <w:rsid w:val="24B869FB"/>
    <w:rsid w:val="24BE5A3C"/>
    <w:rsid w:val="24BF09F7"/>
    <w:rsid w:val="24C87CBD"/>
    <w:rsid w:val="24D34D10"/>
    <w:rsid w:val="24FA7162"/>
    <w:rsid w:val="25076767"/>
    <w:rsid w:val="252D53FE"/>
    <w:rsid w:val="254E25E8"/>
    <w:rsid w:val="25552311"/>
    <w:rsid w:val="255F65A3"/>
    <w:rsid w:val="2584425C"/>
    <w:rsid w:val="25965D3D"/>
    <w:rsid w:val="25AE757E"/>
    <w:rsid w:val="25C25A11"/>
    <w:rsid w:val="25D074A1"/>
    <w:rsid w:val="25D96A95"/>
    <w:rsid w:val="25EC2D81"/>
    <w:rsid w:val="26086C3B"/>
    <w:rsid w:val="26377520"/>
    <w:rsid w:val="267B1515"/>
    <w:rsid w:val="26944626"/>
    <w:rsid w:val="26DB3101"/>
    <w:rsid w:val="26DF5CBA"/>
    <w:rsid w:val="26F45411"/>
    <w:rsid w:val="270C4509"/>
    <w:rsid w:val="27132A88"/>
    <w:rsid w:val="27431E51"/>
    <w:rsid w:val="275734B6"/>
    <w:rsid w:val="27637EA1"/>
    <w:rsid w:val="276C4FA7"/>
    <w:rsid w:val="277057A2"/>
    <w:rsid w:val="27912FAE"/>
    <w:rsid w:val="27B92596"/>
    <w:rsid w:val="27C052F3"/>
    <w:rsid w:val="27E845E4"/>
    <w:rsid w:val="27FB7DC9"/>
    <w:rsid w:val="281C69CE"/>
    <w:rsid w:val="28294E81"/>
    <w:rsid w:val="28935C4E"/>
    <w:rsid w:val="28EB63A0"/>
    <w:rsid w:val="29057EAF"/>
    <w:rsid w:val="29180A25"/>
    <w:rsid w:val="29206EB8"/>
    <w:rsid w:val="29301B09"/>
    <w:rsid w:val="29345F94"/>
    <w:rsid w:val="29413A4D"/>
    <w:rsid w:val="29595666"/>
    <w:rsid w:val="2976210D"/>
    <w:rsid w:val="29874881"/>
    <w:rsid w:val="298836FC"/>
    <w:rsid w:val="29BB484E"/>
    <w:rsid w:val="29E325E0"/>
    <w:rsid w:val="2A452503"/>
    <w:rsid w:val="2A52115E"/>
    <w:rsid w:val="2A6E594A"/>
    <w:rsid w:val="2A8C6FBC"/>
    <w:rsid w:val="2A9071FF"/>
    <w:rsid w:val="2A9669CD"/>
    <w:rsid w:val="2ABE3D6C"/>
    <w:rsid w:val="2AE00DAA"/>
    <w:rsid w:val="2AE02178"/>
    <w:rsid w:val="2B2218D8"/>
    <w:rsid w:val="2B334FC0"/>
    <w:rsid w:val="2B364B6C"/>
    <w:rsid w:val="2B4F482B"/>
    <w:rsid w:val="2B5962CC"/>
    <w:rsid w:val="2B764647"/>
    <w:rsid w:val="2B7D3345"/>
    <w:rsid w:val="2B8D76E4"/>
    <w:rsid w:val="2B9762ED"/>
    <w:rsid w:val="2BA936A8"/>
    <w:rsid w:val="2BAF1907"/>
    <w:rsid w:val="2BB4146C"/>
    <w:rsid w:val="2BF013E7"/>
    <w:rsid w:val="2BF437BD"/>
    <w:rsid w:val="2C1F083A"/>
    <w:rsid w:val="2C315A5A"/>
    <w:rsid w:val="2C4B1C25"/>
    <w:rsid w:val="2C6A76A9"/>
    <w:rsid w:val="2C7212B2"/>
    <w:rsid w:val="2CA324FA"/>
    <w:rsid w:val="2CAF6281"/>
    <w:rsid w:val="2CB74433"/>
    <w:rsid w:val="2D07420C"/>
    <w:rsid w:val="2D3774B9"/>
    <w:rsid w:val="2D3C1DE0"/>
    <w:rsid w:val="2D4F6EFD"/>
    <w:rsid w:val="2D540198"/>
    <w:rsid w:val="2D6A3FD5"/>
    <w:rsid w:val="2D7257E9"/>
    <w:rsid w:val="2D97708E"/>
    <w:rsid w:val="2D9E56F5"/>
    <w:rsid w:val="2DA51012"/>
    <w:rsid w:val="2DCF4F1D"/>
    <w:rsid w:val="2DD332D6"/>
    <w:rsid w:val="2DE53F97"/>
    <w:rsid w:val="2E2C723F"/>
    <w:rsid w:val="2E3D31FA"/>
    <w:rsid w:val="2E5945BC"/>
    <w:rsid w:val="2E667F96"/>
    <w:rsid w:val="2E6E51BA"/>
    <w:rsid w:val="2E8226AB"/>
    <w:rsid w:val="2E953CEF"/>
    <w:rsid w:val="2ECC182D"/>
    <w:rsid w:val="2EFD36CC"/>
    <w:rsid w:val="2F1A59E5"/>
    <w:rsid w:val="2F286A76"/>
    <w:rsid w:val="2F5F283E"/>
    <w:rsid w:val="2F770753"/>
    <w:rsid w:val="2F9745CC"/>
    <w:rsid w:val="2FD065E6"/>
    <w:rsid w:val="2FD96870"/>
    <w:rsid w:val="30515682"/>
    <w:rsid w:val="30580BC9"/>
    <w:rsid w:val="305E56A9"/>
    <w:rsid w:val="305F1B4D"/>
    <w:rsid w:val="307B6FB3"/>
    <w:rsid w:val="307C5933"/>
    <w:rsid w:val="3082583C"/>
    <w:rsid w:val="30954F42"/>
    <w:rsid w:val="30973E22"/>
    <w:rsid w:val="30B506F2"/>
    <w:rsid w:val="30FA5BDC"/>
    <w:rsid w:val="310E0E7D"/>
    <w:rsid w:val="311E2ED7"/>
    <w:rsid w:val="31344D88"/>
    <w:rsid w:val="315038DA"/>
    <w:rsid w:val="315619EE"/>
    <w:rsid w:val="315C449C"/>
    <w:rsid w:val="316B2774"/>
    <w:rsid w:val="31A454F1"/>
    <w:rsid w:val="31B82709"/>
    <w:rsid w:val="31BF1EA1"/>
    <w:rsid w:val="31C047A2"/>
    <w:rsid w:val="31D05482"/>
    <w:rsid w:val="31D2228D"/>
    <w:rsid w:val="3215127F"/>
    <w:rsid w:val="321B1AA4"/>
    <w:rsid w:val="322502D5"/>
    <w:rsid w:val="322F554F"/>
    <w:rsid w:val="323852C7"/>
    <w:rsid w:val="32400B34"/>
    <w:rsid w:val="32456B21"/>
    <w:rsid w:val="325672D3"/>
    <w:rsid w:val="325720E3"/>
    <w:rsid w:val="329E6876"/>
    <w:rsid w:val="32A73338"/>
    <w:rsid w:val="32CD05D6"/>
    <w:rsid w:val="32EE3FBF"/>
    <w:rsid w:val="32FA64D9"/>
    <w:rsid w:val="3304788D"/>
    <w:rsid w:val="331E4257"/>
    <w:rsid w:val="333015F2"/>
    <w:rsid w:val="333460D2"/>
    <w:rsid w:val="334B6320"/>
    <w:rsid w:val="33641229"/>
    <w:rsid w:val="33882A7A"/>
    <w:rsid w:val="339306F4"/>
    <w:rsid w:val="33A178C1"/>
    <w:rsid w:val="33A904D9"/>
    <w:rsid w:val="33B5246C"/>
    <w:rsid w:val="33BA65B8"/>
    <w:rsid w:val="33D04B10"/>
    <w:rsid w:val="33D934D4"/>
    <w:rsid w:val="33DC4F75"/>
    <w:rsid w:val="33E22638"/>
    <w:rsid w:val="33FE2F6A"/>
    <w:rsid w:val="340E07E5"/>
    <w:rsid w:val="341A2FC8"/>
    <w:rsid w:val="34235BF7"/>
    <w:rsid w:val="343F4366"/>
    <w:rsid w:val="346B3DE0"/>
    <w:rsid w:val="34781430"/>
    <w:rsid w:val="347B272F"/>
    <w:rsid w:val="34847DD4"/>
    <w:rsid w:val="349E0D05"/>
    <w:rsid w:val="34B40A30"/>
    <w:rsid w:val="351106F1"/>
    <w:rsid w:val="35152ED3"/>
    <w:rsid w:val="352769B2"/>
    <w:rsid w:val="354B7425"/>
    <w:rsid w:val="3556116F"/>
    <w:rsid w:val="3574066C"/>
    <w:rsid w:val="358C5FA8"/>
    <w:rsid w:val="35B40D14"/>
    <w:rsid w:val="35C15DF1"/>
    <w:rsid w:val="35D408E8"/>
    <w:rsid w:val="36074A7F"/>
    <w:rsid w:val="36200AE6"/>
    <w:rsid w:val="36392E40"/>
    <w:rsid w:val="36432BB5"/>
    <w:rsid w:val="36560174"/>
    <w:rsid w:val="36581EF8"/>
    <w:rsid w:val="36923549"/>
    <w:rsid w:val="369D6F2B"/>
    <w:rsid w:val="36B75FBF"/>
    <w:rsid w:val="36BD0C45"/>
    <w:rsid w:val="36C0343A"/>
    <w:rsid w:val="36E2601A"/>
    <w:rsid w:val="37031944"/>
    <w:rsid w:val="37040068"/>
    <w:rsid w:val="3707366B"/>
    <w:rsid w:val="372C7136"/>
    <w:rsid w:val="37A34982"/>
    <w:rsid w:val="37B02135"/>
    <w:rsid w:val="37DE3E7F"/>
    <w:rsid w:val="37E00298"/>
    <w:rsid w:val="37EA6580"/>
    <w:rsid w:val="37FC5AA2"/>
    <w:rsid w:val="380703D4"/>
    <w:rsid w:val="3809239F"/>
    <w:rsid w:val="380B6117"/>
    <w:rsid w:val="380D7EE6"/>
    <w:rsid w:val="38102B37"/>
    <w:rsid w:val="38482EC7"/>
    <w:rsid w:val="3849573E"/>
    <w:rsid w:val="387872A7"/>
    <w:rsid w:val="38797524"/>
    <w:rsid w:val="38806B05"/>
    <w:rsid w:val="388C36FB"/>
    <w:rsid w:val="388F28E6"/>
    <w:rsid w:val="38B302F9"/>
    <w:rsid w:val="38B56576"/>
    <w:rsid w:val="38B84ACD"/>
    <w:rsid w:val="38BD4BDD"/>
    <w:rsid w:val="38CF3C64"/>
    <w:rsid w:val="38D8711A"/>
    <w:rsid w:val="38F12CD3"/>
    <w:rsid w:val="38F94775"/>
    <w:rsid w:val="38FE5C7B"/>
    <w:rsid w:val="3908699F"/>
    <w:rsid w:val="39113C01"/>
    <w:rsid w:val="391F734F"/>
    <w:rsid w:val="392971ED"/>
    <w:rsid w:val="39325651"/>
    <w:rsid w:val="394606E6"/>
    <w:rsid w:val="39C01BE6"/>
    <w:rsid w:val="39E62997"/>
    <w:rsid w:val="3A231646"/>
    <w:rsid w:val="3A647D60"/>
    <w:rsid w:val="3A872856"/>
    <w:rsid w:val="3A995C5C"/>
    <w:rsid w:val="3AB75147"/>
    <w:rsid w:val="3AF84763"/>
    <w:rsid w:val="3B072153"/>
    <w:rsid w:val="3B3012C6"/>
    <w:rsid w:val="3B3763D1"/>
    <w:rsid w:val="3B384C6F"/>
    <w:rsid w:val="3B7E0CAF"/>
    <w:rsid w:val="3B84690C"/>
    <w:rsid w:val="3B9D21C6"/>
    <w:rsid w:val="3BB77BFA"/>
    <w:rsid w:val="3BB94E28"/>
    <w:rsid w:val="3BC05E56"/>
    <w:rsid w:val="3BF35840"/>
    <w:rsid w:val="3C061FD5"/>
    <w:rsid w:val="3C0A3F69"/>
    <w:rsid w:val="3C2F6E1E"/>
    <w:rsid w:val="3C4F64BA"/>
    <w:rsid w:val="3C746980"/>
    <w:rsid w:val="3C951B5E"/>
    <w:rsid w:val="3CA43C97"/>
    <w:rsid w:val="3CBA021B"/>
    <w:rsid w:val="3CD02CB1"/>
    <w:rsid w:val="3CDA245A"/>
    <w:rsid w:val="3CE753A4"/>
    <w:rsid w:val="3D0D04D5"/>
    <w:rsid w:val="3D1E06B7"/>
    <w:rsid w:val="3D25335F"/>
    <w:rsid w:val="3D272CC8"/>
    <w:rsid w:val="3D3305EE"/>
    <w:rsid w:val="3D627C31"/>
    <w:rsid w:val="3D6C7658"/>
    <w:rsid w:val="3D8A3F82"/>
    <w:rsid w:val="3D8A7280"/>
    <w:rsid w:val="3D8D719C"/>
    <w:rsid w:val="3DAA201F"/>
    <w:rsid w:val="3DAE6180"/>
    <w:rsid w:val="3DD1618F"/>
    <w:rsid w:val="3DF13633"/>
    <w:rsid w:val="3E224502"/>
    <w:rsid w:val="3E295549"/>
    <w:rsid w:val="3E6C390E"/>
    <w:rsid w:val="3E6D67A8"/>
    <w:rsid w:val="3E83314E"/>
    <w:rsid w:val="3EB073EA"/>
    <w:rsid w:val="3EDA0523"/>
    <w:rsid w:val="3EED5E4B"/>
    <w:rsid w:val="3EF75647"/>
    <w:rsid w:val="3F09005F"/>
    <w:rsid w:val="3F0D25DF"/>
    <w:rsid w:val="3F121AFA"/>
    <w:rsid w:val="3F30198B"/>
    <w:rsid w:val="3F39181E"/>
    <w:rsid w:val="3F586180"/>
    <w:rsid w:val="3F675DCE"/>
    <w:rsid w:val="3F967021"/>
    <w:rsid w:val="3FAF7CCF"/>
    <w:rsid w:val="3FBF7338"/>
    <w:rsid w:val="3FC55C45"/>
    <w:rsid w:val="3FCF3667"/>
    <w:rsid w:val="3FEE6DA6"/>
    <w:rsid w:val="3FFC1746"/>
    <w:rsid w:val="405311AD"/>
    <w:rsid w:val="406529E3"/>
    <w:rsid w:val="407A6407"/>
    <w:rsid w:val="409219E4"/>
    <w:rsid w:val="40A64DE1"/>
    <w:rsid w:val="40D142FA"/>
    <w:rsid w:val="414A5F02"/>
    <w:rsid w:val="415648A7"/>
    <w:rsid w:val="415D53B6"/>
    <w:rsid w:val="41821468"/>
    <w:rsid w:val="418C1C92"/>
    <w:rsid w:val="419D24D5"/>
    <w:rsid w:val="41A07E12"/>
    <w:rsid w:val="41A14A49"/>
    <w:rsid w:val="41B33C5A"/>
    <w:rsid w:val="41B9630E"/>
    <w:rsid w:val="4200449D"/>
    <w:rsid w:val="42004757"/>
    <w:rsid w:val="423A3BCC"/>
    <w:rsid w:val="424E57D2"/>
    <w:rsid w:val="42864D18"/>
    <w:rsid w:val="428B4FCB"/>
    <w:rsid w:val="429D02B3"/>
    <w:rsid w:val="42A81F43"/>
    <w:rsid w:val="42B26C49"/>
    <w:rsid w:val="42B722CA"/>
    <w:rsid w:val="42C93541"/>
    <w:rsid w:val="42CB3700"/>
    <w:rsid w:val="42D81056"/>
    <w:rsid w:val="42E266E8"/>
    <w:rsid w:val="42E8357D"/>
    <w:rsid w:val="42F86FFF"/>
    <w:rsid w:val="431864E9"/>
    <w:rsid w:val="43221C8F"/>
    <w:rsid w:val="432842DB"/>
    <w:rsid w:val="433A6FE6"/>
    <w:rsid w:val="433F136A"/>
    <w:rsid w:val="43407C2C"/>
    <w:rsid w:val="43424B0F"/>
    <w:rsid w:val="4346094B"/>
    <w:rsid w:val="43480868"/>
    <w:rsid w:val="4350713C"/>
    <w:rsid w:val="435801E1"/>
    <w:rsid w:val="435B14B3"/>
    <w:rsid w:val="436653E0"/>
    <w:rsid w:val="437E6C9A"/>
    <w:rsid w:val="43972F54"/>
    <w:rsid w:val="43A17EF3"/>
    <w:rsid w:val="43AB3ED1"/>
    <w:rsid w:val="43C4431A"/>
    <w:rsid w:val="43C71957"/>
    <w:rsid w:val="43CB512D"/>
    <w:rsid w:val="43E340AE"/>
    <w:rsid w:val="44062C91"/>
    <w:rsid w:val="441B278D"/>
    <w:rsid w:val="443B714D"/>
    <w:rsid w:val="4453411C"/>
    <w:rsid w:val="44597F42"/>
    <w:rsid w:val="447B498C"/>
    <w:rsid w:val="44A41DCD"/>
    <w:rsid w:val="44AD6842"/>
    <w:rsid w:val="44B951CC"/>
    <w:rsid w:val="44C90895"/>
    <w:rsid w:val="44CD14E0"/>
    <w:rsid w:val="44D8359C"/>
    <w:rsid w:val="44E346A3"/>
    <w:rsid w:val="44E424C2"/>
    <w:rsid w:val="44E72A6E"/>
    <w:rsid w:val="44EC3940"/>
    <w:rsid w:val="44F20B0B"/>
    <w:rsid w:val="451032DC"/>
    <w:rsid w:val="45240818"/>
    <w:rsid w:val="452E5F4C"/>
    <w:rsid w:val="453705DF"/>
    <w:rsid w:val="45612018"/>
    <w:rsid w:val="45630E4A"/>
    <w:rsid w:val="45642602"/>
    <w:rsid w:val="456C42B5"/>
    <w:rsid w:val="45831F64"/>
    <w:rsid w:val="458946E9"/>
    <w:rsid w:val="45A47C0E"/>
    <w:rsid w:val="45A67457"/>
    <w:rsid w:val="46112CF0"/>
    <w:rsid w:val="464C0026"/>
    <w:rsid w:val="465144E7"/>
    <w:rsid w:val="46577FD6"/>
    <w:rsid w:val="468372C5"/>
    <w:rsid w:val="46B24D85"/>
    <w:rsid w:val="46B83E8A"/>
    <w:rsid w:val="46C73B51"/>
    <w:rsid w:val="46D955A7"/>
    <w:rsid w:val="46F8653D"/>
    <w:rsid w:val="47133957"/>
    <w:rsid w:val="471D57F4"/>
    <w:rsid w:val="47246558"/>
    <w:rsid w:val="472644DE"/>
    <w:rsid w:val="47350F3E"/>
    <w:rsid w:val="47356D0C"/>
    <w:rsid w:val="47445AFA"/>
    <w:rsid w:val="4745445A"/>
    <w:rsid w:val="474D51D4"/>
    <w:rsid w:val="475B0191"/>
    <w:rsid w:val="475F3D89"/>
    <w:rsid w:val="477535AD"/>
    <w:rsid w:val="47A07E0C"/>
    <w:rsid w:val="47CA1C20"/>
    <w:rsid w:val="47D76015"/>
    <w:rsid w:val="47EA1AD9"/>
    <w:rsid w:val="47F44862"/>
    <w:rsid w:val="47F94085"/>
    <w:rsid w:val="480706A9"/>
    <w:rsid w:val="48341281"/>
    <w:rsid w:val="485D293B"/>
    <w:rsid w:val="48700B8F"/>
    <w:rsid w:val="4870272E"/>
    <w:rsid w:val="48A142A3"/>
    <w:rsid w:val="48A16BAF"/>
    <w:rsid w:val="48A45360"/>
    <w:rsid w:val="48B164FA"/>
    <w:rsid w:val="48C655B8"/>
    <w:rsid w:val="48E44E8E"/>
    <w:rsid w:val="49056A08"/>
    <w:rsid w:val="491312CF"/>
    <w:rsid w:val="49230CFB"/>
    <w:rsid w:val="493A03B7"/>
    <w:rsid w:val="496725DB"/>
    <w:rsid w:val="49720D88"/>
    <w:rsid w:val="49761789"/>
    <w:rsid w:val="497669B1"/>
    <w:rsid w:val="499F6CD5"/>
    <w:rsid w:val="49DC7715"/>
    <w:rsid w:val="49F03716"/>
    <w:rsid w:val="4A023139"/>
    <w:rsid w:val="4A0408E4"/>
    <w:rsid w:val="4A2D4A3A"/>
    <w:rsid w:val="4A661F13"/>
    <w:rsid w:val="4A7B576F"/>
    <w:rsid w:val="4A8A1D7C"/>
    <w:rsid w:val="4AEF144D"/>
    <w:rsid w:val="4AF40C8C"/>
    <w:rsid w:val="4AF561A9"/>
    <w:rsid w:val="4B5F4A85"/>
    <w:rsid w:val="4B702A09"/>
    <w:rsid w:val="4BDD6CE9"/>
    <w:rsid w:val="4BF36D83"/>
    <w:rsid w:val="4C094415"/>
    <w:rsid w:val="4C38075D"/>
    <w:rsid w:val="4C4A0649"/>
    <w:rsid w:val="4C4A248A"/>
    <w:rsid w:val="4C687B84"/>
    <w:rsid w:val="4C7E5ECA"/>
    <w:rsid w:val="4C876AA5"/>
    <w:rsid w:val="4CBE77A4"/>
    <w:rsid w:val="4CC36906"/>
    <w:rsid w:val="4D0E00FB"/>
    <w:rsid w:val="4D176606"/>
    <w:rsid w:val="4D2C4764"/>
    <w:rsid w:val="4D401408"/>
    <w:rsid w:val="4D404948"/>
    <w:rsid w:val="4D5C0D63"/>
    <w:rsid w:val="4D926C66"/>
    <w:rsid w:val="4D9725D8"/>
    <w:rsid w:val="4DC64B62"/>
    <w:rsid w:val="4DEC4FB0"/>
    <w:rsid w:val="4E075D8A"/>
    <w:rsid w:val="4E375A60"/>
    <w:rsid w:val="4E3C3994"/>
    <w:rsid w:val="4E464764"/>
    <w:rsid w:val="4E5C690F"/>
    <w:rsid w:val="4E656129"/>
    <w:rsid w:val="4E6E3771"/>
    <w:rsid w:val="4E6F0D56"/>
    <w:rsid w:val="4E8C7C9C"/>
    <w:rsid w:val="4E8D5680"/>
    <w:rsid w:val="4E9F5F5D"/>
    <w:rsid w:val="4EAC7826"/>
    <w:rsid w:val="4EB54B97"/>
    <w:rsid w:val="4EC00FAD"/>
    <w:rsid w:val="4ECE6679"/>
    <w:rsid w:val="4ED31621"/>
    <w:rsid w:val="4EDE412D"/>
    <w:rsid w:val="4F270216"/>
    <w:rsid w:val="4F2B6602"/>
    <w:rsid w:val="4F343D4D"/>
    <w:rsid w:val="4F5A37B4"/>
    <w:rsid w:val="4F9843DC"/>
    <w:rsid w:val="4FA95438"/>
    <w:rsid w:val="4FC62A8C"/>
    <w:rsid w:val="4FDC094E"/>
    <w:rsid w:val="4FE20F0D"/>
    <w:rsid w:val="4FE51552"/>
    <w:rsid w:val="4FFC0BC5"/>
    <w:rsid w:val="500B0081"/>
    <w:rsid w:val="504601DC"/>
    <w:rsid w:val="50504C4B"/>
    <w:rsid w:val="50704555"/>
    <w:rsid w:val="509C6E7C"/>
    <w:rsid w:val="50CD5DC8"/>
    <w:rsid w:val="50D852D8"/>
    <w:rsid w:val="512F1EE3"/>
    <w:rsid w:val="513D513B"/>
    <w:rsid w:val="514A063E"/>
    <w:rsid w:val="5162104E"/>
    <w:rsid w:val="517F7502"/>
    <w:rsid w:val="51815AD1"/>
    <w:rsid w:val="518B234A"/>
    <w:rsid w:val="51EF50B3"/>
    <w:rsid w:val="52417FE8"/>
    <w:rsid w:val="52432C25"/>
    <w:rsid w:val="52460BB4"/>
    <w:rsid w:val="524732CB"/>
    <w:rsid w:val="524D6643"/>
    <w:rsid w:val="52A1316F"/>
    <w:rsid w:val="52C11A6B"/>
    <w:rsid w:val="53061AFF"/>
    <w:rsid w:val="53566988"/>
    <w:rsid w:val="53925303"/>
    <w:rsid w:val="53A039CC"/>
    <w:rsid w:val="53A1505A"/>
    <w:rsid w:val="53C71634"/>
    <w:rsid w:val="53FF37FC"/>
    <w:rsid w:val="54063E08"/>
    <w:rsid w:val="543437E8"/>
    <w:rsid w:val="54372316"/>
    <w:rsid w:val="543A1E06"/>
    <w:rsid w:val="544773A1"/>
    <w:rsid w:val="546155E5"/>
    <w:rsid w:val="54731F87"/>
    <w:rsid w:val="547439F3"/>
    <w:rsid w:val="54B16EC7"/>
    <w:rsid w:val="54E12E69"/>
    <w:rsid w:val="54E2666A"/>
    <w:rsid w:val="54F1675A"/>
    <w:rsid w:val="54F73313"/>
    <w:rsid w:val="54F75F49"/>
    <w:rsid w:val="54F80955"/>
    <w:rsid w:val="550C4609"/>
    <w:rsid w:val="550D7E46"/>
    <w:rsid w:val="55230AEC"/>
    <w:rsid w:val="55292B74"/>
    <w:rsid w:val="554F6DE9"/>
    <w:rsid w:val="555170A7"/>
    <w:rsid w:val="55771415"/>
    <w:rsid w:val="5587536D"/>
    <w:rsid w:val="55905C8F"/>
    <w:rsid w:val="55911EF9"/>
    <w:rsid w:val="559B174B"/>
    <w:rsid w:val="559B1AD4"/>
    <w:rsid w:val="559B4DE2"/>
    <w:rsid w:val="559E0172"/>
    <w:rsid w:val="55A51501"/>
    <w:rsid w:val="55B33C1E"/>
    <w:rsid w:val="55CE0CF4"/>
    <w:rsid w:val="5624150D"/>
    <w:rsid w:val="56326F81"/>
    <w:rsid w:val="564912C8"/>
    <w:rsid w:val="5678413C"/>
    <w:rsid w:val="568832FC"/>
    <w:rsid w:val="56A874FB"/>
    <w:rsid w:val="56B13E60"/>
    <w:rsid w:val="56B22A9C"/>
    <w:rsid w:val="56B71F76"/>
    <w:rsid w:val="56CF2CD9"/>
    <w:rsid w:val="56D7393C"/>
    <w:rsid w:val="56DC2604"/>
    <w:rsid w:val="56E637AB"/>
    <w:rsid w:val="56EB2B7A"/>
    <w:rsid w:val="570A3D11"/>
    <w:rsid w:val="5714645E"/>
    <w:rsid w:val="571903F8"/>
    <w:rsid w:val="574B0E81"/>
    <w:rsid w:val="575F27ED"/>
    <w:rsid w:val="57603129"/>
    <w:rsid w:val="577B223E"/>
    <w:rsid w:val="578A6ED2"/>
    <w:rsid w:val="5799623D"/>
    <w:rsid w:val="57B72A76"/>
    <w:rsid w:val="57C3426C"/>
    <w:rsid w:val="57CE1F93"/>
    <w:rsid w:val="580A5F6B"/>
    <w:rsid w:val="584A78E5"/>
    <w:rsid w:val="58564D34"/>
    <w:rsid w:val="586B4C84"/>
    <w:rsid w:val="586F0A07"/>
    <w:rsid w:val="588743D1"/>
    <w:rsid w:val="5887701A"/>
    <w:rsid w:val="588F56E2"/>
    <w:rsid w:val="58A41F44"/>
    <w:rsid w:val="58B43908"/>
    <w:rsid w:val="58BD2171"/>
    <w:rsid w:val="58D00680"/>
    <w:rsid w:val="58E46427"/>
    <w:rsid w:val="59173DD4"/>
    <w:rsid w:val="592B0AC6"/>
    <w:rsid w:val="593C3F2A"/>
    <w:rsid w:val="598B09A5"/>
    <w:rsid w:val="598C4692"/>
    <w:rsid w:val="59C0439F"/>
    <w:rsid w:val="59C208D3"/>
    <w:rsid w:val="59DB1995"/>
    <w:rsid w:val="59E074F3"/>
    <w:rsid w:val="59EB1022"/>
    <w:rsid w:val="5A0A6726"/>
    <w:rsid w:val="5A2E415D"/>
    <w:rsid w:val="5A6204F4"/>
    <w:rsid w:val="5A836A9E"/>
    <w:rsid w:val="5A9C1E35"/>
    <w:rsid w:val="5AAB7282"/>
    <w:rsid w:val="5ABE2233"/>
    <w:rsid w:val="5AED4D87"/>
    <w:rsid w:val="5B444178"/>
    <w:rsid w:val="5B5734D4"/>
    <w:rsid w:val="5B62159B"/>
    <w:rsid w:val="5B6D2AC1"/>
    <w:rsid w:val="5B82632D"/>
    <w:rsid w:val="5BB27F50"/>
    <w:rsid w:val="5BB66640"/>
    <w:rsid w:val="5BD06347"/>
    <w:rsid w:val="5BDB5C7C"/>
    <w:rsid w:val="5BDF5D95"/>
    <w:rsid w:val="5BFE7528"/>
    <w:rsid w:val="5C3C5FFF"/>
    <w:rsid w:val="5C472DBA"/>
    <w:rsid w:val="5C6F4617"/>
    <w:rsid w:val="5C822B4E"/>
    <w:rsid w:val="5CA95D7B"/>
    <w:rsid w:val="5CD20B3D"/>
    <w:rsid w:val="5CEB1826"/>
    <w:rsid w:val="5CF55ADB"/>
    <w:rsid w:val="5CFF47A4"/>
    <w:rsid w:val="5D235B2D"/>
    <w:rsid w:val="5D3B1B56"/>
    <w:rsid w:val="5D7460B1"/>
    <w:rsid w:val="5DAE3C62"/>
    <w:rsid w:val="5DE17913"/>
    <w:rsid w:val="5E0C10BA"/>
    <w:rsid w:val="5E161A69"/>
    <w:rsid w:val="5E183FDF"/>
    <w:rsid w:val="5E1F587D"/>
    <w:rsid w:val="5E2467F1"/>
    <w:rsid w:val="5E2A2EEB"/>
    <w:rsid w:val="5E5E3C0E"/>
    <w:rsid w:val="5E756219"/>
    <w:rsid w:val="5E875C48"/>
    <w:rsid w:val="5E8D2EF3"/>
    <w:rsid w:val="5E8F1553"/>
    <w:rsid w:val="5E94637A"/>
    <w:rsid w:val="5E9A131E"/>
    <w:rsid w:val="5EA426FE"/>
    <w:rsid w:val="5EC13A9A"/>
    <w:rsid w:val="5EE76A32"/>
    <w:rsid w:val="5F01099A"/>
    <w:rsid w:val="5F1A2B43"/>
    <w:rsid w:val="5F1A2F60"/>
    <w:rsid w:val="5F541C4C"/>
    <w:rsid w:val="5F6F1407"/>
    <w:rsid w:val="5FB837BB"/>
    <w:rsid w:val="5FC65001"/>
    <w:rsid w:val="5FF520F6"/>
    <w:rsid w:val="601747F5"/>
    <w:rsid w:val="6020061E"/>
    <w:rsid w:val="6022155E"/>
    <w:rsid w:val="604A4DB6"/>
    <w:rsid w:val="6052563D"/>
    <w:rsid w:val="6057789C"/>
    <w:rsid w:val="606C15C7"/>
    <w:rsid w:val="608656C2"/>
    <w:rsid w:val="608E3EBE"/>
    <w:rsid w:val="60CC405A"/>
    <w:rsid w:val="60CC5F8D"/>
    <w:rsid w:val="60D55390"/>
    <w:rsid w:val="60F33A68"/>
    <w:rsid w:val="610A0718"/>
    <w:rsid w:val="610F4A60"/>
    <w:rsid w:val="611A49DB"/>
    <w:rsid w:val="61211EFE"/>
    <w:rsid w:val="612B0AF4"/>
    <w:rsid w:val="612C5F0B"/>
    <w:rsid w:val="612D758D"/>
    <w:rsid w:val="61397635"/>
    <w:rsid w:val="614E5D93"/>
    <w:rsid w:val="6175079F"/>
    <w:rsid w:val="61A9253C"/>
    <w:rsid w:val="61BE2D93"/>
    <w:rsid w:val="61C251E9"/>
    <w:rsid w:val="61D6552D"/>
    <w:rsid w:val="61E215D8"/>
    <w:rsid w:val="61EC17C9"/>
    <w:rsid w:val="61F45893"/>
    <w:rsid w:val="61F950AE"/>
    <w:rsid w:val="621B3775"/>
    <w:rsid w:val="622C5484"/>
    <w:rsid w:val="62361E5F"/>
    <w:rsid w:val="62364782"/>
    <w:rsid w:val="62391C1D"/>
    <w:rsid w:val="6239785B"/>
    <w:rsid w:val="625079CB"/>
    <w:rsid w:val="629D0130"/>
    <w:rsid w:val="62AF7C84"/>
    <w:rsid w:val="62BE539F"/>
    <w:rsid w:val="62F55A1E"/>
    <w:rsid w:val="62F634DC"/>
    <w:rsid w:val="62F87114"/>
    <w:rsid w:val="62FD0BCE"/>
    <w:rsid w:val="62FE04A2"/>
    <w:rsid w:val="6300421A"/>
    <w:rsid w:val="63123C65"/>
    <w:rsid w:val="632D65C5"/>
    <w:rsid w:val="63895751"/>
    <w:rsid w:val="6394356A"/>
    <w:rsid w:val="63AD1384"/>
    <w:rsid w:val="63C61B2C"/>
    <w:rsid w:val="63D40BE9"/>
    <w:rsid w:val="63FA510E"/>
    <w:rsid w:val="64102431"/>
    <w:rsid w:val="642D4142"/>
    <w:rsid w:val="64300B2F"/>
    <w:rsid w:val="643979E4"/>
    <w:rsid w:val="647A3D15"/>
    <w:rsid w:val="64886A20"/>
    <w:rsid w:val="64967F30"/>
    <w:rsid w:val="64A5243A"/>
    <w:rsid w:val="64F531DE"/>
    <w:rsid w:val="65362C98"/>
    <w:rsid w:val="65373578"/>
    <w:rsid w:val="654961FB"/>
    <w:rsid w:val="65604E8E"/>
    <w:rsid w:val="65B85280"/>
    <w:rsid w:val="65B9754B"/>
    <w:rsid w:val="65E33490"/>
    <w:rsid w:val="65FE0EE5"/>
    <w:rsid w:val="65FF1DFC"/>
    <w:rsid w:val="66707909"/>
    <w:rsid w:val="66943D9A"/>
    <w:rsid w:val="669D65A0"/>
    <w:rsid w:val="66B44008"/>
    <w:rsid w:val="66E44601"/>
    <w:rsid w:val="671E7365"/>
    <w:rsid w:val="671F124A"/>
    <w:rsid w:val="676C40B5"/>
    <w:rsid w:val="676E01EF"/>
    <w:rsid w:val="677A33C6"/>
    <w:rsid w:val="67874F0A"/>
    <w:rsid w:val="680717F6"/>
    <w:rsid w:val="681F6961"/>
    <w:rsid w:val="68610A2F"/>
    <w:rsid w:val="68686AEA"/>
    <w:rsid w:val="686E181E"/>
    <w:rsid w:val="68805514"/>
    <w:rsid w:val="68972D9E"/>
    <w:rsid w:val="68A85CB1"/>
    <w:rsid w:val="68C04C76"/>
    <w:rsid w:val="68D73C6F"/>
    <w:rsid w:val="68E3245D"/>
    <w:rsid w:val="68FC0088"/>
    <w:rsid w:val="6902043B"/>
    <w:rsid w:val="69131FA4"/>
    <w:rsid w:val="6914510F"/>
    <w:rsid w:val="69316E2F"/>
    <w:rsid w:val="69334D94"/>
    <w:rsid w:val="693966D8"/>
    <w:rsid w:val="694E2071"/>
    <w:rsid w:val="695121D7"/>
    <w:rsid w:val="6959335E"/>
    <w:rsid w:val="69766163"/>
    <w:rsid w:val="697A15A9"/>
    <w:rsid w:val="697A3B33"/>
    <w:rsid w:val="69B313B8"/>
    <w:rsid w:val="69CE0BCF"/>
    <w:rsid w:val="69D44760"/>
    <w:rsid w:val="69D8119A"/>
    <w:rsid w:val="69FF2708"/>
    <w:rsid w:val="6A29454E"/>
    <w:rsid w:val="6A325601"/>
    <w:rsid w:val="6A373753"/>
    <w:rsid w:val="6A4470E3"/>
    <w:rsid w:val="6A520EC7"/>
    <w:rsid w:val="6A5C267E"/>
    <w:rsid w:val="6A680501"/>
    <w:rsid w:val="6A9176A1"/>
    <w:rsid w:val="6AD211B7"/>
    <w:rsid w:val="6AE23394"/>
    <w:rsid w:val="6AF87E20"/>
    <w:rsid w:val="6B322639"/>
    <w:rsid w:val="6B87372B"/>
    <w:rsid w:val="6B8D6867"/>
    <w:rsid w:val="6BB5675A"/>
    <w:rsid w:val="6BD90241"/>
    <w:rsid w:val="6BEC0213"/>
    <w:rsid w:val="6C086A12"/>
    <w:rsid w:val="6C307C89"/>
    <w:rsid w:val="6C311892"/>
    <w:rsid w:val="6C4C4CC5"/>
    <w:rsid w:val="6C636C38"/>
    <w:rsid w:val="6C9F489D"/>
    <w:rsid w:val="6CBD219B"/>
    <w:rsid w:val="6CFD0916"/>
    <w:rsid w:val="6D0F4B4D"/>
    <w:rsid w:val="6D1C5BEC"/>
    <w:rsid w:val="6D2B363B"/>
    <w:rsid w:val="6D3062D7"/>
    <w:rsid w:val="6D3C22F3"/>
    <w:rsid w:val="6D5367B4"/>
    <w:rsid w:val="6D6139FE"/>
    <w:rsid w:val="6DA2439E"/>
    <w:rsid w:val="6DB34098"/>
    <w:rsid w:val="6DB545B6"/>
    <w:rsid w:val="6DC843F3"/>
    <w:rsid w:val="6DCF760B"/>
    <w:rsid w:val="6DD4629B"/>
    <w:rsid w:val="6DE02FB4"/>
    <w:rsid w:val="6DED797A"/>
    <w:rsid w:val="6DF662D2"/>
    <w:rsid w:val="6DFB4BD0"/>
    <w:rsid w:val="6E423939"/>
    <w:rsid w:val="6E473721"/>
    <w:rsid w:val="6E514CED"/>
    <w:rsid w:val="6E5303BB"/>
    <w:rsid w:val="6E7C7ABE"/>
    <w:rsid w:val="6EB563D5"/>
    <w:rsid w:val="6EC30F1E"/>
    <w:rsid w:val="6ED61147"/>
    <w:rsid w:val="6ED92677"/>
    <w:rsid w:val="6EE657CE"/>
    <w:rsid w:val="6EEF651A"/>
    <w:rsid w:val="6EF0170D"/>
    <w:rsid w:val="6EF47329"/>
    <w:rsid w:val="6F0D75C1"/>
    <w:rsid w:val="6F225983"/>
    <w:rsid w:val="6F317882"/>
    <w:rsid w:val="6F4E3F5C"/>
    <w:rsid w:val="6F543924"/>
    <w:rsid w:val="6F920B6D"/>
    <w:rsid w:val="6FBE5547"/>
    <w:rsid w:val="6FEC2C18"/>
    <w:rsid w:val="6FEF3BF3"/>
    <w:rsid w:val="6FFB4661"/>
    <w:rsid w:val="6FFC5590"/>
    <w:rsid w:val="7009376F"/>
    <w:rsid w:val="70425513"/>
    <w:rsid w:val="705B4D03"/>
    <w:rsid w:val="706D1DD0"/>
    <w:rsid w:val="70856B87"/>
    <w:rsid w:val="70861820"/>
    <w:rsid w:val="708D3B80"/>
    <w:rsid w:val="70BF224B"/>
    <w:rsid w:val="70C61013"/>
    <w:rsid w:val="70D527EE"/>
    <w:rsid w:val="70DC0075"/>
    <w:rsid w:val="70EC76B8"/>
    <w:rsid w:val="710234FA"/>
    <w:rsid w:val="711F61B4"/>
    <w:rsid w:val="713439A9"/>
    <w:rsid w:val="713A7342"/>
    <w:rsid w:val="714D6532"/>
    <w:rsid w:val="715B5300"/>
    <w:rsid w:val="715F2174"/>
    <w:rsid w:val="71775FF0"/>
    <w:rsid w:val="717928ED"/>
    <w:rsid w:val="718B4F92"/>
    <w:rsid w:val="719E0A62"/>
    <w:rsid w:val="71A87F57"/>
    <w:rsid w:val="71AB233F"/>
    <w:rsid w:val="71CB2870"/>
    <w:rsid w:val="71D27F8A"/>
    <w:rsid w:val="71D84D23"/>
    <w:rsid w:val="71D9385C"/>
    <w:rsid w:val="71FD64F5"/>
    <w:rsid w:val="72031631"/>
    <w:rsid w:val="724A54B2"/>
    <w:rsid w:val="725400DF"/>
    <w:rsid w:val="72553024"/>
    <w:rsid w:val="7266060B"/>
    <w:rsid w:val="726B6CB8"/>
    <w:rsid w:val="72965F01"/>
    <w:rsid w:val="72BA0857"/>
    <w:rsid w:val="72E326E7"/>
    <w:rsid w:val="73082C38"/>
    <w:rsid w:val="730B4E94"/>
    <w:rsid w:val="73122968"/>
    <w:rsid w:val="731F5D5E"/>
    <w:rsid w:val="732F09BD"/>
    <w:rsid w:val="733046A8"/>
    <w:rsid w:val="73463ECB"/>
    <w:rsid w:val="73522870"/>
    <w:rsid w:val="736C56E3"/>
    <w:rsid w:val="737E18B7"/>
    <w:rsid w:val="73B751D1"/>
    <w:rsid w:val="73C51AD5"/>
    <w:rsid w:val="73DC0BA1"/>
    <w:rsid w:val="73DC7A93"/>
    <w:rsid w:val="73F719FE"/>
    <w:rsid w:val="741E793C"/>
    <w:rsid w:val="745E3944"/>
    <w:rsid w:val="74C025CE"/>
    <w:rsid w:val="74F15CDA"/>
    <w:rsid w:val="751A73BE"/>
    <w:rsid w:val="75B4336E"/>
    <w:rsid w:val="75B9656F"/>
    <w:rsid w:val="760C5DCD"/>
    <w:rsid w:val="76143E0D"/>
    <w:rsid w:val="76311572"/>
    <w:rsid w:val="7635099D"/>
    <w:rsid w:val="76442BD0"/>
    <w:rsid w:val="765E5A19"/>
    <w:rsid w:val="766F7295"/>
    <w:rsid w:val="76746FA2"/>
    <w:rsid w:val="76A944F7"/>
    <w:rsid w:val="76AE5BA5"/>
    <w:rsid w:val="76B424FD"/>
    <w:rsid w:val="76BD3E54"/>
    <w:rsid w:val="76C96A34"/>
    <w:rsid w:val="76D57350"/>
    <w:rsid w:val="76E56263"/>
    <w:rsid w:val="76ED523E"/>
    <w:rsid w:val="76F31106"/>
    <w:rsid w:val="76FF686B"/>
    <w:rsid w:val="770943E0"/>
    <w:rsid w:val="77343C5C"/>
    <w:rsid w:val="77420E4E"/>
    <w:rsid w:val="774358FC"/>
    <w:rsid w:val="776509CB"/>
    <w:rsid w:val="77762421"/>
    <w:rsid w:val="778057EB"/>
    <w:rsid w:val="77B3164B"/>
    <w:rsid w:val="77B56B1F"/>
    <w:rsid w:val="77D7547D"/>
    <w:rsid w:val="77E573A5"/>
    <w:rsid w:val="77E67047"/>
    <w:rsid w:val="7806385B"/>
    <w:rsid w:val="780F09F4"/>
    <w:rsid w:val="7846530B"/>
    <w:rsid w:val="78705315"/>
    <w:rsid w:val="7879089F"/>
    <w:rsid w:val="788334CC"/>
    <w:rsid w:val="788B48E8"/>
    <w:rsid w:val="78A90480"/>
    <w:rsid w:val="78D52896"/>
    <w:rsid w:val="78EE216C"/>
    <w:rsid w:val="78FD502C"/>
    <w:rsid w:val="790D4539"/>
    <w:rsid w:val="79326785"/>
    <w:rsid w:val="79384F01"/>
    <w:rsid w:val="79643C61"/>
    <w:rsid w:val="79775EC9"/>
    <w:rsid w:val="799E2D1C"/>
    <w:rsid w:val="79DC2E94"/>
    <w:rsid w:val="79F03342"/>
    <w:rsid w:val="79FD74BF"/>
    <w:rsid w:val="7A0927D1"/>
    <w:rsid w:val="7A170370"/>
    <w:rsid w:val="7A364017"/>
    <w:rsid w:val="7A4720F7"/>
    <w:rsid w:val="7A652E89"/>
    <w:rsid w:val="7A6F1F5A"/>
    <w:rsid w:val="7A8265E1"/>
    <w:rsid w:val="7AA26EAA"/>
    <w:rsid w:val="7AC457D8"/>
    <w:rsid w:val="7AC729D0"/>
    <w:rsid w:val="7ADC5E3F"/>
    <w:rsid w:val="7AF847AB"/>
    <w:rsid w:val="7AF8719D"/>
    <w:rsid w:val="7B03164B"/>
    <w:rsid w:val="7B203254"/>
    <w:rsid w:val="7B362A78"/>
    <w:rsid w:val="7B371EBC"/>
    <w:rsid w:val="7B446F42"/>
    <w:rsid w:val="7B4D4D64"/>
    <w:rsid w:val="7B686D42"/>
    <w:rsid w:val="7B841746"/>
    <w:rsid w:val="7B841A35"/>
    <w:rsid w:val="7B861ACA"/>
    <w:rsid w:val="7BAE7147"/>
    <w:rsid w:val="7BC56F81"/>
    <w:rsid w:val="7BCE4A5E"/>
    <w:rsid w:val="7BDB29D9"/>
    <w:rsid w:val="7C647F0D"/>
    <w:rsid w:val="7C6C5AC7"/>
    <w:rsid w:val="7C927620"/>
    <w:rsid w:val="7C9323DD"/>
    <w:rsid w:val="7C9E0DC0"/>
    <w:rsid w:val="7CA73C2D"/>
    <w:rsid w:val="7CC6544B"/>
    <w:rsid w:val="7CD24F52"/>
    <w:rsid w:val="7CD65D8B"/>
    <w:rsid w:val="7CD836EE"/>
    <w:rsid w:val="7CFE62F8"/>
    <w:rsid w:val="7D0239FF"/>
    <w:rsid w:val="7D3D10BE"/>
    <w:rsid w:val="7D5E40CD"/>
    <w:rsid w:val="7D6F473D"/>
    <w:rsid w:val="7D993102"/>
    <w:rsid w:val="7DC54B71"/>
    <w:rsid w:val="7DCD56F2"/>
    <w:rsid w:val="7DDE2FF4"/>
    <w:rsid w:val="7E046E5D"/>
    <w:rsid w:val="7E0C7AC0"/>
    <w:rsid w:val="7E1A21DD"/>
    <w:rsid w:val="7E33055A"/>
    <w:rsid w:val="7E4066EA"/>
    <w:rsid w:val="7E430D96"/>
    <w:rsid w:val="7E4B253F"/>
    <w:rsid w:val="7E600655"/>
    <w:rsid w:val="7E76714C"/>
    <w:rsid w:val="7E7C77E3"/>
    <w:rsid w:val="7E855143"/>
    <w:rsid w:val="7EB443DF"/>
    <w:rsid w:val="7EB5338D"/>
    <w:rsid w:val="7EBA5089"/>
    <w:rsid w:val="7ED151F4"/>
    <w:rsid w:val="7EEA6053"/>
    <w:rsid w:val="7EFE05C0"/>
    <w:rsid w:val="7F001CE7"/>
    <w:rsid w:val="7F761695"/>
    <w:rsid w:val="7F7A660C"/>
    <w:rsid w:val="7F7B6E0C"/>
    <w:rsid w:val="7F98667D"/>
    <w:rsid w:val="7FD50AB1"/>
    <w:rsid w:val="7FDD5BB8"/>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99" w:semiHidden="0" w:name="toc 1" w:locked="1"/>
    <w:lsdException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qFormat="1"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45"/>
    <w:qFormat/>
    <w:locked/>
    <w:uiPriority w:val="0"/>
    <w:pPr>
      <w:keepNext/>
      <w:keepLines/>
      <w:spacing w:before="100" w:after="100" w:line="240" w:lineRule="auto"/>
      <w:ind w:firstLine="0" w:firstLineChars="0"/>
      <w:outlineLvl w:val="1"/>
    </w:pPr>
    <w:rPr>
      <w:rFonts w:ascii="Cambria" w:hAnsi="Cambria" w:eastAsia="宋体"/>
      <w:b/>
      <w:bCs/>
      <w:szCs w:val="32"/>
    </w:rPr>
  </w:style>
  <w:style w:type="paragraph" w:styleId="4">
    <w:name w:val="heading 3"/>
    <w:basedOn w:val="1"/>
    <w:next w:val="1"/>
    <w:unhideWhenUsed/>
    <w:qFormat/>
    <w:locked/>
    <w:uiPriority w:val="0"/>
    <w:pPr>
      <w:keepNext/>
      <w:keepLines/>
      <w:spacing w:before="100" w:beforeAutospacing="0" w:after="100" w:afterAutospacing="0" w:line="240" w:lineRule="auto"/>
      <w:ind w:firstLine="0" w:firstLineChars="0"/>
      <w:outlineLvl w:val="2"/>
    </w:pPr>
    <w:rPr>
      <w:rFonts w:ascii="Times New Roman" w:hAnsi="Times New Roman" w:eastAsia="宋体"/>
      <w:b/>
    </w:rPr>
  </w:style>
  <w:style w:type="paragraph" w:styleId="5">
    <w:name w:val="heading 4"/>
    <w:basedOn w:val="1"/>
    <w:next w:val="1"/>
    <w:link w:val="46"/>
    <w:qFormat/>
    <w:locked/>
    <w:uiPriority w:val="0"/>
    <w:pPr>
      <w:keepNext/>
      <w:keepLines/>
      <w:spacing w:before="280" w:after="290" w:line="376" w:lineRule="auto"/>
      <w:outlineLvl w:val="3"/>
    </w:pPr>
    <w:rPr>
      <w:rFonts w:ascii="Cambria" w:hAnsi="Cambria"/>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Layout w:type="fixed"/>
      <w:tblCellMar>
        <w:top w:w="0" w:type="dxa"/>
        <w:left w:w="108" w:type="dxa"/>
        <w:bottom w:w="0" w:type="dxa"/>
        <w:right w:w="108" w:type="dxa"/>
      </w:tblCellMar>
    </w:tblPr>
  </w:style>
  <w:style w:type="paragraph" w:styleId="6">
    <w:name w:val="List 3"/>
    <w:basedOn w:val="1"/>
    <w:next w:val="1"/>
    <w:qFormat/>
    <w:locked/>
    <w:uiPriority w:val="0"/>
    <w:pPr>
      <w:autoSpaceDE w:val="0"/>
      <w:autoSpaceDN w:val="0"/>
      <w:adjustRightInd w:val="0"/>
      <w:spacing w:line="288" w:lineRule="auto"/>
      <w:ind w:left="1260" w:hanging="420"/>
      <w:jc w:val="left"/>
      <w:textAlignment w:val="baseline"/>
    </w:pPr>
    <w:rPr>
      <w:kern w:val="0"/>
      <w:sz w:val="24"/>
      <w:szCs w:val="20"/>
    </w:rPr>
  </w:style>
  <w:style w:type="paragraph" w:styleId="7">
    <w:name w:val="Normal Indent"/>
    <w:basedOn w:val="1"/>
    <w:next w:val="1"/>
    <w:link w:val="111"/>
    <w:qFormat/>
    <w:locked/>
    <w:uiPriority w:val="0"/>
    <w:pPr>
      <w:ind w:firstLine="420" w:firstLineChars="200"/>
    </w:pPr>
  </w:style>
  <w:style w:type="paragraph" w:styleId="8">
    <w:name w:val="caption"/>
    <w:basedOn w:val="1"/>
    <w:next w:val="1"/>
    <w:qFormat/>
    <w:locked/>
    <w:uiPriority w:val="0"/>
    <w:rPr>
      <w:rFonts w:ascii="Cambria" w:hAnsi="Cambria" w:eastAsia="黑体"/>
      <w:sz w:val="20"/>
      <w:szCs w:val="20"/>
    </w:rPr>
  </w:style>
  <w:style w:type="paragraph" w:styleId="9">
    <w:name w:val="annotation text"/>
    <w:basedOn w:val="1"/>
    <w:link w:val="47"/>
    <w:semiHidden/>
    <w:qFormat/>
    <w:uiPriority w:val="0"/>
    <w:pPr>
      <w:jc w:val="left"/>
    </w:pPr>
    <w:rPr>
      <w:kern w:val="0"/>
      <w:sz w:val="24"/>
      <w:szCs w:val="20"/>
    </w:rPr>
  </w:style>
  <w:style w:type="paragraph" w:styleId="10">
    <w:name w:val="Body Text"/>
    <w:basedOn w:val="1"/>
    <w:next w:val="1"/>
    <w:link w:val="48"/>
    <w:qFormat/>
    <w:uiPriority w:val="0"/>
    <w:pPr>
      <w:widowControl/>
      <w:snapToGrid w:val="0"/>
      <w:spacing w:before="60" w:after="160" w:line="259" w:lineRule="auto"/>
      <w:ind w:right="113"/>
    </w:pPr>
    <w:rPr>
      <w:kern w:val="0"/>
      <w:sz w:val="18"/>
      <w:szCs w:val="20"/>
    </w:rPr>
  </w:style>
  <w:style w:type="paragraph" w:styleId="11">
    <w:name w:val="Body Text Indent"/>
    <w:basedOn w:val="1"/>
    <w:next w:val="12"/>
    <w:link w:val="49"/>
    <w:qFormat/>
    <w:uiPriority w:val="0"/>
    <w:pPr>
      <w:spacing w:after="120"/>
      <w:ind w:left="420" w:leftChars="200"/>
    </w:pPr>
    <w:rPr>
      <w:kern w:val="0"/>
      <w:sz w:val="24"/>
      <w:szCs w:val="20"/>
    </w:rPr>
  </w:style>
  <w:style w:type="paragraph" w:customStyle="1" w:styleId="12">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13">
    <w:name w:val="toc 3"/>
    <w:basedOn w:val="1"/>
    <w:next w:val="1"/>
    <w:qFormat/>
    <w:locked/>
    <w:uiPriority w:val="0"/>
    <w:pPr>
      <w:ind w:left="840" w:leftChars="400"/>
    </w:pPr>
    <w:rPr>
      <w:szCs w:val="20"/>
    </w:rPr>
  </w:style>
  <w:style w:type="paragraph" w:styleId="14">
    <w:name w:val="Plain Text"/>
    <w:basedOn w:val="1"/>
    <w:next w:val="1"/>
    <w:link w:val="50"/>
    <w:qFormat/>
    <w:locked/>
    <w:uiPriority w:val="0"/>
    <w:rPr>
      <w:rFonts w:ascii="宋体" w:hAnsi="Courier New"/>
      <w:szCs w:val="20"/>
    </w:rPr>
  </w:style>
  <w:style w:type="paragraph" w:styleId="15">
    <w:name w:val="Date"/>
    <w:basedOn w:val="1"/>
    <w:next w:val="1"/>
    <w:link w:val="51"/>
    <w:qFormat/>
    <w:uiPriority w:val="0"/>
    <w:pPr>
      <w:ind w:left="100" w:leftChars="2500"/>
    </w:pPr>
    <w:rPr>
      <w:kern w:val="0"/>
      <w:sz w:val="24"/>
      <w:szCs w:val="20"/>
    </w:rPr>
  </w:style>
  <w:style w:type="paragraph" w:styleId="16">
    <w:name w:val="Body Text Indent 2"/>
    <w:basedOn w:val="1"/>
    <w:next w:val="17"/>
    <w:link w:val="52"/>
    <w:qFormat/>
    <w:locked/>
    <w:uiPriority w:val="0"/>
    <w:pPr>
      <w:spacing w:after="120" w:line="480" w:lineRule="auto"/>
      <w:ind w:left="420" w:leftChars="200"/>
    </w:pPr>
  </w:style>
  <w:style w:type="paragraph" w:customStyle="1" w:styleId="17">
    <w:name w:val="简单回函地址"/>
    <w:basedOn w:val="1"/>
    <w:next w:val="18"/>
    <w:qFormat/>
    <w:uiPriority w:val="0"/>
  </w:style>
  <w:style w:type="paragraph" w:customStyle="1" w:styleId="18">
    <w:name w:val="正文2"/>
    <w:basedOn w:val="1"/>
    <w:qFormat/>
    <w:uiPriority w:val="0"/>
    <w:pPr>
      <w:spacing w:line="360" w:lineRule="auto"/>
      <w:ind w:firstLine="200" w:firstLineChars="200"/>
    </w:pPr>
    <w:rPr>
      <w:sz w:val="24"/>
    </w:rPr>
  </w:style>
  <w:style w:type="paragraph" w:styleId="19">
    <w:name w:val="Balloon Text"/>
    <w:basedOn w:val="1"/>
    <w:link w:val="53"/>
    <w:semiHidden/>
    <w:qFormat/>
    <w:uiPriority w:val="0"/>
    <w:rPr>
      <w:kern w:val="0"/>
      <w:sz w:val="18"/>
      <w:szCs w:val="20"/>
    </w:rPr>
  </w:style>
  <w:style w:type="paragraph" w:styleId="20">
    <w:name w:val="footer"/>
    <w:basedOn w:val="1"/>
    <w:link w:val="54"/>
    <w:qFormat/>
    <w:uiPriority w:val="99"/>
    <w:pPr>
      <w:tabs>
        <w:tab w:val="center" w:pos="4153"/>
        <w:tab w:val="right" w:pos="8306"/>
      </w:tabs>
      <w:snapToGrid w:val="0"/>
      <w:jc w:val="left"/>
    </w:pPr>
    <w:rPr>
      <w:kern w:val="0"/>
      <w:sz w:val="18"/>
      <w:szCs w:val="20"/>
    </w:rPr>
  </w:style>
  <w:style w:type="paragraph" w:styleId="21">
    <w:name w:val="header"/>
    <w:basedOn w:val="1"/>
    <w:link w:val="55"/>
    <w:qFormat/>
    <w:uiPriority w:val="0"/>
    <w:pPr>
      <w:pBdr>
        <w:bottom w:val="single" w:color="auto" w:sz="6" w:space="1"/>
      </w:pBdr>
      <w:tabs>
        <w:tab w:val="center" w:pos="4153"/>
        <w:tab w:val="right" w:pos="8306"/>
      </w:tabs>
      <w:snapToGrid w:val="0"/>
      <w:jc w:val="center"/>
    </w:pPr>
    <w:rPr>
      <w:kern w:val="0"/>
      <w:sz w:val="18"/>
      <w:szCs w:val="20"/>
    </w:rPr>
  </w:style>
  <w:style w:type="paragraph" w:styleId="22">
    <w:name w:val="toc 1"/>
    <w:basedOn w:val="1"/>
    <w:next w:val="1"/>
    <w:unhideWhenUsed/>
    <w:qFormat/>
    <w:locked/>
    <w:uiPriority w:val="99"/>
    <w:pPr>
      <w:widowControl w:val="0"/>
      <w:adjustRightInd/>
      <w:snapToGrid/>
      <w:spacing w:after="0" w:line="320" w:lineRule="exact"/>
      <w:jc w:val="center"/>
    </w:pPr>
    <w:rPr>
      <w:rFonts w:ascii="Times New Roman" w:hAnsi="Times New Roman" w:eastAsia="宋体" w:cs="Times New Roman"/>
      <w:kern w:val="2"/>
      <w:sz w:val="26"/>
      <w:szCs w:val="26"/>
    </w:rPr>
  </w:style>
  <w:style w:type="paragraph" w:styleId="23">
    <w:name w:val="Body Text 2"/>
    <w:basedOn w:val="1"/>
    <w:link w:val="56"/>
    <w:qFormat/>
    <w:locked/>
    <w:uiPriority w:val="0"/>
    <w:pPr>
      <w:spacing w:after="120" w:line="480" w:lineRule="auto"/>
    </w:pPr>
  </w:style>
  <w:style w:type="paragraph" w:styleId="24">
    <w:name w:val="Normal (Web)"/>
    <w:basedOn w:val="1"/>
    <w:link w:val="57"/>
    <w:qFormat/>
    <w:uiPriority w:val="99"/>
    <w:pPr>
      <w:widowControl/>
      <w:spacing w:before="100" w:beforeAutospacing="1" w:after="100" w:afterAutospacing="1"/>
      <w:jc w:val="left"/>
    </w:pPr>
    <w:rPr>
      <w:rFonts w:ascii="宋体" w:hAnsi="宋体"/>
      <w:kern w:val="0"/>
      <w:sz w:val="24"/>
      <w:szCs w:val="20"/>
    </w:rPr>
  </w:style>
  <w:style w:type="paragraph" w:styleId="25">
    <w:name w:val="annotation subject"/>
    <w:basedOn w:val="9"/>
    <w:next w:val="9"/>
    <w:link w:val="58"/>
    <w:semiHidden/>
    <w:qFormat/>
    <w:uiPriority w:val="0"/>
    <w:rPr>
      <w:b/>
    </w:rPr>
  </w:style>
  <w:style w:type="paragraph" w:styleId="26">
    <w:name w:val="Body Text First Indent"/>
    <w:basedOn w:val="10"/>
    <w:link w:val="59"/>
    <w:qFormat/>
    <w:locked/>
    <w:uiPriority w:val="0"/>
    <w:pPr>
      <w:widowControl w:val="0"/>
      <w:snapToGrid/>
      <w:spacing w:before="0" w:after="120" w:line="240" w:lineRule="auto"/>
      <w:ind w:right="0" w:firstLine="420" w:firstLineChars="100"/>
    </w:pPr>
    <w:rPr>
      <w:kern w:val="2"/>
      <w:sz w:val="21"/>
      <w:szCs w:val="24"/>
    </w:rPr>
  </w:style>
  <w:style w:type="paragraph" w:styleId="27">
    <w:name w:val="Body Text First Indent 2"/>
    <w:basedOn w:val="11"/>
    <w:next w:val="28"/>
    <w:link w:val="108"/>
    <w:qFormat/>
    <w:locked/>
    <w:uiPriority w:val="0"/>
    <w:pPr>
      <w:ind w:firstLine="420" w:firstLineChars="200"/>
    </w:pPr>
    <w:rPr>
      <w:kern w:val="2"/>
      <w:sz w:val="21"/>
      <w:szCs w:val="24"/>
    </w:rPr>
  </w:style>
  <w:style w:type="paragraph" w:customStyle="1" w:styleId="28">
    <w:name w:val="正文1"/>
    <w:basedOn w:val="1"/>
    <w:qFormat/>
    <w:uiPriority w:val="0"/>
    <w:pPr>
      <w:adjustRightInd w:val="0"/>
      <w:spacing w:line="315" w:lineRule="atLeast"/>
    </w:pPr>
    <w:rPr>
      <w:rFonts w:hint="eastAsia" w:ascii="宋体" w:eastAsia="宋体"/>
      <w:kern w:val="0"/>
      <w:sz w:val="28"/>
      <w:szCs w:val="20"/>
    </w:rPr>
  </w:style>
  <w:style w:type="table" w:styleId="30">
    <w:name w:val="Table Grid"/>
    <w:basedOn w:val="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2">
    <w:name w:val="Strong"/>
    <w:basedOn w:val="31"/>
    <w:qFormat/>
    <w:locked/>
    <w:uiPriority w:val="0"/>
    <w:rPr>
      <w:b/>
    </w:rPr>
  </w:style>
  <w:style w:type="character" w:styleId="33">
    <w:name w:val="page number"/>
    <w:qFormat/>
    <w:locked/>
    <w:uiPriority w:val="0"/>
  </w:style>
  <w:style w:type="character" w:styleId="34">
    <w:name w:val="FollowedHyperlink"/>
    <w:basedOn w:val="31"/>
    <w:qFormat/>
    <w:locked/>
    <w:uiPriority w:val="0"/>
    <w:rPr>
      <w:color w:val="000000"/>
      <w:u w:val="none"/>
    </w:rPr>
  </w:style>
  <w:style w:type="character" w:styleId="35">
    <w:name w:val="HTML Definition"/>
    <w:basedOn w:val="31"/>
    <w:qFormat/>
    <w:locked/>
    <w:uiPriority w:val="0"/>
  </w:style>
  <w:style w:type="character" w:styleId="36">
    <w:name w:val="HTML Variable"/>
    <w:basedOn w:val="31"/>
    <w:qFormat/>
    <w:locked/>
    <w:uiPriority w:val="0"/>
  </w:style>
  <w:style w:type="character" w:styleId="37">
    <w:name w:val="Hyperlink"/>
    <w:basedOn w:val="31"/>
    <w:qFormat/>
    <w:locked/>
    <w:uiPriority w:val="0"/>
    <w:rPr>
      <w:color w:val="000000"/>
      <w:u w:val="none"/>
    </w:rPr>
  </w:style>
  <w:style w:type="character" w:styleId="38">
    <w:name w:val="HTML Code"/>
    <w:basedOn w:val="31"/>
    <w:qFormat/>
    <w:locked/>
    <w:uiPriority w:val="0"/>
    <w:rPr>
      <w:rFonts w:ascii="Courier New" w:hAnsi="Courier New"/>
      <w:sz w:val="20"/>
    </w:rPr>
  </w:style>
  <w:style w:type="character" w:styleId="39">
    <w:name w:val="annotation reference"/>
    <w:semiHidden/>
    <w:qFormat/>
    <w:uiPriority w:val="0"/>
    <w:rPr>
      <w:sz w:val="21"/>
    </w:rPr>
  </w:style>
  <w:style w:type="character" w:styleId="40">
    <w:name w:val="HTML Cite"/>
    <w:basedOn w:val="31"/>
    <w:qFormat/>
    <w:locked/>
    <w:uiPriority w:val="0"/>
  </w:style>
  <w:style w:type="paragraph" w:customStyle="1" w:styleId="41">
    <w:name w:val="样式 正文缩进正文缩进2正文缩进 Char Char正文缩进 Char Char Char Char正文缩进 Char ..."/>
    <w:basedOn w:val="7"/>
    <w:qFormat/>
    <w:uiPriority w:val="0"/>
    <w:pPr>
      <w:spacing w:line="360" w:lineRule="auto"/>
      <w:ind w:firstLine="200"/>
    </w:pPr>
    <w:rPr>
      <w:rFonts w:cs="宋体"/>
      <w:sz w:val="24"/>
      <w:szCs w:val="20"/>
    </w:rPr>
  </w:style>
  <w:style w:type="paragraph" w:customStyle="1" w:styleId="42">
    <w:name w:val="Default"/>
    <w:basedOn w:val="43"/>
    <w:next w:val="6"/>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3">
    <w:name w:val="文中表格文本"/>
    <w:basedOn w:val="1"/>
    <w:qFormat/>
    <w:uiPriority w:val="0"/>
    <w:pPr>
      <w:widowControl w:val="0"/>
      <w:topLinePunct/>
      <w:adjustRightInd w:val="0"/>
      <w:snapToGrid w:val="0"/>
      <w:jc w:val="center"/>
    </w:pPr>
    <w:rPr>
      <w:sz w:val="21"/>
      <w:szCs w:val="21"/>
    </w:rPr>
  </w:style>
  <w:style w:type="paragraph" w:customStyle="1" w:styleId="44">
    <w:name w:val="Body Text First Indent1"/>
    <w:basedOn w:val="10"/>
    <w:qFormat/>
    <w:uiPriority w:val="0"/>
    <w:pPr>
      <w:adjustRightInd w:val="0"/>
      <w:spacing w:line="275" w:lineRule="atLeast"/>
      <w:ind w:firstLine="420"/>
      <w:textAlignment w:val="baseline"/>
    </w:pPr>
    <w:rPr>
      <w:rFonts w:ascii="Times New Roman" w:cs="Times New Roman"/>
    </w:rPr>
  </w:style>
  <w:style w:type="character" w:customStyle="1" w:styleId="45">
    <w:name w:val="标题 2 字符"/>
    <w:link w:val="3"/>
    <w:semiHidden/>
    <w:qFormat/>
    <w:uiPriority w:val="0"/>
    <w:rPr>
      <w:rFonts w:ascii="Cambria" w:hAnsi="Cambria" w:eastAsia="宋体" w:cs="Times New Roman"/>
      <w:b/>
      <w:bCs/>
      <w:kern w:val="2"/>
      <w:sz w:val="24"/>
      <w:szCs w:val="32"/>
    </w:rPr>
  </w:style>
  <w:style w:type="character" w:customStyle="1" w:styleId="46">
    <w:name w:val="标题 4 字符"/>
    <w:link w:val="5"/>
    <w:qFormat/>
    <w:uiPriority w:val="0"/>
    <w:rPr>
      <w:rFonts w:ascii="Cambria" w:hAnsi="Cambria" w:eastAsia="宋体" w:cs="Times New Roman"/>
      <w:b/>
      <w:bCs/>
      <w:kern w:val="2"/>
      <w:sz w:val="28"/>
      <w:szCs w:val="28"/>
    </w:rPr>
  </w:style>
  <w:style w:type="character" w:customStyle="1" w:styleId="47">
    <w:name w:val="批注文字 字符"/>
    <w:link w:val="9"/>
    <w:qFormat/>
    <w:locked/>
    <w:uiPriority w:val="0"/>
    <w:rPr>
      <w:rFonts w:ascii="Times New Roman" w:hAnsi="Times New Roman" w:eastAsia="宋体"/>
      <w:sz w:val="24"/>
    </w:rPr>
  </w:style>
  <w:style w:type="character" w:customStyle="1" w:styleId="48">
    <w:name w:val="正文文本 字符"/>
    <w:link w:val="10"/>
    <w:qFormat/>
    <w:locked/>
    <w:uiPriority w:val="0"/>
    <w:rPr>
      <w:sz w:val="18"/>
    </w:rPr>
  </w:style>
  <w:style w:type="character" w:customStyle="1" w:styleId="49">
    <w:name w:val="正文文本缩进 字符"/>
    <w:link w:val="11"/>
    <w:semiHidden/>
    <w:qFormat/>
    <w:locked/>
    <w:uiPriority w:val="0"/>
    <w:rPr>
      <w:rFonts w:ascii="Times New Roman" w:hAnsi="Times New Roman" w:eastAsia="宋体"/>
      <w:sz w:val="24"/>
    </w:rPr>
  </w:style>
  <w:style w:type="character" w:customStyle="1" w:styleId="50">
    <w:name w:val="纯文本 字符1"/>
    <w:link w:val="14"/>
    <w:qFormat/>
    <w:uiPriority w:val="0"/>
    <w:rPr>
      <w:rFonts w:ascii="宋体" w:hAnsi="Courier New"/>
      <w:kern w:val="2"/>
      <w:sz w:val="21"/>
    </w:rPr>
  </w:style>
  <w:style w:type="character" w:customStyle="1" w:styleId="51">
    <w:name w:val="日期 字符1"/>
    <w:link w:val="15"/>
    <w:qFormat/>
    <w:locked/>
    <w:uiPriority w:val="0"/>
    <w:rPr>
      <w:rFonts w:ascii="Times New Roman" w:hAnsi="Times New Roman" w:eastAsia="宋体"/>
      <w:sz w:val="24"/>
    </w:rPr>
  </w:style>
  <w:style w:type="character" w:customStyle="1" w:styleId="52">
    <w:name w:val="正文文本缩进 2 字符"/>
    <w:link w:val="16"/>
    <w:qFormat/>
    <w:uiPriority w:val="0"/>
    <w:rPr>
      <w:kern w:val="2"/>
      <w:sz w:val="21"/>
      <w:szCs w:val="24"/>
    </w:rPr>
  </w:style>
  <w:style w:type="character" w:customStyle="1" w:styleId="53">
    <w:name w:val="批注框文本 字符"/>
    <w:link w:val="19"/>
    <w:semiHidden/>
    <w:qFormat/>
    <w:locked/>
    <w:uiPriority w:val="0"/>
    <w:rPr>
      <w:rFonts w:ascii="Times New Roman" w:hAnsi="Times New Roman" w:eastAsia="宋体"/>
      <w:sz w:val="18"/>
    </w:rPr>
  </w:style>
  <w:style w:type="character" w:customStyle="1" w:styleId="54">
    <w:name w:val="页脚 字符1"/>
    <w:link w:val="20"/>
    <w:qFormat/>
    <w:locked/>
    <w:uiPriority w:val="99"/>
    <w:rPr>
      <w:sz w:val="18"/>
    </w:rPr>
  </w:style>
  <w:style w:type="character" w:customStyle="1" w:styleId="55">
    <w:name w:val="页眉 字符"/>
    <w:link w:val="21"/>
    <w:qFormat/>
    <w:locked/>
    <w:uiPriority w:val="0"/>
    <w:rPr>
      <w:sz w:val="18"/>
    </w:rPr>
  </w:style>
  <w:style w:type="character" w:customStyle="1" w:styleId="56">
    <w:name w:val="正文文本 2 字符"/>
    <w:link w:val="23"/>
    <w:qFormat/>
    <w:uiPriority w:val="0"/>
    <w:rPr>
      <w:kern w:val="2"/>
      <w:sz w:val="21"/>
      <w:szCs w:val="24"/>
    </w:rPr>
  </w:style>
  <w:style w:type="character" w:customStyle="1" w:styleId="57">
    <w:name w:val="普通(网站) 字符"/>
    <w:link w:val="24"/>
    <w:qFormat/>
    <w:locked/>
    <w:uiPriority w:val="99"/>
    <w:rPr>
      <w:rFonts w:ascii="宋体" w:hAnsi="宋体" w:eastAsia="宋体"/>
      <w:sz w:val="24"/>
    </w:rPr>
  </w:style>
  <w:style w:type="character" w:customStyle="1" w:styleId="58">
    <w:name w:val="批注主题 字符"/>
    <w:link w:val="25"/>
    <w:semiHidden/>
    <w:qFormat/>
    <w:locked/>
    <w:uiPriority w:val="0"/>
    <w:rPr>
      <w:rFonts w:ascii="Times New Roman" w:hAnsi="Times New Roman" w:eastAsia="宋体"/>
      <w:b/>
      <w:kern w:val="2"/>
      <w:sz w:val="24"/>
    </w:rPr>
  </w:style>
  <w:style w:type="character" w:customStyle="1" w:styleId="59">
    <w:name w:val="正文文本首行缩进 字符"/>
    <w:link w:val="26"/>
    <w:qFormat/>
    <w:uiPriority w:val="0"/>
    <w:rPr>
      <w:kern w:val="2"/>
      <w:sz w:val="21"/>
      <w:szCs w:val="24"/>
    </w:rPr>
  </w:style>
  <w:style w:type="character" w:customStyle="1" w:styleId="60">
    <w:name w:val="日期 字符"/>
    <w:semiHidden/>
    <w:qFormat/>
    <w:uiPriority w:val="0"/>
    <w:rPr>
      <w:rFonts w:ascii="Times New Roman" w:hAnsi="Times New Roman" w:eastAsia="宋体"/>
      <w:sz w:val="24"/>
    </w:rPr>
  </w:style>
  <w:style w:type="character" w:customStyle="1" w:styleId="61">
    <w:name w:val="表格 Char"/>
    <w:link w:val="62"/>
    <w:qFormat/>
    <w:locked/>
    <w:uiPriority w:val="0"/>
    <w:rPr>
      <w:rFonts w:ascii="宋体"/>
      <w:sz w:val="21"/>
    </w:rPr>
  </w:style>
  <w:style w:type="paragraph" w:customStyle="1" w:styleId="62">
    <w:name w:val="表格"/>
    <w:basedOn w:val="1"/>
    <w:next w:val="1"/>
    <w:link w:val="61"/>
    <w:qFormat/>
    <w:uiPriority w:val="0"/>
    <w:pPr>
      <w:adjustRightInd w:val="0"/>
      <w:snapToGrid w:val="0"/>
      <w:spacing w:beforeLines="10" w:afterLines="10" w:line="259" w:lineRule="auto"/>
      <w:jc w:val="center"/>
    </w:pPr>
    <w:rPr>
      <w:rFonts w:ascii="宋体"/>
      <w:kern w:val="0"/>
      <w:szCs w:val="20"/>
    </w:rPr>
  </w:style>
  <w:style w:type="character" w:customStyle="1" w:styleId="63">
    <w:name w:val="正文文本 字符1"/>
    <w:semiHidden/>
    <w:qFormat/>
    <w:uiPriority w:val="0"/>
    <w:rPr>
      <w:rFonts w:ascii="Times New Roman" w:hAnsi="Times New Roman" w:eastAsia="宋体"/>
      <w:sz w:val="24"/>
    </w:rPr>
  </w:style>
  <w:style w:type="character" w:customStyle="1" w:styleId="64">
    <w:name w:val="页脚 字符"/>
    <w:qFormat/>
    <w:uiPriority w:val="99"/>
  </w:style>
  <w:style w:type="character" w:customStyle="1" w:styleId="65">
    <w:name w:val="批注文字 字符1"/>
    <w:semiHidden/>
    <w:qFormat/>
    <w:uiPriority w:val="0"/>
    <w:rPr>
      <w:rFonts w:ascii="Times New Roman" w:hAnsi="Times New Roman" w:eastAsia="宋体"/>
      <w:sz w:val="24"/>
    </w:rPr>
  </w:style>
  <w:style w:type="paragraph" w:customStyle="1" w:styleId="6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8">
    <w:name w:val="图表"/>
    <w:basedOn w:val="1"/>
    <w:qFormat/>
    <w:uiPriority w:val="0"/>
    <w:pPr>
      <w:widowControl/>
      <w:jc w:val="center"/>
    </w:pPr>
    <w:rPr>
      <w:rFonts w:ascii="宋体" w:hAnsi="宋体"/>
      <w:bCs/>
      <w:szCs w:val="20"/>
    </w:rPr>
  </w:style>
  <w:style w:type="paragraph" w:customStyle="1" w:styleId="69">
    <w:name w:val="h正文"/>
    <w:basedOn w:val="1"/>
    <w:qFormat/>
    <w:uiPriority w:val="0"/>
    <w:pPr>
      <w:adjustRightInd w:val="0"/>
      <w:snapToGrid w:val="0"/>
      <w:spacing w:line="360" w:lineRule="auto"/>
    </w:pPr>
  </w:style>
  <w:style w:type="character" w:customStyle="1" w:styleId="70">
    <w:name w:val="环评正文 Char Char"/>
    <w:link w:val="71"/>
    <w:qFormat/>
    <w:uiPriority w:val="0"/>
    <w:rPr>
      <w:kern w:val="2"/>
      <w:sz w:val="28"/>
    </w:rPr>
  </w:style>
  <w:style w:type="paragraph" w:customStyle="1" w:styleId="71">
    <w:name w:val="环评正文"/>
    <w:basedOn w:val="2"/>
    <w:link w:val="70"/>
    <w:qFormat/>
    <w:uiPriority w:val="0"/>
    <w:pPr>
      <w:keepNext w:val="0"/>
      <w:tabs>
        <w:tab w:val="left" w:pos="662"/>
      </w:tabs>
      <w:overflowPunct/>
      <w:snapToGrid/>
      <w:spacing w:before="0" w:after="0" w:line="240" w:lineRule="auto"/>
      <w:ind w:left="0" w:firstLine="578"/>
      <w:outlineLvl w:val="9"/>
    </w:pPr>
    <w:rPr>
      <w:rFonts w:eastAsia="宋体"/>
      <w:b w:val="0"/>
      <w:bCs w:val="0"/>
      <w:color w:val="auto"/>
      <w:kern w:val="2"/>
      <w:sz w:val="28"/>
      <w:szCs w:val="20"/>
    </w:rPr>
  </w:style>
  <w:style w:type="character" w:customStyle="1" w:styleId="72">
    <w:name w:val="表头 Char"/>
    <w:link w:val="73"/>
    <w:qFormat/>
    <w:uiPriority w:val="0"/>
    <w:rPr>
      <w:spacing w:val="2"/>
      <w:kern w:val="2"/>
      <w:sz w:val="26"/>
      <w:szCs w:val="26"/>
    </w:rPr>
  </w:style>
  <w:style w:type="paragraph" w:customStyle="1" w:styleId="73">
    <w:name w:val="表头"/>
    <w:basedOn w:val="8"/>
    <w:next w:val="1"/>
    <w:link w:val="72"/>
    <w:qFormat/>
    <w:uiPriority w:val="0"/>
    <w:pPr>
      <w:adjustRightInd w:val="0"/>
      <w:snapToGrid w:val="0"/>
      <w:spacing w:line="460" w:lineRule="exact"/>
      <w:jc w:val="center"/>
    </w:pPr>
    <w:rPr>
      <w:rFonts w:ascii="Times New Roman" w:hAnsi="Times New Roman" w:eastAsia="宋体"/>
      <w:spacing w:val="2"/>
      <w:sz w:val="26"/>
      <w:szCs w:val="26"/>
    </w:rPr>
  </w:style>
  <w:style w:type="paragraph" w:customStyle="1" w:styleId="74">
    <w:name w:val="四级标题"/>
    <w:basedOn w:val="1"/>
    <w:next w:val="71"/>
    <w:qFormat/>
    <w:uiPriority w:val="0"/>
    <w:pPr>
      <w:adjustRightInd w:val="0"/>
      <w:snapToGrid w:val="0"/>
      <w:spacing w:before="100" w:beforeAutospacing="1" w:after="120" w:line="300" w:lineRule="auto"/>
      <w:jc w:val="center"/>
      <w:outlineLvl w:val="3"/>
    </w:pPr>
    <w:rPr>
      <w:rFonts w:eastAsia="华文中宋"/>
      <w:b/>
      <w:sz w:val="28"/>
    </w:rPr>
  </w:style>
  <w:style w:type="paragraph" w:customStyle="1" w:styleId="75">
    <w:name w:val="Table Paragraph"/>
    <w:basedOn w:val="1"/>
    <w:qFormat/>
    <w:uiPriority w:val="0"/>
    <w:pPr>
      <w:spacing w:line="360" w:lineRule="auto"/>
      <w:ind w:firstLine="200" w:firstLineChars="200"/>
      <w:jc w:val="left"/>
    </w:pPr>
    <w:rPr>
      <w:sz w:val="24"/>
      <w:szCs w:val="22"/>
    </w:rPr>
  </w:style>
  <w:style w:type="paragraph" w:customStyle="1" w:styleId="76">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character" w:customStyle="1" w:styleId="77">
    <w:name w:val="报告书正文 Char Char"/>
    <w:link w:val="78"/>
    <w:qFormat/>
    <w:uiPriority w:val="0"/>
    <w:rPr>
      <w:bCs/>
      <w:color w:val="000000"/>
      <w:kern w:val="2"/>
      <w:sz w:val="28"/>
    </w:rPr>
  </w:style>
  <w:style w:type="paragraph" w:customStyle="1" w:styleId="78">
    <w:name w:val="报告书正文"/>
    <w:basedOn w:val="16"/>
    <w:link w:val="77"/>
    <w:qFormat/>
    <w:uiPriority w:val="0"/>
    <w:pPr>
      <w:tabs>
        <w:tab w:val="left" w:pos="6300"/>
      </w:tabs>
      <w:adjustRightInd w:val="0"/>
      <w:snapToGrid w:val="0"/>
      <w:spacing w:after="0" w:line="500" w:lineRule="exact"/>
      <w:ind w:left="0" w:leftChars="0" w:firstLine="560" w:firstLineChars="200"/>
    </w:pPr>
    <w:rPr>
      <w:bCs/>
      <w:color w:val="000000"/>
      <w:sz w:val="28"/>
      <w:szCs w:val="20"/>
    </w:rPr>
  </w:style>
  <w:style w:type="paragraph" w:customStyle="1" w:styleId="79">
    <w:name w:val="报告表格"/>
    <w:basedOn w:val="1"/>
    <w:next w:val="1"/>
    <w:qFormat/>
    <w:uiPriority w:val="0"/>
    <w:pPr>
      <w:autoSpaceDE w:val="0"/>
      <w:autoSpaceDN w:val="0"/>
      <w:adjustRightInd w:val="0"/>
      <w:spacing w:line="318" w:lineRule="atLeast"/>
      <w:jc w:val="center"/>
      <w:textAlignment w:val="bottom"/>
    </w:pPr>
    <w:rPr>
      <w:kern w:val="0"/>
      <w:sz w:val="24"/>
      <w:szCs w:val="20"/>
    </w:rPr>
  </w:style>
  <w:style w:type="paragraph" w:customStyle="1" w:styleId="80">
    <w:name w:val="xl27"/>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kern w:val="0"/>
      <w:szCs w:val="21"/>
    </w:rPr>
  </w:style>
  <w:style w:type="character" w:customStyle="1" w:styleId="81">
    <w:name w:val="表格文字 Char"/>
    <w:link w:val="82"/>
    <w:qFormat/>
    <w:uiPriority w:val="0"/>
    <w:rPr>
      <w:kern w:val="2"/>
      <w:sz w:val="21"/>
      <w:szCs w:val="24"/>
    </w:rPr>
  </w:style>
  <w:style w:type="paragraph" w:customStyle="1" w:styleId="82">
    <w:name w:val="表格文字"/>
    <w:basedOn w:val="14"/>
    <w:link w:val="81"/>
    <w:qFormat/>
    <w:uiPriority w:val="0"/>
    <w:pPr>
      <w:jc w:val="center"/>
    </w:pPr>
  </w:style>
  <w:style w:type="paragraph" w:customStyle="1" w:styleId="83">
    <w:name w:val="表格正文"/>
    <w:basedOn w:val="1"/>
    <w:qFormat/>
    <w:uiPriority w:val="0"/>
    <w:pPr>
      <w:spacing w:line="360" w:lineRule="exact"/>
      <w:jc w:val="center"/>
    </w:pPr>
  </w:style>
  <w:style w:type="paragraph" w:customStyle="1" w:styleId="84">
    <w:name w:val="表格标题"/>
    <w:basedOn w:val="1"/>
    <w:qFormat/>
    <w:uiPriority w:val="0"/>
    <w:pPr>
      <w:adjustRightInd w:val="0"/>
      <w:snapToGrid w:val="0"/>
      <w:spacing w:line="460" w:lineRule="exact"/>
      <w:jc w:val="center"/>
      <w:outlineLvl w:val="3"/>
    </w:pPr>
    <w:rPr>
      <w:sz w:val="28"/>
      <w:szCs w:val="28"/>
    </w:rPr>
  </w:style>
  <w:style w:type="paragraph" w:customStyle="1" w:styleId="85">
    <w:name w:val="表格内容"/>
    <w:basedOn w:val="1"/>
    <w:link w:val="107"/>
    <w:qFormat/>
    <w:uiPriority w:val="0"/>
    <w:pPr>
      <w:spacing w:line="312" w:lineRule="exact"/>
      <w:jc w:val="center"/>
    </w:pPr>
    <w:rPr>
      <w:rFonts w:cs="宋体"/>
      <w:szCs w:val="20"/>
    </w:rPr>
  </w:style>
  <w:style w:type="paragraph" w:customStyle="1" w:styleId="86">
    <w:name w:val="0正文缩"/>
    <w:basedOn w:val="1"/>
    <w:qFormat/>
    <w:uiPriority w:val="0"/>
    <w:pPr>
      <w:adjustRightInd w:val="0"/>
      <w:snapToGrid w:val="0"/>
      <w:spacing w:line="460" w:lineRule="exact"/>
      <w:ind w:firstLine="200" w:firstLineChars="200"/>
    </w:pPr>
    <w:rPr>
      <w:kern w:val="0"/>
      <w:sz w:val="26"/>
      <w:szCs w:val="21"/>
    </w:rPr>
  </w:style>
  <w:style w:type="paragraph" w:customStyle="1" w:styleId="87">
    <w:name w:val="1黑左"/>
    <w:basedOn w:val="1"/>
    <w:next w:val="1"/>
    <w:qFormat/>
    <w:uiPriority w:val="0"/>
    <w:pPr>
      <w:adjustRightInd w:val="0"/>
      <w:snapToGrid w:val="0"/>
      <w:spacing w:before="30" w:beforeLines="30" w:line="460" w:lineRule="exact"/>
      <w:ind w:firstLine="200" w:firstLineChars="200"/>
      <w:jc w:val="left"/>
      <w:outlineLvl w:val="1"/>
    </w:pPr>
    <w:rPr>
      <w:b/>
      <w:kern w:val="0"/>
      <w:sz w:val="26"/>
      <w:szCs w:val="21"/>
    </w:rPr>
  </w:style>
  <w:style w:type="paragraph" w:customStyle="1" w:styleId="88">
    <w:name w:val="3标题"/>
    <w:basedOn w:val="1"/>
    <w:next w:val="89"/>
    <w:qFormat/>
    <w:uiPriority w:val="0"/>
    <w:pPr>
      <w:tabs>
        <w:tab w:val="center" w:pos="4320"/>
        <w:tab w:val="right" w:pos="8320"/>
        <w:tab w:val="right" w:pos="8640"/>
      </w:tabs>
      <w:adjustRightInd w:val="0"/>
      <w:snapToGrid w:val="0"/>
      <w:spacing w:before="30" w:beforeLines="30" w:line="460" w:lineRule="exact"/>
      <w:ind w:firstLine="200" w:firstLineChars="200"/>
      <w:jc w:val="center"/>
    </w:pPr>
    <w:rPr>
      <w:kern w:val="0"/>
      <w:sz w:val="26"/>
      <w:szCs w:val="21"/>
    </w:rPr>
  </w:style>
  <w:style w:type="paragraph" w:customStyle="1" w:styleId="89">
    <w:name w:val="4小表"/>
    <w:basedOn w:val="1"/>
    <w:qFormat/>
    <w:uiPriority w:val="0"/>
    <w:pPr>
      <w:adjustRightInd w:val="0"/>
      <w:snapToGrid w:val="0"/>
      <w:jc w:val="center"/>
    </w:pPr>
    <w:rPr>
      <w:kern w:val="0"/>
      <w:sz w:val="22"/>
      <w:szCs w:val="21"/>
    </w:rPr>
  </w:style>
  <w:style w:type="paragraph" w:customStyle="1" w:styleId="90">
    <w:name w:val="6表后"/>
    <w:basedOn w:val="1"/>
    <w:next w:val="86"/>
    <w:qFormat/>
    <w:uiPriority w:val="0"/>
    <w:pPr>
      <w:adjustRightInd w:val="0"/>
      <w:snapToGrid w:val="0"/>
    </w:pPr>
    <w:rPr>
      <w:kern w:val="0"/>
      <w:sz w:val="15"/>
      <w:szCs w:val="21"/>
    </w:rPr>
  </w:style>
  <w:style w:type="character" w:customStyle="1" w:styleId="91">
    <w:name w:val="表文字 Char1"/>
    <w:link w:val="92"/>
    <w:qFormat/>
    <w:uiPriority w:val="0"/>
    <w:rPr>
      <w:sz w:val="21"/>
      <w:szCs w:val="21"/>
    </w:rPr>
  </w:style>
  <w:style w:type="paragraph" w:customStyle="1" w:styleId="92">
    <w:name w:val="表文字"/>
    <w:basedOn w:val="42"/>
    <w:next w:val="42"/>
    <w:link w:val="91"/>
    <w:qFormat/>
    <w:uiPriority w:val="0"/>
    <w:pPr>
      <w:widowControl w:val="0"/>
      <w:adjustRightInd w:val="0"/>
      <w:spacing w:line="240" w:lineRule="exact"/>
      <w:jc w:val="center"/>
      <w:textAlignment w:val="baseline"/>
    </w:pPr>
    <w:rPr>
      <w:rFonts w:ascii="Times New Roman" w:hAnsi="Times New Roman" w:eastAsia="宋体" w:cs="Times New Roman"/>
      <w:sz w:val="21"/>
      <w:szCs w:val="21"/>
      <w:lang w:val="en-US" w:eastAsia="zh-CN" w:bidi="ar-SA"/>
    </w:rPr>
  </w:style>
  <w:style w:type="character" w:customStyle="1" w:styleId="93">
    <w:name w:val="样式1 Char2"/>
    <w:link w:val="94"/>
    <w:qFormat/>
    <w:uiPriority w:val="0"/>
    <w:rPr>
      <w:bCs/>
      <w:kern w:val="2"/>
      <w:sz w:val="48"/>
      <w:szCs w:val="24"/>
    </w:rPr>
  </w:style>
  <w:style w:type="paragraph" w:customStyle="1" w:styleId="94">
    <w:name w:val="样式1"/>
    <w:basedOn w:val="1"/>
    <w:link w:val="93"/>
    <w:qFormat/>
    <w:uiPriority w:val="0"/>
    <w:pPr>
      <w:jc w:val="center"/>
    </w:pPr>
    <w:rPr>
      <w:bCs/>
      <w:sz w:val="48"/>
    </w:rPr>
  </w:style>
  <w:style w:type="paragraph" w:customStyle="1" w:styleId="95">
    <w:name w:val="表格中的文字"/>
    <w:basedOn w:val="1"/>
    <w:qFormat/>
    <w:uiPriority w:val="0"/>
    <w:pPr>
      <w:snapToGrid w:val="0"/>
      <w:jc w:val="center"/>
    </w:pPr>
    <w:rPr>
      <w:szCs w:val="22"/>
    </w:rPr>
  </w:style>
  <w:style w:type="paragraph" w:customStyle="1" w:styleId="96">
    <w:name w:val="6表居中"/>
    <w:basedOn w:val="1"/>
    <w:qFormat/>
    <w:uiPriority w:val="0"/>
    <w:pPr>
      <w:snapToGrid w:val="0"/>
      <w:spacing w:before="50" w:beforeLines="50"/>
      <w:jc w:val="center"/>
    </w:pPr>
    <w:rPr>
      <w:rFonts w:eastAsia="仿宋_GB2312"/>
      <w:szCs w:val="22"/>
    </w:rPr>
  </w:style>
  <w:style w:type="paragraph" w:customStyle="1" w:styleId="97">
    <w:name w:val="表内容"/>
    <w:basedOn w:val="98"/>
    <w:next w:val="1"/>
    <w:link w:val="112"/>
    <w:qFormat/>
    <w:uiPriority w:val="0"/>
    <w:pPr>
      <w:autoSpaceDE w:val="0"/>
      <w:autoSpaceDN w:val="0"/>
      <w:adjustRightInd w:val="0"/>
      <w:textAlignment w:val="baseline"/>
    </w:pPr>
    <w:rPr>
      <w:rFonts w:ascii="Arial" w:hAnsi="Arial"/>
      <w:szCs w:val="20"/>
    </w:rPr>
  </w:style>
  <w:style w:type="paragraph" w:customStyle="1" w:styleId="98">
    <w:name w:val="图名"/>
    <w:basedOn w:val="99"/>
    <w:next w:val="1"/>
    <w:qFormat/>
    <w:uiPriority w:val="0"/>
    <w:pPr>
      <w:spacing w:before="0" w:beforeLines="0" w:line="0" w:lineRule="atLeast"/>
    </w:pPr>
    <w:rPr>
      <w:kern w:val="44"/>
    </w:rPr>
  </w:style>
  <w:style w:type="paragraph" w:customStyle="1" w:styleId="99">
    <w:name w:val="表名"/>
    <w:basedOn w:val="1"/>
    <w:next w:val="1"/>
    <w:link w:val="106"/>
    <w:qFormat/>
    <w:uiPriority w:val="0"/>
    <w:pPr>
      <w:spacing w:before="20" w:beforeLines="20"/>
      <w:jc w:val="center"/>
      <w:outlineLvl w:val="4"/>
    </w:pPr>
    <w:rPr>
      <w:rFonts w:eastAsia="黑体"/>
      <w:b/>
      <w:sz w:val="22"/>
    </w:rPr>
  </w:style>
  <w:style w:type="paragraph" w:customStyle="1" w:styleId="100">
    <w:name w:val="00正文"/>
    <w:basedOn w:val="1"/>
    <w:qFormat/>
    <w:uiPriority w:val="0"/>
    <w:pPr>
      <w:spacing w:line="360" w:lineRule="auto"/>
      <w:ind w:firstLine="480" w:firstLineChars="200"/>
      <w:contextualSpacing/>
    </w:pPr>
    <w:rPr>
      <w:sz w:val="24"/>
      <w:szCs w:val="20"/>
    </w:rPr>
  </w:style>
  <w:style w:type="paragraph" w:customStyle="1" w:styleId="101">
    <w:name w:val="xl31"/>
    <w:basedOn w:val="1"/>
    <w:qFormat/>
    <w:uiPriority w:val="0"/>
    <w:pPr>
      <w:widowControl/>
      <w:spacing w:before="100" w:beforeAutospacing="1" w:after="100" w:afterAutospacing="1"/>
      <w:jc w:val="center"/>
    </w:pPr>
    <w:rPr>
      <w:kern w:val="0"/>
      <w:sz w:val="24"/>
    </w:rPr>
  </w:style>
  <w:style w:type="character" w:customStyle="1" w:styleId="102">
    <w:name w:val="纯文本 字符"/>
    <w:qFormat/>
    <w:uiPriority w:val="0"/>
    <w:rPr>
      <w:rFonts w:ascii="宋体" w:hAnsi="Courier New" w:cs="Courier New"/>
      <w:kern w:val="2"/>
      <w:sz w:val="21"/>
      <w:szCs w:val="21"/>
    </w:rPr>
  </w:style>
  <w:style w:type="paragraph" w:customStyle="1" w:styleId="103">
    <w:name w:val="L表内容"/>
    <w:basedOn w:val="1"/>
    <w:qFormat/>
    <w:uiPriority w:val="0"/>
    <w:pPr>
      <w:spacing w:line="0" w:lineRule="atLeast"/>
      <w:jc w:val="center"/>
    </w:pPr>
    <w:rPr>
      <w:kern w:val="44"/>
    </w:rPr>
  </w:style>
  <w:style w:type="character" w:customStyle="1" w:styleId="104">
    <w:name w:val="A表头 字符"/>
    <w:link w:val="105"/>
    <w:qFormat/>
    <w:uiPriority w:val="0"/>
    <w:rPr>
      <w:b/>
      <w:kern w:val="2"/>
      <w:sz w:val="26"/>
      <w:szCs w:val="21"/>
    </w:rPr>
  </w:style>
  <w:style w:type="paragraph" w:customStyle="1" w:styleId="105">
    <w:name w:val="A表头"/>
    <w:basedOn w:val="8"/>
    <w:link w:val="104"/>
    <w:qFormat/>
    <w:uiPriority w:val="0"/>
    <w:pPr>
      <w:spacing w:before="50" w:beforeLines="50" w:after="120" w:line="460" w:lineRule="exact"/>
      <w:ind w:firstLine="200" w:firstLineChars="200"/>
      <w:jc w:val="left"/>
    </w:pPr>
    <w:rPr>
      <w:rFonts w:ascii="Times New Roman" w:hAnsi="Times New Roman" w:eastAsia="宋体"/>
      <w:b/>
      <w:sz w:val="26"/>
      <w:szCs w:val="21"/>
    </w:rPr>
  </w:style>
  <w:style w:type="character" w:customStyle="1" w:styleId="106">
    <w:name w:val="表名 Char"/>
    <w:link w:val="99"/>
    <w:qFormat/>
    <w:uiPriority w:val="0"/>
    <w:rPr>
      <w:rFonts w:eastAsia="黑体"/>
      <w:b/>
      <w:kern w:val="2"/>
      <w:sz w:val="22"/>
      <w:szCs w:val="24"/>
    </w:rPr>
  </w:style>
  <w:style w:type="character" w:customStyle="1" w:styleId="107">
    <w:name w:val="表格内容 Char1"/>
    <w:link w:val="85"/>
    <w:qFormat/>
    <w:locked/>
    <w:uiPriority w:val="0"/>
    <w:rPr>
      <w:rFonts w:cs="宋体"/>
      <w:kern w:val="2"/>
      <w:sz w:val="21"/>
    </w:rPr>
  </w:style>
  <w:style w:type="character" w:customStyle="1" w:styleId="108">
    <w:name w:val="正文文本首行缩进 2 字符"/>
    <w:basedOn w:val="49"/>
    <w:link w:val="27"/>
    <w:qFormat/>
    <w:uiPriority w:val="0"/>
    <w:rPr>
      <w:rFonts w:ascii="Times New Roman" w:hAnsi="Times New Roman" w:eastAsia="宋体"/>
      <w:kern w:val="2"/>
      <w:sz w:val="21"/>
      <w:szCs w:val="24"/>
    </w:rPr>
  </w:style>
  <w:style w:type="character" w:customStyle="1" w:styleId="109">
    <w:name w:val="正文(首行缩进) Char"/>
    <w:link w:val="110"/>
    <w:qFormat/>
    <w:locked/>
    <w:uiPriority w:val="0"/>
    <w:rPr>
      <w:sz w:val="24"/>
      <w:szCs w:val="24"/>
    </w:rPr>
  </w:style>
  <w:style w:type="paragraph" w:customStyle="1" w:styleId="110">
    <w:name w:val="正文(首行缩进)"/>
    <w:basedOn w:val="1"/>
    <w:link w:val="109"/>
    <w:qFormat/>
    <w:uiPriority w:val="0"/>
    <w:pPr>
      <w:adjustRightInd w:val="0"/>
      <w:snapToGrid w:val="0"/>
      <w:spacing w:line="360" w:lineRule="auto"/>
      <w:ind w:firstLine="200" w:firstLineChars="200"/>
    </w:pPr>
    <w:rPr>
      <w:kern w:val="0"/>
      <w:sz w:val="24"/>
    </w:rPr>
  </w:style>
  <w:style w:type="character" w:customStyle="1" w:styleId="111">
    <w:name w:val="正文缩进 字符"/>
    <w:link w:val="7"/>
    <w:qFormat/>
    <w:locked/>
    <w:uiPriority w:val="0"/>
    <w:rPr>
      <w:kern w:val="2"/>
      <w:sz w:val="21"/>
      <w:szCs w:val="24"/>
    </w:rPr>
  </w:style>
  <w:style w:type="character" w:customStyle="1" w:styleId="112">
    <w:name w:val="表内容 Char"/>
    <w:link w:val="97"/>
    <w:qFormat/>
    <w:uiPriority w:val="0"/>
    <w:rPr>
      <w:rFonts w:ascii="Arial" w:hAnsi="Arial" w:eastAsia="黑体"/>
      <w:b/>
      <w:kern w:val="44"/>
      <w:sz w:val="22"/>
    </w:rPr>
  </w:style>
  <w:style w:type="paragraph" w:customStyle="1" w:styleId="113">
    <w:name w:val="正文样式"/>
    <w:basedOn w:val="1"/>
    <w:qFormat/>
    <w:uiPriority w:val="0"/>
    <w:pPr>
      <w:adjustRightInd w:val="0"/>
      <w:snapToGrid w:val="0"/>
      <w:spacing w:line="460" w:lineRule="exact"/>
      <w:ind w:firstLine="200" w:firstLineChars="200"/>
    </w:pPr>
    <w:rPr>
      <w:color w:val="000000"/>
      <w:sz w:val="26"/>
      <w:szCs w:val="26"/>
    </w:rPr>
  </w:style>
  <w:style w:type="character" w:customStyle="1" w:styleId="114">
    <w:name w:val="正文文本2"/>
    <w:qFormat/>
    <w:uiPriority w:val="0"/>
    <w:rPr>
      <w:rFonts w:ascii="MingLiU" w:hAnsi="MingLiU" w:eastAsia="MingLiU" w:cs="MingLiU"/>
      <w:color w:val="000000"/>
      <w:spacing w:val="0"/>
      <w:w w:val="100"/>
      <w:position w:val="0"/>
      <w:sz w:val="19"/>
      <w:szCs w:val="19"/>
      <w:shd w:val="clear" w:color="auto" w:fill="FFFFFF"/>
      <w:lang w:val="zh-TW"/>
    </w:rPr>
  </w:style>
  <w:style w:type="paragraph" w:customStyle="1" w:styleId="115">
    <w:name w:val="正文文本5"/>
    <w:basedOn w:val="1"/>
    <w:qFormat/>
    <w:uiPriority w:val="0"/>
    <w:pPr>
      <w:shd w:val="clear" w:color="auto" w:fill="FFFFFF"/>
      <w:spacing w:after="960" w:line="0" w:lineRule="atLeast"/>
      <w:jc w:val="center"/>
    </w:pPr>
    <w:rPr>
      <w:rFonts w:ascii="MingLiU" w:hAnsi="MingLiU" w:eastAsia="MingLiU"/>
      <w:sz w:val="19"/>
      <w:szCs w:val="19"/>
    </w:rPr>
  </w:style>
  <w:style w:type="paragraph" w:customStyle="1" w:styleId="116">
    <w:name w:val="三级标题"/>
    <w:basedOn w:val="1"/>
    <w:next w:val="1"/>
    <w:qFormat/>
    <w:uiPriority w:val="0"/>
    <w:pPr>
      <w:spacing w:before="20" w:beforeLines="20" w:after="20" w:afterLines="20" w:line="500" w:lineRule="atLeast"/>
      <w:jc w:val="left"/>
      <w:outlineLvl w:val="3"/>
    </w:pPr>
    <w:rPr>
      <w:rFonts w:ascii="time new roman" w:hAnsi="time new roman"/>
      <w:b/>
      <w:sz w:val="25"/>
      <w:szCs w:val="22"/>
    </w:rPr>
  </w:style>
  <w:style w:type="paragraph" w:customStyle="1" w:styleId="117">
    <w:name w:val="样式3"/>
    <w:basedOn w:val="1"/>
    <w:qFormat/>
    <w:uiPriority w:val="0"/>
    <w:pPr>
      <w:spacing w:line="480" w:lineRule="exact"/>
      <w:ind w:firstLine="520"/>
    </w:pPr>
    <w:rPr>
      <w:b/>
      <w:szCs w:val="26"/>
    </w:rPr>
  </w:style>
  <w:style w:type="paragraph" w:customStyle="1" w:styleId="118">
    <w:name w:val="样式13"/>
    <w:basedOn w:val="1"/>
    <w:qFormat/>
    <w:uiPriority w:val="0"/>
    <w:pPr>
      <w:spacing w:line="480" w:lineRule="exact"/>
    </w:pPr>
    <w:rPr>
      <w:kern w:val="0"/>
      <w:szCs w:val="26"/>
    </w:rPr>
  </w:style>
  <w:style w:type="paragraph" w:customStyle="1" w:styleId="119">
    <w:name w:val=" Char"/>
    <w:basedOn w:val="1"/>
    <w:semiHidden/>
    <w:qFormat/>
    <w:uiPriority w:val="0"/>
    <w:pPr>
      <w:adjustRightInd w:val="0"/>
      <w:snapToGrid w:val="0"/>
      <w:spacing w:line="360" w:lineRule="auto"/>
      <w:ind w:firstLine="200" w:firstLineChars="200"/>
    </w:pPr>
    <w:rPr>
      <w:rFonts w:ascii="宋体" w:hAnsi="宋体" w:cs="宋体"/>
      <w:sz w:val="24"/>
      <w:szCs w:val="26"/>
    </w:rPr>
  </w:style>
  <w:style w:type="character" w:customStyle="1" w:styleId="120">
    <w:name w:val="noline"/>
    <w:basedOn w:val="31"/>
    <w:qFormat/>
    <w:uiPriority w:val="0"/>
  </w:style>
  <w:style w:type="character" w:customStyle="1" w:styleId="121">
    <w:name w:val="place"/>
    <w:basedOn w:val="31"/>
    <w:qFormat/>
    <w:uiPriority w:val="0"/>
    <w:rPr>
      <w:rFonts w:ascii="微软雅黑" w:hAnsi="微软雅黑" w:eastAsia="微软雅黑" w:cs="微软雅黑"/>
      <w:color w:val="888888"/>
      <w:sz w:val="25"/>
      <w:szCs w:val="25"/>
    </w:rPr>
  </w:style>
  <w:style w:type="character" w:customStyle="1" w:styleId="122">
    <w:name w:val="place1"/>
    <w:basedOn w:val="31"/>
    <w:qFormat/>
    <w:uiPriority w:val="0"/>
  </w:style>
  <w:style w:type="character" w:customStyle="1" w:styleId="123">
    <w:name w:val="place2"/>
    <w:basedOn w:val="31"/>
    <w:qFormat/>
    <w:uiPriority w:val="0"/>
  </w:style>
  <w:style w:type="character" w:customStyle="1" w:styleId="124">
    <w:name w:val="place3"/>
    <w:basedOn w:val="31"/>
    <w:qFormat/>
    <w:uiPriority w:val="0"/>
  </w:style>
  <w:style w:type="character" w:customStyle="1" w:styleId="125">
    <w:name w:val="font"/>
    <w:basedOn w:val="31"/>
    <w:qFormat/>
    <w:uiPriority w:val="0"/>
  </w:style>
  <w:style w:type="character" w:customStyle="1" w:styleId="126">
    <w:name w:val="font1"/>
    <w:basedOn w:val="31"/>
    <w:qFormat/>
    <w:uiPriority w:val="0"/>
  </w:style>
  <w:style w:type="character" w:customStyle="1" w:styleId="127">
    <w:name w:val="laypage_curr"/>
    <w:basedOn w:val="31"/>
    <w:qFormat/>
    <w:uiPriority w:val="0"/>
    <w:rPr>
      <w:color w:val="FFFDF4"/>
      <w:shd w:val="clear" w:fill="0B67A6"/>
    </w:rPr>
  </w:style>
  <w:style w:type="character" w:customStyle="1" w:styleId="128">
    <w:name w:val="hover15"/>
    <w:basedOn w:val="31"/>
    <w:qFormat/>
    <w:uiPriority w:val="0"/>
    <w:rPr>
      <w:color w:val="025291"/>
    </w:rPr>
  </w:style>
  <w:style w:type="character" w:customStyle="1" w:styleId="129">
    <w:name w:val="loan"/>
    <w:basedOn w:val="31"/>
    <w:qFormat/>
    <w:uiPriority w:val="0"/>
  </w:style>
  <w:style w:type="character" w:customStyle="1" w:styleId="130">
    <w:name w:val="hover13"/>
    <w:basedOn w:val="31"/>
    <w:qFormat/>
    <w:uiPriority w:val="0"/>
    <w:rPr>
      <w:color w:val="015293"/>
    </w:rPr>
  </w:style>
  <w:style w:type="character" w:customStyle="1" w:styleId="131">
    <w:name w:val="gwds_nopic"/>
    <w:basedOn w:val="31"/>
    <w:qFormat/>
    <w:uiPriority w:val="0"/>
  </w:style>
  <w:style w:type="character" w:customStyle="1" w:styleId="132">
    <w:name w:val="gwds_nopic1"/>
    <w:basedOn w:val="31"/>
    <w:qFormat/>
    <w:uiPriority w:val="0"/>
  </w:style>
  <w:style w:type="character" w:customStyle="1" w:styleId="133">
    <w:name w:val="gwds_nopic2"/>
    <w:basedOn w:val="31"/>
    <w:qFormat/>
    <w:uiPriority w:val="0"/>
  </w:style>
  <w:style w:type="paragraph" w:customStyle="1" w:styleId="134">
    <w:name w:val="表"/>
    <w:basedOn w:val="10"/>
    <w:qFormat/>
    <w:uiPriority w:val="0"/>
    <w:pPr>
      <w:adjustRightInd w:val="0"/>
      <w:snapToGrid w:val="0"/>
      <w:spacing w:line="400" w:lineRule="exact"/>
      <w:jc w:val="center"/>
    </w:pPr>
    <w:rPr>
      <w:rFonts w:eastAsia="仿宋_GB2312"/>
      <w:sz w:val="24"/>
      <w:szCs w:val="24"/>
    </w:rPr>
  </w:style>
  <w:style w:type="paragraph" w:customStyle="1" w:styleId="135">
    <w:name w:val="表内字1"/>
    <w:basedOn w:val="1"/>
    <w:qFormat/>
    <w:uiPriority w:val="0"/>
    <w:pPr>
      <w:keepNext w:val="0"/>
      <w:keepLines w:val="0"/>
      <w:widowControl w:val="0"/>
      <w:suppressLineNumbers w:val="0"/>
      <w:adjustRightInd w:val="0"/>
      <w:snapToGrid w:val="0"/>
      <w:spacing w:before="0" w:beforeAutospacing="0" w:after="0" w:afterAutospacing="0" w:line="300" w:lineRule="exact"/>
      <w:ind w:left="0" w:right="0"/>
      <w:jc w:val="center"/>
    </w:pPr>
    <w:rPr>
      <w:rFonts w:hint="default" w:ascii="Calibri" w:hAnsi="Calibri" w:eastAsia="宋体" w:cs="Times New Roman"/>
      <w:color w:val="000000"/>
      <w:kern w:val="2"/>
      <w:sz w:val="22"/>
      <w:szCs w:val="21"/>
      <w:lang w:val="en-US" w:eastAsia="zh-CN" w:bidi="ar"/>
    </w:rPr>
  </w:style>
  <w:style w:type="paragraph" w:customStyle="1" w:styleId="136">
    <w:name w:val="1正文2"/>
    <w:basedOn w:val="1"/>
    <w:qFormat/>
    <w:uiPriority w:val="0"/>
    <w:pPr>
      <w:spacing w:line="460" w:lineRule="exact"/>
      <w:ind w:firstLine="200" w:firstLineChars="200"/>
    </w:pPr>
    <w:rPr>
      <w:bCs/>
      <w:sz w:val="24"/>
    </w:rPr>
  </w:style>
  <w:style w:type="paragraph" w:customStyle="1" w:styleId="137">
    <w:name w:val="3表头"/>
    <w:basedOn w:val="1"/>
    <w:qFormat/>
    <w:uiPriority w:val="0"/>
    <w:pPr>
      <w:spacing w:line="460" w:lineRule="exact"/>
      <w:jc w:val="center"/>
    </w:pPr>
    <w:rPr>
      <w:rFonts w:cs="宋体"/>
      <w:b/>
      <w:bCs/>
      <w:sz w:val="24"/>
    </w:rPr>
  </w:style>
  <w:style w:type="paragraph" w:customStyle="1" w:styleId="138">
    <w:name w:val="图表标题"/>
    <w:basedOn w:val="1"/>
    <w:next w:val="1"/>
    <w:qFormat/>
    <w:uiPriority w:val="0"/>
    <w:pPr>
      <w:spacing w:line="276" w:lineRule="auto"/>
      <w:jc w:val="center"/>
    </w:pPr>
    <w:rPr>
      <w:b/>
      <w:szCs w:val="22"/>
    </w:rPr>
  </w:style>
  <w:style w:type="paragraph" w:customStyle="1" w:styleId="139">
    <w:name w:val="4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140">
    <w:name w:val="p0"/>
    <w:basedOn w:val="1"/>
    <w:next w:val="1"/>
    <w:qFormat/>
    <w:uiPriority w:val="0"/>
    <w:pPr>
      <w:widowControl/>
    </w:pPr>
    <w:rPr>
      <w:rFonts w:ascii="Times New Roman" w:hAnsi="Times New Roman" w:eastAsia="宋体" w:cs="Times New Roman"/>
      <w:kern w:val="0"/>
      <w:szCs w:val="21"/>
    </w:rPr>
  </w:style>
  <w:style w:type="paragraph" w:customStyle="1" w:styleId="141">
    <w:name w:val="h表格文字"/>
    <w:qFormat/>
    <w:uiPriority w:val="0"/>
    <w:pPr>
      <w:spacing w:before="5" w:beforeLines="5" w:after="5" w:afterLines="5"/>
      <w:jc w:val="center"/>
    </w:pPr>
    <w:rPr>
      <w:rFonts w:ascii="Dutch801 Rm BT" w:hAnsi="Dutch801 Rm BT" w:eastAsia="宋体" w:cs="Dutch801 Rm BT"/>
      <w:sz w:val="21"/>
      <w:lang w:val="en-US" w:eastAsia="zh-CN" w:bidi="ar-SA"/>
    </w:rPr>
  </w:style>
  <w:style w:type="paragraph" w:customStyle="1" w:styleId="142">
    <w:name w:val="正文111111111"/>
    <w:basedOn w:val="1"/>
    <w:qFormat/>
    <w:uiPriority w:val="0"/>
    <w:pPr>
      <w:spacing w:line="360" w:lineRule="auto"/>
      <w:ind w:firstLine="480" w:firstLineChars="200"/>
    </w:pPr>
    <w:rPr>
      <w:sz w:val="24"/>
      <w:szCs w:val="20"/>
    </w:rPr>
  </w:style>
  <w:style w:type="paragraph" w:customStyle="1" w:styleId="143">
    <w:name w:val="aa院表格内容格式"/>
    <w:basedOn w:val="1"/>
    <w:qFormat/>
    <w:uiPriority w:val="0"/>
    <w:pPr>
      <w:jc w:val="center"/>
    </w:pPr>
  </w:style>
  <w:style w:type="paragraph" w:customStyle="1" w:styleId="144">
    <w:name w:val="表文排版"/>
    <w:basedOn w:val="10"/>
    <w:qFormat/>
    <w:uiPriority w:val="0"/>
    <w:pPr>
      <w:autoSpaceDE w:val="0"/>
      <w:autoSpaceDN w:val="0"/>
      <w:adjustRightInd w:val="0"/>
      <w:snapToGrid w:val="0"/>
      <w:spacing w:after="0" w:line="360" w:lineRule="auto"/>
      <w:ind w:firstLine="482"/>
      <w:jc w:val="center"/>
      <w:textAlignment w:val="baseline"/>
    </w:pPr>
    <w:rPr>
      <w:rFonts w:ascii="Times New Roman" w:hAnsi="Times New Roman"/>
      <w:kern w:val="0"/>
      <w:sz w:val="22"/>
      <w:szCs w:val="24"/>
      <w:lang w:val="en-US" w:eastAsia="zh-CN"/>
    </w:rPr>
  </w:style>
  <w:style w:type="paragraph" w:styleId="145">
    <w:name w:val="No Spacing"/>
    <w:next w:val="1"/>
    <w:qFormat/>
    <w:uiPriority w:val="0"/>
    <w:pPr>
      <w:widowControl w:val="0"/>
      <w:snapToGrid w:val="0"/>
      <w:jc w:val="center"/>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wmf"/><Relationship Id="rId23" Type="http://schemas.openxmlformats.org/officeDocument/2006/relationships/oleObject" Target="embeddings/oleObject3.bin"/><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8A3C91-C68F-4092-98D1-6786CC2475DD}">
  <ds:schemaRefs/>
</ds:datastoreItem>
</file>

<file path=docProps/app.xml><?xml version="1.0" encoding="utf-8"?>
<Properties xmlns="http://schemas.openxmlformats.org/officeDocument/2006/extended-properties" xmlns:vt="http://schemas.openxmlformats.org/officeDocument/2006/docPropsVTypes">
  <Template>wdzx97.dot</Template>
  <Pages>99</Pages>
  <Words>50218</Words>
  <Characters>56562</Characters>
  <Lines>252</Lines>
  <Paragraphs>71</Paragraphs>
  <TotalTime>3</TotalTime>
  <ScaleCrop>false</ScaleCrop>
  <LinksUpToDate>false</LinksUpToDate>
  <CharactersWithSpaces>57373</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2021-03-31T01:52:00Z</dcterms:created>
  <dc:creator>尚云环境</dc:creator>
  <cp:lastModifiedBy>Administrator</cp:lastModifiedBy>
  <cp:lastPrinted>2020-12-29T02:43:00Z</cp:lastPrinted>
  <dcterms:modified xsi:type="dcterms:W3CDTF">2025-02-18T07:24:20Z</dcterms:modified>
  <dc:title>建设项目环境影响报告表（污染影响类）</dc:title>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ICV">
    <vt:lpwstr>6BCED640D8824C4C8A9A4B13EBCF02DC</vt:lpwstr>
  </property>
</Properties>
</file>