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75B1B5C">
      <w:pPr>
        <w:pStyle w:val="64"/>
        <w:rPr>
          <w:color w:val="auto"/>
        </w:rPr>
        <w:sectPr>
          <w:footerReference r:id="rId3" w:type="default"/>
          <w:footerReference r:id="rId4" w:type="even"/>
          <w:pgSz w:w="11906" w:h="16838"/>
          <w:pgMar w:top="1701" w:right="1531" w:bottom="1701" w:left="1531" w:header="851" w:footer="1077" w:gutter="0"/>
          <w:cols w:space="720" w:num="1"/>
          <w:titlePg/>
          <w:docGrid w:linePitch="312" w:charSpace="0"/>
        </w:sectPr>
      </w:pPr>
      <w:r>
        <w:drawing>
          <wp:anchor distT="0" distB="0" distL="114300" distR="114300" simplePos="0" relativeHeight="251713536" behindDoc="0" locked="0" layoutInCell="1" allowOverlap="1">
            <wp:simplePos x="0" y="0"/>
            <wp:positionH relativeFrom="column">
              <wp:posOffset>-923925</wp:posOffset>
            </wp:positionH>
            <wp:positionV relativeFrom="paragraph">
              <wp:posOffset>-1023620</wp:posOffset>
            </wp:positionV>
            <wp:extent cx="7457440" cy="10446385"/>
            <wp:effectExtent l="0" t="0" r="10160" b="12065"/>
            <wp:wrapNone/>
            <wp:docPr id="4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7"/>
                    <pic:cNvPicPr>
                      <a:picLocks noChangeAspect="1"/>
                    </pic:cNvPicPr>
                  </pic:nvPicPr>
                  <pic:blipFill>
                    <a:blip r:embed="rId11"/>
                    <a:stretch>
                      <a:fillRect/>
                    </a:stretch>
                  </pic:blipFill>
                  <pic:spPr>
                    <a:xfrm>
                      <a:off x="0" y="0"/>
                      <a:ext cx="7457440" cy="10446385"/>
                    </a:xfrm>
                    <a:prstGeom prst="rect">
                      <a:avLst/>
                    </a:prstGeom>
                    <a:noFill/>
                    <a:ln>
                      <a:noFill/>
                    </a:ln>
                  </pic:spPr>
                </pic:pic>
              </a:graphicData>
            </a:graphic>
          </wp:anchor>
        </w:drawing>
      </w:r>
    </w:p>
    <w:p w14:paraId="60B2D71B">
      <w:pPr>
        <w:pStyle w:val="64"/>
        <w:rPr>
          <w:color w:val="auto"/>
        </w:rPr>
        <w:sectPr>
          <w:pgSz w:w="11906" w:h="16838"/>
          <w:pgMar w:top="1701" w:right="1531" w:bottom="1701" w:left="1531" w:header="851" w:footer="1077" w:gutter="0"/>
          <w:cols w:space="720" w:num="1"/>
          <w:titlePg/>
          <w:docGrid w:linePitch="312" w:charSpace="0"/>
        </w:sectPr>
      </w:pPr>
      <w:r>
        <w:drawing>
          <wp:anchor distT="0" distB="0" distL="114300" distR="114300" simplePos="0" relativeHeight="251714560" behindDoc="0" locked="0" layoutInCell="1" allowOverlap="1">
            <wp:simplePos x="0" y="0"/>
            <wp:positionH relativeFrom="column">
              <wp:posOffset>-908050</wp:posOffset>
            </wp:positionH>
            <wp:positionV relativeFrom="paragraph">
              <wp:posOffset>-990600</wp:posOffset>
            </wp:positionV>
            <wp:extent cx="7491730" cy="10467340"/>
            <wp:effectExtent l="0" t="0" r="13970" b="10160"/>
            <wp:wrapNone/>
            <wp:docPr id="4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8"/>
                    <pic:cNvPicPr>
                      <a:picLocks noChangeAspect="1"/>
                    </pic:cNvPicPr>
                  </pic:nvPicPr>
                  <pic:blipFill>
                    <a:blip r:embed="rId12"/>
                    <a:stretch>
                      <a:fillRect/>
                    </a:stretch>
                  </pic:blipFill>
                  <pic:spPr>
                    <a:xfrm>
                      <a:off x="0" y="0"/>
                      <a:ext cx="7491730" cy="10467340"/>
                    </a:xfrm>
                    <a:prstGeom prst="rect">
                      <a:avLst/>
                    </a:prstGeom>
                    <a:noFill/>
                    <a:ln>
                      <a:noFill/>
                    </a:ln>
                  </pic:spPr>
                </pic:pic>
              </a:graphicData>
            </a:graphic>
          </wp:anchor>
        </w:drawing>
      </w:r>
    </w:p>
    <w:p w14:paraId="10B785F9">
      <w:pPr>
        <w:pStyle w:val="64"/>
        <w:rPr>
          <w:color w:val="auto"/>
        </w:rPr>
        <w:sectPr>
          <w:pgSz w:w="11906" w:h="16838"/>
          <w:pgMar w:top="1701" w:right="1531" w:bottom="1701" w:left="1531" w:header="851" w:footer="1077" w:gutter="0"/>
          <w:cols w:space="720" w:num="1"/>
          <w:titlePg/>
          <w:docGrid w:linePitch="312" w:charSpace="0"/>
        </w:sectPr>
      </w:pPr>
      <w:r>
        <w:drawing>
          <wp:anchor distT="0" distB="0" distL="114300" distR="114300" simplePos="0" relativeHeight="251715584" behindDoc="0" locked="0" layoutInCell="1" allowOverlap="1">
            <wp:simplePos x="0" y="0"/>
            <wp:positionH relativeFrom="column">
              <wp:posOffset>-1003300</wp:posOffset>
            </wp:positionH>
            <wp:positionV relativeFrom="paragraph">
              <wp:posOffset>-1085850</wp:posOffset>
            </wp:positionV>
            <wp:extent cx="7560310" cy="10515600"/>
            <wp:effectExtent l="0" t="0" r="2540" b="0"/>
            <wp:wrapNone/>
            <wp:docPr id="4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9"/>
                    <pic:cNvPicPr>
                      <a:picLocks noChangeAspect="1"/>
                    </pic:cNvPicPr>
                  </pic:nvPicPr>
                  <pic:blipFill>
                    <a:blip r:embed="rId13"/>
                    <a:stretch>
                      <a:fillRect/>
                    </a:stretch>
                  </pic:blipFill>
                  <pic:spPr>
                    <a:xfrm>
                      <a:off x="0" y="0"/>
                      <a:ext cx="7560310" cy="10515600"/>
                    </a:xfrm>
                    <a:prstGeom prst="rect">
                      <a:avLst/>
                    </a:prstGeom>
                    <a:noFill/>
                    <a:ln>
                      <a:noFill/>
                    </a:ln>
                  </pic:spPr>
                </pic:pic>
              </a:graphicData>
            </a:graphic>
          </wp:anchor>
        </w:drawing>
      </w:r>
    </w:p>
    <w:p w14:paraId="5453CC18">
      <w:pPr>
        <w:pStyle w:val="21"/>
        <w:jc w:val="center"/>
        <w:outlineLvl w:val="0"/>
        <w:rPr>
          <w:rFonts w:ascii="Times New Roman" w:hAnsi="Times New Roman" w:eastAsia="黑体"/>
          <w:snapToGrid w:val="0"/>
          <w:color w:val="auto"/>
          <w:sz w:val="30"/>
          <w:szCs w:val="30"/>
        </w:rPr>
      </w:pPr>
      <w:bookmarkStart w:id="0" w:name="_Toc13035"/>
      <w:r>
        <w:rPr>
          <w:rFonts w:ascii="Times New Roman" w:hAnsi="Times New Roman" w:eastAsia="黑体"/>
          <w:snapToGrid w:val="0"/>
          <w:color w:val="auto"/>
          <w:sz w:val="30"/>
          <w:szCs w:val="30"/>
        </w:rPr>
        <w:t>一、建设项目基本情况</w:t>
      </w:r>
      <w:bookmarkEnd w:id="0"/>
    </w:p>
    <w:tbl>
      <w:tblPr>
        <w:tblStyle w:val="25"/>
        <w:tblW w:w="908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711"/>
        <w:gridCol w:w="2582"/>
        <w:gridCol w:w="2230"/>
        <w:gridCol w:w="10"/>
        <w:gridCol w:w="2556"/>
      </w:tblGrid>
      <w:tr w14:paraId="0414DF6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1" w:hRule="atLeast"/>
          <w:jc w:val="center"/>
        </w:trPr>
        <w:tc>
          <w:tcPr>
            <w:tcW w:w="1701" w:type="dxa"/>
            <w:tcMar>
              <w:top w:w="16" w:type="dxa"/>
              <w:left w:w="16" w:type="dxa"/>
              <w:right w:w="16" w:type="dxa"/>
            </w:tcMar>
            <w:vAlign w:val="center"/>
          </w:tcPr>
          <w:p w14:paraId="47394673">
            <w:pPr>
              <w:adjustRightInd w:val="0"/>
              <w:snapToGrid w:val="0"/>
              <w:spacing w:line="460" w:lineRule="exact"/>
              <w:jc w:val="center"/>
              <w:rPr>
                <w:color w:val="auto"/>
                <w:sz w:val="26"/>
                <w:szCs w:val="26"/>
              </w:rPr>
            </w:pPr>
            <w:r>
              <w:rPr>
                <w:color w:val="auto"/>
                <w:sz w:val="26"/>
                <w:szCs w:val="26"/>
              </w:rPr>
              <w:t>建设项目名称</w:t>
            </w:r>
          </w:p>
        </w:tc>
        <w:tc>
          <w:tcPr>
            <w:tcW w:w="7338" w:type="dxa"/>
            <w:gridSpan w:val="4"/>
            <w:vAlign w:val="center"/>
          </w:tcPr>
          <w:p w14:paraId="563684CC">
            <w:pPr>
              <w:adjustRightInd w:val="0"/>
              <w:snapToGrid w:val="0"/>
              <w:spacing w:line="460" w:lineRule="exact"/>
              <w:jc w:val="center"/>
              <w:rPr>
                <w:color w:val="auto"/>
                <w:sz w:val="26"/>
                <w:szCs w:val="26"/>
              </w:rPr>
            </w:pPr>
            <w:r>
              <w:rPr>
                <w:rFonts w:hint="eastAsia"/>
                <w:color w:val="auto"/>
                <w:sz w:val="26"/>
                <w:szCs w:val="26"/>
              </w:rPr>
              <w:t>重庆</w:t>
            </w:r>
            <w:r>
              <w:rPr>
                <w:rFonts w:hint="eastAsia"/>
                <w:color w:val="auto"/>
                <w:sz w:val="26"/>
                <w:szCs w:val="26"/>
                <w:lang w:val="en-US" w:eastAsia="zh-CN"/>
              </w:rPr>
              <w:t>奉节</w:t>
            </w:r>
            <w:r>
              <w:rPr>
                <w:rFonts w:hint="eastAsia"/>
                <w:color w:val="auto"/>
                <w:sz w:val="26"/>
                <w:szCs w:val="26"/>
              </w:rPr>
              <w:t>金凤山风电场扩建（望天坪）110千伏送出工程</w:t>
            </w:r>
          </w:p>
        </w:tc>
      </w:tr>
      <w:tr w14:paraId="23C910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61" w:hRule="atLeast"/>
          <w:jc w:val="center"/>
        </w:trPr>
        <w:tc>
          <w:tcPr>
            <w:tcW w:w="1701" w:type="dxa"/>
            <w:tcMar>
              <w:top w:w="16" w:type="dxa"/>
              <w:left w:w="16" w:type="dxa"/>
              <w:right w:w="16" w:type="dxa"/>
            </w:tcMar>
            <w:vAlign w:val="center"/>
          </w:tcPr>
          <w:p w14:paraId="5A2DE7FB">
            <w:pPr>
              <w:adjustRightInd w:val="0"/>
              <w:snapToGrid w:val="0"/>
              <w:spacing w:line="460" w:lineRule="exact"/>
              <w:jc w:val="center"/>
              <w:rPr>
                <w:color w:val="auto"/>
                <w:sz w:val="26"/>
                <w:szCs w:val="26"/>
              </w:rPr>
            </w:pPr>
            <w:r>
              <w:rPr>
                <w:color w:val="auto"/>
                <w:sz w:val="26"/>
                <w:szCs w:val="26"/>
              </w:rPr>
              <w:t>项目代码</w:t>
            </w:r>
          </w:p>
        </w:tc>
        <w:tc>
          <w:tcPr>
            <w:tcW w:w="7338" w:type="dxa"/>
            <w:gridSpan w:val="4"/>
            <w:vAlign w:val="center"/>
          </w:tcPr>
          <w:p w14:paraId="6E73F6E6">
            <w:pPr>
              <w:adjustRightInd w:val="0"/>
              <w:snapToGrid w:val="0"/>
              <w:spacing w:line="460" w:lineRule="exact"/>
              <w:jc w:val="center"/>
              <w:rPr>
                <w:color w:val="auto"/>
                <w:sz w:val="26"/>
                <w:szCs w:val="26"/>
              </w:rPr>
            </w:pPr>
            <w:r>
              <w:rPr>
                <w:rFonts w:hint="eastAsia"/>
                <w:color w:val="auto"/>
                <w:sz w:val="26"/>
                <w:szCs w:val="26"/>
              </w:rPr>
              <w:t>2307-500236-04-01-932982</w:t>
            </w:r>
          </w:p>
        </w:tc>
      </w:tr>
      <w:tr w14:paraId="08D967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jc w:val="center"/>
        </w:trPr>
        <w:tc>
          <w:tcPr>
            <w:tcW w:w="1701" w:type="dxa"/>
            <w:tcMar>
              <w:top w:w="16" w:type="dxa"/>
              <w:left w:w="16" w:type="dxa"/>
              <w:right w:w="16" w:type="dxa"/>
            </w:tcMar>
            <w:vAlign w:val="center"/>
          </w:tcPr>
          <w:p w14:paraId="6C7AA528">
            <w:pPr>
              <w:adjustRightInd w:val="0"/>
              <w:snapToGrid w:val="0"/>
              <w:spacing w:line="460" w:lineRule="exact"/>
              <w:jc w:val="center"/>
              <w:rPr>
                <w:color w:val="auto"/>
                <w:sz w:val="26"/>
                <w:szCs w:val="26"/>
              </w:rPr>
            </w:pPr>
            <w:r>
              <w:rPr>
                <w:rFonts w:hint="eastAsia"/>
                <w:color w:val="auto"/>
                <w:sz w:val="26"/>
                <w:szCs w:val="26"/>
              </w:rPr>
              <w:t>建设单位联系人</w:t>
            </w:r>
          </w:p>
        </w:tc>
        <w:tc>
          <w:tcPr>
            <w:tcW w:w="2568" w:type="dxa"/>
            <w:vAlign w:val="center"/>
          </w:tcPr>
          <w:p w14:paraId="50049BA2">
            <w:pPr>
              <w:adjustRightInd w:val="0"/>
              <w:snapToGrid w:val="0"/>
              <w:spacing w:line="460" w:lineRule="exact"/>
              <w:jc w:val="center"/>
              <w:rPr>
                <w:color w:val="auto"/>
                <w:sz w:val="26"/>
                <w:szCs w:val="26"/>
              </w:rPr>
            </w:pPr>
            <w:r>
              <w:rPr>
                <w:rFonts w:hint="eastAsia"/>
                <w:color w:val="auto"/>
                <w:sz w:val="26"/>
                <w:szCs w:val="26"/>
              </w:rPr>
              <w:t>汪老师</w:t>
            </w:r>
          </w:p>
        </w:tc>
        <w:tc>
          <w:tcPr>
            <w:tcW w:w="2228" w:type="dxa"/>
            <w:gridSpan w:val="2"/>
            <w:vAlign w:val="center"/>
          </w:tcPr>
          <w:p w14:paraId="502886DD">
            <w:pPr>
              <w:tabs>
                <w:tab w:val="center" w:pos="1175"/>
                <w:tab w:val="right" w:pos="2230"/>
              </w:tabs>
              <w:adjustRightInd w:val="0"/>
              <w:snapToGrid w:val="0"/>
              <w:spacing w:line="460" w:lineRule="exact"/>
              <w:jc w:val="center"/>
              <w:rPr>
                <w:rFonts w:hint="eastAsia" w:eastAsia="宋体"/>
                <w:color w:val="auto"/>
                <w:sz w:val="26"/>
                <w:szCs w:val="26"/>
                <w:lang w:eastAsia="zh-CN"/>
              </w:rPr>
            </w:pPr>
            <w:r>
              <w:rPr>
                <w:rFonts w:hint="eastAsia"/>
                <w:color w:val="auto"/>
                <w:sz w:val="26"/>
                <w:szCs w:val="26"/>
              </w:rPr>
              <w:t>联系方式</w:t>
            </w:r>
          </w:p>
        </w:tc>
        <w:tc>
          <w:tcPr>
            <w:tcW w:w="2542" w:type="dxa"/>
            <w:vAlign w:val="center"/>
          </w:tcPr>
          <w:p w14:paraId="0214F8CA">
            <w:pPr>
              <w:adjustRightInd w:val="0"/>
              <w:snapToGrid w:val="0"/>
              <w:spacing w:line="460" w:lineRule="exact"/>
              <w:jc w:val="center"/>
              <w:rPr>
                <w:color w:val="auto"/>
                <w:sz w:val="26"/>
                <w:szCs w:val="26"/>
              </w:rPr>
            </w:pPr>
            <w:r>
              <w:rPr>
                <w:rFonts w:hint="eastAsia"/>
                <w:color w:val="auto"/>
                <w:sz w:val="26"/>
                <w:szCs w:val="26"/>
              </w:rPr>
              <w:t>138****7536</w:t>
            </w:r>
          </w:p>
        </w:tc>
      </w:tr>
      <w:tr w14:paraId="10AC70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jc w:val="center"/>
        </w:trPr>
        <w:tc>
          <w:tcPr>
            <w:tcW w:w="1701" w:type="dxa"/>
            <w:tcMar>
              <w:top w:w="16" w:type="dxa"/>
              <w:left w:w="16" w:type="dxa"/>
              <w:right w:w="16" w:type="dxa"/>
            </w:tcMar>
            <w:vAlign w:val="center"/>
          </w:tcPr>
          <w:p w14:paraId="071DF4F9">
            <w:pPr>
              <w:adjustRightInd w:val="0"/>
              <w:snapToGrid w:val="0"/>
              <w:spacing w:line="460" w:lineRule="exact"/>
              <w:jc w:val="center"/>
              <w:rPr>
                <w:color w:val="auto"/>
                <w:sz w:val="26"/>
                <w:szCs w:val="26"/>
              </w:rPr>
            </w:pPr>
            <w:r>
              <w:rPr>
                <w:rFonts w:hint="eastAsia"/>
                <w:color w:val="auto"/>
                <w:sz w:val="26"/>
                <w:szCs w:val="26"/>
              </w:rPr>
              <w:t>建设地点</w:t>
            </w:r>
          </w:p>
        </w:tc>
        <w:tc>
          <w:tcPr>
            <w:tcW w:w="7338" w:type="dxa"/>
            <w:gridSpan w:val="4"/>
            <w:vAlign w:val="center"/>
          </w:tcPr>
          <w:p w14:paraId="41694754">
            <w:pPr>
              <w:adjustRightInd w:val="0"/>
              <w:snapToGrid w:val="0"/>
              <w:spacing w:line="460" w:lineRule="exact"/>
              <w:jc w:val="center"/>
              <w:rPr>
                <w:color w:val="auto"/>
                <w:sz w:val="26"/>
                <w:szCs w:val="26"/>
              </w:rPr>
            </w:pPr>
            <w:r>
              <w:rPr>
                <w:rFonts w:hint="eastAsia"/>
                <w:color w:val="auto"/>
                <w:sz w:val="26"/>
                <w:szCs w:val="26"/>
              </w:rPr>
              <w:t>重庆市奉节县冯坪乡、新民镇</w:t>
            </w:r>
          </w:p>
        </w:tc>
      </w:tr>
      <w:tr w14:paraId="1BB297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jc w:val="center"/>
        </w:trPr>
        <w:tc>
          <w:tcPr>
            <w:tcW w:w="1701" w:type="dxa"/>
            <w:tcMar>
              <w:top w:w="16" w:type="dxa"/>
              <w:left w:w="16" w:type="dxa"/>
              <w:right w:w="16" w:type="dxa"/>
            </w:tcMar>
            <w:vAlign w:val="center"/>
          </w:tcPr>
          <w:p w14:paraId="051F871E">
            <w:pPr>
              <w:adjustRightInd w:val="0"/>
              <w:snapToGrid w:val="0"/>
              <w:spacing w:line="460" w:lineRule="exact"/>
              <w:jc w:val="center"/>
              <w:rPr>
                <w:color w:val="auto"/>
                <w:sz w:val="26"/>
                <w:szCs w:val="26"/>
                <w:highlight w:val="yellow"/>
              </w:rPr>
            </w:pPr>
            <w:r>
              <w:rPr>
                <w:rFonts w:hint="eastAsia"/>
                <w:color w:val="auto"/>
                <w:sz w:val="26"/>
                <w:szCs w:val="26"/>
              </w:rPr>
              <w:t>地理坐标</w:t>
            </w:r>
          </w:p>
        </w:tc>
        <w:tc>
          <w:tcPr>
            <w:tcW w:w="7338" w:type="dxa"/>
            <w:gridSpan w:val="4"/>
            <w:vAlign w:val="center"/>
          </w:tcPr>
          <w:p w14:paraId="3E76D722">
            <w:pPr>
              <w:adjustRightInd w:val="0"/>
              <w:snapToGrid w:val="0"/>
              <w:spacing w:line="460" w:lineRule="exact"/>
              <w:jc w:val="center"/>
              <w:rPr>
                <w:color w:val="auto"/>
                <w:sz w:val="26"/>
                <w:szCs w:val="26"/>
              </w:rPr>
            </w:pPr>
            <w:r>
              <w:rPr>
                <w:rFonts w:hint="eastAsia"/>
                <w:color w:val="auto"/>
                <w:sz w:val="26"/>
                <w:szCs w:val="26"/>
              </w:rPr>
              <w:t>起点</w:t>
            </w:r>
            <w:r>
              <w:rPr>
                <w:color w:val="auto"/>
                <w:sz w:val="26"/>
                <w:szCs w:val="26"/>
              </w:rPr>
              <w:t>（</w:t>
            </w:r>
            <w:r>
              <w:rPr>
                <w:color w:val="auto"/>
                <w:sz w:val="26"/>
                <w:szCs w:val="26"/>
                <w:u w:val="single"/>
              </w:rPr>
              <w:t xml:space="preserve"> </w:t>
            </w:r>
            <w:r>
              <w:rPr>
                <w:rFonts w:hint="eastAsia"/>
                <w:color w:val="auto"/>
                <w:sz w:val="26"/>
                <w:szCs w:val="26"/>
                <w:u w:val="single"/>
                <w:lang w:val="en-US" w:eastAsia="zh-CN"/>
              </w:rPr>
              <w:t>/</w:t>
            </w:r>
            <w:r>
              <w:rPr>
                <w:color w:val="auto"/>
                <w:sz w:val="26"/>
                <w:szCs w:val="26"/>
                <w:u w:val="single"/>
              </w:rPr>
              <w:t xml:space="preserve"> </w:t>
            </w:r>
            <w:r>
              <w:rPr>
                <w:color w:val="auto"/>
                <w:sz w:val="26"/>
                <w:szCs w:val="26"/>
              </w:rPr>
              <w:t>度</w:t>
            </w:r>
            <w:r>
              <w:rPr>
                <w:color w:val="auto"/>
                <w:sz w:val="26"/>
                <w:szCs w:val="26"/>
                <w:u w:val="single"/>
              </w:rPr>
              <w:t xml:space="preserve"> </w:t>
            </w:r>
            <w:r>
              <w:rPr>
                <w:rFonts w:hint="eastAsia"/>
                <w:color w:val="auto"/>
                <w:sz w:val="26"/>
                <w:szCs w:val="26"/>
                <w:u w:val="single"/>
                <w:lang w:val="en-US" w:eastAsia="zh-CN"/>
              </w:rPr>
              <w:t>/</w:t>
            </w:r>
            <w:r>
              <w:rPr>
                <w:color w:val="auto"/>
                <w:sz w:val="26"/>
                <w:szCs w:val="26"/>
                <w:u w:val="single"/>
              </w:rPr>
              <w:t xml:space="preserve"> </w:t>
            </w:r>
            <w:r>
              <w:rPr>
                <w:color w:val="auto"/>
                <w:sz w:val="26"/>
                <w:szCs w:val="26"/>
              </w:rPr>
              <w:t>分</w:t>
            </w:r>
            <w:r>
              <w:rPr>
                <w:color w:val="auto"/>
                <w:sz w:val="26"/>
                <w:szCs w:val="26"/>
                <w:u w:val="single"/>
              </w:rPr>
              <w:t xml:space="preserve"> </w:t>
            </w:r>
            <w:r>
              <w:rPr>
                <w:rFonts w:hint="eastAsia"/>
                <w:color w:val="auto"/>
                <w:sz w:val="26"/>
                <w:szCs w:val="26"/>
                <w:u w:val="single"/>
                <w:lang w:val="en-US" w:eastAsia="zh-CN"/>
              </w:rPr>
              <w:t>/</w:t>
            </w:r>
            <w:r>
              <w:rPr>
                <w:color w:val="auto"/>
                <w:sz w:val="26"/>
                <w:szCs w:val="26"/>
                <w:u w:val="single"/>
              </w:rPr>
              <w:t xml:space="preserve"> </w:t>
            </w:r>
            <w:r>
              <w:rPr>
                <w:color w:val="auto"/>
                <w:sz w:val="26"/>
                <w:szCs w:val="26"/>
              </w:rPr>
              <w:t>秒，</w:t>
            </w:r>
            <w:r>
              <w:rPr>
                <w:color w:val="auto"/>
                <w:sz w:val="26"/>
                <w:szCs w:val="26"/>
                <w:u w:val="single"/>
              </w:rPr>
              <w:t xml:space="preserve"> </w:t>
            </w:r>
            <w:r>
              <w:rPr>
                <w:rFonts w:hint="eastAsia"/>
                <w:color w:val="auto"/>
                <w:sz w:val="26"/>
                <w:szCs w:val="26"/>
                <w:u w:val="single"/>
                <w:lang w:val="en-US" w:eastAsia="zh-CN"/>
              </w:rPr>
              <w:t>/</w:t>
            </w:r>
            <w:r>
              <w:rPr>
                <w:color w:val="auto"/>
                <w:sz w:val="26"/>
                <w:szCs w:val="26"/>
                <w:u w:val="single"/>
              </w:rPr>
              <w:t xml:space="preserve"> </w:t>
            </w:r>
            <w:r>
              <w:rPr>
                <w:color w:val="auto"/>
                <w:sz w:val="26"/>
                <w:szCs w:val="26"/>
              </w:rPr>
              <w:t>度</w:t>
            </w:r>
            <w:r>
              <w:rPr>
                <w:rFonts w:hint="eastAsia"/>
                <w:color w:val="auto"/>
                <w:sz w:val="26"/>
                <w:szCs w:val="26"/>
                <w:u w:val="single"/>
              </w:rPr>
              <w:t xml:space="preserve"> </w:t>
            </w:r>
            <w:r>
              <w:rPr>
                <w:rFonts w:hint="eastAsia"/>
                <w:color w:val="auto"/>
                <w:sz w:val="26"/>
                <w:szCs w:val="26"/>
                <w:u w:val="single"/>
                <w:lang w:val="en-US" w:eastAsia="zh-CN"/>
              </w:rPr>
              <w:t>/</w:t>
            </w:r>
            <w:r>
              <w:rPr>
                <w:color w:val="auto"/>
                <w:sz w:val="26"/>
                <w:szCs w:val="26"/>
                <w:u w:val="single"/>
              </w:rPr>
              <w:t xml:space="preserve"> </w:t>
            </w:r>
            <w:r>
              <w:rPr>
                <w:color w:val="auto"/>
                <w:sz w:val="26"/>
                <w:szCs w:val="26"/>
              </w:rPr>
              <w:t>分</w:t>
            </w:r>
            <w:r>
              <w:rPr>
                <w:color w:val="auto"/>
                <w:sz w:val="26"/>
                <w:szCs w:val="26"/>
                <w:u w:val="single"/>
              </w:rPr>
              <w:t xml:space="preserve"> </w:t>
            </w:r>
            <w:r>
              <w:rPr>
                <w:rFonts w:hint="eastAsia"/>
                <w:color w:val="auto"/>
                <w:sz w:val="26"/>
                <w:szCs w:val="26"/>
                <w:u w:val="single"/>
                <w:lang w:val="en-US" w:eastAsia="zh-CN"/>
              </w:rPr>
              <w:t>/</w:t>
            </w:r>
            <w:r>
              <w:rPr>
                <w:color w:val="auto"/>
                <w:sz w:val="26"/>
                <w:szCs w:val="26"/>
              </w:rPr>
              <w:t>秒）</w:t>
            </w:r>
          </w:p>
          <w:p w14:paraId="184DDD4F">
            <w:pPr>
              <w:adjustRightInd w:val="0"/>
              <w:snapToGrid w:val="0"/>
              <w:spacing w:line="460" w:lineRule="exact"/>
              <w:jc w:val="center"/>
              <w:rPr>
                <w:color w:val="auto"/>
                <w:sz w:val="26"/>
                <w:szCs w:val="26"/>
              </w:rPr>
            </w:pPr>
            <w:r>
              <w:rPr>
                <w:rFonts w:hint="eastAsia"/>
                <w:color w:val="auto"/>
                <w:sz w:val="26"/>
                <w:szCs w:val="26"/>
              </w:rPr>
              <w:t>拐点</w:t>
            </w:r>
            <w:r>
              <w:rPr>
                <w:color w:val="auto"/>
                <w:sz w:val="26"/>
                <w:szCs w:val="26"/>
              </w:rPr>
              <w:t>（</w:t>
            </w:r>
            <w:r>
              <w:rPr>
                <w:color w:val="auto"/>
                <w:sz w:val="26"/>
                <w:szCs w:val="26"/>
                <w:u w:val="single"/>
              </w:rPr>
              <w:t xml:space="preserve"> </w:t>
            </w:r>
            <w:r>
              <w:rPr>
                <w:rFonts w:hint="eastAsia"/>
                <w:color w:val="auto"/>
                <w:sz w:val="26"/>
                <w:szCs w:val="26"/>
                <w:u w:val="single"/>
                <w:lang w:val="en-US" w:eastAsia="zh-CN"/>
              </w:rPr>
              <w:t>/</w:t>
            </w:r>
            <w:r>
              <w:rPr>
                <w:color w:val="auto"/>
                <w:sz w:val="26"/>
                <w:szCs w:val="26"/>
                <w:u w:val="single"/>
              </w:rPr>
              <w:t xml:space="preserve"> </w:t>
            </w:r>
            <w:r>
              <w:rPr>
                <w:color w:val="auto"/>
                <w:sz w:val="26"/>
                <w:szCs w:val="26"/>
              </w:rPr>
              <w:t>度</w:t>
            </w:r>
            <w:r>
              <w:rPr>
                <w:rFonts w:hint="eastAsia"/>
                <w:color w:val="auto"/>
                <w:sz w:val="26"/>
                <w:szCs w:val="26"/>
                <w:u w:val="single"/>
              </w:rPr>
              <w:t xml:space="preserve"> </w:t>
            </w:r>
            <w:r>
              <w:rPr>
                <w:rFonts w:hint="eastAsia"/>
                <w:color w:val="auto"/>
                <w:sz w:val="26"/>
                <w:szCs w:val="26"/>
                <w:u w:val="single"/>
                <w:lang w:val="en-US" w:eastAsia="zh-CN"/>
              </w:rPr>
              <w:t xml:space="preserve">/ </w:t>
            </w:r>
            <w:r>
              <w:rPr>
                <w:color w:val="auto"/>
                <w:sz w:val="26"/>
                <w:szCs w:val="26"/>
              </w:rPr>
              <w:t>分</w:t>
            </w:r>
            <w:r>
              <w:rPr>
                <w:rFonts w:hint="eastAsia"/>
                <w:color w:val="auto"/>
                <w:sz w:val="26"/>
                <w:szCs w:val="26"/>
                <w:u w:val="single"/>
              </w:rPr>
              <w:t xml:space="preserve"> </w:t>
            </w:r>
            <w:r>
              <w:rPr>
                <w:rFonts w:hint="eastAsia"/>
                <w:color w:val="auto"/>
                <w:sz w:val="26"/>
                <w:szCs w:val="26"/>
                <w:u w:val="single"/>
                <w:lang w:val="en-US" w:eastAsia="zh-CN"/>
              </w:rPr>
              <w:t>/</w:t>
            </w:r>
            <w:r>
              <w:rPr>
                <w:color w:val="auto"/>
                <w:sz w:val="26"/>
                <w:szCs w:val="26"/>
                <w:u w:val="single"/>
              </w:rPr>
              <w:t xml:space="preserve"> </w:t>
            </w:r>
            <w:r>
              <w:rPr>
                <w:color w:val="auto"/>
                <w:sz w:val="26"/>
                <w:szCs w:val="26"/>
              </w:rPr>
              <w:t>秒，</w:t>
            </w:r>
            <w:r>
              <w:rPr>
                <w:color w:val="auto"/>
                <w:sz w:val="26"/>
                <w:szCs w:val="26"/>
                <w:u w:val="single"/>
              </w:rPr>
              <w:t xml:space="preserve"> </w:t>
            </w:r>
            <w:r>
              <w:rPr>
                <w:rFonts w:hint="eastAsia"/>
                <w:color w:val="auto"/>
                <w:sz w:val="26"/>
                <w:szCs w:val="26"/>
                <w:u w:val="single"/>
                <w:lang w:val="en-US" w:eastAsia="zh-CN"/>
              </w:rPr>
              <w:t>/</w:t>
            </w:r>
            <w:r>
              <w:rPr>
                <w:color w:val="auto"/>
                <w:sz w:val="26"/>
                <w:szCs w:val="26"/>
                <w:u w:val="single"/>
              </w:rPr>
              <w:t xml:space="preserve"> </w:t>
            </w:r>
            <w:r>
              <w:rPr>
                <w:color w:val="auto"/>
                <w:sz w:val="26"/>
                <w:szCs w:val="26"/>
              </w:rPr>
              <w:t>度</w:t>
            </w:r>
            <w:r>
              <w:rPr>
                <w:color w:val="auto"/>
                <w:sz w:val="26"/>
                <w:szCs w:val="26"/>
                <w:u w:val="single"/>
              </w:rPr>
              <w:t xml:space="preserve"> </w:t>
            </w:r>
            <w:r>
              <w:rPr>
                <w:rFonts w:hint="eastAsia"/>
                <w:color w:val="auto"/>
                <w:sz w:val="26"/>
                <w:szCs w:val="26"/>
                <w:u w:val="single"/>
                <w:lang w:val="en-US" w:eastAsia="zh-CN"/>
              </w:rPr>
              <w:t>/</w:t>
            </w:r>
            <w:r>
              <w:rPr>
                <w:color w:val="auto"/>
                <w:sz w:val="26"/>
                <w:szCs w:val="26"/>
                <w:u w:val="single"/>
              </w:rPr>
              <w:t xml:space="preserve"> </w:t>
            </w:r>
            <w:r>
              <w:rPr>
                <w:color w:val="auto"/>
                <w:sz w:val="26"/>
                <w:szCs w:val="26"/>
              </w:rPr>
              <w:t>分</w:t>
            </w:r>
            <w:r>
              <w:rPr>
                <w:color w:val="auto"/>
                <w:sz w:val="26"/>
                <w:szCs w:val="26"/>
                <w:u w:val="single"/>
              </w:rPr>
              <w:t xml:space="preserve"> </w:t>
            </w:r>
            <w:r>
              <w:rPr>
                <w:rFonts w:hint="eastAsia"/>
                <w:color w:val="auto"/>
                <w:sz w:val="26"/>
                <w:szCs w:val="26"/>
                <w:u w:val="single"/>
                <w:lang w:val="en-US" w:eastAsia="zh-CN"/>
              </w:rPr>
              <w:t>/</w:t>
            </w:r>
            <w:r>
              <w:rPr>
                <w:color w:val="auto"/>
                <w:sz w:val="26"/>
                <w:szCs w:val="26"/>
                <w:u w:val="single"/>
              </w:rPr>
              <w:t xml:space="preserve"> </w:t>
            </w:r>
            <w:r>
              <w:rPr>
                <w:color w:val="auto"/>
                <w:sz w:val="26"/>
                <w:szCs w:val="26"/>
              </w:rPr>
              <w:t>秒）</w:t>
            </w:r>
          </w:p>
          <w:p w14:paraId="138B51CD">
            <w:pPr>
              <w:adjustRightInd w:val="0"/>
              <w:snapToGrid w:val="0"/>
              <w:spacing w:line="460" w:lineRule="exact"/>
              <w:jc w:val="center"/>
              <w:rPr>
                <w:color w:val="auto"/>
                <w:sz w:val="26"/>
                <w:szCs w:val="26"/>
                <w:highlight w:val="yellow"/>
              </w:rPr>
            </w:pPr>
            <w:r>
              <w:rPr>
                <w:rFonts w:hint="eastAsia"/>
                <w:color w:val="auto"/>
                <w:sz w:val="26"/>
                <w:szCs w:val="26"/>
              </w:rPr>
              <w:t>终点</w:t>
            </w:r>
            <w:r>
              <w:rPr>
                <w:color w:val="auto"/>
                <w:sz w:val="26"/>
                <w:szCs w:val="26"/>
              </w:rPr>
              <w:t>（</w:t>
            </w:r>
            <w:r>
              <w:rPr>
                <w:color w:val="auto"/>
                <w:sz w:val="26"/>
                <w:szCs w:val="26"/>
                <w:u w:val="single"/>
              </w:rPr>
              <w:t xml:space="preserve"> </w:t>
            </w:r>
            <w:r>
              <w:rPr>
                <w:rFonts w:hint="eastAsia"/>
                <w:color w:val="auto"/>
                <w:sz w:val="26"/>
                <w:szCs w:val="26"/>
                <w:u w:val="single"/>
                <w:lang w:val="en-US" w:eastAsia="zh-CN"/>
              </w:rPr>
              <w:t>/</w:t>
            </w:r>
            <w:r>
              <w:rPr>
                <w:color w:val="auto"/>
                <w:sz w:val="26"/>
                <w:szCs w:val="26"/>
                <w:u w:val="single"/>
              </w:rPr>
              <w:t xml:space="preserve"> </w:t>
            </w:r>
            <w:r>
              <w:rPr>
                <w:color w:val="auto"/>
                <w:sz w:val="26"/>
                <w:szCs w:val="26"/>
              </w:rPr>
              <w:t>度</w:t>
            </w:r>
            <w:r>
              <w:rPr>
                <w:color w:val="auto"/>
                <w:sz w:val="26"/>
                <w:szCs w:val="26"/>
                <w:u w:val="single"/>
              </w:rPr>
              <w:t xml:space="preserve"> </w:t>
            </w:r>
            <w:r>
              <w:rPr>
                <w:rFonts w:hint="eastAsia"/>
                <w:color w:val="auto"/>
                <w:sz w:val="26"/>
                <w:szCs w:val="26"/>
                <w:u w:val="single"/>
                <w:lang w:val="en-US" w:eastAsia="zh-CN"/>
              </w:rPr>
              <w:t>/</w:t>
            </w:r>
            <w:r>
              <w:rPr>
                <w:color w:val="auto"/>
                <w:sz w:val="26"/>
                <w:szCs w:val="26"/>
                <w:u w:val="single"/>
              </w:rPr>
              <w:t xml:space="preserve"> </w:t>
            </w:r>
            <w:r>
              <w:rPr>
                <w:color w:val="auto"/>
                <w:sz w:val="26"/>
                <w:szCs w:val="26"/>
              </w:rPr>
              <w:t>分</w:t>
            </w:r>
            <w:r>
              <w:rPr>
                <w:color w:val="auto"/>
                <w:sz w:val="26"/>
                <w:szCs w:val="26"/>
                <w:u w:val="single"/>
              </w:rPr>
              <w:t xml:space="preserve"> </w:t>
            </w:r>
            <w:r>
              <w:rPr>
                <w:rFonts w:hint="eastAsia"/>
                <w:color w:val="auto"/>
                <w:sz w:val="26"/>
                <w:szCs w:val="26"/>
                <w:u w:val="single"/>
                <w:lang w:val="en-US" w:eastAsia="zh-CN"/>
              </w:rPr>
              <w:t>/</w:t>
            </w:r>
            <w:r>
              <w:rPr>
                <w:color w:val="auto"/>
                <w:sz w:val="26"/>
                <w:szCs w:val="26"/>
                <w:u w:val="single"/>
              </w:rPr>
              <w:t xml:space="preserve"> </w:t>
            </w:r>
            <w:r>
              <w:rPr>
                <w:color w:val="auto"/>
                <w:sz w:val="26"/>
                <w:szCs w:val="26"/>
              </w:rPr>
              <w:t>秒，</w:t>
            </w:r>
            <w:r>
              <w:rPr>
                <w:color w:val="auto"/>
                <w:sz w:val="26"/>
                <w:szCs w:val="26"/>
                <w:u w:val="single"/>
              </w:rPr>
              <w:t xml:space="preserve"> </w:t>
            </w:r>
            <w:r>
              <w:rPr>
                <w:rFonts w:hint="eastAsia"/>
                <w:color w:val="auto"/>
                <w:sz w:val="26"/>
                <w:szCs w:val="26"/>
                <w:u w:val="single"/>
                <w:lang w:val="en-US" w:eastAsia="zh-CN"/>
              </w:rPr>
              <w:t>/</w:t>
            </w:r>
            <w:r>
              <w:rPr>
                <w:color w:val="auto"/>
                <w:sz w:val="26"/>
                <w:szCs w:val="26"/>
                <w:u w:val="single"/>
              </w:rPr>
              <w:t xml:space="preserve"> </w:t>
            </w:r>
            <w:r>
              <w:rPr>
                <w:color w:val="auto"/>
                <w:sz w:val="26"/>
                <w:szCs w:val="26"/>
              </w:rPr>
              <w:t>度</w:t>
            </w:r>
            <w:r>
              <w:rPr>
                <w:color w:val="auto"/>
                <w:sz w:val="26"/>
                <w:szCs w:val="26"/>
                <w:u w:val="single"/>
              </w:rPr>
              <w:t xml:space="preserve"> </w:t>
            </w:r>
            <w:r>
              <w:rPr>
                <w:rFonts w:hint="eastAsia"/>
                <w:color w:val="auto"/>
                <w:sz w:val="26"/>
                <w:szCs w:val="26"/>
                <w:u w:val="single"/>
                <w:lang w:val="en-US" w:eastAsia="zh-CN"/>
              </w:rPr>
              <w:t>/</w:t>
            </w:r>
            <w:r>
              <w:rPr>
                <w:color w:val="auto"/>
                <w:sz w:val="26"/>
                <w:szCs w:val="26"/>
                <w:u w:val="single"/>
              </w:rPr>
              <w:t xml:space="preserve"> </w:t>
            </w:r>
            <w:r>
              <w:rPr>
                <w:color w:val="auto"/>
                <w:sz w:val="26"/>
                <w:szCs w:val="26"/>
              </w:rPr>
              <w:t>分</w:t>
            </w:r>
            <w:r>
              <w:rPr>
                <w:color w:val="auto"/>
                <w:sz w:val="26"/>
                <w:szCs w:val="26"/>
                <w:u w:val="single"/>
              </w:rPr>
              <w:t xml:space="preserve"> </w:t>
            </w:r>
            <w:r>
              <w:rPr>
                <w:rFonts w:hint="eastAsia"/>
                <w:color w:val="auto"/>
                <w:sz w:val="26"/>
                <w:szCs w:val="26"/>
                <w:u w:val="single"/>
                <w:lang w:val="en-US" w:eastAsia="zh-CN"/>
              </w:rPr>
              <w:t>/</w:t>
            </w:r>
            <w:r>
              <w:rPr>
                <w:color w:val="auto"/>
                <w:sz w:val="26"/>
                <w:szCs w:val="26"/>
                <w:u w:val="single"/>
              </w:rPr>
              <w:t xml:space="preserve"> </w:t>
            </w:r>
            <w:r>
              <w:rPr>
                <w:color w:val="auto"/>
                <w:sz w:val="26"/>
                <w:szCs w:val="26"/>
              </w:rPr>
              <w:t>秒）</w:t>
            </w:r>
          </w:p>
        </w:tc>
      </w:tr>
      <w:tr w14:paraId="2DA914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15" w:hRule="atLeast"/>
          <w:jc w:val="center"/>
        </w:trPr>
        <w:tc>
          <w:tcPr>
            <w:tcW w:w="1701" w:type="dxa"/>
            <w:tcMar>
              <w:top w:w="16" w:type="dxa"/>
              <w:left w:w="16" w:type="dxa"/>
              <w:right w:w="16" w:type="dxa"/>
            </w:tcMar>
            <w:vAlign w:val="center"/>
          </w:tcPr>
          <w:p w14:paraId="2CF24CF2">
            <w:pPr>
              <w:adjustRightInd w:val="0"/>
              <w:snapToGrid w:val="0"/>
              <w:spacing w:line="460" w:lineRule="exact"/>
              <w:jc w:val="center"/>
              <w:rPr>
                <w:color w:val="auto"/>
                <w:sz w:val="26"/>
                <w:szCs w:val="26"/>
              </w:rPr>
            </w:pPr>
            <w:r>
              <w:rPr>
                <w:color w:val="auto"/>
                <w:sz w:val="26"/>
                <w:szCs w:val="26"/>
              </w:rPr>
              <w:t>建设项目</w:t>
            </w:r>
          </w:p>
          <w:p w14:paraId="4E153ACB">
            <w:pPr>
              <w:adjustRightInd w:val="0"/>
              <w:snapToGrid w:val="0"/>
              <w:spacing w:line="460" w:lineRule="exact"/>
              <w:jc w:val="center"/>
              <w:rPr>
                <w:color w:val="auto"/>
                <w:sz w:val="26"/>
                <w:szCs w:val="26"/>
              </w:rPr>
            </w:pPr>
            <w:r>
              <w:rPr>
                <w:color w:val="auto"/>
                <w:sz w:val="26"/>
                <w:szCs w:val="26"/>
              </w:rPr>
              <w:t>行业类别</w:t>
            </w:r>
          </w:p>
        </w:tc>
        <w:tc>
          <w:tcPr>
            <w:tcW w:w="2568" w:type="dxa"/>
            <w:vAlign w:val="center"/>
          </w:tcPr>
          <w:p w14:paraId="236AEFDD">
            <w:pPr>
              <w:adjustRightInd w:val="0"/>
              <w:snapToGrid w:val="0"/>
              <w:spacing w:line="460" w:lineRule="exact"/>
              <w:jc w:val="center"/>
              <w:rPr>
                <w:color w:val="auto"/>
                <w:sz w:val="26"/>
                <w:szCs w:val="26"/>
              </w:rPr>
            </w:pPr>
            <w:r>
              <w:rPr>
                <w:color w:val="auto"/>
                <w:sz w:val="26"/>
                <w:szCs w:val="26"/>
              </w:rPr>
              <w:t>55-161输变电工程</w:t>
            </w:r>
          </w:p>
        </w:tc>
        <w:tc>
          <w:tcPr>
            <w:tcW w:w="2218" w:type="dxa"/>
            <w:vAlign w:val="center"/>
          </w:tcPr>
          <w:p w14:paraId="7B774FF2">
            <w:pPr>
              <w:adjustRightInd w:val="0"/>
              <w:snapToGrid w:val="0"/>
              <w:spacing w:line="460" w:lineRule="exact"/>
              <w:jc w:val="center"/>
              <w:rPr>
                <w:color w:val="auto"/>
                <w:sz w:val="26"/>
                <w:szCs w:val="26"/>
              </w:rPr>
            </w:pPr>
            <w:r>
              <w:rPr>
                <w:color w:val="auto"/>
                <w:sz w:val="26"/>
                <w:szCs w:val="26"/>
              </w:rPr>
              <w:t>用地（用海）面积（m</w:t>
            </w:r>
            <w:r>
              <w:rPr>
                <w:color w:val="auto"/>
                <w:sz w:val="26"/>
                <w:szCs w:val="26"/>
                <w:vertAlign w:val="superscript"/>
              </w:rPr>
              <w:t>2</w:t>
            </w:r>
            <w:r>
              <w:rPr>
                <w:color w:val="auto"/>
                <w:sz w:val="26"/>
                <w:szCs w:val="26"/>
              </w:rPr>
              <w:t>）/长度（km）</w:t>
            </w:r>
          </w:p>
        </w:tc>
        <w:tc>
          <w:tcPr>
            <w:tcW w:w="2552" w:type="dxa"/>
            <w:gridSpan w:val="2"/>
            <w:vAlign w:val="center"/>
          </w:tcPr>
          <w:p w14:paraId="65EAACAB">
            <w:pPr>
              <w:adjustRightInd w:val="0"/>
              <w:snapToGrid w:val="0"/>
              <w:spacing w:line="460" w:lineRule="exact"/>
              <w:jc w:val="center"/>
              <w:rPr>
                <w:color w:val="auto"/>
                <w:sz w:val="26"/>
                <w:szCs w:val="26"/>
              </w:rPr>
            </w:pPr>
            <w:r>
              <w:rPr>
                <w:rFonts w:hint="eastAsia"/>
                <w:color w:val="auto"/>
                <w:sz w:val="26"/>
                <w:szCs w:val="26"/>
                <w:lang w:val="en-US" w:eastAsia="zh-CN"/>
              </w:rPr>
              <w:t>塔基</w:t>
            </w:r>
            <w:r>
              <w:rPr>
                <w:rFonts w:hint="eastAsia"/>
                <w:color w:val="auto"/>
                <w:sz w:val="26"/>
                <w:szCs w:val="26"/>
              </w:rPr>
              <w:t>占地1536、临时占地7590/长度5.9</w:t>
            </w:r>
          </w:p>
        </w:tc>
      </w:tr>
      <w:tr w14:paraId="1ADECE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4" w:hRule="atLeast"/>
          <w:jc w:val="center"/>
        </w:trPr>
        <w:tc>
          <w:tcPr>
            <w:tcW w:w="1701" w:type="dxa"/>
            <w:tcMar>
              <w:top w:w="16" w:type="dxa"/>
              <w:left w:w="16" w:type="dxa"/>
              <w:right w:w="16" w:type="dxa"/>
            </w:tcMar>
            <w:vAlign w:val="center"/>
          </w:tcPr>
          <w:p w14:paraId="3D29AB42">
            <w:pPr>
              <w:adjustRightInd w:val="0"/>
              <w:snapToGrid w:val="0"/>
              <w:spacing w:line="460" w:lineRule="exact"/>
              <w:jc w:val="center"/>
              <w:rPr>
                <w:color w:val="auto"/>
                <w:sz w:val="26"/>
                <w:szCs w:val="26"/>
              </w:rPr>
            </w:pPr>
            <w:r>
              <w:rPr>
                <w:color w:val="auto"/>
                <w:sz w:val="26"/>
                <w:szCs w:val="26"/>
              </w:rPr>
              <w:t>建设性质</w:t>
            </w:r>
          </w:p>
        </w:tc>
        <w:tc>
          <w:tcPr>
            <w:tcW w:w="2568" w:type="dxa"/>
            <w:vAlign w:val="center"/>
          </w:tcPr>
          <w:p w14:paraId="41B7458A">
            <w:pPr>
              <w:adjustRightInd w:val="0"/>
              <w:snapToGrid w:val="0"/>
              <w:spacing w:line="460" w:lineRule="exact"/>
              <w:jc w:val="left"/>
              <w:rPr>
                <w:color w:val="auto"/>
                <w:sz w:val="26"/>
                <w:szCs w:val="26"/>
              </w:rPr>
            </w:pPr>
            <w:r>
              <w:rPr>
                <w:rFonts w:hint="eastAsia"/>
                <w:color w:val="auto"/>
                <w:sz w:val="26"/>
                <w:szCs w:val="26"/>
              </w:rPr>
              <w:t>☑</w:t>
            </w:r>
            <w:r>
              <w:rPr>
                <w:color w:val="auto"/>
                <w:sz w:val="26"/>
                <w:szCs w:val="26"/>
              </w:rPr>
              <w:t>新建（迁建）</w:t>
            </w:r>
          </w:p>
          <w:p w14:paraId="711B6004">
            <w:pPr>
              <w:adjustRightInd w:val="0"/>
              <w:snapToGrid w:val="0"/>
              <w:spacing w:line="460" w:lineRule="exact"/>
              <w:jc w:val="left"/>
              <w:rPr>
                <w:color w:val="auto"/>
                <w:sz w:val="26"/>
                <w:szCs w:val="26"/>
              </w:rPr>
            </w:pPr>
            <w:r>
              <w:rPr>
                <w:color w:val="auto"/>
                <w:sz w:val="26"/>
                <w:szCs w:val="26"/>
              </w:rPr>
              <w:t>□改建</w:t>
            </w:r>
          </w:p>
          <w:p w14:paraId="65E79C16">
            <w:pPr>
              <w:adjustRightInd w:val="0"/>
              <w:snapToGrid w:val="0"/>
              <w:spacing w:line="460" w:lineRule="exact"/>
              <w:jc w:val="left"/>
              <w:rPr>
                <w:color w:val="auto"/>
                <w:sz w:val="26"/>
                <w:szCs w:val="26"/>
              </w:rPr>
            </w:pPr>
            <w:r>
              <w:rPr>
                <w:color w:val="auto"/>
                <w:sz w:val="26"/>
                <w:szCs w:val="26"/>
              </w:rPr>
              <w:t>□扩建</w:t>
            </w:r>
          </w:p>
          <w:p w14:paraId="74AF97A5">
            <w:pPr>
              <w:adjustRightInd w:val="0"/>
              <w:snapToGrid w:val="0"/>
              <w:spacing w:line="460" w:lineRule="exact"/>
              <w:jc w:val="left"/>
              <w:rPr>
                <w:color w:val="auto"/>
                <w:sz w:val="26"/>
                <w:szCs w:val="26"/>
              </w:rPr>
            </w:pPr>
            <w:r>
              <w:rPr>
                <w:color w:val="auto"/>
                <w:sz w:val="26"/>
                <w:szCs w:val="26"/>
              </w:rPr>
              <w:t>□技术改造</w:t>
            </w:r>
          </w:p>
        </w:tc>
        <w:tc>
          <w:tcPr>
            <w:tcW w:w="2218" w:type="dxa"/>
            <w:vAlign w:val="center"/>
          </w:tcPr>
          <w:p w14:paraId="2D7B6271">
            <w:pPr>
              <w:adjustRightInd w:val="0"/>
              <w:snapToGrid w:val="0"/>
              <w:spacing w:line="460" w:lineRule="exact"/>
              <w:jc w:val="center"/>
              <w:rPr>
                <w:color w:val="auto"/>
                <w:sz w:val="26"/>
                <w:szCs w:val="26"/>
              </w:rPr>
            </w:pPr>
            <w:r>
              <w:rPr>
                <w:color w:val="auto"/>
                <w:sz w:val="26"/>
                <w:szCs w:val="26"/>
              </w:rPr>
              <w:t>建设项目</w:t>
            </w:r>
          </w:p>
          <w:p w14:paraId="13A31610">
            <w:pPr>
              <w:adjustRightInd w:val="0"/>
              <w:snapToGrid w:val="0"/>
              <w:spacing w:line="460" w:lineRule="exact"/>
              <w:jc w:val="center"/>
              <w:rPr>
                <w:color w:val="auto"/>
                <w:sz w:val="26"/>
                <w:szCs w:val="26"/>
              </w:rPr>
            </w:pPr>
            <w:r>
              <w:rPr>
                <w:color w:val="auto"/>
                <w:sz w:val="26"/>
                <w:szCs w:val="26"/>
              </w:rPr>
              <w:t>申报情形</w:t>
            </w:r>
          </w:p>
        </w:tc>
        <w:tc>
          <w:tcPr>
            <w:tcW w:w="2552" w:type="dxa"/>
            <w:gridSpan w:val="2"/>
            <w:vAlign w:val="center"/>
          </w:tcPr>
          <w:p w14:paraId="24C1F516">
            <w:pPr>
              <w:adjustRightInd w:val="0"/>
              <w:snapToGrid w:val="0"/>
              <w:spacing w:line="460" w:lineRule="exact"/>
              <w:jc w:val="left"/>
              <w:rPr>
                <w:color w:val="auto"/>
                <w:sz w:val="26"/>
                <w:szCs w:val="26"/>
              </w:rPr>
            </w:pPr>
            <w:r>
              <w:rPr>
                <w:color w:val="auto"/>
                <w:sz w:val="26"/>
                <w:szCs w:val="26"/>
              </w:rPr>
              <w:sym w:font="Wingdings 2" w:char="F052"/>
            </w:r>
            <w:r>
              <w:rPr>
                <w:color w:val="auto"/>
                <w:sz w:val="26"/>
                <w:szCs w:val="26"/>
              </w:rPr>
              <w:t>首次申报项目</w:t>
            </w:r>
          </w:p>
          <w:p w14:paraId="718A1298">
            <w:pPr>
              <w:adjustRightInd w:val="0"/>
              <w:snapToGrid w:val="0"/>
              <w:spacing w:line="460" w:lineRule="exact"/>
              <w:jc w:val="left"/>
              <w:rPr>
                <w:color w:val="auto"/>
                <w:sz w:val="26"/>
                <w:szCs w:val="26"/>
              </w:rPr>
            </w:pPr>
            <w:r>
              <w:rPr>
                <w:color w:val="auto"/>
                <w:sz w:val="26"/>
                <w:szCs w:val="26"/>
              </w:rPr>
              <w:t>□不予批准后再次申报项目</w:t>
            </w:r>
          </w:p>
          <w:p w14:paraId="3C4C98BF">
            <w:pPr>
              <w:adjustRightInd w:val="0"/>
              <w:snapToGrid w:val="0"/>
              <w:spacing w:line="460" w:lineRule="exact"/>
              <w:jc w:val="left"/>
              <w:rPr>
                <w:color w:val="auto"/>
                <w:sz w:val="26"/>
                <w:szCs w:val="26"/>
              </w:rPr>
            </w:pPr>
            <w:r>
              <w:rPr>
                <w:color w:val="auto"/>
                <w:sz w:val="26"/>
                <w:szCs w:val="26"/>
              </w:rPr>
              <w:t>□超五年重新审核项目</w:t>
            </w:r>
          </w:p>
          <w:p w14:paraId="75C24A17">
            <w:pPr>
              <w:adjustRightInd w:val="0"/>
              <w:snapToGrid w:val="0"/>
              <w:spacing w:line="460" w:lineRule="exact"/>
              <w:rPr>
                <w:color w:val="auto"/>
                <w:sz w:val="26"/>
                <w:szCs w:val="26"/>
              </w:rPr>
            </w:pPr>
            <w:r>
              <w:rPr>
                <w:color w:val="auto"/>
                <w:sz w:val="26"/>
                <w:szCs w:val="26"/>
              </w:rPr>
              <w:t>□重大变动重新报批项目</w:t>
            </w:r>
          </w:p>
        </w:tc>
      </w:tr>
      <w:tr w14:paraId="1DB635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62" w:hRule="atLeast"/>
          <w:jc w:val="center"/>
        </w:trPr>
        <w:tc>
          <w:tcPr>
            <w:tcW w:w="1701" w:type="dxa"/>
            <w:tcMar>
              <w:top w:w="16" w:type="dxa"/>
              <w:left w:w="16" w:type="dxa"/>
              <w:right w:w="16" w:type="dxa"/>
            </w:tcMar>
            <w:vAlign w:val="center"/>
          </w:tcPr>
          <w:p w14:paraId="77161363">
            <w:pPr>
              <w:adjustRightInd w:val="0"/>
              <w:snapToGrid w:val="0"/>
              <w:spacing w:line="460" w:lineRule="exact"/>
              <w:jc w:val="center"/>
              <w:rPr>
                <w:color w:val="auto"/>
                <w:sz w:val="26"/>
                <w:szCs w:val="26"/>
              </w:rPr>
            </w:pPr>
            <w:r>
              <w:rPr>
                <w:rFonts w:hint="eastAsia"/>
                <w:color w:val="auto"/>
                <w:sz w:val="26"/>
                <w:szCs w:val="26"/>
              </w:rPr>
              <w:t>项目审批（核准/备案）部门（选填）</w:t>
            </w:r>
          </w:p>
        </w:tc>
        <w:tc>
          <w:tcPr>
            <w:tcW w:w="2568" w:type="dxa"/>
            <w:vAlign w:val="center"/>
          </w:tcPr>
          <w:p w14:paraId="79691973">
            <w:pPr>
              <w:adjustRightInd w:val="0"/>
              <w:snapToGrid w:val="0"/>
              <w:spacing w:line="460" w:lineRule="exact"/>
              <w:jc w:val="center"/>
              <w:rPr>
                <w:color w:val="auto"/>
                <w:sz w:val="26"/>
                <w:szCs w:val="26"/>
              </w:rPr>
            </w:pPr>
            <w:r>
              <w:rPr>
                <w:rFonts w:hint="eastAsia"/>
                <w:color w:val="auto"/>
                <w:sz w:val="26"/>
                <w:szCs w:val="26"/>
              </w:rPr>
              <w:t>重庆市发展和改革委员会</w:t>
            </w:r>
          </w:p>
        </w:tc>
        <w:tc>
          <w:tcPr>
            <w:tcW w:w="2218" w:type="dxa"/>
            <w:vAlign w:val="center"/>
          </w:tcPr>
          <w:p w14:paraId="7E824D84">
            <w:pPr>
              <w:adjustRightInd w:val="0"/>
              <w:snapToGrid w:val="0"/>
              <w:spacing w:line="460" w:lineRule="exact"/>
              <w:jc w:val="center"/>
              <w:rPr>
                <w:color w:val="auto"/>
                <w:sz w:val="26"/>
                <w:szCs w:val="26"/>
              </w:rPr>
            </w:pPr>
            <w:r>
              <w:rPr>
                <w:rFonts w:hint="eastAsia"/>
                <w:color w:val="auto"/>
                <w:sz w:val="26"/>
                <w:szCs w:val="26"/>
              </w:rPr>
              <w:t>项目审批（核准/备案）文号（选填）</w:t>
            </w:r>
          </w:p>
        </w:tc>
        <w:tc>
          <w:tcPr>
            <w:tcW w:w="2552" w:type="dxa"/>
            <w:gridSpan w:val="2"/>
            <w:vAlign w:val="center"/>
          </w:tcPr>
          <w:p w14:paraId="5B70D50B">
            <w:pPr>
              <w:adjustRightInd w:val="0"/>
              <w:snapToGrid w:val="0"/>
              <w:spacing w:line="460" w:lineRule="exact"/>
              <w:jc w:val="center"/>
              <w:rPr>
                <w:color w:val="auto"/>
                <w:sz w:val="26"/>
                <w:szCs w:val="26"/>
              </w:rPr>
            </w:pPr>
            <w:r>
              <w:rPr>
                <w:color w:val="auto"/>
                <w:sz w:val="26"/>
                <w:szCs w:val="26"/>
              </w:rPr>
              <w:t>渝发改能源〔2024〕304号</w:t>
            </w:r>
          </w:p>
        </w:tc>
      </w:tr>
      <w:tr w14:paraId="0E3EF4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74" w:hRule="atLeast"/>
          <w:jc w:val="center"/>
        </w:trPr>
        <w:tc>
          <w:tcPr>
            <w:tcW w:w="1701" w:type="dxa"/>
            <w:tcMar>
              <w:top w:w="16" w:type="dxa"/>
              <w:left w:w="16" w:type="dxa"/>
              <w:right w:w="16" w:type="dxa"/>
            </w:tcMar>
            <w:vAlign w:val="center"/>
          </w:tcPr>
          <w:p w14:paraId="0D133541">
            <w:pPr>
              <w:adjustRightInd w:val="0"/>
              <w:snapToGrid w:val="0"/>
              <w:spacing w:line="460" w:lineRule="exact"/>
              <w:jc w:val="center"/>
              <w:rPr>
                <w:color w:val="auto"/>
                <w:sz w:val="26"/>
                <w:szCs w:val="26"/>
              </w:rPr>
            </w:pPr>
            <w:r>
              <w:rPr>
                <w:rFonts w:hint="eastAsia"/>
                <w:color w:val="auto"/>
                <w:sz w:val="26"/>
                <w:szCs w:val="26"/>
              </w:rPr>
              <w:t>总投资（万元）</w:t>
            </w:r>
          </w:p>
        </w:tc>
        <w:tc>
          <w:tcPr>
            <w:tcW w:w="2568" w:type="dxa"/>
            <w:vAlign w:val="center"/>
          </w:tcPr>
          <w:p w14:paraId="24483742">
            <w:pPr>
              <w:adjustRightInd w:val="0"/>
              <w:snapToGrid w:val="0"/>
              <w:spacing w:line="460" w:lineRule="exact"/>
              <w:jc w:val="center"/>
              <w:rPr>
                <w:color w:val="auto"/>
                <w:sz w:val="26"/>
                <w:szCs w:val="26"/>
              </w:rPr>
            </w:pPr>
            <w:r>
              <w:rPr>
                <w:rFonts w:hint="eastAsia"/>
                <w:color w:val="auto"/>
                <w:sz w:val="26"/>
                <w:szCs w:val="26"/>
              </w:rPr>
              <w:t>1713</w:t>
            </w:r>
          </w:p>
        </w:tc>
        <w:tc>
          <w:tcPr>
            <w:tcW w:w="2218" w:type="dxa"/>
            <w:tcMar>
              <w:top w:w="16" w:type="dxa"/>
              <w:left w:w="16" w:type="dxa"/>
              <w:right w:w="16" w:type="dxa"/>
            </w:tcMar>
            <w:vAlign w:val="center"/>
          </w:tcPr>
          <w:p w14:paraId="23034870">
            <w:pPr>
              <w:adjustRightInd w:val="0"/>
              <w:snapToGrid w:val="0"/>
              <w:spacing w:line="460" w:lineRule="exact"/>
              <w:jc w:val="center"/>
              <w:rPr>
                <w:color w:val="auto"/>
                <w:sz w:val="26"/>
                <w:szCs w:val="26"/>
              </w:rPr>
            </w:pPr>
            <w:r>
              <w:rPr>
                <w:rFonts w:hint="eastAsia"/>
                <w:color w:val="auto"/>
                <w:sz w:val="26"/>
                <w:szCs w:val="26"/>
              </w:rPr>
              <w:t>环保投资（万元）</w:t>
            </w:r>
          </w:p>
        </w:tc>
        <w:tc>
          <w:tcPr>
            <w:tcW w:w="2552" w:type="dxa"/>
            <w:gridSpan w:val="2"/>
            <w:vAlign w:val="center"/>
          </w:tcPr>
          <w:p w14:paraId="1BE592A8">
            <w:pPr>
              <w:adjustRightInd w:val="0"/>
              <w:snapToGrid w:val="0"/>
              <w:spacing w:line="460" w:lineRule="exact"/>
              <w:jc w:val="center"/>
              <w:rPr>
                <w:color w:val="auto"/>
                <w:sz w:val="26"/>
                <w:szCs w:val="26"/>
              </w:rPr>
            </w:pPr>
            <w:r>
              <w:rPr>
                <w:rFonts w:hint="eastAsia"/>
                <w:color w:val="auto"/>
                <w:sz w:val="26"/>
                <w:szCs w:val="26"/>
              </w:rPr>
              <w:t>93</w:t>
            </w:r>
          </w:p>
        </w:tc>
      </w:tr>
      <w:tr w14:paraId="2FB16D8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4" w:hRule="atLeast"/>
          <w:jc w:val="center"/>
        </w:trPr>
        <w:tc>
          <w:tcPr>
            <w:tcW w:w="1701" w:type="dxa"/>
            <w:tcMar>
              <w:top w:w="16" w:type="dxa"/>
              <w:left w:w="16" w:type="dxa"/>
              <w:right w:w="16" w:type="dxa"/>
            </w:tcMar>
            <w:vAlign w:val="center"/>
          </w:tcPr>
          <w:p w14:paraId="249DF3F9">
            <w:pPr>
              <w:adjustRightInd w:val="0"/>
              <w:snapToGrid w:val="0"/>
              <w:spacing w:line="460" w:lineRule="exact"/>
              <w:jc w:val="center"/>
              <w:rPr>
                <w:color w:val="auto"/>
                <w:sz w:val="26"/>
                <w:szCs w:val="26"/>
              </w:rPr>
            </w:pPr>
            <w:r>
              <w:rPr>
                <w:rFonts w:hint="eastAsia"/>
                <w:color w:val="auto"/>
                <w:sz w:val="26"/>
                <w:szCs w:val="26"/>
              </w:rPr>
              <w:t>环保投资占比（%）</w:t>
            </w:r>
          </w:p>
        </w:tc>
        <w:tc>
          <w:tcPr>
            <w:tcW w:w="2568" w:type="dxa"/>
            <w:vAlign w:val="center"/>
          </w:tcPr>
          <w:p w14:paraId="47407784">
            <w:pPr>
              <w:adjustRightInd w:val="0"/>
              <w:snapToGrid w:val="0"/>
              <w:spacing w:line="460" w:lineRule="exact"/>
              <w:jc w:val="center"/>
              <w:rPr>
                <w:color w:val="auto"/>
                <w:sz w:val="26"/>
                <w:szCs w:val="26"/>
              </w:rPr>
            </w:pPr>
            <w:r>
              <w:rPr>
                <w:rFonts w:hint="eastAsia"/>
                <w:color w:val="auto"/>
                <w:sz w:val="26"/>
                <w:szCs w:val="26"/>
              </w:rPr>
              <w:t>5.4</w:t>
            </w:r>
          </w:p>
        </w:tc>
        <w:tc>
          <w:tcPr>
            <w:tcW w:w="2218" w:type="dxa"/>
            <w:tcMar>
              <w:top w:w="16" w:type="dxa"/>
              <w:left w:w="16" w:type="dxa"/>
              <w:right w:w="16" w:type="dxa"/>
            </w:tcMar>
            <w:vAlign w:val="center"/>
          </w:tcPr>
          <w:p w14:paraId="1EE70228">
            <w:pPr>
              <w:adjustRightInd w:val="0"/>
              <w:snapToGrid w:val="0"/>
              <w:spacing w:line="460" w:lineRule="exact"/>
              <w:jc w:val="center"/>
              <w:rPr>
                <w:color w:val="auto"/>
                <w:sz w:val="26"/>
                <w:szCs w:val="26"/>
                <w:highlight w:val="none"/>
              </w:rPr>
            </w:pPr>
            <w:r>
              <w:rPr>
                <w:rFonts w:hint="eastAsia"/>
                <w:color w:val="auto"/>
                <w:sz w:val="26"/>
                <w:szCs w:val="26"/>
                <w:highlight w:val="none"/>
              </w:rPr>
              <w:t>施工工期</w:t>
            </w:r>
          </w:p>
        </w:tc>
        <w:tc>
          <w:tcPr>
            <w:tcW w:w="2552" w:type="dxa"/>
            <w:gridSpan w:val="2"/>
            <w:vAlign w:val="center"/>
          </w:tcPr>
          <w:p w14:paraId="0966C915">
            <w:pPr>
              <w:adjustRightInd w:val="0"/>
              <w:snapToGrid w:val="0"/>
              <w:spacing w:line="460" w:lineRule="exact"/>
              <w:jc w:val="center"/>
              <w:rPr>
                <w:rFonts w:hint="default" w:eastAsia="宋体"/>
                <w:color w:val="auto"/>
                <w:sz w:val="26"/>
                <w:szCs w:val="26"/>
                <w:highlight w:val="none"/>
                <w:lang w:val="en-US" w:eastAsia="zh-CN"/>
              </w:rPr>
            </w:pPr>
            <w:r>
              <w:rPr>
                <w:rFonts w:hint="eastAsia"/>
                <w:color w:val="auto"/>
                <w:sz w:val="26"/>
                <w:szCs w:val="26"/>
                <w:highlight w:val="none"/>
                <w:lang w:val="en-US" w:eastAsia="zh-CN"/>
              </w:rPr>
              <w:t>6个月</w:t>
            </w:r>
          </w:p>
        </w:tc>
      </w:tr>
      <w:tr w14:paraId="6A3987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jc w:val="center"/>
        </w:trPr>
        <w:tc>
          <w:tcPr>
            <w:tcW w:w="1701" w:type="dxa"/>
            <w:tcMar>
              <w:top w:w="16" w:type="dxa"/>
              <w:left w:w="16" w:type="dxa"/>
              <w:right w:w="16" w:type="dxa"/>
            </w:tcMar>
            <w:vAlign w:val="center"/>
          </w:tcPr>
          <w:p w14:paraId="3A239DAA">
            <w:pPr>
              <w:adjustRightInd w:val="0"/>
              <w:snapToGrid w:val="0"/>
              <w:spacing w:line="460" w:lineRule="exact"/>
              <w:jc w:val="center"/>
              <w:rPr>
                <w:color w:val="auto"/>
                <w:sz w:val="26"/>
                <w:szCs w:val="26"/>
              </w:rPr>
            </w:pPr>
            <w:r>
              <w:rPr>
                <w:color w:val="auto"/>
                <w:sz w:val="26"/>
                <w:szCs w:val="26"/>
              </w:rPr>
              <w:t>是否开工建设</w:t>
            </w:r>
          </w:p>
        </w:tc>
        <w:tc>
          <w:tcPr>
            <w:tcW w:w="7338" w:type="dxa"/>
            <w:gridSpan w:val="4"/>
            <w:vAlign w:val="center"/>
          </w:tcPr>
          <w:p w14:paraId="5F6D0D92">
            <w:pPr>
              <w:adjustRightInd w:val="0"/>
              <w:snapToGrid w:val="0"/>
              <w:spacing w:line="460" w:lineRule="exact"/>
              <w:ind w:firstLine="105"/>
              <w:jc w:val="left"/>
              <w:rPr>
                <w:color w:val="auto"/>
                <w:sz w:val="26"/>
                <w:szCs w:val="26"/>
              </w:rPr>
            </w:pPr>
            <w:r>
              <w:rPr>
                <w:color w:val="auto"/>
                <w:sz w:val="26"/>
                <w:szCs w:val="26"/>
              </w:rPr>
              <w:sym w:font="Wingdings 2" w:char="F052"/>
            </w:r>
            <w:r>
              <w:rPr>
                <w:color w:val="auto"/>
                <w:sz w:val="26"/>
                <w:szCs w:val="26"/>
              </w:rPr>
              <w:t>否</w:t>
            </w:r>
          </w:p>
          <w:p w14:paraId="26EE7EC4">
            <w:pPr>
              <w:adjustRightInd w:val="0"/>
              <w:snapToGrid w:val="0"/>
              <w:spacing w:line="460" w:lineRule="exact"/>
              <w:ind w:firstLine="92"/>
              <w:jc w:val="left"/>
              <w:rPr>
                <w:color w:val="auto"/>
                <w:sz w:val="26"/>
                <w:szCs w:val="26"/>
              </w:rPr>
            </w:pPr>
            <w:r>
              <w:rPr>
                <w:color w:val="auto"/>
                <w:sz w:val="26"/>
                <w:szCs w:val="26"/>
              </w:rPr>
              <w:t>□是：</w:t>
            </w:r>
            <w:r>
              <w:rPr>
                <w:color w:val="auto"/>
                <w:sz w:val="26"/>
                <w:szCs w:val="26"/>
                <w:u w:val="single"/>
              </w:rPr>
              <w:t xml:space="preserve">                             </w:t>
            </w:r>
          </w:p>
        </w:tc>
      </w:tr>
      <w:tr w14:paraId="1B74E10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jc w:val="center"/>
        </w:trPr>
        <w:tc>
          <w:tcPr>
            <w:tcW w:w="1701" w:type="dxa"/>
            <w:tcMar>
              <w:top w:w="16" w:type="dxa"/>
              <w:left w:w="16" w:type="dxa"/>
              <w:right w:w="16" w:type="dxa"/>
            </w:tcMar>
            <w:vAlign w:val="center"/>
          </w:tcPr>
          <w:p w14:paraId="5BCB83CC">
            <w:pPr>
              <w:autoSpaceDE w:val="0"/>
              <w:autoSpaceDN w:val="0"/>
              <w:adjustRightInd w:val="0"/>
              <w:snapToGrid w:val="0"/>
              <w:spacing w:line="460" w:lineRule="exact"/>
              <w:jc w:val="center"/>
              <w:rPr>
                <w:color w:val="auto"/>
                <w:kern w:val="0"/>
                <w:sz w:val="26"/>
                <w:szCs w:val="26"/>
              </w:rPr>
            </w:pPr>
            <w:r>
              <w:rPr>
                <w:color w:val="auto"/>
                <w:kern w:val="0"/>
                <w:sz w:val="26"/>
                <w:szCs w:val="26"/>
              </w:rPr>
              <w:t>专项评价</w:t>
            </w:r>
          </w:p>
          <w:p w14:paraId="4D4765CA">
            <w:pPr>
              <w:autoSpaceDE w:val="0"/>
              <w:autoSpaceDN w:val="0"/>
              <w:adjustRightInd w:val="0"/>
              <w:snapToGrid w:val="0"/>
              <w:spacing w:line="460" w:lineRule="exact"/>
              <w:jc w:val="center"/>
              <w:rPr>
                <w:color w:val="auto"/>
                <w:kern w:val="0"/>
                <w:sz w:val="26"/>
                <w:szCs w:val="26"/>
              </w:rPr>
            </w:pPr>
            <w:r>
              <w:rPr>
                <w:color w:val="auto"/>
                <w:kern w:val="0"/>
                <w:sz w:val="26"/>
                <w:szCs w:val="26"/>
              </w:rPr>
              <w:t>设置情况</w:t>
            </w:r>
          </w:p>
        </w:tc>
        <w:tc>
          <w:tcPr>
            <w:tcW w:w="7338" w:type="dxa"/>
            <w:gridSpan w:val="4"/>
            <w:tcMar>
              <w:top w:w="16" w:type="dxa"/>
              <w:left w:w="16" w:type="dxa"/>
              <w:right w:w="16" w:type="dxa"/>
            </w:tcMar>
            <w:vAlign w:val="center"/>
          </w:tcPr>
          <w:p w14:paraId="26C0D001">
            <w:pPr>
              <w:autoSpaceDE w:val="0"/>
              <w:autoSpaceDN w:val="0"/>
              <w:adjustRightInd w:val="0"/>
              <w:snapToGrid w:val="0"/>
              <w:spacing w:line="460" w:lineRule="exact"/>
              <w:ind w:firstLine="520" w:firstLineChars="200"/>
              <w:rPr>
                <w:color w:val="auto"/>
                <w:kern w:val="0"/>
                <w:sz w:val="26"/>
                <w:szCs w:val="26"/>
              </w:rPr>
            </w:pPr>
            <w:r>
              <w:rPr>
                <w:color w:val="auto"/>
                <w:kern w:val="0"/>
                <w:sz w:val="26"/>
                <w:szCs w:val="26"/>
              </w:rPr>
              <w:t>电磁环境影响评价专项</w:t>
            </w:r>
            <w:r>
              <w:rPr>
                <w:rFonts w:hint="eastAsia"/>
                <w:color w:val="auto"/>
                <w:kern w:val="0"/>
                <w:sz w:val="26"/>
                <w:szCs w:val="26"/>
              </w:rPr>
              <w:t>，根据</w:t>
            </w:r>
            <w:r>
              <w:rPr>
                <w:rFonts w:hint="eastAsia"/>
                <w:color w:val="auto"/>
                <w:sz w:val="26"/>
                <w:szCs w:val="26"/>
              </w:rPr>
              <w:t>《环境影响评价技术导则 输变电》（HJ24-2020）要求，应设电磁环境影响专题评价。同时，根据《建设项目环境影响报告表编制技术指南》（生态影响类）（试行）要求，应设生态专题评价。</w:t>
            </w:r>
          </w:p>
        </w:tc>
      </w:tr>
      <w:tr w14:paraId="7961FB8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jc w:val="center"/>
        </w:trPr>
        <w:tc>
          <w:tcPr>
            <w:tcW w:w="1701" w:type="dxa"/>
            <w:tcMar>
              <w:top w:w="16" w:type="dxa"/>
              <w:left w:w="16" w:type="dxa"/>
              <w:right w:w="16" w:type="dxa"/>
            </w:tcMar>
            <w:vAlign w:val="center"/>
          </w:tcPr>
          <w:p w14:paraId="6AA8CC46">
            <w:pPr>
              <w:autoSpaceDE w:val="0"/>
              <w:autoSpaceDN w:val="0"/>
              <w:adjustRightInd w:val="0"/>
              <w:snapToGrid w:val="0"/>
              <w:spacing w:line="460" w:lineRule="exact"/>
              <w:jc w:val="center"/>
              <w:rPr>
                <w:color w:val="auto"/>
                <w:kern w:val="0"/>
                <w:sz w:val="26"/>
                <w:szCs w:val="26"/>
              </w:rPr>
            </w:pPr>
            <w:r>
              <w:rPr>
                <w:color w:val="auto"/>
                <w:sz w:val="26"/>
                <w:szCs w:val="26"/>
              </w:rPr>
              <w:t>规划情况</w:t>
            </w:r>
          </w:p>
        </w:tc>
        <w:tc>
          <w:tcPr>
            <w:tcW w:w="7338" w:type="dxa"/>
            <w:gridSpan w:val="4"/>
            <w:tcMar>
              <w:top w:w="16" w:type="dxa"/>
              <w:left w:w="16" w:type="dxa"/>
              <w:right w:w="16" w:type="dxa"/>
            </w:tcMar>
            <w:vAlign w:val="center"/>
          </w:tcPr>
          <w:p w14:paraId="74B4F727">
            <w:pPr>
              <w:autoSpaceDE w:val="0"/>
              <w:autoSpaceDN w:val="0"/>
              <w:adjustRightInd w:val="0"/>
              <w:snapToGrid w:val="0"/>
              <w:spacing w:line="460" w:lineRule="exact"/>
              <w:rPr>
                <w:color w:val="auto"/>
                <w:sz w:val="26"/>
                <w:szCs w:val="26"/>
              </w:rPr>
            </w:pPr>
            <w:r>
              <w:rPr>
                <w:rFonts w:hint="eastAsia"/>
                <w:color w:val="auto"/>
                <w:sz w:val="26"/>
                <w:szCs w:val="26"/>
              </w:rPr>
              <w:t>规划名称：《重庆市“十四五”电力发展规划（2021-2025年）》</w:t>
            </w:r>
          </w:p>
          <w:p w14:paraId="75507C06">
            <w:pPr>
              <w:autoSpaceDE w:val="0"/>
              <w:autoSpaceDN w:val="0"/>
              <w:adjustRightInd w:val="0"/>
              <w:snapToGrid w:val="0"/>
              <w:spacing w:line="460" w:lineRule="exact"/>
              <w:rPr>
                <w:color w:val="auto"/>
                <w:sz w:val="26"/>
                <w:szCs w:val="26"/>
              </w:rPr>
            </w:pPr>
            <w:r>
              <w:rPr>
                <w:rFonts w:hint="eastAsia"/>
                <w:color w:val="auto"/>
                <w:sz w:val="26"/>
                <w:szCs w:val="26"/>
              </w:rPr>
              <w:t>审批机关：重庆市发展和改革委员会、重庆市能源局</w:t>
            </w:r>
          </w:p>
          <w:p w14:paraId="60F4658F">
            <w:pPr>
              <w:autoSpaceDE w:val="0"/>
              <w:autoSpaceDN w:val="0"/>
              <w:adjustRightInd w:val="0"/>
              <w:snapToGrid w:val="0"/>
              <w:spacing w:line="460" w:lineRule="exact"/>
              <w:rPr>
                <w:color w:val="auto"/>
                <w:kern w:val="0"/>
                <w:sz w:val="26"/>
                <w:szCs w:val="26"/>
              </w:rPr>
            </w:pPr>
            <w:r>
              <w:rPr>
                <w:rFonts w:hint="eastAsia"/>
                <w:color w:val="auto"/>
                <w:sz w:val="26"/>
                <w:szCs w:val="26"/>
              </w:rPr>
              <w:t>审批文件名称及文号：《重庆市发展和改革委员会、重庆市能源局关于印发重庆市“十四五”电力发展规划（2021-2025年）的通知》（渝发改能源[2022]674号）</w:t>
            </w:r>
          </w:p>
        </w:tc>
      </w:tr>
      <w:tr w14:paraId="1DD80C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jc w:val="center"/>
        </w:trPr>
        <w:tc>
          <w:tcPr>
            <w:tcW w:w="1701" w:type="dxa"/>
            <w:tcMar>
              <w:top w:w="16" w:type="dxa"/>
              <w:left w:w="16" w:type="dxa"/>
              <w:right w:w="16" w:type="dxa"/>
            </w:tcMar>
            <w:vAlign w:val="center"/>
          </w:tcPr>
          <w:p w14:paraId="411CCBA4">
            <w:pPr>
              <w:autoSpaceDE w:val="0"/>
              <w:autoSpaceDN w:val="0"/>
              <w:adjustRightInd w:val="0"/>
              <w:snapToGrid w:val="0"/>
              <w:spacing w:line="460" w:lineRule="exact"/>
              <w:jc w:val="center"/>
              <w:rPr>
                <w:color w:val="auto"/>
                <w:sz w:val="26"/>
                <w:szCs w:val="26"/>
              </w:rPr>
            </w:pPr>
            <w:r>
              <w:rPr>
                <w:color w:val="auto"/>
                <w:sz w:val="26"/>
                <w:szCs w:val="26"/>
              </w:rPr>
              <w:t>规划环境影响</w:t>
            </w:r>
          </w:p>
          <w:p w14:paraId="2BCF439A">
            <w:pPr>
              <w:autoSpaceDE w:val="0"/>
              <w:autoSpaceDN w:val="0"/>
              <w:adjustRightInd w:val="0"/>
              <w:snapToGrid w:val="0"/>
              <w:spacing w:line="460" w:lineRule="exact"/>
              <w:jc w:val="center"/>
              <w:rPr>
                <w:color w:val="auto"/>
                <w:kern w:val="0"/>
                <w:sz w:val="26"/>
                <w:szCs w:val="26"/>
              </w:rPr>
            </w:pPr>
            <w:r>
              <w:rPr>
                <w:color w:val="auto"/>
                <w:sz w:val="26"/>
                <w:szCs w:val="26"/>
              </w:rPr>
              <w:t>评价情况</w:t>
            </w:r>
          </w:p>
        </w:tc>
        <w:tc>
          <w:tcPr>
            <w:tcW w:w="7338" w:type="dxa"/>
            <w:gridSpan w:val="4"/>
            <w:tcMar>
              <w:top w:w="16" w:type="dxa"/>
              <w:left w:w="16" w:type="dxa"/>
              <w:right w:w="16" w:type="dxa"/>
            </w:tcMar>
            <w:vAlign w:val="center"/>
          </w:tcPr>
          <w:p w14:paraId="2D1B2469">
            <w:pPr>
              <w:autoSpaceDE w:val="0"/>
              <w:autoSpaceDN w:val="0"/>
              <w:adjustRightInd w:val="0"/>
              <w:snapToGrid w:val="0"/>
              <w:spacing w:line="460" w:lineRule="exact"/>
              <w:rPr>
                <w:color w:val="auto"/>
                <w:sz w:val="26"/>
                <w:szCs w:val="26"/>
              </w:rPr>
            </w:pPr>
            <w:r>
              <w:rPr>
                <w:rFonts w:hint="eastAsia"/>
                <w:color w:val="auto"/>
                <w:sz w:val="26"/>
                <w:szCs w:val="26"/>
              </w:rPr>
              <w:t>规划环境影响评价报告名称：《重庆市“十四五”电力发展规划（2021-2025年）环境影响报告书》</w:t>
            </w:r>
          </w:p>
          <w:p w14:paraId="463F4EFE">
            <w:pPr>
              <w:autoSpaceDE w:val="0"/>
              <w:autoSpaceDN w:val="0"/>
              <w:adjustRightInd w:val="0"/>
              <w:snapToGrid w:val="0"/>
              <w:spacing w:line="460" w:lineRule="exact"/>
              <w:rPr>
                <w:color w:val="auto"/>
                <w:sz w:val="26"/>
                <w:szCs w:val="26"/>
              </w:rPr>
            </w:pPr>
            <w:r>
              <w:rPr>
                <w:rFonts w:hint="eastAsia"/>
                <w:color w:val="auto"/>
                <w:sz w:val="26"/>
                <w:szCs w:val="26"/>
              </w:rPr>
              <w:t>审批机关：重庆市生态环境局</w:t>
            </w:r>
          </w:p>
          <w:p w14:paraId="2D971C81">
            <w:pPr>
              <w:autoSpaceDE w:val="0"/>
              <w:autoSpaceDN w:val="0"/>
              <w:adjustRightInd w:val="0"/>
              <w:snapToGrid w:val="0"/>
              <w:spacing w:line="460" w:lineRule="exact"/>
              <w:rPr>
                <w:color w:val="auto"/>
                <w:kern w:val="0"/>
                <w:sz w:val="26"/>
                <w:szCs w:val="26"/>
              </w:rPr>
            </w:pPr>
            <w:r>
              <w:rPr>
                <w:rFonts w:hint="eastAsia"/>
                <w:color w:val="auto"/>
                <w:sz w:val="26"/>
                <w:szCs w:val="26"/>
              </w:rPr>
              <w:t>审查文件名称及文号：《重庆市生态环境局关于重庆市“十四五”电力发展规划（2021-2025年）环境影响报告书审查意见的函》（渝环函〔2023〕365号）</w:t>
            </w:r>
          </w:p>
        </w:tc>
      </w:tr>
      <w:tr w14:paraId="4B7F83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557" w:hRule="atLeast"/>
          <w:jc w:val="center"/>
        </w:trPr>
        <w:tc>
          <w:tcPr>
            <w:tcW w:w="1701" w:type="dxa"/>
            <w:tcMar>
              <w:top w:w="16" w:type="dxa"/>
              <w:left w:w="16" w:type="dxa"/>
              <w:right w:w="16" w:type="dxa"/>
            </w:tcMar>
            <w:vAlign w:val="center"/>
          </w:tcPr>
          <w:p w14:paraId="6D585E60">
            <w:pPr>
              <w:autoSpaceDE w:val="0"/>
              <w:autoSpaceDN w:val="0"/>
              <w:adjustRightInd w:val="0"/>
              <w:snapToGrid w:val="0"/>
              <w:spacing w:line="460" w:lineRule="exact"/>
              <w:jc w:val="center"/>
              <w:rPr>
                <w:color w:val="auto"/>
                <w:kern w:val="0"/>
                <w:sz w:val="26"/>
                <w:szCs w:val="26"/>
              </w:rPr>
            </w:pPr>
            <w:r>
              <w:rPr>
                <w:color w:val="auto"/>
                <w:kern w:val="0"/>
                <w:sz w:val="26"/>
                <w:szCs w:val="26"/>
              </w:rPr>
              <w:t>规划及</w:t>
            </w:r>
            <w:r>
              <w:rPr>
                <w:color w:val="auto"/>
                <w:sz w:val="26"/>
                <w:szCs w:val="26"/>
              </w:rPr>
              <w:t>规划环境影响评价</w:t>
            </w:r>
            <w:r>
              <w:rPr>
                <w:color w:val="auto"/>
                <w:kern w:val="0"/>
                <w:sz w:val="26"/>
                <w:szCs w:val="26"/>
              </w:rPr>
              <w:t>符合性分析</w:t>
            </w:r>
          </w:p>
        </w:tc>
        <w:tc>
          <w:tcPr>
            <w:tcW w:w="7338" w:type="dxa"/>
            <w:gridSpan w:val="4"/>
            <w:tcMar>
              <w:top w:w="16" w:type="dxa"/>
              <w:left w:w="16" w:type="dxa"/>
              <w:right w:w="16" w:type="dxa"/>
            </w:tcMar>
            <w:vAlign w:val="center"/>
          </w:tcPr>
          <w:p w14:paraId="03623B5A">
            <w:pPr>
              <w:adjustRightInd w:val="0"/>
              <w:snapToGrid w:val="0"/>
              <w:spacing w:line="460" w:lineRule="exact"/>
              <w:rPr>
                <w:b/>
                <w:bCs/>
                <w:color w:val="auto"/>
                <w:sz w:val="26"/>
                <w:szCs w:val="26"/>
              </w:rPr>
            </w:pPr>
            <w:r>
              <w:rPr>
                <w:b/>
                <w:bCs/>
                <w:color w:val="auto"/>
                <w:sz w:val="26"/>
                <w:szCs w:val="26"/>
              </w:rPr>
              <w:t>1.1与重庆市“十四五”电力发展规划符合性分析</w:t>
            </w:r>
          </w:p>
          <w:p w14:paraId="0D36421F">
            <w:pPr>
              <w:adjustRightInd w:val="0"/>
              <w:snapToGrid w:val="0"/>
              <w:spacing w:line="460" w:lineRule="exact"/>
              <w:ind w:firstLine="520" w:firstLineChars="200"/>
              <w:rPr>
                <w:color w:val="auto"/>
                <w:sz w:val="26"/>
                <w:szCs w:val="26"/>
              </w:rPr>
            </w:pPr>
            <w:r>
              <w:rPr>
                <w:rFonts w:hint="eastAsia"/>
                <w:color w:val="auto"/>
                <w:sz w:val="26"/>
                <w:szCs w:val="26"/>
              </w:rPr>
              <w:t>根据《重庆市“十四五”电力发展规划（2021-2025年）》，坚持系统发展。统筹发展和安全、当前和长远，筑牢底线思维，坚持需求导向，预留安全保供裕度。坚持先立后破，统筹电力安全保供与转型升级。加强电网结构优化和坚强局部电网建设，推动构建适应新能源发展的产供储销多元综合保障体系。提升城乡配网可靠运行水平。按照满足负荷增长、分布式电源接入和新能源消纳要求，适度超前规划建设城乡配电网，着力解决配电网发展不平衡不充分问题。按照“电从网上来、也从身边取”的模式，推动配电网向智能互动的能源互联网转变，提升配电网可靠性和智能化水平。提高城乡配电网的技术装备水平，促进城乡配电网建设升级。完善农村电力基础设施，着力解决城乡配电网存在的负荷转移能力不强、网架搭配不合理、农网“低电压”问题。</w:t>
            </w:r>
          </w:p>
          <w:p w14:paraId="3C11C101">
            <w:pPr>
              <w:adjustRightInd w:val="0"/>
              <w:snapToGrid w:val="0"/>
              <w:spacing w:line="460" w:lineRule="exact"/>
              <w:ind w:firstLine="520" w:firstLineChars="200"/>
              <w:rPr>
                <w:color w:val="auto"/>
                <w:sz w:val="26"/>
                <w:szCs w:val="26"/>
              </w:rPr>
            </w:pPr>
            <w:r>
              <w:rPr>
                <w:rFonts w:hint="eastAsia"/>
                <w:color w:val="auto"/>
                <w:sz w:val="26"/>
                <w:szCs w:val="26"/>
              </w:rPr>
              <w:t>重庆</w:t>
            </w:r>
            <w:r>
              <w:rPr>
                <w:rFonts w:hint="eastAsia"/>
                <w:color w:val="auto"/>
                <w:sz w:val="26"/>
                <w:szCs w:val="26"/>
                <w:lang w:val="en-US" w:eastAsia="zh-CN"/>
              </w:rPr>
              <w:t>奉节</w:t>
            </w:r>
            <w:r>
              <w:rPr>
                <w:rFonts w:hint="eastAsia"/>
                <w:color w:val="auto"/>
                <w:sz w:val="26"/>
                <w:szCs w:val="26"/>
              </w:rPr>
              <w:t>金凤山风电场扩建（望天坪）110千伏送出工程</w:t>
            </w:r>
            <w:r>
              <w:rPr>
                <w:rFonts w:hint="eastAsia"/>
                <w:color w:val="auto"/>
                <w:sz w:val="26"/>
                <w:szCs w:val="26"/>
                <w:lang w:val="zh-CN"/>
              </w:rPr>
              <w:t>（以下简称“</w:t>
            </w:r>
            <w:r>
              <w:rPr>
                <w:rFonts w:hint="eastAsia"/>
                <w:color w:val="auto"/>
                <w:sz w:val="26"/>
                <w:szCs w:val="26"/>
              </w:rPr>
              <w:t>拟建项目</w:t>
            </w:r>
            <w:r>
              <w:rPr>
                <w:rFonts w:hint="eastAsia"/>
                <w:color w:val="auto"/>
                <w:sz w:val="26"/>
                <w:szCs w:val="26"/>
                <w:lang w:val="zh-CN"/>
              </w:rPr>
              <w:t>”）</w:t>
            </w:r>
            <w:r>
              <w:rPr>
                <w:rFonts w:hint="eastAsia"/>
                <w:color w:val="auto"/>
                <w:sz w:val="26"/>
                <w:szCs w:val="26"/>
              </w:rPr>
              <w:t>可以提高奉节县供电可靠性，保障电网供电安全，满足电力的发展要求，符合规划。项目属于《重庆市“十四五”电力发展规划（2021-2025年）》中“十四五”期间重点项目。</w:t>
            </w:r>
          </w:p>
          <w:p w14:paraId="4E38EB05">
            <w:pPr>
              <w:autoSpaceDN w:val="0"/>
              <w:snapToGrid w:val="0"/>
              <w:spacing w:line="460" w:lineRule="exact"/>
              <w:rPr>
                <w:b/>
                <w:bCs/>
                <w:color w:val="auto"/>
                <w:sz w:val="26"/>
                <w:szCs w:val="26"/>
              </w:rPr>
            </w:pPr>
            <w:r>
              <w:rPr>
                <w:b/>
                <w:bCs/>
                <w:color w:val="auto"/>
                <w:sz w:val="26"/>
                <w:szCs w:val="26"/>
              </w:rPr>
              <w:t>1.2与《重庆市“十四五”电力发展规划（2021-2025年）环境影响报告书》符合性分析</w:t>
            </w:r>
          </w:p>
          <w:p w14:paraId="29554D8C">
            <w:pPr>
              <w:adjustRightInd w:val="0"/>
              <w:snapToGrid w:val="0"/>
              <w:spacing w:line="460" w:lineRule="exact"/>
              <w:ind w:firstLine="520" w:firstLineChars="200"/>
              <w:rPr>
                <w:color w:val="auto"/>
                <w:sz w:val="26"/>
                <w:szCs w:val="26"/>
              </w:rPr>
            </w:pPr>
            <w:r>
              <w:rPr>
                <w:rFonts w:hint="eastAsia"/>
                <w:color w:val="auto"/>
                <w:sz w:val="26"/>
                <w:szCs w:val="26"/>
              </w:rPr>
              <w:t>《重庆市“十四五”电力发展规划（2021-2025年）环境影响报告书》中优化调整建议主要是针对抽水蓄能、风电、光伏发电、生物质发电项目提出，对于输变电项目，规划环评中就生态环境减缓措施提出要求：输变电线路走向，有效避让敏感区，减缓生态影响。电网建设对生态环境的影响主要集中在施工期，在规划选址、选线阶段应尽量优化布局，从源头减缓生态影响。同时在开发过程中提出减缓措施，开发结束后进行生态修复和补偿。电磁环境：变电站、升压站和送电线路的建设应满足《城市电力规划规范》（GB50293-1999）、《电力设施保护条例》、《电力设施保护条例实施细则》等相关要求。采取屏蔽等措施，确保监控点处工频电场强度和磁感应强度满足《电磁环境控制限值》（GB8702-2014）的要求。</w:t>
            </w:r>
          </w:p>
          <w:p w14:paraId="11965EC9">
            <w:pPr>
              <w:adjustRightInd w:val="0"/>
              <w:snapToGrid w:val="0"/>
              <w:spacing w:line="460" w:lineRule="exact"/>
              <w:ind w:firstLine="520" w:firstLineChars="200"/>
              <w:rPr>
                <w:color w:val="auto"/>
                <w:sz w:val="26"/>
                <w:szCs w:val="26"/>
              </w:rPr>
            </w:pPr>
            <w:r>
              <w:rPr>
                <w:rFonts w:hint="eastAsia"/>
                <w:color w:val="auto"/>
                <w:sz w:val="26"/>
                <w:szCs w:val="26"/>
              </w:rPr>
              <w:t>项目线路穿越生态保护红线，项目已</w:t>
            </w:r>
            <w:r>
              <w:rPr>
                <w:rFonts w:hint="eastAsia"/>
                <w:color w:val="auto"/>
                <w:sz w:val="26"/>
                <w:szCs w:val="26"/>
                <w:lang w:val="en-US" w:eastAsia="zh-CN"/>
              </w:rPr>
              <w:t>进行符合生态保护红线内有限人为活动（穿越生态红线）论证，并取得《</w:t>
            </w:r>
            <w:r>
              <w:rPr>
                <w:rFonts w:hint="eastAsia"/>
                <w:color w:val="auto"/>
                <w:sz w:val="26"/>
                <w:szCs w:val="26"/>
                <w:lang w:eastAsia="zh-CN"/>
              </w:rPr>
              <w:t>奉节县经济和信息化委员会</w:t>
            </w:r>
            <w:r>
              <w:rPr>
                <w:rFonts w:hint="eastAsia"/>
                <w:color w:val="auto"/>
                <w:sz w:val="26"/>
                <w:szCs w:val="26"/>
              </w:rPr>
              <w:t>关于重庆金凤山风电场扩建（望天坪</w:t>
            </w:r>
            <w:r>
              <w:rPr>
                <w:rFonts w:hint="eastAsia"/>
                <w:color w:val="auto"/>
                <w:sz w:val="26"/>
                <w:szCs w:val="26"/>
                <w:lang w:eastAsia="zh-CN"/>
              </w:rPr>
              <w:t>）</w:t>
            </w:r>
            <w:r>
              <w:rPr>
                <w:rFonts w:hint="eastAsia"/>
                <w:color w:val="auto"/>
                <w:sz w:val="26"/>
                <w:szCs w:val="26"/>
              </w:rPr>
              <w:t>110千伏送出工程符合生态保护红线内有限人为活动（穿越生态红线）论证报告专家评审会议纪要</w:t>
            </w:r>
            <w:r>
              <w:rPr>
                <w:rFonts w:hint="eastAsia"/>
                <w:color w:val="auto"/>
                <w:sz w:val="26"/>
                <w:szCs w:val="26"/>
                <w:lang w:val="en-US" w:eastAsia="zh-CN"/>
              </w:rPr>
              <w:t>》，文号：</w:t>
            </w:r>
            <w:r>
              <w:rPr>
                <w:rFonts w:hint="eastAsia"/>
                <w:color w:val="auto"/>
                <w:sz w:val="26"/>
                <w:szCs w:val="26"/>
              </w:rPr>
              <w:t>奉节</w:t>
            </w:r>
            <w:r>
              <w:rPr>
                <w:rFonts w:hint="eastAsia"/>
                <w:color w:val="auto"/>
                <w:sz w:val="26"/>
                <w:szCs w:val="26"/>
                <w:lang w:eastAsia="zh-CN"/>
              </w:rPr>
              <w:t>经信</w:t>
            </w:r>
            <w:r>
              <w:rPr>
                <w:rFonts w:hint="eastAsia"/>
                <w:color w:val="auto"/>
                <w:sz w:val="26"/>
                <w:szCs w:val="26"/>
              </w:rPr>
              <w:t>纪〔20</w:t>
            </w:r>
            <w:r>
              <w:rPr>
                <w:rFonts w:hint="eastAsia"/>
                <w:color w:val="auto"/>
                <w:sz w:val="26"/>
                <w:szCs w:val="26"/>
                <w:lang w:val="en-US" w:eastAsia="zh-CN"/>
              </w:rPr>
              <w:t>24</w:t>
            </w:r>
            <w:r>
              <w:rPr>
                <w:rFonts w:hint="eastAsia"/>
                <w:color w:val="auto"/>
                <w:sz w:val="26"/>
                <w:szCs w:val="26"/>
              </w:rPr>
              <w:t>〕</w:t>
            </w:r>
            <w:r>
              <w:rPr>
                <w:rFonts w:hint="eastAsia"/>
                <w:color w:val="auto"/>
                <w:sz w:val="26"/>
                <w:szCs w:val="26"/>
                <w:lang w:val="en-US" w:eastAsia="zh-CN"/>
              </w:rPr>
              <w:t>1</w:t>
            </w:r>
            <w:r>
              <w:rPr>
                <w:rFonts w:hint="eastAsia"/>
                <w:color w:val="auto"/>
                <w:sz w:val="26"/>
                <w:szCs w:val="26"/>
              </w:rPr>
              <w:t>号</w:t>
            </w:r>
            <w:r>
              <w:rPr>
                <w:rFonts w:hint="eastAsia"/>
                <w:color w:val="auto"/>
                <w:sz w:val="26"/>
                <w:szCs w:val="26"/>
                <w:lang w:eastAsia="zh-CN"/>
              </w:rPr>
              <w:t>，</w:t>
            </w:r>
            <w:r>
              <w:rPr>
                <w:rFonts w:hint="eastAsia"/>
                <w:color w:val="auto"/>
                <w:sz w:val="26"/>
                <w:szCs w:val="26"/>
                <w:lang w:val="en-US" w:eastAsia="zh-CN"/>
              </w:rPr>
              <w:t>该会议纪要中明确指出，</w:t>
            </w:r>
            <w:r>
              <w:rPr>
                <w:rFonts w:hint="eastAsia"/>
                <w:color w:val="auto"/>
                <w:sz w:val="26"/>
                <w:szCs w:val="26"/>
              </w:rPr>
              <w:t>该项目确无法避让生态保护红线，符合国家产业政策</w:t>
            </w:r>
            <w:r>
              <w:rPr>
                <w:rFonts w:hint="eastAsia"/>
                <w:color w:val="auto"/>
                <w:sz w:val="26"/>
                <w:szCs w:val="26"/>
                <w:lang w:eastAsia="zh-CN"/>
              </w:rPr>
              <w:t>，</w:t>
            </w:r>
            <w:r>
              <w:rPr>
                <w:rFonts w:hint="eastAsia"/>
                <w:color w:val="auto"/>
                <w:sz w:val="26"/>
                <w:szCs w:val="26"/>
                <w:lang w:val="en-US" w:eastAsia="zh-CN"/>
              </w:rPr>
              <w:t>建设单位应在</w:t>
            </w:r>
            <w:r>
              <w:rPr>
                <w:rFonts w:hint="eastAsia"/>
                <w:color w:val="auto"/>
                <w:sz w:val="26"/>
                <w:szCs w:val="26"/>
              </w:rPr>
              <w:t>项目建设中做好生态保护工作</w:t>
            </w:r>
            <w:r>
              <w:rPr>
                <w:rFonts w:hint="eastAsia"/>
                <w:color w:val="auto"/>
                <w:sz w:val="26"/>
                <w:szCs w:val="26"/>
                <w:lang w:eastAsia="zh-CN"/>
              </w:rPr>
              <w:t>；</w:t>
            </w:r>
            <w:r>
              <w:rPr>
                <w:rFonts w:hint="eastAsia"/>
                <w:color w:val="auto"/>
                <w:sz w:val="26"/>
                <w:szCs w:val="26"/>
                <w:lang w:val="en-US" w:eastAsia="zh-CN"/>
              </w:rPr>
              <w:t>在采取相应的生态保护措施后，</w:t>
            </w:r>
            <w:r>
              <w:rPr>
                <w:rFonts w:hint="eastAsia"/>
                <w:color w:val="auto"/>
                <w:sz w:val="26"/>
                <w:szCs w:val="26"/>
              </w:rPr>
              <w:t>对生态环境影响较小。同时，线路的建设满足《城市电力规划规范》（GB50293-1999）、《电力设施保护条例》、《电力设施保护条例实施细则》等相关要求，在设计导线最低高度进行预测，线路下方1.5m处及电磁环境保护目标处的工频电场和工频磁场能够满足《电磁环境控制限值》（GB8702-2014）的要求。</w:t>
            </w:r>
          </w:p>
          <w:p w14:paraId="473AA43B">
            <w:pPr>
              <w:adjustRightInd w:val="0"/>
              <w:snapToGrid w:val="0"/>
              <w:spacing w:line="460" w:lineRule="exact"/>
              <w:rPr>
                <w:b/>
                <w:bCs/>
                <w:color w:val="auto"/>
                <w:sz w:val="26"/>
                <w:szCs w:val="26"/>
              </w:rPr>
            </w:pPr>
            <w:r>
              <w:rPr>
                <w:b/>
                <w:bCs/>
                <w:color w:val="auto"/>
                <w:sz w:val="26"/>
                <w:szCs w:val="26"/>
              </w:rPr>
              <w:t>1.3与《重庆市生态环境局关于重庆市“十四五”电力发展规划（2021-2025年）环境影响报告书审查意见的函》（渝环函〔2023〕365号）符合性分析</w:t>
            </w:r>
          </w:p>
          <w:p w14:paraId="70493A28">
            <w:pPr>
              <w:adjustRightInd w:val="0"/>
              <w:snapToGrid w:val="0"/>
              <w:spacing w:line="460" w:lineRule="exact"/>
              <w:ind w:firstLine="520" w:firstLineChars="200"/>
              <w:rPr>
                <w:color w:val="auto"/>
                <w:sz w:val="26"/>
                <w:szCs w:val="26"/>
              </w:rPr>
            </w:pPr>
            <w:r>
              <w:rPr>
                <w:rFonts w:hint="eastAsia"/>
                <w:color w:val="auto"/>
                <w:sz w:val="26"/>
                <w:szCs w:val="26"/>
              </w:rPr>
              <w:t>根据“渝环函〔2023〕365号”文件针对输变电项目，主要做出了以下要求，通过分析项目的建设符合渝环函〔2023〕365号文的要求，符合性分析见表1-1。</w:t>
            </w:r>
          </w:p>
          <w:p w14:paraId="12DA972A">
            <w:pPr>
              <w:pStyle w:val="24"/>
              <w:spacing w:before="0" w:after="0" w:line="240" w:lineRule="auto"/>
              <w:ind w:right="0" w:firstLine="210"/>
              <w:rPr>
                <w:color w:val="auto"/>
              </w:rPr>
            </w:pPr>
          </w:p>
          <w:p w14:paraId="489F8ACA">
            <w:pPr>
              <w:adjustRightInd w:val="0"/>
              <w:snapToGrid w:val="0"/>
              <w:spacing w:line="460" w:lineRule="exact"/>
              <w:jc w:val="center"/>
              <w:rPr>
                <w:color w:val="auto"/>
                <w:sz w:val="26"/>
                <w:szCs w:val="26"/>
              </w:rPr>
            </w:pPr>
            <w:r>
              <w:rPr>
                <w:rFonts w:hint="eastAsia"/>
                <w:color w:val="auto"/>
                <w:sz w:val="26"/>
                <w:szCs w:val="26"/>
              </w:rPr>
              <w:t>表1-1  项目与重庆市“十四五”电力发展规划环评审查意见符合性分析</w:t>
            </w:r>
          </w:p>
          <w:tbl>
            <w:tblPr>
              <w:tblStyle w:val="25"/>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44"/>
              <w:gridCol w:w="2539"/>
              <w:gridCol w:w="2794"/>
              <w:gridCol w:w="739"/>
            </w:tblGrid>
            <w:tr w14:paraId="32A99A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3" w:type="pct"/>
                  <w:tcBorders>
                    <w:top w:val="single" w:color="auto" w:sz="4" w:space="0"/>
                    <w:left w:val="single" w:color="auto" w:sz="4" w:space="0"/>
                    <w:bottom w:val="single" w:color="auto" w:sz="4" w:space="0"/>
                    <w:right w:val="single" w:color="auto" w:sz="4" w:space="0"/>
                  </w:tcBorders>
                  <w:vAlign w:val="center"/>
                </w:tcPr>
                <w:p w14:paraId="328E283C">
                  <w:pPr>
                    <w:autoSpaceDE w:val="0"/>
                    <w:autoSpaceDN w:val="0"/>
                    <w:adjustRightInd w:val="0"/>
                    <w:snapToGrid w:val="0"/>
                    <w:jc w:val="center"/>
                    <w:rPr>
                      <w:color w:val="auto"/>
                      <w:kern w:val="0"/>
                      <w:sz w:val="22"/>
                      <w:szCs w:val="22"/>
                    </w:rPr>
                  </w:pPr>
                  <w:r>
                    <w:rPr>
                      <w:rFonts w:hAnsi="宋体"/>
                      <w:color w:val="auto"/>
                      <w:kern w:val="0"/>
                      <w:sz w:val="22"/>
                      <w:szCs w:val="22"/>
                    </w:rPr>
                    <w:t>类别</w:t>
                  </w:r>
                </w:p>
              </w:tc>
              <w:tc>
                <w:tcPr>
                  <w:tcW w:w="1784" w:type="pct"/>
                  <w:tcBorders>
                    <w:top w:val="single" w:color="auto" w:sz="4" w:space="0"/>
                    <w:left w:val="single" w:color="auto" w:sz="4" w:space="0"/>
                    <w:bottom w:val="single" w:color="auto" w:sz="4" w:space="0"/>
                    <w:right w:val="single" w:color="auto" w:sz="4" w:space="0"/>
                  </w:tcBorders>
                  <w:vAlign w:val="center"/>
                </w:tcPr>
                <w:p w14:paraId="05BF532A">
                  <w:pPr>
                    <w:autoSpaceDE w:val="0"/>
                    <w:autoSpaceDN w:val="0"/>
                    <w:adjustRightInd w:val="0"/>
                    <w:snapToGrid w:val="0"/>
                    <w:jc w:val="center"/>
                    <w:rPr>
                      <w:color w:val="auto"/>
                      <w:kern w:val="0"/>
                      <w:sz w:val="22"/>
                      <w:szCs w:val="22"/>
                    </w:rPr>
                  </w:pPr>
                  <w:r>
                    <w:rPr>
                      <w:rFonts w:hAnsi="宋体"/>
                      <w:color w:val="auto"/>
                      <w:kern w:val="0"/>
                      <w:sz w:val="22"/>
                      <w:szCs w:val="22"/>
                    </w:rPr>
                    <w:t>规划环评审查意见要求</w:t>
                  </w:r>
                </w:p>
              </w:tc>
              <w:tc>
                <w:tcPr>
                  <w:tcW w:w="1963" w:type="pct"/>
                  <w:tcBorders>
                    <w:top w:val="single" w:color="auto" w:sz="4" w:space="0"/>
                    <w:left w:val="single" w:color="auto" w:sz="4" w:space="0"/>
                    <w:bottom w:val="single" w:color="auto" w:sz="4" w:space="0"/>
                    <w:right w:val="single" w:color="auto" w:sz="4" w:space="0"/>
                  </w:tcBorders>
                  <w:vAlign w:val="center"/>
                </w:tcPr>
                <w:p w14:paraId="2B5CF2C3">
                  <w:pPr>
                    <w:autoSpaceDE w:val="0"/>
                    <w:autoSpaceDN w:val="0"/>
                    <w:adjustRightInd w:val="0"/>
                    <w:snapToGrid w:val="0"/>
                    <w:jc w:val="center"/>
                    <w:rPr>
                      <w:color w:val="auto"/>
                      <w:kern w:val="0"/>
                      <w:sz w:val="22"/>
                      <w:szCs w:val="22"/>
                    </w:rPr>
                  </w:pPr>
                  <w:r>
                    <w:rPr>
                      <w:rFonts w:hAnsi="宋体"/>
                      <w:color w:val="auto"/>
                      <w:kern w:val="0"/>
                      <w:sz w:val="22"/>
                      <w:szCs w:val="22"/>
                    </w:rPr>
                    <w:t>拟建项目情况</w:t>
                  </w:r>
                </w:p>
              </w:tc>
              <w:tc>
                <w:tcPr>
                  <w:tcW w:w="519" w:type="pct"/>
                  <w:tcBorders>
                    <w:top w:val="single" w:color="auto" w:sz="4" w:space="0"/>
                    <w:left w:val="single" w:color="auto" w:sz="4" w:space="0"/>
                    <w:bottom w:val="single" w:color="auto" w:sz="4" w:space="0"/>
                    <w:right w:val="single" w:color="auto" w:sz="4" w:space="0"/>
                  </w:tcBorders>
                  <w:vAlign w:val="center"/>
                </w:tcPr>
                <w:p w14:paraId="22079B34">
                  <w:pPr>
                    <w:autoSpaceDE w:val="0"/>
                    <w:autoSpaceDN w:val="0"/>
                    <w:adjustRightInd w:val="0"/>
                    <w:snapToGrid w:val="0"/>
                    <w:jc w:val="center"/>
                    <w:rPr>
                      <w:color w:val="auto"/>
                      <w:kern w:val="0"/>
                      <w:sz w:val="22"/>
                      <w:szCs w:val="22"/>
                    </w:rPr>
                  </w:pPr>
                  <w:r>
                    <w:rPr>
                      <w:rFonts w:hAnsi="宋体"/>
                      <w:color w:val="auto"/>
                      <w:kern w:val="0"/>
                      <w:sz w:val="22"/>
                      <w:szCs w:val="22"/>
                    </w:rPr>
                    <w:t>符合性</w:t>
                  </w:r>
                </w:p>
              </w:tc>
            </w:tr>
            <w:tr w14:paraId="30C2C1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3" w:type="pct"/>
                  <w:tcBorders>
                    <w:top w:val="single" w:color="auto" w:sz="4" w:space="0"/>
                    <w:left w:val="single" w:color="auto" w:sz="4" w:space="0"/>
                    <w:bottom w:val="single" w:color="auto" w:sz="4" w:space="0"/>
                    <w:right w:val="single" w:color="auto" w:sz="4" w:space="0"/>
                  </w:tcBorders>
                  <w:vAlign w:val="center"/>
                </w:tcPr>
                <w:p w14:paraId="0BC39D90">
                  <w:pPr>
                    <w:pStyle w:val="10"/>
                    <w:adjustRightInd w:val="0"/>
                    <w:snapToGrid w:val="0"/>
                    <w:spacing w:line="240" w:lineRule="auto"/>
                    <w:jc w:val="center"/>
                    <w:rPr>
                      <w:rFonts w:ascii="Times New Roman" w:hAnsi="Times New Roman"/>
                      <w:color w:val="auto"/>
                      <w:sz w:val="22"/>
                      <w:szCs w:val="22"/>
                    </w:rPr>
                  </w:pPr>
                  <w:r>
                    <w:rPr>
                      <w:rFonts w:ascii="Times New Roman" w:hAnsi="宋体"/>
                      <w:color w:val="auto"/>
                      <w:sz w:val="22"/>
                      <w:szCs w:val="22"/>
                    </w:rPr>
                    <w:t>严格保护生态空间，优化规划空间布局</w:t>
                  </w:r>
                </w:p>
              </w:tc>
              <w:tc>
                <w:tcPr>
                  <w:tcW w:w="1784" w:type="pct"/>
                  <w:tcBorders>
                    <w:top w:val="single" w:color="auto" w:sz="4" w:space="0"/>
                    <w:left w:val="single" w:color="auto" w:sz="4" w:space="0"/>
                    <w:bottom w:val="single" w:color="auto" w:sz="4" w:space="0"/>
                    <w:right w:val="single" w:color="auto" w:sz="4" w:space="0"/>
                  </w:tcBorders>
                  <w:vAlign w:val="center"/>
                </w:tcPr>
                <w:p w14:paraId="0DBB5E8C">
                  <w:pPr>
                    <w:pStyle w:val="10"/>
                    <w:adjustRightInd w:val="0"/>
                    <w:snapToGrid w:val="0"/>
                    <w:spacing w:line="240" w:lineRule="auto"/>
                    <w:jc w:val="center"/>
                    <w:rPr>
                      <w:rFonts w:ascii="Times New Roman" w:hAnsi="Times New Roman"/>
                      <w:color w:val="auto"/>
                      <w:sz w:val="22"/>
                      <w:szCs w:val="22"/>
                    </w:rPr>
                  </w:pPr>
                  <w:r>
                    <w:rPr>
                      <w:rFonts w:ascii="Times New Roman" w:hAnsi="宋体"/>
                      <w:color w:val="auto"/>
                      <w:sz w:val="22"/>
                      <w:szCs w:val="22"/>
                    </w:rPr>
                    <w:t>优化项目布局选址，避让生态保护红线、自然保护区、风景名胜区、森林公园等生态敏感区；涉及一般生态空间的项目应严格控制占地范围，采取相应的环境保护和生态修复措施，保证生态系统结构功能不受破坏</w:t>
                  </w:r>
                </w:p>
              </w:tc>
              <w:tc>
                <w:tcPr>
                  <w:tcW w:w="1963" w:type="pct"/>
                  <w:tcBorders>
                    <w:top w:val="single" w:color="auto" w:sz="4" w:space="0"/>
                    <w:left w:val="single" w:color="auto" w:sz="4" w:space="0"/>
                    <w:bottom w:val="single" w:color="auto" w:sz="4" w:space="0"/>
                    <w:right w:val="single" w:color="auto" w:sz="4" w:space="0"/>
                  </w:tcBorders>
                  <w:vAlign w:val="center"/>
                </w:tcPr>
                <w:p w14:paraId="1B1853D3">
                  <w:pPr>
                    <w:pStyle w:val="10"/>
                    <w:adjustRightInd w:val="0"/>
                    <w:snapToGrid w:val="0"/>
                    <w:spacing w:line="240" w:lineRule="auto"/>
                    <w:jc w:val="center"/>
                    <w:rPr>
                      <w:rFonts w:ascii="Times New Roman" w:hAnsi="Times New Roman"/>
                      <w:color w:val="auto"/>
                      <w:sz w:val="22"/>
                      <w:szCs w:val="22"/>
                    </w:rPr>
                  </w:pPr>
                  <w:r>
                    <w:rPr>
                      <w:rFonts w:hint="eastAsia" w:ascii="Times New Roman" w:hAnsi="宋体"/>
                      <w:color w:val="auto"/>
                      <w:sz w:val="22"/>
                      <w:szCs w:val="22"/>
                    </w:rPr>
                    <w:t>项目线路穿越生态保护红线，项目已编制《重庆金凤山风电场扩建（望天坪）110千伏送出工程符合生态保护红线内有限人为活动（穿越生态红线）论证报告》</w:t>
                  </w:r>
                  <w:r>
                    <w:rPr>
                      <w:rFonts w:hint="eastAsia" w:ascii="Times New Roman" w:hAnsi="宋体"/>
                      <w:color w:val="auto"/>
                      <w:sz w:val="22"/>
                      <w:szCs w:val="22"/>
                      <w:lang w:eastAsia="zh-CN"/>
                    </w:rPr>
                    <w:t>，</w:t>
                  </w:r>
                  <w:r>
                    <w:rPr>
                      <w:rFonts w:hint="eastAsia" w:ascii="Times New Roman" w:hAnsi="宋体"/>
                      <w:color w:val="auto"/>
                      <w:sz w:val="22"/>
                      <w:szCs w:val="22"/>
                      <w:lang w:val="en-US" w:eastAsia="zh-CN"/>
                    </w:rPr>
                    <w:t>并取得《</w:t>
                  </w:r>
                  <w:r>
                    <w:rPr>
                      <w:rFonts w:hint="eastAsia" w:ascii="Times New Roman" w:hAnsi="宋体"/>
                      <w:color w:val="auto"/>
                      <w:sz w:val="22"/>
                      <w:szCs w:val="22"/>
                      <w:lang w:eastAsia="zh-CN"/>
                    </w:rPr>
                    <w:t>奉节县经济和信息化委员会</w:t>
                  </w:r>
                  <w:r>
                    <w:rPr>
                      <w:rFonts w:hint="eastAsia" w:ascii="Times New Roman" w:hAnsi="宋体"/>
                      <w:color w:val="auto"/>
                      <w:sz w:val="22"/>
                      <w:szCs w:val="22"/>
                    </w:rPr>
                    <w:t>关于重庆金凤山风电场扩建（望天坪</w:t>
                  </w:r>
                  <w:r>
                    <w:rPr>
                      <w:rFonts w:hint="eastAsia" w:ascii="Times New Roman" w:hAnsi="宋体"/>
                      <w:color w:val="auto"/>
                      <w:sz w:val="22"/>
                      <w:szCs w:val="22"/>
                      <w:lang w:eastAsia="zh-CN"/>
                    </w:rPr>
                    <w:t>）</w:t>
                  </w:r>
                  <w:r>
                    <w:rPr>
                      <w:rFonts w:hint="eastAsia" w:ascii="Times New Roman" w:hAnsi="宋体"/>
                      <w:color w:val="auto"/>
                      <w:sz w:val="22"/>
                      <w:szCs w:val="22"/>
                    </w:rPr>
                    <w:t>110千伏送出工程符合生态保护红线内有限人为活动（穿越生态红线）论证报告专家评审会议纪要</w:t>
                  </w:r>
                  <w:r>
                    <w:rPr>
                      <w:rFonts w:hint="eastAsia" w:ascii="Times New Roman" w:hAnsi="宋体"/>
                      <w:color w:val="auto"/>
                      <w:sz w:val="22"/>
                      <w:szCs w:val="22"/>
                      <w:lang w:val="en-US" w:eastAsia="zh-CN"/>
                    </w:rPr>
                    <w:t>》，文号：</w:t>
                  </w:r>
                  <w:r>
                    <w:rPr>
                      <w:rFonts w:hint="eastAsia" w:ascii="Times New Roman" w:hAnsi="宋体"/>
                      <w:color w:val="auto"/>
                      <w:sz w:val="22"/>
                      <w:szCs w:val="22"/>
                    </w:rPr>
                    <w:t>奉节</w:t>
                  </w:r>
                  <w:r>
                    <w:rPr>
                      <w:rFonts w:hint="eastAsia" w:ascii="Times New Roman" w:hAnsi="宋体"/>
                      <w:color w:val="auto"/>
                      <w:sz w:val="22"/>
                      <w:szCs w:val="22"/>
                      <w:lang w:eastAsia="zh-CN"/>
                    </w:rPr>
                    <w:t>经信</w:t>
                  </w:r>
                  <w:r>
                    <w:rPr>
                      <w:rFonts w:hint="eastAsia" w:ascii="Times New Roman" w:hAnsi="宋体"/>
                      <w:color w:val="auto"/>
                      <w:sz w:val="22"/>
                      <w:szCs w:val="22"/>
                    </w:rPr>
                    <w:t>纪〔20</w:t>
                  </w:r>
                  <w:r>
                    <w:rPr>
                      <w:rFonts w:hint="eastAsia" w:ascii="Times New Roman" w:hAnsi="宋体"/>
                      <w:color w:val="auto"/>
                      <w:sz w:val="22"/>
                      <w:szCs w:val="22"/>
                      <w:lang w:val="en-US" w:eastAsia="zh-CN"/>
                    </w:rPr>
                    <w:t>24</w:t>
                  </w:r>
                  <w:r>
                    <w:rPr>
                      <w:rFonts w:hint="eastAsia" w:ascii="Times New Roman" w:hAnsi="宋体"/>
                      <w:color w:val="auto"/>
                      <w:sz w:val="22"/>
                      <w:szCs w:val="22"/>
                    </w:rPr>
                    <w:t>〕</w:t>
                  </w:r>
                  <w:r>
                    <w:rPr>
                      <w:rFonts w:hint="eastAsia" w:ascii="Times New Roman" w:hAnsi="宋体"/>
                      <w:color w:val="auto"/>
                      <w:sz w:val="22"/>
                      <w:szCs w:val="22"/>
                      <w:lang w:val="en-US" w:eastAsia="zh-CN"/>
                    </w:rPr>
                    <w:t>1</w:t>
                  </w:r>
                  <w:r>
                    <w:rPr>
                      <w:rFonts w:hint="eastAsia" w:ascii="Times New Roman" w:hAnsi="宋体"/>
                      <w:color w:val="auto"/>
                      <w:sz w:val="22"/>
                      <w:szCs w:val="22"/>
                    </w:rPr>
                    <w:t>号</w:t>
                  </w:r>
                  <w:r>
                    <w:rPr>
                      <w:rFonts w:hint="eastAsia" w:ascii="Times New Roman" w:hAnsi="宋体"/>
                      <w:color w:val="auto"/>
                      <w:sz w:val="22"/>
                      <w:szCs w:val="22"/>
                      <w:lang w:eastAsia="zh-CN"/>
                    </w:rPr>
                    <w:t>。</w:t>
                  </w:r>
                  <w:r>
                    <w:rPr>
                      <w:rFonts w:hint="eastAsia" w:ascii="Times New Roman" w:hAnsi="宋体"/>
                      <w:color w:val="auto"/>
                      <w:sz w:val="22"/>
                      <w:szCs w:val="22"/>
                    </w:rPr>
                    <w:t>该报告中对工程的选址选线进行了论证，认定项目无法避让生态红线；</w:t>
                  </w:r>
                  <w:r>
                    <w:rPr>
                      <w:rFonts w:hint="eastAsia" w:ascii="Times New Roman" w:hAnsi="宋体"/>
                      <w:color w:val="auto"/>
                      <w:sz w:val="22"/>
                      <w:szCs w:val="22"/>
                      <w:lang w:val="en-US" w:eastAsia="zh-CN"/>
                    </w:rPr>
                    <w:t>项目通过</w:t>
                  </w:r>
                  <w:r>
                    <w:rPr>
                      <w:rFonts w:hint="eastAsia" w:ascii="Times New Roman" w:hAnsi="宋体"/>
                      <w:color w:val="auto"/>
                      <w:sz w:val="22"/>
                      <w:szCs w:val="22"/>
                    </w:rPr>
                    <w:t>采取针对性的生态环境保护措施以减缓生态影响</w:t>
                  </w:r>
                  <w:r>
                    <w:rPr>
                      <w:rFonts w:ascii="Times New Roman" w:hAnsi="宋体"/>
                      <w:color w:val="auto"/>
                      <w:sz w:val="22"/>
                      <w:szCs w:val="22"/>
                    </w:rPr>
                    <w:t>；项目实施过程将通过严格控制施工作业面等相关措施，尽量减少占地，施工结束后采取表土回覆、植被恢复等措施保证生态系统结构功能不受破坏</w:t>
                  </w:r>
                </w:p>
              </w:tc>
              <w:tc>
                <w:tcPr>
                  <w:tcW w:w="519" w:type="pct"/>
                  <w:tcBorders>
                    <w:top w:val="single" w:color="auto" w:sz="4" w:space="0"/>
                    <w:left w:val="single" w:color="auto" w:sz="4" w:space="0"/>
                    <w:bottom w:val="single" w:color="auto" w:sz="4" w:space="0"/>
                    <w:right w:val="single" w:color="auto" w:sz="4" w:space="0"/>
                  </w:tcBorders>
                  <w:vAlign w:val="center"/>
                </w:tcPr>
                <w:p w14:paraId="7D8123EC">
                  <w:pPr>
                    <w:autoSpaceDE w:val="0"/>
                    <w:autoSpaceDN w:val="0"/>
                    <w:adjustRightInd w:val="0"/>
                    <w:snapToGrid w:val="0"/>
                    <w:jc w:val="center"/>
                    <w:rPr>
                      <w:color w:val="auto"/>
                      <w:kern w:val="0"/>
                      <w:sz w:val="22"/>
                      <w:szCs w:val="22"/>
                    </w:rPr>
                  </w:pPr>
                  <w:r>
                    <w:rPr>
                      <w:rFonts w:hAnsi="宋体"/>
                      <w:color w:val="auto"/>
                      <w:kern w:val="0"/>
                      <w:sz w:val="22"/>
                      <w:szCs w:val="22"/>
                    </w:rPr>
                    <w:t>符合</w:t>
                  </w:r>
                </w:p>
              </w:tc>
            </w:tr>
            <w:tr w14:paraId="7BD865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3" w:type="pct"/>
                  <w:tcBorders>
                    <w:top w:val="single" w:color="auto" w:sz="4" w:space="0"/>
                    <w:left w:val="single" w:color="auto" w:sz="4" w:space="0"/>
                    <w:bottom w:val="single" w:color="auto" w:sz="4" w:space="0"/>
                    <w:right w:val="single" w:color="auto" w:sz="4" w:space="0"/>
                  </w:tcBorders>
                  <w:vAlign w:val="center"/>
                </w:tcPr>
                <w:p w14:paraId="27D74B14">
                  <w:pPr>
                    <w:pStyle w:val="10"/>
                    <w:adjustRightInd w:val="0"/>
                    <w:snapToGrid w:val="0"/>
                    <w:spacing w:line="240" w:lineRule="auto"/>
                    <w:jc w:val="center"/>
                    <w:rPr>
                      <w:rFonts w:ascii="Times New Roman" w:hAnsi="Times New Roman"/>
                      <w:color w:val="auto"/>
                      <w:sz w:val="22"/>
                      <w:szCs w:val="22"/>
                    </w:rPr>
                  </w:pPr>
                  <w:r>
                    <w:rPr>
                      <w:rFonts w:ascii="Times New Roman" w:hAnsi="宋体"/>
                      <w:color w:val="auto"/>
                      <w:sz w:val="22"/>
                      <w:szCs w:val="22"/>
                    </w:rPr>
                    <w:t>严守环境质量底线，加强环境污染防治</w:t>
                  </w:r>
                </w:p>
              </w:tc>
              <w:tc>
                <w:tcPr>
                  <w:tcW w:w="1784" w:type="pct"/>
                  <w:tcBorders>
                    <w:top w:val="single" w:color="auto" w:sz="4" w:space="0"/>
                    <w:left w:val="single" w:color="auto" w:sz="4" w:space="0"/>
                    <w:bottom w:val="single" w:color="auto" w:sz="4" w:space="0"/>
                    <w:right w:val="single" w:color="auto" w:sz="4" w:space="0"/>
                  </w:tcBorders>
                  <w:vAlign w:val="center"/>
                </w:tcPr>
                <w:p w14:paraId="4E8CF2B7">
                  <w:pPr>
                    <w:pStyle w:val="10"/>
                    <w:adjustRightInd w:val="0"/>
                    <w:snapToGrid w:val="0"/>
                    <w:spacing w:line="240" w:lineRule="auto"/>
                    <w:jc w:val="center"/>
                    <w:rPr>
                      <w:rFonts w:ascii="Times New Roman" w:hAnsi="Times New Roman"/>
                      <w:color w:val="auto"/>
                      <w:sz w:val="22"/>
                      <w:szCs w:val="22"/>
                    </w:rPr>
                  </w:pPr>
                  <w:r>
                    <w:rPr>
                      <w:rFonts w:ascii="Times New Roman" w:hAnsi="宋体"/>
                      <w:color w:val="auto"/>
                      <w:sz w:val="22"/>
                      <w:szCs w:val="22"/>
                    </w:rPr>
                    <w:t>合理确定升压站选址、输变电线路路径和导线对地高度，确保站界和线路下方电场强度和磁感应强度符合电磁环境相关标准</w:t>
                  </w:r>
                </w:p>
              </w:tc>
              <w:tc>
                <w:tcPr>
                  <w:tcW w:w="1963" w:type="pct"/>
                  <w:tcBorders>
                    <w:top w:val="single" w:color="auto" w:sz="4" w:space="0"/>
                    <w:left w:val="single" w:color="auto" w:sz="4" w:space="0"/>
                    <w:bottom w:val="single" w:color="auto" w:sz="4" w:space="0"/>
                    <w:right w:val="single" w:color="auto" w:sz="4" w:space="0"/>
                  </w:tcBorders>
                  <w:vAlign w:val="center"/>
                </w:tcPr>
                <w:p w14:paraId="63574D88">
                  <w:pPr>
                    <w:pStyle w:val="10"/>
                    <w:adjustRightInd w:val="0"/>
                    <w:snapToGrid w:val="0"/>
                    <w:spacing w:line="240" w:lineRule="auto"/>
                    <w:jc w:val="center"/>
                    <w:rPr>
                      <w:rFonts w:ascii="Times New Roman" w:hAnsi="Times New Roman"/>
                      <w:color w:val="auto"/>
                      <w:sz w:val="22"/>
                      <w:szCs w:val="22"/>
                    </w:rPr>
                  </w:pPr>
                  <w:r>
                    <w:rPr>
                      <w:rFonts w:ascii="Times New Roman" w:hAnsi="宋体"/>
                      <w:color w:val="auto"/>
                      <w:sz w:val="22"/>
                      <w:szCs w:val="22"/>
                    </w:rPr>
                    <w:t>导线路径和对地高度进行了相关优化，线路下方</w:t>
                  </w:r>
                  <w:r>
                    <w:rPr>
                      <w:rFonts w:hint="eastAsia" w:ascii="Times New Roman" w:hAnsi="宋体"/>
                      <w:color w:val="auto"/>
                      <w:sz w:val="22"/>
                      <w:szCs w:val="22"/>
                    </w:rPr>
                    <w:t>1.5m及环境保护目标处工频</w:t>
                  </w:r>
                  <w:r>
                    <w:rPr>
                      <w:rFonts w:ascii="Times New Roman" w:hAnsi="宋体"/>
                      <w:color w:val="auto"/>
                      <w:sz w:val="22"/>
                      <w:szCs w:val="22"/>
                    </w:rPr>
                    <w:t>电磁场强度预测均能够满足《电磁环境控制限值》（</w:t>
                  </w:r>
                  <w:r>
                    <w:rPr>
                      <w:rFonts w:ascii="Times New Roman" w:hAnsi="Times New Roman"/>
                      <w:color w:val="auto"/>
                      <w:sz w:val="22"/>
                      <w:szCs w:val="22"/>
                    </w:rPr>
                    <w:t>GB8702-2014</w:t>
                  </w:r>
                  <w:r>
                    <w:rPr>
                      <w:rFonts w:ascii="Times New Roman" w:hAnsi="宋体"/>
                      <w:color w:val="auto"/>
                      <w:sz w:val="22"/>
                      <w:szCs w:val="22"/>
                    </w:rPr>
                    <w:t>）要求</w:t>
                  </w:r>
                </w:p>
              </w:tc>
              <w:tc>
                <w:tcPr>
                  <w:tcW w:w="519" w:type="pct"/>
                  <w:tcBorders>
                    <w:top w:val="single" w:color="auto" w:sz="4" w:space="0"/>
                    <w:left w:val="single" w:color="auto" w:sz="4" w:space="0"/>
                    <w:bottom w:val="single" w:color="auto" w:sz="4" w:space="0"/>
                    <w:right w:val="single" w:color="auto" w:sz="4" w:space="0"/>
                  </w:tcBorders>
                  <w:vAlign w:val="center"/>
                </w:tcPr>
                <w:p w14:paraId="15777C72">
                  <w:pPr>
                    <w:autoSpaceDE w:val="0"/>
                    <w:autoSpaceDN w:val="0"/>
                    <w:adjustRightInd w:val="0"/>
                    <w:snapToGrid w:val="0"/>
                    <w:jc w:val="center"/>
                    <w:rPr>
                      <w:color w:val="auto"/>
                      <w:kern w:val="0"/>
                      <w:sz w:val="22"/>
                      <w:szCs w:val="22"/>
                    </w:rPr>
                  </w:pPr>
                  <w:r>
                    <w:rPr>
                      <w:rFonts w:hAnsi="宋体"/>
                      <w:color w:val="auto"/>
                      <w:kern w:val="0"/>
                      <w:sz w:val="22"/>
                      <w:szCs w:val="22"/>
                    </w:rPr>
                    <w:t>符合</w:t>
                  </w:r>
                </w:p>
              </w:tc>
            </w:tr>
            <w:tr w14:paraId="587047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3" w:type="pct"/>
                  <w:tcBorders>
                    <w:top w:val="single" w:color="auto" w:sz="4" w:space="0"/>
                    <w:left w:val="single" w:color="auto" w:sz="4" w:space="0"/>
                    <w:bottom w:val="single" w:color="auto" w:sz="4" w:space="0"/>
                    <w:right w:val="single" w:color="auto" w:sz="4" w:space="0"/>
                  </w:tcBorders>
                  <w:vAlign w:val="center"/>
                </w:tcPr>
                <w:p w14:paraId="3934C2C3">
                  <w:pPr>
                    <w:pStyle w:val="10"/>
                    <w:adjustRightInd w:val="0"/>
                    <w:snapToGrid w:val="0"/>
                    <w:spacing w:line="240" w:lineRule="auto"/>
                    <w:jc w:val="center"/>
                    <w:rPr>
                      <w:rFonts w:ascii="Times New Roman" w:hAnsi="Times New Roman"/>
                      <w:color w:val="auto"/>
                      <w:sz w:val="22"/>
                      <w:szCs w:val="22"/>
                    </w:rPr>
                  </w:pPr>
                  <w:r>
                    <w:rPr>
                      <w:rFonts w:ascii="Times New Roman" w:hAnsi="宋体"/>
                      <w:color w:val="auto"/>
                      <w:sz w:val="22"/>
                      <w:szCs w:val="22"/>
                    </w:rPr>
                    <w:t>完善生态影响减缓措施，落实生态补偿机制</w:t>
                  </w:r>
                </w:p>
              </w:tc>
              <w:tc>
                <w:tcPr>
                  <w:tcW w:w="1784" w:type="pct"/>
                  <w:tcBorders>
                    <w:top w:val="single" w:color="auto" w:sz="4" w:space="0"/>
                    <w:left w:val="single" w:color="auto" w:sz="4" w:space="0"/>
                    <w:bottom w:val="single" w:color="auto" w:sz="4" w:space="0"/>
                    <w:right w:val="single" w:color="auto" w:sz="4" w:space="0"/>
                  </w:tcBorders>
                  <w:vAlign w:val="center"/>
                </w:tcPr>
                <w:p w14:paraId="1C40C370">
                  <w:pPr>
                    <w:pStyle w:val="10"/>
                    <w:adjustRightInd w:val="0"/>
                    <w:snapToGrid w:val="0"/>
                    <w:spacing w:line="240" w:lineRule="auto"/>
                    <w:jc w:val="center"/>
                    <w:rPr>
                      <w:rFonts w:ascii="Times New Roman" w:hAnsi="Times New Roman"/>
                      <w:color w:val="auto"/>
                      <w:sz w:val="22"/>
                      <w:szCs w:val="22"/>
                    </w:rPr>
                  </w:pPr>
                  <w:r>
                    <w:rPr>
                      <w:rFonts w:ascii="Times New Roman" w:hAnsi="宋体"/>
                      <w:color w:val="auto"/>
                      <w:sz w:val="22"/>
                      <w:szCs w:val="22"/>
                    </w:rPr>
                    <w:t>优化取、弃土场设置，弃土及时清运严禁边坡倾倒，弃土、弃渣应运至指定地点集中堆放；严格控制占地面积和施工范围，合理规划临时施工设施布置，减少生态环境破坏和扰动范围；强化施工管理，合理安排施工时序；严格落实边坡防护等水土保持措施，及时开展临时用地表土回覆、植被恢复并确保恢复效果良好</w:t>
                  </w:r>
                </w:p>
              </w:tc>
              <w:tc>
                <w:tcPr>
                  <w:tcW w:w="1963" w:type="pct"/>
                  <w:tcBorders>
                    <w:top w:val="single" w:color="auto" w:sz="4" w:space="0"/>
                    <w:left w:val="single" w:color="auto" w:sz="4" w:space="0"/>
                    <w:bottom w:val="single" w:color="auto" w:sz="4" w:space="0"/>
                    <w:right w:val="single" w:color="auto" w:sz="4" w:space="0"/>
                  </w:tcBorders>
                  <w:vAlign w:val="center"/>
                </w:tcPr>
                <w:p w14:paraId="7E79B4EC">
                  <w:pPr>
                    <w:pStyle w:val="10"/>
                    <w:adjustRightInd w:val="0"/>
                    <w:snapToGrid w:val="0"/>
                    <w:spacing w:line="240" w:lineRule="auto"/>
                    <w:jc w:val="center"/>
                    <w:rPr>
                      <w:rFonts w:ascii="Times New Roman" w:hAnsi="Times New Roman"/>
                      <w:color w:val="auto"/>
                      <w:sz w:val="22"/>
                      <w:szCs w:val="22"/>
                    </w:rPr>
                  </w:pPr>
                  <w:r>
                    <w:rPr>
                      <w:rFonts w:hint="eastAsia" w:hAnsi="宋体"/>
                      <w:bCs/>
                      <w:color w:val="auto"/>
                      <w:spacing w:val="-6"/>
                      <w:sz w:val="22"/>
                      <w:szCs w:val="22"/>
                      <w:lang w:val="en-US" w:eastAsia="zh-CN"/>
                    </w:rPr>
                    <w:t>项目</w:t>
                  </w:r>
                  <w:r>
                    <w:rPr>
                      <w:rFonts w:hint="eastAsia" w:hAnsi="宋体"/>
                      <w:bCs/>
                      <w:color w:val="auto"/>
                      <w:spacing w:val="-6"/>
                      <w:sz w:val="22"/>
                      <w:szCs w:val="22"/>
                    </w:rPr>
                    <w:t>塔基多余土石方在塔基范围内处理，施工结束后全部用于回填及就地夯实，基本无弃土</w:t>
                  </w:r>
                  <w:r>
                    <w:rPr>
                      <w:rFonts w:ascii="Times New Roman" w:hAnsi="宋体"/>
                      <w:color w:val="auto"/>
                      <w:sz w:val="22"/>
                      <w:szCs w:val="22"/>
                    </w:rPr>
                    <w:t>；施工过程严格控制施工作业面，合理规划临时施工设施布置，减少临时占地，减少生态环境破坏和扰动范围；合理安排施工时序，雨天不进行土方开挖，采取边坡防护等水土保持措施，施工完成后及时回覆表土并恢复植被，减少对生态的破坏</w:t>
                  </w:r>
                </w:p>
              </w:tc>
              <w:tc>
                <w:tcPr>
                  <w:tcW w:w="519" w:type="pct"/>
                  <w:tcBorders>
                    <w:top w:val="single" w:color="auto" w:sz="4" w:space="0"/>
                    <w:left w:val="single" w:color="auto" w:sz="4" w:space="0"/>
                    <w:bottom w:val="single" w:color="auto" w:sz="4" w:space="0"/>
                    <w:right w:val="single" w:color="auto" w:sz="4" w:space="0"/>
                  </w:tcBorders>
                  <w:vAlign w:val="center"/>
                </w:tcPr>
                <w:p w14:paraId="6204D6D6">
                  <w:pPr>
                    <w:autoSpaceDE w:val="0"/>
                    <w:autoSpaceDN w:val="0"/>
                    <w:adjustRightInd w:val="0"/>
                    <w:snapToGrid w:val="0"/>
                    <w:jc w:val="center"/>
                    <w:rPr>
                      <w:color w:val="auto"/>
                      <w:kern w:val="0"/>
                      <w:sz w:val="22"/>
                      <w:szCs w:val="22"/>
                    </w:rPr>
                  </w:pPr>
                  <w:r>
                    <w:rPr>
                      <w:rFonts w:hAnsi="宋体"/>
                      <w:color w:val="auto"/>
                      <w:kern w:val="0"/>
                      <w:sz w:val="22"/>
                      <w:szCs w:val="22"/>
                    </w:rPr>
                    <w:t>符合</w:t>
                  </w:r>
                </w:p>
              </w:tc>
            </w:tr>
            <w:tr w14:paraId="4A2BA4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3" w:type="pct"/>
                  <w:tcBorders>
                    <w:top w:val="single" w:color="auto" w:sz="4" w:space="0"/>
                    <w:left w:val="single" w:color="auto" w:sz="4" w:space="0"/>
                    <w:bottom w:val="single" w:color="auto" w:sz="4" w:space="0"/>
                    <w:right w:val="single" w:color="auto" w:sz="4" w:space="0"/>
                  </w:tcBorders>
                  <w:vAlign w:val="center"/>
                </w:tcPr>
                <w:p w14:paraId="391B35D4">
                  <w:pPr>
                    <w:pStyle w:val="10"/>
                    <w:adjustRightInd w:val="0"/>
                    <w:snapToGrid w:val="0"/>
                    <w:spacing w:line="240" w:lineRule="auto"/>
                    <w:jc w:val="center"/>
                    <w:rPr>
                      <w:rFonts w:ascii="Times New Roman" w:hAnsi="Times New Roman"/>
                      <w:color w:val="auto"/>
                      <w:sz w:val="22"/>
                      <w:szCs w:val="22"/>
                    </w:rPr>
                  </w:pPr>
                  <w:r>
                    <w:rPr>
                      <w:rFonts w:ascii="Times New Roman" w:hAnsi="宋体"/>
                      <w:color w:val="auto"/>
                      <w:sz w:val="22"/>
                      <w:szCs w:val="22"/>
                    </w:rPr>
                    <w:t>规范环境管理</w:t>
                  </w:r>
                </w:p>
              </w:tc>
              <w:tc>
                <w:tcPr>
                  <w:tcW w:w="1784" w:type="pct"/>
                  <w:tcBorders>
                    <w:top w:val="single" w:color="auto" w:sz="4" w:space="0"/>
                    <w:left w:val="single" w:color="auto" w:sz="4" w:space="0"/>
                    <w:bottom w:val="single" w:color="auto" w:sz="4" w:space="0"/>
                    <w:right w:val="single" w:color="auto" w:sz="4" w:space="0"/>
                  </w:tcBorders>
                  <w:vAlign w:val="center"/>
                </w:tcPr>
                <w:p w14:paraId="4065BE67">
                  <w:pPr>
                    <w:pStyle w:val="10"/>
                    <w:adjustRightInd w:val="0"/>
                    <w:snapToGrid w:val="0"/>
                    <w:spacing w:line="240" w:lineRule="auto"/>
                    <w:jc w:val="center"/>
                    <w:rPr>
                      <w:rFonts w:ascii="Times New Roman" w:hAnsi="Times New Roman"/>
                      <w:color w:val="auto"/>
                      <w:sz w:val="22"/>
                      <w:szCs w:val="22"/>
                    </w:rPr>
                  </w:pPr>
                  <w:r>
                    <w:rPr>
                      <w:rFonts w:ascii="Times New Roman" w:hAnsi="宋体"/>
                      <w:color w:val="auto"/>
                      <w:sz w:val="22"/>
                      <w:szCs w:val="22"/>
                    </w:rPr>
                    <w:t>进一步与自然保护地、国土空间</w:t>
                  </w:r>
                  <w:r>
                    <w:rPr>
                      <w:rFonts w:ascii="Times New Roman" w:hAnsi="Times New Roman"/>
                      <w:color w:val="auto"/>
                      <w:sz w:val="22"/>
                      <w:szCs w:val="22"/>
                    </w:rPr>
                    <w:t>“</w:t>
                  </w:r>
                  <w:r>
                    <w:rPr>
                      <w:rFonts w:ascii="Times New Roman" w:hAnsi="宋体"/>
                      <w:color w:val="auto"/>
                      <w:sz w:val="22"/>
                      <w:szCs w:val="22"/>
                    </w:rPr>
                    <w:t>三区三线</w:t>
                  </w:r>
                  <w:r>
                    <w:rPr>
                      <w:rFonts w:ascii="Times New Roman" w:hAnsi="Times New Roman"/>
                      <w:color w:val="auto"/>
                      <w:sz w:val="22"/>
                      <w:szCs w:val="22"/>
                    </w:rPr>
                    <w:t>”</w:t>
                  </w:r>
                  <w:r>
                    <w:rPr>
                      <w:rFonts w:ascii="Times New Roman" w:hAnsi="宋体"/>
                      <w:color w:val="auto"/>
                      <w:sz w:val="22"/>
                      <w:szCs w:val="22"/>
                    </w:rPr>
                    <w:t>划定成果衔接，严格落实自然保护地、国土空间用途管制等要求；加强规划环评与项目环评的联动，应结合规划环评提出的指导意见和管控要求做好项目环境影响评价工作</w:t>
                  </w:r>
                </w:p>
              </w:tc>
              <w:tc>
                <w:tcPr>
                  <w:tcW w:w="1963" w:type="pct"/>
                  <w:tcBorders>
                    <w:top w:val="single" w:color="auto" w:sz="4" w:space="0"/>
                    <w:left w:val="single" w:color="auto" w:sz="4" w:space="0"/>
                    <w:bottom w:val="single" w:color="auto" w:sz="4" w:space="0"/>
                    <w:right w:val="single" w:color="auto" w:sz="4" w:space="0"/>
                  </w:tcBorders>
                  <w:vAlign w:val="center"/>
                </w:tcPr>
                <w:p w14:paraId="1E4B3774">
                  <w:pPr>
                    <w:pStyle w:val="10"/>
                    <w:adjustRightInd w:val="0"/>
                    <w:snapToGrid w:val="0"/>
                    <w:spacing w:line="240" w:lineRule="auto"/>
                    <w:jc w:val="center"/>
                    <w:rPr>
                      <w:rFonts w:ascii="Times New Roman" w:hAnsi="Times New Roman"/>
                      <w:color w:val="auto"/>
                      <w:sz w:val="22"/>
                      <w:szCs w:val="22"/>
                    </w:rPr>
                  </w:pPr>
                  <w:r>
                    <w:rPr>
                      <w:rFonts w:hint="eastAsia" w:ascii="Times New Roman" w:hAnsi="宋体"/>
                      <w:color w:val="auto"/>
                      <w:sz w:val="22"/>
                      <w:szCs w:val="22"/>
                    </w:rPr>
                    <w:t>项目线路穿越生态保护红线，项目已编制《重庆金凤山风电场扩建（望天坪）110千伏送出工程符合生态保护红线内有限人为活动（穿越生态红线）论证报告》</w:t>
                  </w:r>
                  <w:r>
                    <w:rPr>
                      <w:rFonts w:hint="eastAsia" w:ascii="Times New Roman" w:hAnsi="宋体"/>
                      <w:color w:val="auto"/>
                      <w:sz w:val="22"/>
                      <w:szCs w:val="22"/>
                      <w:lang w:eastAsia="zh-CN"/>
                    </w:rPr>
                    <w:t>，</w:t>
                  </w:r>
                  <w:r>
                    <w:rPr>
                      <w:rFonts w:hint="eastAsia" w:ascii="Times New Roman" w:hAnsi="宋体"/>
                      <w:color w:val="auto"/>
                      <w:sz w:val="22"/>
                      <w:szCs w:val="22"/>
                      <w:lang w:val="en-US" w:eastAsia="zh-CN"/>
                    </w:rPr>
                    <w:t>并取得《</w:t>
                  </w:r>
                  <w:r>
                    <w:rPr>
                      <w:rFonts w:hint="eastAsia" w:ascii="Times New Roman" w:hAnsi="宋体"/>
                      <w:color w:val="auto"/>
                      <w:sz w:val="22"/>
                      <w:szCs w:val="22"/>
                      <w:lang w:eastAsia="zh-CN"/>
                    </w:rPr>
                    <w:t>奉节县经济和信息化委员会</w:t>
                  </w:r>
                  <w:r>
                    <w:rPr>
                      <w:rFonts w:hint="eastAsia" w:ascii="Times New Roman" w:hAnsi="宋体"/>
                      <w:color w:val="auto"/>
                      <w:sz w:val="22"/>
                      <w:szCs w:val="22"/>
                    </w:rPr>
                    <w:t>关于重庆金凤山风电场扩建（望天坪</w:t>
                  </w:r>
                  <w:r>
                    <w:rPr>
                      <w:rFonts w:hint="eastAsia" w:ascii="Times New Roman" w:hAnsi="宋体"/>
                      <w:color w:val="auto"/>
                      <w:sz w:val="22"/>
                      <w:szCs w:val="22"/>
                      <w:lang w:eastAsia="zh-CN"/>
                    </w:rPr>
                    <w:t>）</w:t>
                  </w:r>
                  <w:r>
                    <w:rPr>
                      <w:rFonts w:hint="eastAsia" w:ascii="Times New Roman" w:hAnsi="宋体"/>
                      <w:color w:val="auto"/>
                      <w:sz w:val="22"/>
                      <w:szCs w:val="22"/>
                    </w:rPr>
                    <w:t>110千伏送出工程符合生态保护红线内有限人为活动（穿越生态红线）论证报告专家评审会议纪要</w:t>
                  </w:r>
                  <w:r>
                    <w:rPr>
                      <w:rFonts w:hint="eastAsia" w:ascii="Times New Roman" w:hAnsi="宋体"/>
                      <w:color w:val="auto"/>
                      <w:sz w:val="22"/>
                      <w:szCs w:val="22"/>
                      <w:lang w:val="en-US" w:eastAsia="zh-CN"/>
                    </w:rPr>
                    <w:t>》，文号：</w:t>
                  </w:r>
                  <w:r>
                    <w:rPr>
                      <w:rFonts w:hint="eastAsia" w:ascii="Times New Roman" w:hAnsi="宋体"/>
                      <w:color w:val="auto"/>
                      <w:sz w:val="22"/>
                      <w:szCs w:val="22"/>
                    </w:rPr>
                    <w:t>奉节</w:t>
                  </w:r>
                  <w:r>
                    <w:rPr>
                      <w:rFonts w:hint="eastAsia" w:ascii="Times New Roman" w:hAnsi="宋体"/>
                      <w:color w:val="auto"/>
                      <w:sz w:val="22"/>
                      <w:szCs w:val="22"/>
                      <w:lang w:eastAsia="zh-CN"/>
                    </w:rPr>
                    <w:t>经信</w:t>
                  </w:r>
                  <w:r>
                    <w:rPr>
                      <w:rFonts w:hint="eastAsia" w:ascii="Times New Roman" w:hAnsi="宋体"/>
                      <w:color w:val="auto"/>
                      <w:sz w:val="22"/>
                      <w:szCs w:val="22"/>
                    </w:rPr>
                    <w:t>纪〔20</w:t>
                  </w:r>
                  <w:r>
                    <w:rPr>
                      <w:rFonts w:hint="eastAsia" w:ascii="Times New Roman" w:hAnsi="宋体"/>
                      <w:color w:val="auto"/>
                      <w:sz w:val="22"/>
                      <w:szCs w:val="22"/>
                      <w:lang w:val="en-US" w:eastAsia="zh-CN"/>
                    </w:rPr>
                    <w:t>24</w:t>
                  </w:r>
                  <w:r>
                    <w:rPr>
                      <w:rFonts w:hint="eastAsia" w:ascii="Times New Roman" w:hAnsi="宋体"/>
                      <w:color w:val="auto"/>
                      <w:sz w:val="22"/>
                      <w:szCs w:val="22"/>
                    </w:rPr>
                    <w:t>〕</w:t>
                  </w:r>
                  <w:r>
                    <w:rPr>
                      <w:rFonts w:hint="eastAsia" w:ascii="Times New Roman" w:hAnsi="宋体"/>
                      <w:color w:val="auto"/>
                      <w:sz w:val="22"/>
                      <w:szCs w:val="22"/>
                      <w:lang w:val="en-US" w:eastAsia="zh-CN"/>
                    </w:rPr>
                    <w:t>1</w:t>
                  </w:r>
                  <w:r>
                    <w:rPr>
                      <w:rFonts w:hint="eastAsia" w:ascii="Times New Roman" w:hAnsi="宋体"/>
                      <w:color w:val="auto"/>
                      <w:sz w:val="22"/>
                      <w:szCs w:val="22"/>
                    </w:rPr>
                    <w:t>号</w:t>
                  </w:r>
                  <w:r>
                    <w:rPr>
                      <w:rFonts w:hint="eastAsia" w:ascii="Times New Roman" w:hAnsi="宋体"/>
                      <w:color w:val="auto"/>
                      <w:sz w:val="22"/>
                      <w:szCs w:val="22"/>
                      <w:lang w:eastAsia="zh-CN"/>
                    </w:rPr>
                    <w:t>。</w:t>
                  </w:r>
                  <w:r>
                    <w:rPr>
                      <w:rFonts w:hint="eastAsia" w:ascii="Times New Roman" w:hAnsi="宋体"/>
                      <w:color w:val="auto"/>
                      <w:sz w:val="22"/>
                      <w:szCs w:val="22"/>
                    </w:rPr>
                    <w:t>该报告中对工程的选址选线进行了论证，认定项目无法避让生态红线；</w:t>
                  </w:r>
                  <w:r>
                    <w:rPr>
                      <w:rFonts w:hint="eastAsia" w:ascii="Times New Roman" w:hAnsi="宋体"/>
                      <w:color w:val="auto"/>
                      <w:sz w:val="22"/>
                      <w:szCs w:val="22"/>
                      <w:lang w:val="en-US" w:eastAsia="zh-CN"/>
                    </w:rPr>
                    <w:t>项目通过</w:t>
                  </w:r>
                  <w:r>
                    <w:rPr>
                      <w:rFonts w:hint="eastAsia" w:ascii="Times New Roman" w:hAnsi="宋体"/>
                      <w:color w:val="auto"/>
                      <w:sz w:val="22"/>
                      <w:szCs w:val="22"/>
                    </w:rPr>
                    <w:t>采取针对性的生态环境保护措施以减缓生态影响</w:t>
                  </w:r>
                  <w:r>
                    <w:rPr>
                      <w:rFonts w:ascii="Times New Roman" w:hAnsi="宋体"/>
                      <w:color w:val="auto"/>
                      <w:sz w:val="22"/>
                      <w:szCs w:val="22"/>
                    </w:rPr>
                    <w:t>；项目符合规划环评相关要求</w:t>
                  </w:r>
                </w:p>
              </w:tc>
              <w:tc>
                <w:tcPr>
                  <w:tcW w:w="519" w:type="pct"/>
                  <w:tcBorders>
                    <w:top w:val="single" w:color="auto" w:sz="4" w:space="0"/>
                    <w:left w:val="single" w:color="auto" w:sz="4" w:space="0"/>
                    <w:bottom w:val="single" w:color="auto" w:sz="4" w:space="0"/>
                    <w:right w:val="single" w:color="auto" w:sz="4" w:space="0"/>
                  </w:tcBorders>
                  <w:vAlign w:val="center"/>
                </w:tcPr>
                <w:p w14:paraId="5F48A42D">
                  <w:pPr>
                    <w:autoSpaceDE w:val="0"/>
                    <w:autoSpaceDN w:val="0"/>
                    <w:adjustRightInd w:val="0"/>
                    <w:snapToGrid w:val="0"/>
                    <w:jc w:val="center"/>
                    <w:rPr>
                      <w:color w:val="auto"/>
                      <w:kern w:val="0"/>
                      <w:sz w:val="22"/>
                      <w:szCs w:val="22"/>
                    </w:rPr>
                  </w:pPr>
                  <w:r>
                    <w:rPr>
                      <w:rFonts w:hAnsi="宋体"/>
                      <w:color w:val="auto"/>
                      <w:kern w:val="0"/>
                      <w:sz w:val="22"/>
                      <w:szCs w:val="22"/>
                    </w:rPr>
                    <w:t>符合</w:t>
                  </w:r>
                </w:p>
              </w:tc>
            </w:tr>
          </w:tbl>
          <w:p w14:paraId="0E5BBCA5">
            <w:pPr>
              <w:adjustRightInd w:val="0"/>
              <w:snapToGrid w:val="0"/>
              <w:ind w:firstLine="520" w:firstLineChars="200"/>
              <w:rPr>
                <w:color w:val="auto"/>
                <w:sz w:val="26"/>
                <w:szCs w:val="26"/>
              </w:rPr>
            </w:pPr>
          </w:p>
          <w:p w14:paraId="6E9A9967">
            <w:pPr>
              <w:adjustRightInd w:val="0"/>
              <w:snapToGrid w:val="0"/>
              <w:spacing w:line="460" w:lineRule="exact"/>
              <w:ind w:firstLine="520" w:firstLineChars="200"/>
              <w:rPr>
                <w:color w:val="auto"/>
                <w:kern w:val="0"/>
                <w:sz w:val="26"/>
                <w:szCs w:val="26"/>
              </w:rPr>
            </w:pPr>
            <w:r>
              <w:rPr>
                <w:rFonts w:hint="eastAsia"/>
                <w:color w:val="auto"/>
                <w:sz w:val="26"/>
                <w:szCs w:val="26"/>
              </w:rPr>
              <w:t>通过上表可知，项目与《重庆市生态环境局关于重庆市“十四五”电力发展规划（2021-2025年）环境影响报告书审查意见的函》（渝环函〔2023〕365号）中相关要求相符合。</w:t>
            </w:r>
          </w:p>
        </w:tc>
      </w:tr>
      <w:tr w14:paraId="041D75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431" w:hRule="atLeast"/>
          <w:jc w:val="center"/>
        </w:trPr>
        <w:tc>
          <w:tcPr>
            <w:tcW w:w="1701" w:type="dxa"/>
            <w:tcMar>
              <w:top w:w="16" w:type="dxa"/>
              <w:left w:w="16" w:type="dxa"/>
              <w:right w:w="16" w:type="dxa"/>
            </w:tcMar>
            <w:vAlign w:val="center"/>
          </w:tcPr>
          <w:p w14:paraId="3DA2A6AC">
            <w:pPr>
              <w:autoSpaceDE w:val="0"/>
              <w:autoSpaceDN w:val="0"/>
              <w:adjustRightInd w:val="0"/>
              <w:snapToGrid w:val="0"/>
              <w:jc w:val="center"/>
              <w:rPr>
                <w:color w:val="auto"/>
                <w:kern w:val="0"/>
                <w:szCs w:val="21"/>
              </w:rPr>
            </w:pPr>
            <w:bookmarkStart w:id="1" w:name="_Hlk56690880"/>
            <w:r>
              <w:rPr>
                <w:color w:val="auto"/>
                <w:sz w:val="26"/>
                <w:szCs w:val="26"/>
              </w:rPr>
              <w:t>其他符合性分析</w:t>
            </w:r>
            <w:bookmarkEnd w:id="1"/>
          </w:p>
        </w:tc>
        <w:tc>
          <w:tcPr>
            <w:tcW w:w="7338" w:type="dxa"/>
            <w:gridSpan w:val="4"/>
            <w:tcMar>
              <w:top w:w="16" w:type="dxa"/>
              <w:left w:w="16" w:type="dxa"/>
              <w:right w:w="16" w:type="dxa"/>
            </w:tcMar>
            <w:vAlign w:val="center"/>
          </w:tcPr>
          <w:p w14:paraId="109A99CE">
            <w:pPr>
              <w:adjustRightInd w:val="0"/>
              <w:snapToGrid w:val="0"/>
              <w:spacing w:line="460" w:lineRule="exact"/>
              <w:rPr>
                <w:b/>
                <w:bCs/>
                <w:color w:val="auto"/>
                <w:kern w:val="0"/>
                <w:sz w:val="26"/>
                <w:szCs w:val="26"/>
              </w:rPr>
            </w:pPr>
            <w:r>
              <w:rPr>
                <w:b/>
                <w:bCs/>
                <w:color w:val="auto"/>
                <w:sz w:val="26"/>
                <w:szCs w:val="26"/>
              </w:rPr>
              <w:t>1.</w:t>
            </w:r>
            <w:r>
              <w:rPr>
                <w:rFonts w:hint="eastAsia"/>
                <w:b/>
                <w:bCs/>
                <w:color w:val="auto"/>
                <w:sz w:val="26"/>
                <w:szCs w:val="26"/>
              </w:rPr>
              <w:t>4</w:t>
            </w:r>
            <w:r>
              <w:rPr>
                <w:b/>
                <w:bCs/>
                <w:color w:val="auto"/>
                <w:sz w:val="26"/>
                <w:szCs w:val="26"/>
              </w:rPr>
              <w:t>产业政策符合性</w:t>
            </w:r>
          </w:p>
          <w:p w14:paraId="45E2BF9C">
            <w:pPr>
              <w:adjustRightInd w:val="0"/>
              <w:snapToGrid w:val="0"/>
              <w:spacing w:line="460" w:lineRule="exact"/>
              <w:ind w:firstLine="520" w:firstLineChars="200"/>
              <w:rPr>
                <w:color w:val="auto"/>
                <w:sz w:val="26"/>
                <w:szCs w:val="26"/>
              </w:rPr>
            </w:pPr>
            <w:r>
              <w:rPr>
                <w:color w:val="auto"/>
                <w:sz w:val="26"/>
                <w:szCs w:val="26"/>
              </w:rPr>
              <w:t>根据国家发展和改革委</w:t>
            </w:r>
            <w:r>
              <w:rPr>
                <w:rFonts w:hint="eastAsia"/>
                <w:color w:val="auto"/>
                <w:sz w:val="26"/>
                <w:szCs w:val="26"/>
                <w:lang w:eastAsia="zh-CN"/>
              </w:rPr>
              <w:t>员会</w:t>
            </w:r>
            <w:r>
              <w:rPr>
                <w:color w:val="auto"/>
                <w:sz w:val="26"/>
                <w:szCs w:val="26"/>
              </w:rPr>
              <w:t>《产业结构调整指导目录》（20</w:t>
            </w:r>
            <w:r>
              <w:rPr>
                <w:rFonts w:hint="eastAsia"/>
                <w:color w:val="auto"/>
                <w:sz w:val="26"/>
                <w:szCs w:val="26"/>
              </w:rPr>
              <w:t>24年</w:t>
            </w:r>
            <w:r>
              <w:rPr>
                <w:color w:val="auto"/>
                <w:sz w:val="26"/>
                <w:szCs w:val="26"/>
              </w:rPr>
              <w:t>）中内容，项目为输变电工程，属于鼓励类别第四项电力“10</w:t>
            </w:r>
          </w:p>
          <w:p w14:paraId="05D69EE9">
            <w:pPr>
              <w:adjustRightInd w:val="0"/>
              <w:snapToGrid w:val="0"/>
              <w:spacing w:line="460" w:lineRule="exact"/>
              <w:rPr>
                <w:color w:val="auto"/>
                <w:sz w:val="26"/>
                <w:szCs w:val="26"/>
                <w:highlight w:val="yellow"/>
              </w:rPr>
            </w:pPr>
            <w:r>
              <w:rPr>
                <w:color w:val="auto"/>
                <w:sz w:val="26"/>
                <w:szCs w:val="26"/>
              </w:rPr>
              <w:t>电网改造与建设，增量配电网建设”项目，符合国家产业政策要求。</w:t>
            </w:r>
          </w:p>
          <w:p w14:paraId="081D2567">
            <w:pPr>
              <w:adjustRightInd w:val="0"/>
              <w:snapToGrid w:val="0"/>
              <w:spacing w:line="460" w:lineRule="exact"/>
              <w:rPr>
                <w:b/>
                <w:bCs/>
                <w:color w:val="auto"/>
                <w:sz w:val="26"/>
                <w:szCs w:val="26"/>
              </w:rPr>
            </w:pPr>
            <w:r>
              <w:rPr>
                <w:b/>
                <w:bCs/>
                <w:color w:val="auto"/>
                <w:sz w:val="26"/>
                <w:szCs w:val="26"/>
              </w:rPr>
              <w:t>1.</w:t>
            </w:r>
            <w:r>
              <w:rPr>
                <w:rFonts w:hint="eastAsia"/>
                <w:b/>
                <w:bCs/>
                <w:color w:val="auto"/>
                <w:sz w:val="26"/>
                <w:szCs w:val="26"/>
              </w:rPr>
              <w:t>5</w:t>
            </w:r>
            <w:r>
              <w:rPr>
                <w:b/>
                <w:bCs/>
                <w:color w:val="auto"/>
                <w:sz w:val="26"/>
                <w:szCs w:val="26"/>
              </w:rPr>
              <w:t>与</w:t>
            </w:r>
            <w:r>
              <w:rPr>
                <w:rFonts w:hint="eastAsia"/>
                <w:b/>
                <w:bCs/>
                <w:color w:val="auto"/>
                <w:sz w:val="26"/>
                <w:szCs w:val="26"/>
              </w:rPr>
              <w:t>“三线一单”</w:t>
            </w:r>
            <w:r>
              <w:rPr>
                <w:b/>
                <w:bCs/>
                <w:color w:val="auto"/>
                <w:sz w:val="26"/>
                <w:szCs w:val="26"/>
              </w:rPr>
              <w:t>符合性</w:t>
            </w:r>
            <w:r>
              <w:rPr>
                <w:rFonts w:hint="eastAsia"/>
                <w:b/>
                <w:bCs/>
                <w:color w:val="auto"/>
                <w:sz w:val="26"/>
                <w:szCs w:val="26"/>
              </w:rPr>
              <w:t>分析</w:t>
            </w:r>
          </w:p>
          <w:p w14:paraId="19B959AD">
            <w:pPr>
              <w:adjustRightInd w:val="0"/>
              <w:snapToGrid w:val="0"/>
              <w:spacing w:line="460" w:lineRule="exact"/>
              <w:ind w:firstLine="520" w:firstLineChars="200"/>
              <w:rPr>
                <w:color w:val="auto"/>
                <w:sz w:val="26"/>
                <w:szCs w:val="26"/>
              </w:rPr>
            </w:pPr>
            <w:r>
              <w:rPr>
                <w:rFonts w:hint="eastAsia"/>
                <w:color w:val="auto"/>
                <w:sz w:val="26"/>
                <w:szCs w:val="26"/>
              </w:rPr>
              <w:t>（1）生态保护红线</w:t>
            </w:r>
          </w:p>
          <w:p w14:paraId="760457AB">
            <w:pPr>
              <w:adjustRightInd w:val="0"/>
              <w:snapToGrid w:val="0"/>
              <w:spacing w:line="460" w:lineRule="exact"/>
              <w:ind w:firstLine="520" w:firstLineChars="200"/>
              <w:rPr>
                <w:color w:val="auto"/>
                <w:sz w:val="26"/>
                <w:szCs w:val="26"/>
              </w:rPr>
            </w:pPr>
            <w:r>
              <w:rPr>
                <w:color w:val="auto"/>
                <w:sz w:val="26"/>
                <w:szCs w:val="26"/>
              </w:rPr>
              <w:t>对比</w:t>
            </w:r>
            <w:r>
              <w:rPr>
                <w:rFonts w:hint="eastAsia"/>
                <w:color w:val="auto"/>
                <w:sz w:val="26"/>
                <w:szCs w:val="26"/>
              </w:rPr>
              <w:t>奉节县生态空间分布图，项目线路穿越生态保护红线，项目已编制《重庆金凤山风电场扩建（望天坪）110千伏送出工程符合生态保护红线内有限</w:t>
            </w:r>
            <w:r>
              <w:rPr>
                <w:rFonts w:hint="eastAsia"/>
                <w:color w:val="auto"/>
                <w:sz w:val="26"/>
                <w:szCs w:val="26"/>
                <w:lang w:eastAsia="zh-CN"/>
              </w:rPr>
              <w:t>人为</w:t>
            </w:r>
            <w:r>
              <w:rPr>
                <w:rFonts w:hint="eastAsia"/>
                <w:color w:val="auto"/>
                <w:sz w:val="26"/>
                <w:szCs w:val="26"/>
              </w:rPr>
              <w:t>活动（穿越生态红线）论证报告》</w:t>
            </w:r>
            <w:r>
              <w:rPr>
                <w:rFonts w:hint="eastAsia"/>
                <w:color w:val="auto"/>
                <w:sz w:val="26"/>
                <w:szCs w:val="26"/>
                <w:lang w:eastAsia="zh-CN"/>
              </w:rPr>
              <w:t>，</w:t>
            </w:r>
            <w:r>
              <w:rPr>
                <w:rFonts w:hint="eastAsia" w:ascii="Times New Roman" w:hAnsi="宋体"/>
                <w:color w:val="auto"/>
                <w:sz w:val="26"/>
                <w:szCs w:val="26"/>
                <w:lang w:val="en-US" w:eastAsia="zh-CN"/>
              </w:rPr>
              <w:t>并取得《</w:t>
            </w:r>
            <w:r>
              <w:rPr>
                <w:rFonts w:hint="eastAsia" w:ascii="Times New Roman" w:hAnsi="宋体"/>
                <w:color w:val="auto"/>
                <w:sz w:val="26"/>
                <w:szCs w:val="26"/>
                <w:lang w:eastAsia="zh-CN"/>
              </w:rPr>
              <w:t>奉节县经济和信息化委员会</w:t>
            </w:r>
            <w:r>
              <w:rPr>
                <w:rFonts w:hint="eastAsia" w:ascii="Times New Roman" w:hAnsi="宋体"/>
                <w:color w:val="auto"/>
                <w:sz w:val="26"/>
                <w:szCs w:val="26"/>
              </w:rPr>
              <w:t>关于重庆金凤山风电场扩建（望天坪</w:t>
            </w:r>
            <w:r>
              <w:rPr>
                <w:rFonts w:hint="eastAsia" w:ascii="Times New Roman" w:hAnsi="宋体"/>
                <w:color w:val="auto"/>
                <w:sz w:val="26"/>
                <w:szCs w:val="26"/>
                <w:lang w:eastAsia="zh-CN"/>
              </w:rPr>
              <w:t>）</w:t>
            </w:r>
            <w:r>
              <w:rPr>
                <w:rFonts w:hint="eastAsia" w:ascii="Times New Roman" w:hAnsi="宋体"/>
                <w:color w:val="auto"/>
                <w:sz w:val="26"/>
                <w:szCs w:val="26"/>
              </w:rPr>
              <w:t>110千伏送出工程符合生态保护红线内有限人为活动（穿越生态红线）论证报告专家评审会议纪要</w:t>
            </w:r>
            <w:r>
              <w:rPr>
                <w:rFonts w:hint="eastAsia" w:ascii="Times New Roman" w:hAnsi="宋体"/>
                <w:color w:val="auto"/>
                <w:sz w:val="26"/>
                <w:szCs w:val="26"/>
                <w:lang w:val="en-US" w:eastAsia="zh-CN"/>
              </w:rPr>
              <w:t>》，文号：</w:t>
            </w:r>
            <w:r>
              <w:rPr>
                <w:rFonts w:hint="eastAsia" w:ascii="Times New Roman" w:hAnsi="宋体"/>
                <w:color w:val="auto"/>
                <w:sz w:val="26"/>
                <w:szCs w:val="26"/>
              </w:rPr>
              <w:t>奉节</w:t>
            </w:r>
            <w:r>
              <w:rPr>
                <w:rFonts w:hint="eastAsia" w:ascii="Times New Roman" w:hAnsi="宋体"/>
                <w:color w:val="auto"/>
                <w:sz w:val="26"/>
                <w:szCs w:val="26"/>
                <w:lang w:eastAsia="zh-CN"/>
              </w:rPr>
              <w:t>经信</w:t>
            </w:r>
            <w:r>
              <w:rPr>
                <w:rFonts w:hint="eastAsia" w:ascii="Times New Roman" w:hAnsi="宋体"/>
                <w:color w:val="auto"/>
                <w:sz w:val="26"/>
                <w:szCs w:val="26"/>
              </w:rPr>
              <w:t>纪〔20</w:t>
            </w:r>
            <w:r>
              <w:rPr>
                <w:rFonts w:hint="eastAsia" w:ascii="Times New Roman" w:hAnsi="宋体"/>
                <w:color w:val="auto"/>
                <w:sz w:val="26"/>
                <w:szCs w:val="26"/>
                <w:lang w:val="en-US" w:eastAsia="zh-CN"/>
              </w:rPr>
              <w:t>24</w:t>
            </w:r>
            <w:r>
              <w:rPr>
                <w:rFonts w:hint="eastAsia" w:ascii="Times New Roman" w:hAnsi="宋体"/>
                <w:color w:val="auto"/>
                <w:sz w:val="26"/>
                <w:szCs w:val="26"/>
              </w:rPr>
              <w:t>〕</w:t>
            </w:r>
            <w:r>
              <w:rPr>
                <w:rFonts w:hint="eastAsia" w:ascii="Times New Roman" w:hAnsi="宋体"/>
                <w:color w:val="auto"/>
                <w:sz w:val="26"/>
                <w:szCs w:val="26"/>
                <w:lang w:val="en-US" w:eastAsia="zh-CN"/>
              </w:rPr>
              <w:t>1</w:t>
            </w:r>
            <w:r>
              <w:rPr>
                <w:rFonts w:hint="eastAsia" w:ascii="Times New Roman" w:hAnsi="宋体"/>
                <w:color w:val="auto"/>
                <w:sz w:val="26"/>
                <w:szCs w:val="26"/>
              </w:rPr>
              <w:t>号</w:t>
            </w:r>
            <w:r>
              <w:rPr>
                <w:rFonts w:hint="eastAsia" w:ascii="Times New Roman" w:hAnsi="宋体"/>
                <w:color w:val="auto"/>
                <w:sz w:val="26"/>
                <w:szCs w:val="26"/>
                <w:lang w:eastAsia="zh-CN"/>
              </w:rPr>
              <w:t>。</w:t>
            </w:r>
            <w:r>
              <w:rPr>
                <w:rFonts w:hint="eastAsia"/>
                <w:color w:val="auto"/>
                <w:sz w:val="26"/>
                <w:szCs w:val="26"/>
              </w:rPr>
              <w:t>该报告中对工程新建段开展符合生态保护红线内有限人为活动（穿越生态红线）论证工作，认定项目无法避让生态</w:t>
            </w:r>
            <w:r>
              <w:rPr>
                <w:rFonts w:hint="eastAsia"/>
                <w:color w:val="auto"/>
                <w:sz w:val="26"/>
                <w:szCs w:val="26"/>
                <w:lang w:val="en-US" w:eastAsia="zh-CN"/>
              </w:rPr>
              <w:t>保护</w:t>
            </w:r>
            <w:r>
              <w:rPr>
                <w:rFonts w:hint="eastAsia"/>
                <w:color w:val="auto"/>
                <w:sz w:val="26"/>
                <w:szCs w:val="26"/>
              </w:rPr>
              <w:t>红线；</w:t>
            </w:r>
            <w:r>
              <w:rPr>
                <w:rFonts w:hint="eastAsia"/>
                <w:color w:val="auto"/>
                <w:sz w:val="26"/>
                <w:szCs w:val="26"/>
                <w:lang w:val="en-US" w:eastAsia="zh-CN"/>
              </w:rPr>
              <w:t>项目通过</w:t>
            </w:r>
            <w:r>
              <w:rPr>
                <w:rFonts w:hint="eastAsia"/>
                <w:color w:val="auto"/>
                <w:sz w:val="26"/>
                <w:szCs w:val="26"/>
              </w:rPr>
              <w:t>采取针对性的生态环境保护措施以减缓生态影响；项目实施过程将通过严格控制施工作业面等相关措施，尽量减少占地，施工结束后采取表土回覆、植被恢复等措施保证生态系统结构功能不受破坏</w:t>
            </w:r>
            <w:r>
              <w:rPr>
                <w:color w:val="auto"/>
                <w:sz w:val="26"/>
                <w:szCs w:val="26"/>
              </w:rPr>
              <w:t>。</w:t>
            </w:r>
          </w:p>
          <w:p w14:paraId="31B154C1">
            <w:pPr>
              <w:adjustRightInd w:val="0"/>
              <w:snapToGrid w:val="0"/>
              <w:spacing w:line="460" w:lineRule="exact"/>
              <w:ind w:firstLine="520" w:firstLineChars="200"/>
              <w:rPr>
                <w:color w:val="auto"/>
                <w:sz w:val="26"/>
                <w:szCs w:val="26"/>
              </w:rPr>
            </w:pPr>
            <w:r>
              <w:rPr>
                <w:rFonts w:hint="eastAsia"/>
                <w:color w:val="auto"/>
                <w:sz w:val="26"/>
                <w:szCs w:val="26"/>
              </w:rPr>
              <w:t>（2）环境质量底线</w:t>
            </w:r>
          </w:p>
          <w:p w14:paraId="75430312">
            <w:pPr>
              <w:adjustRightInd w:val="0"/>
              <w:snapToGrid w:val="0"/>
              <w:spacing w:line="460" w:lineRule="exact"/>
              <w:ind w:firstLine="520" w:firstLineChars="200"/>
              <w:rPr>
                <w:color w:val="auto"/>
                <w:sz w:val="26"/>
                <w:szCs w:val="26"/>
              </w:rPr>
            </w:pPr>
            <w:r>
              <w:rPr>
                <w:rFonts w:hint="eastAsia"/>
                <w:color w:val="auto"/>
                <w:sz w:val="26"/>
                <w:szCs w:val="26"/>
              </w:rPr>
              <w:t>本项目为输电线路建设，营运期正常工况下不产生废气、废水和固体废物，不会降低大气环境质量、地表水环境质量，满足环境质量底线要求。</w:t>
            </w:r>
          </w:p>
          <w:p w14:paraId="48D97880">
            <w:pPr>
              <w:adjustRightInd w:val="0"/>
              <w:snapToGrid w:val="0"/>
              <w:spacing w:line="460" w:lineRule="exact"/>
              <w:ind w:firstLine="520" w:firstLineChars="200"/>
              <w:rPr>
                <w:color w:val="auto"/>
                <w:sz w:val="26"/>
                <w:szCs w:val="26"/>
              </w:rPr>
            </w:pPr>
            <w:r>
              <w:rPr>
                <w:rFonts w:hint="eastAsia"/>
                <w:color w:val="auto"/>
                <w:sz w:val="26"/>
                <w:szCs w:val="26"/>
              </w:rPr>
              <w:t>（3）资源利用上线</w:t>
            </w:r>
          </w:p>
          <w:p w14:paraId="56C1B613">
            <w:pPr>
              <w:adjustRightInd w:val="0"/>
              <w:snapToGrid w:val="0"/>
              <w:spacing w:line="460" w:lineRule="exact"/>
              <w:ind w:firstLine="520" w:firstLineChars="200"/>
              <w:rPr>
                <w:rFonts w:hint="eastAsia" w:eastAsia="宋体"/>
                <w:color w:val="auto"/>
                <w:sz w:val="26"/>
                <w:szCs w:val="26"/>
                <w:lang w:eastAsia="zh-CN"/>
              </w:rPr>
            </w:pPr>
            <w:r>
              <w:rPr>
                <w:rFonts w:hint="eastAsia"/>
                <w:color w:val="auto"/>
                <w:sz w:val="26"/>
                <w:szCs w:val="26"/>
              </w:rPr>
              <w:t>本项目为输电线路建设，用于电力的传输，营运期正常工况下会消耗资源能源</w:t>
            </w:r>
            <w:r>
              <w:rPr>
                <w:rFonts w:hint="eastAsia"/>
                <w:color w:val="auto"/>
                <w:sz w:val="26"/>
                <w:szCs w:val="26"/>
                <w:lang w:eastAsia="zh-CN"/>
              </w:rPr>
              <w:t>。</w:t>
            </w:r>
          </w:p>
          <w:p w14:paraId="2AFBCB2E">
            <w:pPr>
              <w:adjustRightInd w:val="0"/>
              <w:snapToGrid w:val="0"/>
              <w:spacing w:line="460" w:lineRule="exact"/>
              <w:ind w:firstLine="520" w:firstLineChars="200"/>
              <w:rPr>
                <w:color w:val="auto"/>
                <w:sz w:val="26"/>
                <w:szCs w:val="26"/>
              </w:rPr>
            </w:pPr>
            <w:r>
              <w:rPr>
                <w:rFonts w:hint="eastAsia"/>
                <w:color w:val="auto"/>
                <w:sz w:val="26"/>
                <w:szCs w:val="26"/>
              </w:rPr>
              <w:t>（4）生态环境准入清单</w:t>
            </w:r>
          </w:p>
          <w:p w14:paraId="0779659D">
            <w:pPr>
              <w:adjustRightInd w:val="0"/>
              <w:snapToGrid w:val="0"/>
              <w:spacing w:line="460" w:lineRule="exact"/>
              <w:ind w:firstLine="520" w:firstLineChars="200"/>
              <w:rPr>
                <w:color w:val="auto"/>
                <w:sz w:val="26"/>
                <w:szCs w:val="26"/>
                <w:highlight w:val="yellow"/>
              </w:rPr>
            </w:pPr>
            <w:r>
              <w:rPr>
                <w:color w:val="auto"/>
                <w:sz w:val="26"/>
                <w:szCs w:val="26"/>
              </w:rPr>
              <w:t>根据在重</w:t>
            </w:r>
            <w:r>
              <w:rPr>
                <w:rFonts w:hint="eastAsia" w:ascii="宋体" w:hAnsi="宋体" w:cs="宋体"/>
                <w:color w:val="auto"/>
                <w:sz w:val="26"/>
                <w:szCs w:val="26"/>
              </w:rPr>
              <w:t>庆市“三线一单”智</w:t>
            </w:r>
            <w:r>
              <w:rPr>
                <w:color w:val="auto"/>
                <w:sz w:val="26"/>
                <w:szCs w:val="26"/>
              </w:rPr>
              <w:t>检服务平台比对（详见附件</w:t>
            </w:r>
            <w:r>
              <w:rPr>
                <w:rFonts w:hint="eastAsia"/>
                <w:color w:val="auto"/>
                <w:sz w:val="26"/>
                <w:szCs w:val="26"/>
              </w:rPr>
              <w:t>5</w:t>
            </w:r>
            <w:r>
              <w:rPr>
                <w:color w:val="auto"/>
                <w:sz w:val="26"/>
                <w:szCs w:val="26"/>
              </w:rPr>
              <w:t>：</w:t>
            </w:r>
            <w:r>
              <w:rPr>
                <w:rFonts w:hint="eastAsia"/>
                <w:color w:val="auto"/>
                <w:sz w:val="26"/>
                <w:szCs w:val="26"/>
              </w:rPr>
              <w:t>“三线一单”智检报告</w:t>
            </w:r>
            <w:r>
              <w:rPr>
                <w:color w:val="auto"/>
                <w:sz w:val="26"/>
                <w:szCs w:val="26"/>
              </w:rPr>
              <w:t>）</w:t>
            </w:r>
            <w:r>
              <w:rPr>
                <w:rFonts w:hint="eastAsia"/>
                <w:color w:val="auto"/>
                <w:sz w:val="26"/>
                <w:szCs w:val="26"/>
              </w:rPr>
              <w:t>，项目涉及3个管控单元，其中优先保护单元2个，分别是奉节县一般生态空间-生物多样性维护（ZH50023610012）、奉节县生物多样性维护功能区（ZH50023610009）；一般管控单元1个，奉节县一般管控单元-大溪河鹤峰乡（ZH50023630001）。</w:t>
            </w:r>
          </w:p>
          <w:p w14:paraId="4B4C1F88">
            <w:pPr>
              <w:adjustRightInd w:val="0"/>
              <w:snapToGrid w:val="0"/>
              <w:spacing w:line="460" w:lineRule="exact"/>
              <w:ind w:firstLine="520" w:firstLineChars="200"/>
              <w:rPr>
                <w:color w:val="auto"/>
                <w:sz w:val="26"/>
                <w:szCs w:val="26"/>
              </w:rPr>
            </w:pPr>
            <w:r>
              <w:rPr>
                <w:rFonts w:hint="eastAsia"/>
                <w:color w:val="auto"/>
                <w:sz w:val="26"/>
                <w:szCs w:val="26"/>
              </w:rPr>
              <w:t>根据《建设项目环评“三线一单”符合性分析技术要点（试行）》（渝环函〔</w:t>
            </w:r>
            <w:r>
              <w:rPr>
                <w:color w:val="auto"/>
                <w:sz w:val="26"/>
                <w:szCs w:val="26"/>
              </w:rPr>
              <w:t>2022</w:t>
            </w:r>
            <w:r>
              <w:rPr>
                <w:rFonts w:hint="eastAsia"/>
                <w:color w:val="auto"/>
                <w:sz w:val="26"/>
                <w:szCs w:val="26"/>
              </w:rPr>
              <w:t>〕</w:t>
            </w:r>
            <w:r>
              <w:rPr>
                <w:color w:val="auto"/>
                <w:sz w:val="26"/>
                <w:szCs w:val="26"/>
              </w:rPr>
              <w:t>397</w:t>
            </w:r>
            <w:r>
              <w:rPr>
                <w:rFonts w:hint="eastAsia"/>
                <w:color w:val="auto"/>
                <w:sz w:val="26"/>
                <w:szCs w:val="26"/>
              </w:rPr>
              <w:t>号）要求：“铁路、公路、长输管线等以生态影响为主的线性建设项目重点分析对优先保护单元的生态环境影响，可不开展重点管控单元、一般管控单元管控要求的符合性分析。”因此，本项目仅开展优先保护单元的符合性分析。</w:t>
            </w:r>
          </w:p>
          <w:p w14:paraId="40356F56">
            <w:pPr>
              <w:adjustRightInd w:val="0"/>
              <w:snapToGrid w:val="0"/>
              <w:jc w:val="center"/>
              <w:rPr>
                <w:color w:val="auto"/>
                <w:sz w:val="26"/>
                <w:szCs w:val="26"/>
              </w:rPr>
            </w:pPr>
          </w:p>
          <w:p w14:paraId="140DA90B">
            <w:pPr>
              <w:adjustRightInd w:val="0"/>
              <w:snapToGrid w:val="0"/>
              <w:jc w:val="center"/>
              <w:rPr>
                <w:color w:val="auto"/>
                <w:sz w:val="26"/>
                <w:szCs w:val="26"/>
              </w:rPr>
            </w:pPr>
            <w:r>
              <w:rPr>
                <w:rFonts w:hint="eastAsia"/>
                <w:color w:val="auto"/>
                <w:sz w:val="26"/>
                <w:szCs w:val="26"/>
              </w:rPr>
              <w:t>表1-2</w:t>
            </w:r>
            <w:r>
              <w:rPr>
                <w:color w:val="auto"/>
                <w:sz w:val="26"/>
                <w:szCs w:val="26"/>
              </w:rPr>
              <w:t xml:space="preserve"> </w:t>
            </w:r>
            <w:r>
              <w:rPr>
                <w:rFonts w:hint="eastAsia"/>
                <w:color w:val="auto"/>
                <w:sz w:val="26"/>
                <w:szCs w:val="26"/>
              </w:rPr>
              <w:t>项目与“三线一单”符合性分析</w:t>
            </w:r>
          </w:p>
          <w:tbl>
            <w:tblPr>
              <w:tblStyle w:val="25"/>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5"/>
              <w:gridCol w:w="1090"/>
              <w:gridCol w:w="2771"/>
              <w:gridCol w:w="1674"/>
              <w:gridCol w:w="736"/>
            </w:tblGrid>
            <w:tr w14:paraId="430B00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9" w:type="pct"/>
                  <w:gridSpan w:val="2"/>
                  <w:tcBorders>
                    <w:top w:val="single" w:color="auto" w:sz="4" w:space="0"/>
                    <w:left w:val="single" w:color="auto" w:sz="4" w:space="0"/>
                    <w:bottom w:val="single" w:color="auto" w:sz="4" w:space="0"/>
                    <w:right w:val="single" w:color="auto" w:sz="4" w:space="0"/>
                  </w:tcBorders>
                  <w:vAlign w:val="center"/>
                </w:tcPr>
                <w:p w14:paraId="535A7E61">
                  <w:pPr>
                    <w:pStyle w:val="73"/>
                    <w:adjustRightInd/>
                    <w:snapToGrid/>
                    <w:jc w:val="center"/>
                    <w:rPr>
                      <w:b/>
                      <w:color w:val="auto"/>
                      <w:sz w:val="22"/>
                      <w:szCs w:val="22"/>
                    </w:rPr>
                  </w:pPr>
                  <w:r>
                    <w:rPr>
                      <w:rFonts w:hAnsi="宋体"/>
                      <w:b/>
                      <w:color w:val="auto"/>
                      <w:sz w:val="22"/>
                      <w:szCs w:val="22"/>
                    </w:rPr>
                    <w:t>环境管控单元编码</w:t>
                  </w:r>
                </w:p>
              </w:tc>
              <w:tc>
                <w:tcPr>
                  <w:tcW w:w="1947" w:type="pct"/>
                  <w:tcBorders>
                    <w:top w:val="single" w:color="auto" w:sz="4" w:space="0"/>
                    <w:left w:val="single" w:color="auto" w:sz="4" w:space="0"/>
                    <w:bottom w:val="single" w:color="auto" w:sz="4" w:space="0"/>
                    <w:right w:val="single" w:color="auto" w:sz="4" w:space="0"/>
                  </w:tcBorders>
                  <w:vAlign w:val="center"/>
                </w:tcPr>
                <w:p w14:paraId="1D1FAC4C">
                  <w:pPr>
                    <w:pStyle w:val="73"/>
                    <w:adjustRightInd/>
                    <w:snapToGrid/>
                    <w:jc w:val="center"/>
                    <w:rPr>
                      <w:b/>
                      <w:color w:val="auto"/>
                      <w:sz w:val="22"/>
                      <w:szCs w:val="22"/>
                    </w:rPr>
                  </w:pPr>
                  <w:r>
                    <w:rPr>
                      <w:rFonts w:hAnsi="宋体"/>
                      <w:b/>
                      <w:color w:val="auto"/>
                      <w:sz w:val="22"/>
                      <w:szCs w:val="22"/>
                    </w:rPr>
                    <w:t>环境管控单元名称</w:t>
                  </w:r>
                </w:p>
              </w:tc>
              <w:tc>
                <w:tcPr>
                  <w:tcW w:w="1693" w:type="pct"/>
                  <w:gridSpan w:val="2"/>
                  <w:tcBorders>
                    <w:top w:val="single" w:color="auto" w:sz="4" w:space="0"/>
                    <w:left w:val="single" w:color="auto" w:sz="4" w:space="0"/>
                    <w:bottom w:val="single" w:color="auto" w:sz="4" w:space="0"/>
                    <w:right w:val="single" w:color="auto" w:sz="4" w:space="0"/>
                  </w:tcBorders>
                  <w:vAlign w:val="center"/>
                </w:tcPr>
                <w:p w14:paraId="7972BD06">
                  <w:pPr>
                    <w:pStyle w:val="73"/>
                    <w:adjustRightInd/>
                    <w:snapToGrid/>
                    <w:jc w:val="center"/>
                    <w:rPr>
                      <w:b/>
                      <w:color w:val="auto"/>
                      <w:sz w:val="22"/>
                      <w:szCs w:val="22"/>
                    </w:rPr>
                  </w:pPr>
                  <w:r>
                    <w:rPr>
                      <w:rFonts w:hAnsi="宋体"/>
                      <w:b/>
                      <w:color w:val="auto"/>
                      <w:sz w:val="22"/>
                      <w:szCs w:val="22"/>
                    </w:rPr>
                    <w:t>环境管控单元类型</w:t>
                  </w:r>
                </w:p>
              </w:tc>
            </w:tr>
            <w:tr w14:paraId="645552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9" w:type="pct"/>
                  <w:gridSpan w:val="2"/>
                  <w:tcBorders>
                    <w:top w:val="single" w:color="auto" w:sz="4" w:space="0"/>
                    <w:left w:val="single" w:color="auto" w:sz="4" w:space="0"/>
                    <w:bottom w:val="single" w:color="auto" w:sz="4" w:space="0"/>
                    <w:right w:val="single" w:color="auto" w:sz="4" w:space="0"/>
                  </w:tcBorders>
                  <w:vAlign w:val="center"/>
                </w:tcPr>
                <w:p w14:paraId="402403B0">
                  <w:pPr>
                    <w:pStyle w:val="73"/>
                    <w:adjustRightInd/>
                    <w:snapToGrid/>
                    <w:jc w:val="center"/>
                    <w:rPr>
                      <w:color w:val="auto"/>
                      <w:sz w:val="22"/>
                      <w:szCs w:val="22"/>
                    </w:rPr>
                  </w:pPr>
                  <w:r>
                    <w:rPr>
                      <w:rFonts w:hint="eastAsia"/>
                      <w:color w:val="auto"/>
                      <w:sz w:val="22"/>
                      <w:szCs w:val="22"/>
                    </w:rPr>
                    <w:t>ZH50023610012</w:t>
                  </w:r>
                </w:p>
              </w:tc>
              <w:tc>
                <w:tcPr>
                  <w:tcW w:w="1947" w:type="pct"/>
                  <w:tcBorders>
                    <w:top w:val="single" w:color="auto" w:sz="4" w:space="0"/>
                    <w:left w:val="single" w:color="auto" w:sz="4" w:space="0"/>
                    <w:bottom w:val="single" w:color="auto" w:sz="4" w:space="0"/>
                    <w:right w:val="single" w:color="auto" w:sz="4" w:space="0"/>
                  </w:tcBorders>
                  <w:vAlign w:val="center"/>
                </w:tcPr>
                <w:p w14:paraId="28B89DB3">
                  <w:pPr>
                    <w:pStyle w:val="73"/>
                    <w:adjustRightInd/>
                    <w:snapToGrid/>
                    <w:jc w:val="center"/>
                    <w:rPr>
                      <w:color w:val="auto"/>
                      <w:sz w:val="22"/>
                      <w:szCs w:val="22"/>
                    </w:rPr>
                  </w:pPr>
                  <w:r>
                    <w:rPr>
                      <w:rFonts w:hint="eastAsia"/>
                      <w:color w:val="auto"/>
                      <w:sz w:val="22"/>
                      <w:szCs w:val="22"/>
                    </w:rPr>
                    <w:t>奉节县一般生态空间-生物多样性维护</w:t>
                  </w:r>
                </w:p>
              </w:tc>
              <w:tc>
                <w:tcPr>
                  <w:tcW w:w="1693" w:type="pct"/>
                  <w:gridSpan w:val="2"/>
                  <w:tcBorders>
                    <w:top w:val="single" w:color="auto" w:sz="4" w:space="0"/>
                    <w:left w:val="single" w:color="auto" w:sz="4" w:space="0"/>
                    <w:bottom w:val="single" w:color="auto" w:sz="4" w:space="0"/>
                    <w:right w:val="single" w:color="auto" w:sz="4" w:space="0"/>
                  </w:tcBorders>
                  <w:vAlign w:val="center"/>
                </w:tcPr>
                <w:p w14:paraId="7351097B">
                  <w:pPr>
                    <w:pStyle w:val="73"/>
                    <w:adjustRightInd/>
                    <w:snapToGrid/>
                    <w:jc w:val="center"/>
                    <w:rPr>
                      <w:color w:val="auto"/>
                      <w:sz w:val="22"/>
                      <w:szCs w:val="22"/>
                    </w:rPr>
                  </w:pPr>
                  <w:r>
                    <w:rPr>
                      <w:rFonts w:hAnsi="宋体"/>
                      <w:color w:val="auto"/>
                      <w:sz w:val="22"/>
                      <w:szCs w:val="22"/>
                    </w:rPr>
                    <w:t>优先保护单元</w:t>
                  </w:r>
                  <w:r>
                    <w:rPr>
                      <w:rFonts w:hint="eastAsia" w:hAnsi="宋体"/>
                      <w:color w:val="auto"/>
                      <w:sz w:val="22"/>
                      <w:szCs w:val="22"/>
                    </w:rPr>
                    <w:t>12</w:t>
                  </w:r>
                </w:p>
              </w:tc>
            </w:tr>
            <w:tr w14:paraId="7705B3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9" w:type="pct"/>
                  <w:gridSpan w:val="2"/>
                  <w:tcBorders>
                    <w:top w:val="single" w:color="auto" w:sz="4" w:space="0"/>
                    <w:left w:val="single" w:color="auto" w:sz="4" w:space="0"/>
                    <w:bottom w:val="single" w:color="auto" w:sz="4" w:space="0"/>
                    <w:right w:val="single" w:color="auto" w:sz="4" w:space="0"/>
                  </w:tcBorders>
                  <w:vAlign w:val="center"/>
                </w:tcPr>
                <w:p w14:paraId="507FBC3E">
                  <w:pPr>
                    <w:pStyle w:val="73"/>
                    <w:adjustRightInd/>
                    <w:snapToGrid/>
                    <w:jc w:val="center"/>
                    <w:rPr>
                      <w:color w:val="auto"/>
                      <w:kern w:val="0"/>
                      <w:sz w:val="22"/>
                      <w:szCs w:val="22"/>
                    </w:rPr>
                  </w:pPr>
                  <w:r>
                    <w:rPr>
                      <w:rFonts w:hint="eastAsia"/>
                      <w:color w:val="auto"/>
                      <w:kern w:val="0"/>
                      <w:sz w:val="22"/>
                      <w:szCs w:val="22"/>
                    </w:rPr>
                    <w:t>ZH50023610009</w:t>
                  </w:r>
                </w:p>
              </w:tc>
              <w:tc>
                <w:tcPr>
                  <w:tcW w:w="1947" w:type="pct"/>
                  <w:tcBorders>
                    <w:top w:val="single" w:color="auto" w:sz="4" w:space="0"/>
                    <w:left w:val="single" w:color="auto" w:sz="4" w:space="0"/>
                    <w:bottom w:val="single" w:color="auto" w:sz="4" w:space="0"/>
                    <w:right w:val="single" w:color="auto" w:sz="4" w:space="0"/>
                  </w:tcBorders>
                  <w:vAlign w:val="center"/>
                </w:tcPr>
                <w:p w14:paraId="794424DF">
                  <w:pPr>
                    <w:pStyle w:val="73"/>
                    <w:adjustRightInd/>
                    <w:snapToGrid/>
                    <w:jc w:val="center"/>
                    <w:rPr>
                      <w:rFonts w:hAnsi="宋体"/>
                      <w:color w:val="auto"/>
                      <w:kern w:val="0"/>
                      <w:sz w:val="22"/>
                      <w:szCs w:val="22"/>
                    </w:rPr>
                  </w:pPr>
                  <w:r>
                    <w:rPr>
                      <w:rFonts w:hint="eastAsia" w:hAnsi="宋体"/>
                      <w:color w:val="auto"/>
                      <w:kern w:val="0"/>
                      <w:sz w:val="22"/>
                      <w:szCs w:val="22"/>
                    </w:rPr>
                    <w:t>奉节县生物多样性维护功能区</w:t>
                  </w:r>
                </w:p>
              </w:tc>
              <w:tc>
                <w:tcPr>
                  <w:tcW w:w="1693" w:type="pct"/>
                  <w:gridSpan w:val="2"/>
                  <w:tcBorders>
                    <w:top w:val="single" w:color="auto" w:sz="4" w:space="0"/>
                    <w:left w:val="single" w:color="auto" w:sz="4" w:space="0"/>
                    <w:bottom w:val="single" w:color="auto" w:sz="4" w:space="0"/>
                    <w:right w:val="single" w:color="auto" w:sz="4" w:space="0"/>
                  </w:tcBorders>
                  <w:vAlign w:val="center"/>
                </w:tcPr>
                <w:p w14:paraId="51AD4F38">
                  <w:pPr>
                    <w:pStyle w:val="73"/>
                    <w:adjustRightInd/>
                    <w:snapToGrid/>
                    <w:jc w:val="center"/>
                    <w:rPr>
                      <w:rFonts w:hAnsi="宋体"/>
                      <w:color w:val="auto"/>
                      <w:sz w:val="22"/>
                      <w:szCs w:val="22"/>
                    </w:rPr>
                  </w:pPr>
                  <w:r>
                    <w:rPr>
                      <w:rFonts w:hAnsi="宋体"/>
                      <w:color w:val="auto"/>
                      <w:sz w:val="22"/>
                      <w:szCs w:val="22"/>
                    </w:rPr>
                    <w:t>优先保护单元</w:t>
                  </w:r>
                  <w:r>
                    <w:rPr>
                      <w:rFonts w:hint="eastAsia" w:hAnsi="宋体"/>
                      <w:color w:val="auto"/>
                      <w:sz w:val="22"/>
                      <w:szCs w:val="22"/>
                    </w:rPr>
                    <w:t>9</w:t>
                  </w:r>
                </w:p>
              </w:tc>
            </w:tr>
            <w:tr w14:paraId="7344D3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3" w:type="pct"/>
                  <w:tcBorders>
                    <w:top w:val="single" w:color="auto" w:sz="4" w:space="0"/>
                    <w:left w:val="single" w:color="auto" w:sz="4" w:space="0"/>
                    <w:bottom w:val="single" w:color="auto" w:sz="4" w:space="0"/>
                    <w:right w:val="single" w:color="auto" w:sz="4" w:space="0"/>
                  </w:tcBorders>
                  <w:vAlign w:val="center"/>
                </w:tcPr>
                <w:p w14:paraId="1C7C6A01">
                  <w:pPr>
                    <w:pStyle w:val="73"/>
                    <w:adjustRightInd/>
                    <w:snapToGrid/>
                    <w:jc w:val="center"/>
                    <w:rPr>
                      <w:b/>
                      <w:color w:val="auto"/>
                      <w:sz w:val="22"/>
                      <w:szCs w:val="22"/>
                    </w:rPr>
                  </w:pPr>
                  <w:r>
                    <w:rPr>
                      <w:rFonts w:hAnsi="宋体"/>
                      <w:b/>
                      <w:color w:val="auto"/>
                      <w:sz w:val="22"/>
                      <w:szCs w:val="22"/>
                    </w:rPr>
                    <w:t>管控要求层级</w:t>
                  </w:r>
                </w:p>
              </w:tc>
              <w:tc>
                <w:tcPr>
                  <w:tcW w:w="765" w:type="pct"/>
                  <w:tcBorders>
                    <w:top w:val="single" w:color="auto" w:sz="4" w:space="0"/>
                    <w:left w:val="single" w:color="auto" w:sz="4" w:space="0"/>
                    <w:bottom w:val="single" w:color="auto" w:sz="4" w:space="0"/>
                    <w:right w:val="single" w:color="auto" w:sz="4" w:space="0"/>
                  </w:tcBorders>
                  <w:vAlign w:val="center"/>
                </w:tcPr>
                <w:p w14:paraId="1C53C9DE">
                  <w:pPr>
                    <w:pStyle w:val="73"/>
                    <w:adjustRightInd/>
                    <w:snapToGrid/>
                    <w:jc w:val="center"/>
                    <w:rPr>
                      <w:b/>
                      <w:color w:val="auto"/>
                      <w:sz w:val="22"/>
                      <w:szCs w:val="22"/>
                    </w:rPr>
                  </w:pPr>
                  <w:r>
                    <w:rPr>
                      <w:rFonts w:hAnsi="宋体"/>
                      <w:b/>
                      <w:color w:val="auto"/>
                      <w:sz w:val="22"/>
                      <w:szCs w:val="22"/>
                    </w:rPr>
                    <w:t>管控类型</w:t>
                  </w:r>
                </w:p>
              </w:tc>
              <w:tc>
                <w:tcPr>
                  <w:tcW w:w="1947" w:type="pct"/>
                  <w:tcBorders>
                    <w:top w:val="single" w:color="auto" w:sz="4" w:space="0"/>
                    <w:left w:val="single" w:color="auto" w:sz="4" w:space="0"/>
                    <w:bottom w:val="single" w:color="auto" w:sz="4" w:space="0"/>
                    <w:right w:val="single" w:color="auto" w:sz="4" w:space="0"/>
                  </w:tcBorders>
                  <w:vAlign w:val="center"/>
                </w:tcPr>
                <w:p w14:paraId="4E2A7E53">
                  <w:pPr>
                    <w:pStyle w:val="73"/>
                    <w:adjustRightInd/>
                    <w:snapToGrid/>
                    <w:jc w:val="center"/>
                    <w:rPr>
                      <w:b/>
                      <w:color w:val="auto"/>
                      <w:sz w:val="22"/>
                      <w:szCs w:val="22"/>
                    </w:rPr>
                  </w:pPr>
                  <w:r>
                    <w:rPr>
                      <w:rFonts w:hAnsi="宋体"/>
                      <w:b/>
                      <w:color w:val="auto"/>
                      <w:sz w:val="22"/>
                      <w:szCs w:val="22"/>
                    </w:rPr>
                    <w:t>管控要求</w:t>
                  </w:r>
                </w:p>
              </w:tc>
              <w:tc>
                <w:tcPr>
                  <w:tcW w:w="1176" w:type="pct"/>
                  <w:tcBorders>
                    <w:top w:val="single" w:color="auto" w:sz="4" w:space="0"/>
                    <w:left w:val="single" w:color="auto" w:sz="4" w:space="0"/>
                    <w:bottom w:val="single" w:color="auto" w:sz="4" w:space="0"/>
                    <w:right w:val="single" w:color="auto" w:sz="4" w:space="0"/>
                  </w:tcBorders>
                  <w:vAlign w:val="center"/>
                </w:tcPr>
                <w:p w14:paraId="3478FFD8">
                  <w:pPr>
                    <w:pStyle w:val="73"/>
                    <w:adjustRightInd/>
                    <w:snapToGrid/>
                    <w:jc w:val="center"/>
                    <w:rPr>
                      <w:b/>
                      <w:color w:val="auto"/>
                      <w:sz w:val="22"/>
                      <w:szCs w:val="22"/>
                    </w:rPr>
                  </w:pPr>
                  <w:r>
                    <w:rPr>
                      <w:rFonts w:hAnsi="宋体"/>
                      <w:b/>
                      <w:color w:val="auto"/>
                      <w:sz w:val="22"/>
                      <w:szCs w:val="22"/>
                    </w:rPr>
                    <w:t>项目情况</w:t>
                  </w:r>
                </w:p>
              </w:tc>
              <w:tc>
                <w:tcPr>
                  <w:tcW w:w="517" w:type="pct"/>
                  <w:tcBorders>
                    <w:top w:val="single" w:color="auto" w:sz="4" w:space="0"/>
                    <w:left w:val="single" w:color="auto" w:sz="4" w:space="0"/>
                    <w:bottom w:val="single" w:color="auto" w:sz="4" w:space="0"/>
                    <w:right w:val="single" w:color="auto" w:sz="4" w:space="0"/>
                  </w:tcBorders>
                  <w:vAlign w:val="center"/>
                </w:tcPr>
                <w:p w14:paraId="50B6D488">
                  <w:pPr>
                    <w:pStyle w:val="73"/>
                    <w:adjustRightInd/>
                    <w:snapToGrid/>
                    <w:jc w:val="center"/>
                    <w:rPr>
                      <w:b/>
                      <w:color w:val="auto"/>
                      <w:sz w:val="22"/>
                      <w:szCs w:val="22"/>
                    </w:rPr>
                  </w:pPr>
                  <w:r>
                    <w:rPr>
                      <w:rFonts w:hAnsi="宋体"/>
                      <w:b/>
                      <w:color w:val="auto"/>
                      <w:sz w:val="22"/>
                      <w:szCs w:val="22"/>
                    </w:rPr>
                    <w:t>符合性</w:t>
                  </w:r>
                </w:p>
              </w:tc>
            </w:tr>
            <w:tr w14:paraId="12CF32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593" w:type="pct"/>
                  <w:vMerge w:val="restart"/>
                  <w:tcBorders>
                    <w:top w:val="single" w:color="auto" w:sz="4" w:space="0"/>
                    <w:left w:val="single" w:color="auto" w:sz="4" w:space="0"/>
                    <w:bottom w:val="single" w:color="auto" w:sz="4" w:space="0"/>
                    <w:right w:val="single" w:color="auto" w:sz="4" w:space="0"/>
                  </w:tcBorders>
                  <w:vAlign w:val="center"/>
                </w:tcPr>
                <w:p w14:paraId="0B8973C1">
                  <w:pPr>
                    <w:pStyle w:val="73"/>
                    <w:adjustRightInd/>
                    <w:snapToGrid/>
                    <w:jc w:val="center"/>
                    <w:rPr>
                      <w:color w:val="auto"/>
                      <w:sz w:val="22"/>
                      <w:szCs w:val="22"/>
                    </w:rPr>
                  </w:pPr>
                  <w:r>
                    <w:rPr>
                      <w:rFonts w:hint="eastAsia"/>
                      <w:color w:val="auto"/>
                      <w:sz w:val="22"/>
                      <w:szCs w:val="22"/>
                    </w:rPr>
                    <w:t>奉节县一般生态空间-生物多样性维护</w:t>
                  </w:r>
                  <w:r>
                    <w:rPr>
                      <w:rFonts w:hAnsi="宋体"/>
                      <w:color w:val="auto"/>
                      <w:sz w:val="22"/>
                      <w:szCs w:val="22"/>
                    </w:rPr>
                    <w:t>（优先）</w:t>
                  </w:r>
                </w:p>
              </w:tc>
              <w:tc>
                <w:tcPr>
                  <w:tcW w:w="765" w:type="pct"/>
                  <w:tcBorders>
                    <w:top w:val="single" w:color="auto" w:sz="4" w:space="0"/>
                    <w:left w:val="single" w:color="auto" w:sz="4" w:space="0"/>
                    <w:bottom w:val="single" w:color="auto" w:sz="4" w:space="0"/>
                    <w:right w:val="single" w:color="auto" w:sz="4" w:space="0"/>
                  </w:tcBorders>
                  <w:vAlign w:val="center"/>
                </w:tcPr>
                <w:p w14:paraId="6C21A654">
                  <w:pPr>
                    <w:pStyle w:val="73"/>
                    <w:adjustRightInd/>
                    <w:snapToGrid/>
                    <w:jc w:val="center"/>
                    <w:rPr>
                      <w:color w:val="auto"/>
                      <w:sz w:val="22"/>
                      <w:szCs w:val="22"/>
                    </w:rPr>
                  </w:pPr>
                  <w:r>
                    <w:rPr>
                      <w:rFonts w:hAnsi="宋体"/>
                      <w:color w:val="auto"/>
                      <w:sz w:val="22"/>
                      <w:szCs w:val="22"/>
                    </w:rPr>
                    <w:t>空间布局约束</w:t>
                  </w:r>
                </w:p>
              </w:tc>
              <w:tc>
                <w:tcPr>
                  <w:tcW w:w="1947" w:type="pct"/>
                  <w:tcBorders>
                    <w:top w:val="single" w:color="auto" w:sz="4" w:space="0"/>
                    <w:left w:val="single" w:color="auto" w:sz="4" w:space="0"/>
                    <w:bottom w:val="single" w:color="auto" w:sz="4" w:space="0"/>
                    <w:right w:val="single" w:color="auto" w:sz="4" w:space="0"/>
                  </w:tcBorders>
                  <w:vAlign w:val="center"/>
                </w:tcPr>
                <w:p w14:paraId="69A4113D">
                  <w:pPr>
                    <w:pStyle w:val="73"/>
                    <w:adjustRightInd/>
                    <w:snapToGrid/>
                    <w:jc w:val="center"/>
                    <w:rPr>
                      <w:color w:val="auto"/>
                      <w:sz w:val="22"/>
                      <w:szCs w:val="22"/>
                    </w:rPr>
                  </w:pPr>
                  <w:r>
                    <w:rPr>
                      <w:color w:val="auto"/>
                      <w:sz w:val="22"/>
                      <w:szCs w:val="22"/>
                    </w:rPr>
                    <w:t>/</w:t>
                  </w:r>
                </w:p>
              </w:tc>
              <w:tc>
                <w:tcPr>
                  <w:tcW w:w="1176" w:type="pct"/>
                  <w:tcBorders>
                    <w:top w:val="single" w:color="auto" w:sz="4" w:space="0"/>
                    <w:left w:val="single" w:color="auto" w:sz="4" w:space="0"/>
                    <w:bottom w:val="single" w:color="auto" w:sz="4" w:space="0"/>
                    <w:right w:val="single" w:color="auto" w:sz="4" w:space="0"/>
                  </w:tcBorders>
                  <w:vAlign w:val="center"/>
                </w:tcPr>
                <w:p w14:paraId="13FFFD08">
                  <w:pPr>
                    <w:pStyle w:val="73"/>
                    <w:adjustRightInd/>
                    <w:snapToGrid/>
                    <w:jc w:val="center"/>
                    <w:rPr>
                      <w:color w:val="auto"/>
                      <w:sz w:val="22"/>
                      <w:szCs w:val="22"/>
                    </w:rPr>
                  </w:pPr>
                  <w:r>
                    <w:rPr>
                      <w:color w:val="auto"/>
                      <w:sz w:val="22"/>
                      <w:szCs w:val="22"/>
                    </w:rPr>
                    <w:t>/</w:t>
                  </w:r>
                </w:p>
              </w:tc>
              <w:tc>
                <w:tcPr>
                  <w:tcW w:w="517" w:type="pct"/>
                  <w:tcBorders>
                    <w:top w:val="single" w:color="auto" w:sz="4" w:space="0"/>
                    <w:left w:val="single" w:color="auto" w:sz="4" w:space="0"/>
                    <w:bottom w:val="single" w:color="auto" w:sz="4" w:space="0"/>
                    <w:right w:val="single" w:color="auto" w:sz="4" w:space="0"/>
                  </w:tcBorders>
                  <w:vAlign w:val="center"/>
                </w:tcPr>
                <w:p w14:paraId="58BAE79D">
                  <w:pPr>
                    <w:jc w:val="center"/>
                    <w:rPr>
                      <w:color w:val="auto"/>
                      <w:sz w:val="22"/>
                      <w:szCs w:val="22"/>
                    </w:rPr>
                  </w:pPr>
                  <w:r>
                    <w:rPr>
                      <w:color w:val="auto"/>
                      <w:sz w:val="22"/>
                      <w:szCs w:val="22"/>
                    </w:rPr>
                    <w:t>/</w:t>
                  </w:r>
                </w:p>
              </w:tc>
            </w:tr>
            <w:tr w14:paraId="7AD728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3" w:type="pct"/>
                  <w:vMerge w:val="continue"/>
                  <w:tcBorders>
                    <w:top w:val="single" w:color="auto" w:sz="4" w:space="0"/>
                    <w:left w:val="single" w:color="auto" w:sz="4" w:space="0"/>
                    <w:bottom w:val="single" w:color="auto" w:sz="4" w:space="0"/>
                    <w:right w:val="single" w:color="auto" w:sz="4" w:space="0"/>
                  </w:tcBorders>
                  <w:vAlign w:val="center"/>
                </w:tcPr>
                <w:p w14:paraId="11568171">
                  <w:pPr>
                    <w:widowControl/>
                    <w:jc w:val="left"/>
                    <w:rPr>
                      <w:color w:val="auto"/>
                      <w:sz w:val="22"/>
                      <w:szCs w:val="22"/>
                    </w:rPr>
                  </w:pPr>
                </w:p>
              </w:tc>
              <w:tc>
                <w:tcPr>
                  <w:tcW w:w="765" w:type="pct"/>
                  <w:tcBorders>
                    <w:top w:val="single" w:color="auto" w:sz="4" w:space="0"/>
                    <w:left w:val="single" w:color="auto" w:sz="4" w:space="0"/>
                    <w:bottom w:val="single" w:color="auto" w:sz="4" w:space="0"/>
                    <w:right w:val="single" w:color="auto" w:sz="4" w:space="0"/>
                  </w:tcBorders>
                  <w:vAlign w:val="center"/>
                </w:tcPr>
                <w:p w14:paraId="0038B0A2">
                  <w:pPr>
                    <w:pStyle w:val="73"/>
                    <w:adjustRightInd/>
                    <w:snapToGrid/>
                    <w:jc w:val="center"/>
                    <w:rPr>
                      <w:color w:val="auto"/>
                      <w:sz w:val="22"/>
                      <w:szCs w:val="22"/>
                    </w:rPr>
                  </w:pPr>
                  <w:r>
                    <w:rPr>
                      <w:rFonts w:hAnsi="宋体"/>
                      <w:color w:val="auto"/>
                      <w:sz w:val="22"/>
                      <w:szCs w:val="22"/>
                    </w:rPr>
                    <w:t>污染物排放管控</w:t>
                  </w:r>
                </w:p>
              </w:tc>
              <w:tc>
                <w:tcPr>
                  <w:tcW w:w="1947" w:type="pct"/>
                  <w:tcBorders>
                    <w:top w:val="single" w:color="auto" w:sz="4" w:space="0"/>
                    <w:left w:val="single" w:color="auto" w:sz="4" w:space="0"/>
                    <w:bottom w:val="single" w:color="auto" w:sz="4" w:space="0"/>
                    <w:right w:val="single" w:color="auto" w:sz="4" w:space="0"/>
                  </w:tcBorders>
                  <w:vAlign w:val="center"/>
                </w:tcPr>
                <w:p w14:paraId="73445511">
                  <w:pPr>
                    <w:pStyle w:val="73"/>
                    <w:adjustRightInd/>
                    <w:snapToGrid/>
                    <w:jc w:val="center"/>
                    <w:rPr>
                      <w:color w:val="auto"/>
                      <w:sz w:val="22"/>
                      <w:szCs w:val="22"/>
                    </w:rPr>
                  </w:pPr>
                  <w:r>
                    <w:rPr>
                      <w:color w:val="auto"/>
                      <w:sz w:val="22"/>
                      <w:szCs w:val="22"/>
                    </w:rPr>
                    <w:t>/</w:t>
                  </w:r>
                </w:p>
              </w:tc>
              <w:tc>
                <w:tcPr>
                  <w:tcW w:w="1176" w:type="pct"/>
                  <w:tcBorders>
                    <w:top w:val="single" w:color="auto" w:sz="4" w:space="0"/>
                    <w:left w:val="single" w:color="auto" w:sz="4" w:space="0"/>
                    <w:bottom w:val="single" w:color="auto" w:sz="4" w:space="0"/>
                    <w:right w:val="single" w:color="auto" w:sz="4" w:space="0"/>
                  </w:tcBorders>
                  <w:vAlign w:val="center"/>
                </w:tcPr>
                <w:p w14:paraId="4B5DFB20">
                  <w:pPr>
                    <w:pStyle w:val="73"/>
                    <w:adjustRightInd/>
                    <w:snapToGrid/>
                    <w:jc w:val="center"/>
                    <w:rPr>
                      <w:color w:val="auto"/>
                      <w:sz w:val="22"/>
                      <w:szCs w:val="22"/>
                    </w:rPr>
                  </w:pPr>
                  <w:r>
                    <w:rPr>
                      <w:color w:val="auto"/>
                      <w:sz w:val="22"/>
                      <w:szCs w:val="22"/>
                    </w:rPr>
                    <w:t>/</w:t>
                  </w:r>
                </w:p>
              </w:tc>
              <w:tc>
                <w:tcPr>
                  <w:tcW w:w="517" w:type="pct"/>
                  <w:tcBorders>
                    <w:top w:val="single" w:color="auto" w:sz="4" w:space="0"/>
                    <w:left w:val="single" w:color="auto" w:sz="4" w:space="0"/>
                    <w:bottom w:val="single" w:color="auto" w:sz="4" w:space="0"/>
                    <w:right w:val="single" w:color="auto" w:sz="4" w:space="0"/>
                  </w:tcBorders>
                  <w:vAlign w:val="center"/>
                </w:tcPr>
                <w:p w14:paraId="442E84B4">
                  <w:pPr>
                    <w:jc w:val="center"/>
                    <w:rPr>
                      <w:color w:val="auto"/>
                      <w:sz w:val="22"/>
                      <w:szCs w:val="22"/>
                    </w:rPr>
                  </w:pPr>
                  <w:r>
                    <w:rPr>
                      <w:color w:val="auto"/>
                      <w:sz w:val="22"/>
                      <w:szCs w:val="22"/>
                    </w:rPr>
                    <w:t>/</w:t>
                  </w:r>
                </w:p>
              </w:tc>
            </w:tr>
            <w:tr w14:paraId="0A3839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3" w:type="pct"/>
                  <w:vMerge w:val="continue"/>
                  <w:tcBorders>
                    <w:top w:val="single" w:color="auto" w:sz="4" w:space="0"/>
                    <w:left w:val="single" w:color="auto" w:sz="4" w:space="0"/>
                    <w:bottom w:val="single" w:color="auto" w:sz="4" w:space="0"/>
                    <w:right w:val="single" w:color="auto" w:sz="4" w:space="0"/>
                  </w:tcBorders>
                  <w:vAlign w:val="center"/>
                </w:tcPr>
                <w:p w14:paraId="4BB5328F">
                  <w:pPr>
                    <w:widowControl/>
                    <w:jc w:val="left"/>
                    <w:rPr>
                      <w:color w:val="auto"/>
                      <w:sz w:val="22"/>
                      <w:szCs w:val="22"/>
                    </w:rPr>
                  </w:pPr>
                </w:p>
              </w:tc>
              <w:tc>
                <w:tcPr>
                  <w:tcW w:w="765" w:type="pct"/>
                  <w:tcBorders>
                    <w:top w:val="single" w:color="auto" w:sz="4" w:space="0"/>
                    <w:left w:val="single" w:color="auto" w:sz="4" w:space="0"/>
                    <w:bottom w:val="single" w:color="auto" w:sz="4" w:space="0"/>
                    <w:right w:val="single" w:color="auto" w:sz="4" w:space="0"/>
                  </w:tcBorders>
                  <w:vAlign w:val="center"/>
                </w:tcPr>
                <w:p w14:paraId="0CE94F34">
                  <w:pPr>
                    <w:pStyle w:val="73"/>
                    <w:adjustRightInd/>
                    <w:snapToGrid/>
                    <w:jc w:val="center"/>
                    <w:rPr>
                      <w:color w:val="auto"/>
                      <w:sz w:val="22"/>
                      <w:szCs w:val="22"/>
                    </w:rPr>
                  </w:pPr>
                  <w:r>
                    <w:rPr>
                      <w:rFonts w:hAnsi="宋体"/>
                      <w:color w:val="auto"/>
                      <w:sz w:val="22"/>
                      <w:szCs w:val="22"/>
                    </w:rPr>
                    <w:t>环境风险防控</w:t>
                  </w:r>
                </w:p>
              </w:tc>
              <w:tc>
                <w:tcPr>
                  <w:tcW w:w="1947" w:type="pct"/>
                  <w:tcBorders>
                    <w:top w:val="single" w:color="auto" w:sz="4" w:space="0"/>
                    <w:left w:val="single" w:color="auto" w:sz="4" w:space="0"/>
                    <w:bottom w:val="single" w:color="auto" w:sz="4" w:space="0"/>
                    <w:right w:val="single" w:color="auto" w:sz="4" w:space="0"/>
                  </w:tcBorders>
                  <w:vAlign w:val="center"/>
                </w:tcPr>
                <w:p w14:paraId="4E615494">
                  <w:pPr>
                    <w:pStyle w:val="73"/>
                    <w:adjustRightInd/>
                    <w:snapToGrid/>
                    <w:jc w:val="center"/>
                    <w:rPr>
                      <w:color w:val="auto"/>
                      <w:sz w:val="22"/>
                      <w:szCs w:val="22"/>
                    </w:rPr>
                  </w:pPr>
                  <w:r>
                    <w:rPr>
                      <w:color w:val="auto"/>
                      <w:sz w:val="22"/>
                      <w:szCs w:val="22"/>
                    </w:rPr>
                    <w:t>/</w:t>
                  </w:r>
                </w:p>
              </w:tc>
              <w:tc>
                <w:tcPr>
                  <w:tcW w:w="1176" w:type="pct"/>
                  <w:tcBorders>
                    <w:top w:val="single" w:color="auto" w:sz="4" w:space="0"/>
                    <w:left w:val="single" w:color="auto" w:sz="4" w:space="0"/>
                    <w:bottom w:val="single" w:color="auto" w:sz="4" w:space="0"/>
                    <w:right w:val="single" w:color="auto" w:sz="4" w:space="0"/>
                  </w:tcBorders>
                  <w:vAlign w:val="center"/>
                </w:tcPr>
                <w:p w14:paraId="2FD873C8">
                  <w:pPr>
                    <w:pStyle w:val="73"/>
                    <w:adjustRightInd/>
                    <w:snapToGrid/>
                    <w:jc w:val="center"/>
                    <w:rPr>
                      <w:color w:val="auto"/>
                      <w:sz w:val="22"/>
                      <w:szCs w:val="22"/>
                    </w:rPr>
                  </w:pPr>
                  <w:r>
                    <w:rPr>
                      <w:color w:val="auto"/>
                      <w:sz w:val="22"/>
                      <w:szCs w:val="22"/>
                    </w:rPr>
                    <w:t>/</w:t>
                  </w:r>
                </w:p>
              </w:tc>
              <w:tc>
                <w:tcPr>
                  <w:tcW w:w="517" w:type="pct"/>
                  <w:tcBorders>
                    <w:top w:val="single" w:color="auto" w:sz="4" w:space="0"/>
                    <w:left w:val="single" w:color="auto" w:sz="4" w:space="0"/>
                    <w:bottom w:val="single" w:color="auto" w:sz="4" w:space="0"/>
                    <w:right w:val="single" w:color="auto" w:sz="4" w:space="0"/>
                  </w:tcBorders>
                  <w:vAlign w:val="center"/>
                </w:tcPr>
                <w:p w14:paraId="1740BBE6">
                  <w:pPr>
                    <w:jc w:val="center"/>
                    <w:rPr>
                      <w:color w:val="auto"/>
                      <w:sz w:val="22"/>
                      <w:szCs w:val="22"/>
                    </w:rPr>
                  </w:pPr>
                  <w:r>
                    <w:rPr>
                      <w:color w:val="auto"/>
                      <w:sz w:val="22"/>
                      <w:szCs w:val="22"/>
                    </w:rPr>
                    <w:t>/</w:t>
                  </w:r>
                </w:p>
              </w:tc>
            </w:tr>
            <w:tr w14:paraId="7DDD17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3" w:type="pct"/>
                  <w:vMerge w:val="continue"/>
                  <w:tcBorders>
                    <w:top w:val="single" w:color="auto" w:sz="4" w:space="0"/>
                    <w:left w:val="single" w:color="auto" w:sz="4" w:space="0"/>
                    <w:bottom w:val="single" w:color="auto" w:sz="4" w:space="0"/>
                    <w:right w:val="single" w:color="auto" w:sz="4" w:space="0"/>
                  </w:tcBorders>
                  <w:vAlign w:val="center"/>
                </w:tcPr>
                <w:p w14:paraId="306D6B83">
                  <w:pPr>
                    <w:widowControl/>
                    <w:jc w:val="left"/>
                    <w:rPr>
                      <w:color w:val="auto"/>
                      <w:sz w:val="22"/>
                      <w:szCs w:val="22"/>
                    </w:rPr>
                  </w:pPr>
                </w:p>
              </w:tc>
              <w:tc>
                <w:tcPr>
                  <w:tcW w:w="765" w:type="pct"/>
                  <w:tcBorders>
                    <w:top w:val="single" w:color="auto" w:sz="4" w:space="0"/>
                    <w:left w:val="single" w:color="auto" w:sz="4" w:space="0"/>
                    <w:bottom w:val="single" w:color="auto" w:sz="4" w:space="0"/>
                    <w:right w:val="single" w:color="auto" w:sz="4" w:space="0"/>
                  </w:tcBorders>
                  <w:vAlign w:val="center"/>
                </w:tcPr>
                <w:p w14:paraId="3374F878">
                  <w:pPr>
                    <w:pStyle w:val="73"/>
                    <w:adjustRightInd/>
                    <w:snapToGrid/>
                    <w:jc w:val="center"/>
                    <w:rPr>
                      <w:color w:val="auto"/>
                      <w:sz w:val="22"/>
                      <w:szCs w:val="22"/>
                    </w:rPr>
                  </w:pPr>
                  <w:r>
                    <w:rPr>
                      <w:rFonts w:hAnsi="宋体"/>
                      <w:color w:val="auto"/>
                      <w:sz w:val="22"/>
                      <w:szCs w:val="22"/>
                    </w:rPr>
                    <w:t>资源开发利用效率</w:t>
                  </w:r>
                </w:p>
              </w:tc>
              <w:tc>
                <w:tcPr>
                  <w:tcW w:w="1947" w:type="pct"/>
                  <w:tcBorders>
                    <w:top w:val="single" w:color="auto" w:sz="4" w:space="0"/>
                    <w:left w:val="single" w:color="auto" w:sz="4" w:space="0"/>
                    <w:bottom w:val="single" w:color="auto" w:sz="4" w:space="0"/>
                    <w:right w:val="single" w:color="auto" w:sz="4" w:space="0"/>
                  </w:tcBorders>
                  <w:vAlign w:val="center"/>
                </w:tcPr>
                <w:p w14:paraId="3823A9FB">
                  <w:pPr>
                    <w:pStyle w:val="73"/>
                    <w:adjustRightInd/>
                    <w:snapToGrid/>
                    <w:jc w:val="center"/>
                    <w:rPr>
                      <w:color w:val="auto"/>
                      <w:sz w:val="22"/>
                      <w:szCs w:val="22"/>
                    </w:rPr>
                  </w:pPr>
                  <w:r>
                    <w:rPr>
                      <w:color w:val="auto"/>
                      <w:sz w:val="22"/>
                      <w:szCs w:val="22"/>
                    </w:rPr>
                    <w:t>/</w:t>
                  </w:r>
                </w:p>
              </w:tc>
              <w:tc>
                <w:tcPr>
                  <w:tcW w:w="1176" w:type="pct"/>
                  <w:tcBorders>
                    <w:top w:val="single" w:color="auto" w:sz="4" w:space="0"/>
                    <w:left w:val="single" w:color="auto" w:sz="4" w:space="0"/>
                    <w:bottom w:val="single" w:color="auto" w:sz="4" w:space="0"/>
                    <w:right w:val="single" w:color="auto" w:sz="4" w:space="0"/>
                  </w:tcBorders>
                  <w:vAlign w:val="center"/>
                </w:tcPr>
                <w:p w14:paraId="1564733A">
                  <w:pPr>
                    <w:pStyle w:val="73"/>
                    <w:adjustRightInd/>
                    <w:snapToGrid/>
                    <w:jc w:val="center"/>
                    <w:rPr>
                      <w:color w:val="auto"/>
                      <w:sz w:val="22"/>
                      <w:szCs w:val="22"/>
                    </w:rPr>
                  </w:pPr>
                  <w:r>
                    <w:rPr>
                      <w:color w:val="auto"/>
                      <w:sz w:val="22"/>
                      <w:szCs w:val="22"/>
                    </w:rPr>
                    <w:t>/</w:t>
                  </w:r>
                </w:p>
              </w:tc>
              <w:tc>
                <w:tcPr>
                  <w:tcW w:w="517" w:type="pct"/>
                  <w:tcBorders>
                    <w:top w:val="single" w:color="auto" w:sz="4" w:space="0"/>
                    <w:left w:val="single" w:color="auto" w:sz="4" w:space="0"/>
                    <w:bottom w:val="single" w:color="auto" w:sz="4" w:space="0"/>
                    <w:right w:val="single" w:color="auto" w:sz="4" w:space="0"/>
                  </w:tcBorders>
                  <w:vAlign w:val="center"/>
                </w:tcPr>
                <w:p w14:paraId="169E1C53">
                  <w:pPr>
                    <w:jc w:val="center"/>
                    <w:rPr>
                      <w:color w:val="auto"/>
                      <w:sz w:val="22"/>
                      <w:szCs w:val="22"/>
                    </w:rPr>
                  </w:pPr>
                  <w:r>
                    <w:rPr>
                      <w:color w:val="auto"/>
                      <w:sz w:val="22"/>
                      <w:szCs w:val="22"/>
                    </w:rPr>
                    <w:t>/</w:t>
                  </w:r>
                </w:p>
              </w:tc>
            </w:tr>
            <w:tr w14:paraId="3635F0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3" w:type="pct"/>
                  <w:vMerge w:val="restart"/>
                  <w:tcBorders>
                    <w:top w:val="single" w:color="auto" w:sz="4" w:space="0"/>
                    <w:left w:val="single" w:color="auto" w:sz="4" w:space="0"/>
                    <w:right w:val="single" w:color="auto" w:sz="4" w:space="0"/>
                  </w:tcBorders>
                  <w:vAlign w:val="center"/>
                </w:tcPr>
                <w:p w14:paraId="0663FE63">
                  <w:pPr>
                    <w:widowControl/>
                    <w:jc w:val="center"/>
                    <w:rPr>
                      <w:color w:val="auto"/>
                      <w:sz w:val="22"/>
                      <w:szCs w:val="22"/>
                    </w:rPr>
                  </w:pPr>
                  <w:r>
                    <w:rPr>
                      <w:rFonts w:hint="eastAsia" w:hAnsi="宋体"/>
                      <w:color w:val="auto"/>
                      <w:kern w:val="0"/>
                      <w:sz w:val="22"/>
                      <w:szCs w:val="22"/>
                    </w:rPr>
                    <w:t>奉节县生物多样性维护功能区</w:t>
                  </w:r>
                  <w:r>
                    <w:rPr>
                      <w:rFonts w:hAnsi="宋体"/>
                      <w:color w:val="auto"/>
                      <w:sz w:val="22"/>
                      <w:szCs w:val="22"/>
                    </w:rPr>
                    <w:t>（优先）</w:t>
                  </w:r>
                </w:p>
              </w:tc>
              <w:tc>
                <w:tcPr>
                  <w:tcW w:w="765" w:type="pct"/>
                  <w:tcBorders>
                    <w:top w:val="single" w:color="auto" w:sz="4" w:space="0"/>
                    <w:left w:val="single" w:color="auto" w:sz="4" w:space="0"/>
                    <w:bottom w:val="single" w:color="auto" w:sz="4" w:space="0"/>
                    <w:right w:val="single" w:color="auto" w:sz="4" w:space="0"/>
                  </w:tcBorders>
                  <w:vAlign w:val="center"/>
                </w:tcPr>
                <w:p w14:paraId="2A6334F8">
                  <w:pPr>
                    <w:pStyle w:val="73"/>
                    <w:adjustRightInd/>
                    <w:snapToGrid/>
                    <w:jc w:val="center"/>
                    <w:rPr>
                      <w:color w:val="auto"/>
                      <w:sz w:val="22"/>
                      <w:szCs w:val="22"/>
                    </w:rPr>
                  </w:pPr>
                  <w:r>
                    <w:rPr>
                      <w:rFonts w:hAnsi="宋体"/>
                      <w:color w:val="auto"/>
                      <w:sz w:val="22"/>
                      <w:szCs w:val="22"/>
                    </w:rPr>
                    <w:t>空间布局约束</w:t>
                  </w:r>
                </w:p>
              </w:tc>
              <w:tc>
                <w:tcPr>
                  <w:tcW w:w="1947" w:type="pct"/>
                  <w:tcBorders>
                    <w:top w:val="single" w:color="auto" w:sz="4" w:space="0"/>
                    <w:left w:val="single" w:color="auto" w:sz="4" w:space="0"/>
                    <w:bottom w:val="single" w:color="auto" w:sz="4" w:space="0"/>
                    <w:right w:val="single" w:color="auto" w:sz="4" w:space="0"/>
                  </w:tcBorders>
                  <w:vAlign w:val="center"/>
                </w:tcPr>
                <w:p w14:paraId="0F5192D4">
                  <w:pPr>
                    <w:pStyle w:val="73"/>
                    <w:adjustRightInd/>
                    <w:snapToGrid/>
                    <w:jc w:val="center"/>
                    <w:rPr>
                      <w:color w:val="auto"/>
                      <w:sz w:val="22"/>
                      <w:szCs w:val="22"/>
                    </w:rPr>
                  </w:pPr>
                  <w:r>
                    <w:rPr>
                      <w:color w:val="auto"/>
                      <w:sz w:val="22"/>
                      <w:szCs w:val="22"/>
                    </w:rPr>
                    <w:t>/</w:t>
                  </w:r>
                </w:p>
              </w:tc>
              <w:tc>
                <w:tcPr>
                  <w:tcW w:w="1176" w:type="pct"/>
                  <w:tcBorders>
                    <w:top w:val="single" w:color="auto" w:sz="4" w:space="0"/>
                    <w:left w:val="single" w:color="auto" w:sz="4" w:space="0"/>
                    <w:bottom w:val="single" w:color="auto" w:sz="4" w:space="0"/>
                    <w:right w:val="single" w:color="auto" w:sz="4" w:space="0"/>
                  </w:tcBorders>
                  <w:vAlign w:val="center"/>
                </w:tcPr>
                <w:p w14:paraId="789A8976">
                  <w:pPr>
                    <w:pStyle w:val="73"/>
                    <w:adjustRightInd/>
                    <w:snapToGrid/>
                    <w:jc w:val="center"/>
                    <w:rPr>
                      <w:color w:val="auto"/>
                      <w:sz w:val="22"/>
                      <w:szCs w:val="22"/>
                    </w:rPr>
                  </w:pPr>
                  <w:r>
                    <w:rPr>
                      <w:color w:val="auto"/>
                      <w:sz w:val="22"/>
                      <w:szCs w:val="22"/>
                    </w:rPr>
                    <w:t>/</w:t>
                  </w:r>
                </w:p>
              </w:tc>
              <w:tc>
                <w:tcPr>
                  <w:tcW w:w="517" w:type="pct"/>
                  <w:tcBorders>
                    <w:top w:val="single" w:color="auto" w:sz="4" w:space="0"/>
                    <w:left w:val="single" w:color="auto" w:sz="4" w:space="0"/>
                    <w:bottom w:val="single" w:color="auto" w:sz="4" w:space="0"/>
                    <w:right w:val="single" w:color="auto" w:sz="4" w:space="0"/>
                  </w:tcBorders>
                  <w:vAlign w:val="center"/>
                </w:tcPr>
                <w:p w14:paraId="7D518812">
                  <w:pPr>
                    <w:jc w:val="center"/>
                    <w:rPr>
                      <w:color w:val="auto"/>
                      <w:sz w:val="22"/>
                      <w:szCs w:val="22"/>
                    </w:rPr>
                  </w:pPr>
                  <w:r>
                    <w:rPr>
                      <w:color w:val="auto"/>
                      <w:sz w:val="22"/>
                      <w:szCs w:val="22"/>
                    </w:rPr>
                    <w:t>/</w:t>
                  </w:r>
                </w:p>
              </w:tc>
            </w:tr>
            <w:tr w14:paraId="273CE4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3" w:type="pct"/>
                  <w:vMerge w:val="continue"/>
                  <w:tcBorders>
                    <w:left w:val="single" w:color="auto" w:sz="4" w:space="0"/>
                    <w:right w:val="single" w:color="auto" w:sz="4" w:space="0"/>
                  </w:tcBorders>
                  <w:vAlign w:val="center"/>
                </w:tcPr>
                <w:p w14:paraId="231CF61E">
                  <w:pPr>
                    <w:widowControl/>
                    <w:jc w:val="center"/>
                    <w:rPr>
                      <w:rFonts w:hAnsi="宋体"/>
                      <w:color w:val="auto"/>
                      <w:kern w:val="0"/>
                      <w:sz w:val="22"/>
                      <w:szCs w:val="22"/>
                    </w:rPr>
                  </w:pPr>
                </w:p>
              </w:tc>
              <w:tc>
                <w:tcPr>
                  <w:tcW w:w="765" w:type="pct"/>
                  <w:tcBorders>
                    <w:top w:val="single" w:color="auto" w:sz="4" w:space="0"/>
                    <w:left w:val="single" w:color="auto" w:sz="4" w:space="0"/>
                    <w:bottom w:val="single" w:color="auto" w:sz="4" w:space="0"/>
                    <w:right w:val="single" w:color="auto" w:sz="4" w:space="0"/>
                  </w:tcBorders>
                  <w:vAlign w:val="center"/>
                </w:tcPr>
                <w:p w14:paraId="4C920A37">
                  <w:pPr>
                    <w:pStyle w:val="73"/>
                    <w:adjustRightInd/>
                    <w:snapToGrid/>
                    <w:jc w:val="center"/>
                    <w:rPr>
                      <w:color w:val="auto"/>
                      <w:sz w:val="22"/>
                      <w:szCs w:val="22"/>
                    </w:rPr>
                  </w:pPr>
                  <w:r>
                    <w:rPr>
                      <w:rFonts w:hAnsi="宋体"/>
                      <w:color w:val="auto"/>
                      <w:sz w:val="22"/>
                      <w:szCs w:val="22"/>
                    </w:rPr>
                    <w:t>污染物排放管控</w:t>
                  </w:r>
                </w:p>
              </w:tc>
              <w:tc>
                <w:tcPr>
                  <w:tcW w:w="1947" w:type="pct"/>
                  <w:tcBorders>
                    <w:top w:val="single" w:color="auto" w:sz="4" w:space="0"/>
                    <w:left w:val="single" w:color="auto" w:sz="4" w:space="0"/>
                    <w:bottom w:val="single" w:color="auto" w:sz="4" w:space="0"/>
                    <w:right w:val="single" w:color="auto" w:sz="4" w:space="0"/>
                  </w:tcBorders>
                  <w:vAlign w:val="center"/>
                </w:tcPr>
                <w:p w14:paraId="2775AD8C">
                  <w:pPr>
                    <w:pStyle w:val="73"/>
                    <w:adjustRightInd/>
                    <w:snapToGrid/>
                    <w:jc w:val="center"/>
                    <w:rPr>
                      <w:color w:val="auto"/>
                      <w:sz w:val="22"/>
                      <w:szCs w:val="22"/>
                    </w:rPr>
                  </w:pPr>
                  <w:r>
                    <w:rPr>
                      <w:color w:val="auto"/>
                      <w:sz w:val="22"/>
                      <w:szCs w:val="22"/>
                    </w:rPr>
                    <w:t>/</w:t>
                  </w:r>
                </w:p>
              </w:tc>
              <w:tc>
                <w:tcPr>
                  <w:tcW w:w="1176" w:type="pct"/>
                  <w:tcBorders>
                    <w:top w:val="single" w:color="auto" w:sz="4" w:space="0"/>
                    <w:left w:val="single" w:color="auto" w:sz="4" w:space="0"/>
                    <w:bottom w:val="single" w:color="auto" w:sz="4" w:space="0"/>
                    <w:right w:val="single" w:color="auto" w:sz="4" w:space="0"/>
                  </w:tcBorders>
                  <w:vAlign w:val="center"/>
                </w:tcPr>
                <w:p w14:paraId="4517C99F">
                  <w:pPr>
                    <w:pStyle w:val="73"/>
                    <w:adjustRightInd/>
                    <w:snapToGrid/>
                    <w:jc w:val="center"/>
                    <w:rPr>
                      <w:color w:val="auto"/>
                      <w:sz w:val="22"/>
                      <w:szCs w:val="22"/>
                    </w:rPr>
                  </w:pPr>
                  <w:r>
                    <w:rPr>
                      <w:color w:val="auto"/>
                      <w:sz w:val="22"/>
                      <w:szCs w:val="22"/>
                    </w:rPr>
                    <w:t>/</w:t>
                  </w:r>
                </w:p>
              </w:tc>
              <w:tc>
                <w:tcPr>
                  <w:tcW w:w="517" w:type="pct"/>
                  <w:tcBorders>
                    <w:top w:val="single" w:color="auto" w:sz="4" w:space="0"/>
                    <w:left w:val="single" w:color="auto" w:sz="4" w:space="0"/>
                    <w:bottom w:val="single" w:color="auto" w:sz="4" w:space="0"/>
                    <w:right w:val="single" w:color="auto" w:sz="4" w:space="0"/>
                  </w:tcBorders>
                  <w:vAlign w:val="center"/>
                </w:tcPr>
                <w:p w14:paraId="51F9BC99">
                  <w:pPr>
                    <w:jc w:val="center"/>
                    <w:rPr>
                      <w:color w:val="auto"/>
                      <w:sz w:val="22"/>
                      <w:szCs w:val="22"/>
                    </w:rPr>
                  </w:pPr>
                  <w:r>
                    <w:rPr>
                      <w:color w:val="auto"/>
                      <w:sz w:val="22"/>
                      <w:szCs w:val="22"/>
                    </w:rPr>
                    <w:t>/</w:t>
                  </w:r>
                </w:p>
              </w:tc>
            </w:tr>
            <w:tr w14:paraId="51212C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3" w:type="pct"/>
                  <w:vMerge w:val="continue"/>
                  <w:tcBorders>
                    <w:left w:val="single" w:color="auto" w:sz="4" w:space="0"/>
                    <w:right w:val="single" w:color="auto" w:sz="4" w:space="0"/>
                  </w:tcBorders>
                  <w:vAlign w:val="center"/>
                </w:tcPr>
                <w:p w14:paraId="12243E14">
                  <w:pPr>
                    <w:widowControl/>
                    <w:jc w:val="center"/>
                    <w:rPr>
                      <w:rFonts w:hAnsi="宋体"/>
                      <w:color w:val="auto"/>
                      <w:kern w:val="0"/>
                      <w:sz w:val="22"/>
                      <w:szCs w:val="22"/>
                    </w:rPr>
                  </w:pPr>
                </w:p>
              </w:tc>
              <w:tc>
                <w:tcPr>
                  <w:tcW w:w="765" w:type="pct"/>
                  <w:tcBorders>
                    <w:top w:val="single" w:color="auto" w:sz="4" w:space="0"/>
                    <w:left w:val="single" w:color="auto" w:sz="4" w:space="0"/>
                    <w:bottom w:val="single" w:color="auto" w:sz="4" w:space="0"/>
                    <w:right w:val="single" w:color="auto" w:sz="4" w:space="0"/>
                  </w:tcBorders>
                  <w:vAlign w:val="center"/>
                </w:tcPr>
                <w:p w14:paraId="495CB6C4">
                  <w:pPr>
                    <w:pStyle w:val="73"/>
                    <w:adjustRightInd/>
                    <w:snapToGrid/>
                    <w:jc w:val="center"/>
                    <w:rPr>
                      <w:color w:val="auto"/>
                      <w:sz w:val="22"/>
                      <w:szCs w:val="22"/>
                    </w:rPr>
                  </w:pPr>
                  <w:r>
                    <w:rPr>
                      <w:rFonts w:hAnsi="宋体"/>
                      <w:color w:val="auto"/>
                      <w:sz w:val="22"/>
                      <w:szCs w:val="22"/>
                    </w:rPr>
                    <w:t>环境风险防控</w:t>
                  </w:r>
                </w:p>
              </w:tc>
              <w:tc>
                <w:tcPr>
                  <w:tcW w:w="1947" w:type="pct"/>
                  <w:tcBorders>
                    <w:top w:val="single" w:color="auto" w:sz="4" w:space="0"/>
                    <w:left w:val="single" w:color="auto" w:sz="4" w:space="0"/>
                    <w:bottom w:val="single" w:color="auto" w:sz="4" w:space="0"/>
                    <w:right w:val="single" w:color="auto" w:sz="4" w:space="0"/>
                  </w:tcBorders>
                  <w:vAlign w:val="center"/>
                </w:tcPr>
                <w:p w14:paraId="46D133AD">
                  <w:pPr>
                    <w:pStyle w:val="73"/>
                    <w:adjustRightInd/>
                    <w:snapToGrid/>
                    <w:jc w:val="center"/>
                    <w:rPr>
                      <w:color w:val="auto"/>
                      <w:sz w:val="22"/>
                      <w:szCs w:val="22"/>
                    </w:rPr>
                  </w:pPr>
                  <w:r>
                    <w:rPr>
                      <w:color w:val="auto"/>
                      <w:sz w:val="22"/>
                      <w:szCs w:val="22"/>
                    </w:rPr>
                    <w:t>/</w:t>
                  </w:r>
                </w:p>
              </w:tc>
              <w:tc>
                <w:tcPr>
                  <w:tcW w:w="1176" w:type="pct"/>
                  <w:tcBorders>
                    <w:top w:val="single" w:color="auto" w:sz="4" w:space="0"/>
                    <w:left w:val="single" w:color="auto" w:sz="4" w:space="0"/>
                    <w:bottom w:val="single" w:color="auto" w:sz="4" w:space="0"/>
                    <w:right w:val="single" w:color="auto" w:sz="4" w:space="0"/>
                  </w:tcBorders>
                  <w:vAlign w:val="center"/>
                </w:tcPr>
                <w:p w14:paraId="5C7F610F">
                  <w:pPr>
                    <w:pStyle w:val="73"/>
                    <w:adjustRightInd/>
                    <w:snapToGrid/>
                    <w:jc w:val="center"/>
                    <w:rPr>
                      <w:color w:val="auto"/>
                      <w:sz w:val="22"/>
                      <w:szCs w:val="22"/>
                    </w:rPr>
                  </w:pPr>
                  <w:r>
                    <w:rPr>
                      <w:color w:val="auto"/>
                      <w:sz w:val="22"/>
                      <w:szCs w:val="22"/>
                    </w:rPr>
                    <w:t>/</w:t>
                  </w:r>
                </w:p>
              </w:tc>
              <w:tc>
                <w:tcPr>
                  <w:tcW w:w="517" w:type="pct"/>
                  <w:tcBorders>
                    <w:top w:val="single" w:color="auto" w:sz="4" w:space="0"/>
                    <w:left w:val="single" w:color="auto" w:sz="4" w:space="0"/>
                    <w:bottom w:val="single" w:color="auto" w:sz="4" w:space="0"/>
                    <w:right w:val="single" w:color="auto" w:sz="4" w:space="0"/>
                  </w:tcBorders>
                  <w:vAlign w:val="center"/>
                </w:tcPr>
                <w:p w14:paraId="26358D61">
                  <w:pPr>
                    <w:jc w:val="center"/>
                    <w:rPr>
                      <w:color w:val="auto"/>
                      <w:sz w:val="22"/>
                      <w:szCs w:val="22"/>
                    </w:rPr>
                  </w:pPr>
                  <w:r>
                    <w:rPr>
                      <w:color w:val="auto"/>
                      <w:sz w:val="22"/>
                      <w:szCs w:val="22"/>
                    </w:rPr>
                    <w:t>/</w:t>
                  </w:r>
                </w:p>
              </w:tc>
            </w:tr>
            <w:tr w14:paraId="4E50BC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3" w:type="pct"/>
                  <w:vMerge w:val="continue"/>
                  <w:tcBorders>
                    <w:left w:val="single" w:color="auto" w:sz="4" w:space="0"/>
                    <w:bottom w:val="single" w:color="auto" w:sz="4" w:space="0"/>
                    <w:right w:val="single" w:color="auto" w:sz="4" w:space="0"/>
                  </w:tcBorders>
                  <w:vAlign w:val="center"/>
                </w:tcPr>
                <w:p w14:paraId="048B98B8">
                  <w:pPr>
                    <w:widowControl/>
                    <w:jc w:val="center"/>
                    <w:rPr>
                      <w:rFonts w:hAnsi="宋体"/>
                      <w:color w:val="auto"/>
                      <w:kern w:val="0"/>
                      <w:sz w:val="22"/>
                      <w:szCs w:val="22"/>
                    </w:rPr>
                  </w:pPr>
                </w:p>
              </w:tc>
              <w:tc>
                <w:tcPr>
                  <w:tcW w:w="765" w:type="pct"/>
                  <w:tcBorders>
                    <w:top w:val="single" w:color="auto" w:sz="4" w:space="0"/>
                    <w:left w:val="single" w:color="auto" w:sz="4" w:space="0"/>
                    <w:bottom w:val="single" w:color="auto" w:sz="4" w:space="0"/>
                    <w:right w:val="single" w:color="auto" w:sz="4" w:space="0"/>
                  </w:tcBorders>
                  <w:vAlign w:val="center"/>
                </w:tcPr>
                <w:p w14:paraId="6ABBB6FE">
                  <w:pPr>
                    <w:pStyle w:val="73"/>
                    <w:adjustRightInd/>
                    <w:snapToGrid/>
                    <w:jc w:val="center"/>
                    <w:rPr>
                      <w:color w:val="auto"/>
                      <w:sz w:val="22"/>
                      <w:szCs w:val="22"/>
                    </w:rPr>
                  </w:pPr>
                  <w:r>
                    <w:rPr>
                      <w:rFonts w:hAnsi="宋体"/>
                      <w:color w:val="auto"/>
                      <w:sz w:val="22"/>
                      <w:szCs w:val="22"/>
                    </w:rPr>
                    <w:t>资源开发利用效率</w:t>
                  </w:r>
                </w:p>
              </w:tc>
              <w:tc>
                <w:tcPr>
                  <w:tcW w:w="1947" w:type="pct"/>
                  <w:tcBorders>
                    <w:top w:val="single" w:color="auto" w:sz="4" w:space="0"/>
                    <w:left w:val="single" w:color="auto" w:sz="4" w:space="0"/>
                    <w:bottom w:val="single" w:color="auto" w:sz="4" w:space="0"/>
                    <w:right w:val="single" w:color="auto" w:sz="4" w:space="0"/>
                  </w:tcBorders>
                  <w:vAlign w:val="center"/>
                </w:tcPr>
                <w:p w14:paraId="4B54C470">
                  <w:pPr>
                    <w:pStyle w:val="73"/>
                    <w:adjustRightInd/>
                    <w:snapToGrid/>
                    <w:jc w:val="center"/>
                    <w:rPr>
                      <w:color w:val="auto"/>
                      <w:sz w:val="22"/>
                      <w:szCs w:val="22"/>
                    </w:rPr>
                  </w:pPr>
                  <w:r>
                    <w:rPr>
                      <w:color w:val="auto"/>
                      <w:sz w:val="22"/>
                      <w:szCs w:val="22"/>
                    </w:rPr>
                    <w:t>/</w:t>
                  </w:r>
                </w:p>
              </w:tc>
              <w:tc>
                <w:tcPr>
                  <w:tcW w:w="1176" w:type="pct"/>
                  <w:tcBorders>
                    <w:top w:val="single" w:color="auto" w:sz="4" w:space="0"/>
                    <w:left w:val="single" w:color="auto" w:sz="4" w:space="0"/>
                    <w:bottom w:val="single" w:color="auto" w:sz="4" w:space="0"/>
                    <w:right w:val="single" w:color="auto" w:sz="4" w:space="0"/>
                  </w:tcBorders>
                  <w:vAlign w:val="center"/>
                </w:tcPr>
                <w:p w14:paraId="30C15AA6">
                  <w:pPr>
                    <w:pStyle w:val="73"/>
                    <w:adjustRightInd/>
                    <w:snapToGrid/>
                    <w:jc w:val="center"/>
                    <w:rPr>
                      <w:color w:val="auto"/>
                      <w:sz w:val="22"/>
                      <w:szCs w:val="22"/>
                    </w:rPr>
                  </w:pPr>
                  <w:r>
                    <w:rPr>
                      <w:color w:val="auto"/>
                      <w:sz w:val="22"/>
                      <w:szCs w:val="22"/>
                    </w:rPr>
                    <w:t>/</w:t>
                  </w:r>
                </w:p>
              </w:tc>
              <w:tc>
                <w:tcPr>
                  <w:tcW w:w="517" w:type="pct"/>
                  <w:tcBorders>
                    <w:top w:val="single" w:color="auto" w:sz="4" w:space="0"/>
                    <w:left w:val="single" w:color="auto" w:sz="4" w:space="0"/>
                    <w:bottom w:val="single" w:color="auto" w:sz="4" w:space="0"/>
                    <w:right w:val="single" w:color="auto" w:sz="4" w:space="0"/>
                  </w:tcBorders>
                  <w:vAlign w:val="center"/>
                </w:tcPr>
                <w:p w14:paraId="43E1E300">
                  <w:pPr>
                    <w:jc w:val="center"/>
                    <w:rPr>
                      <w:color w:val="auto"/>
                      <w:sz w:val="22"/>
                      <w:szCs w:val="22"/>
                    </w:rPr>
                  </w:pPr>
                  <w:r>
                    <w:rPr>
                      <w:color w:val="auto"/>
                      <w:sz w:val="22"/>
                      <w:szCs w:val="22"/>
                    </w:rPr>
                    <w:t>/</w:t>
                  </w:r>
                </w:p>
              </w:tc>
            </w:tr>
          </w:tbl>
          <w:p w14:paraId="1AA527DC">
            <w:pPr>
              <w:autoSpaceDE w:val="0"/>
              <w:autoSpaceDN w:val="0"/>
              <w:adjustRightInd w:val="0"/>
              <w:snapToGrid w:val="0"/>
              <w:rPr>
                <w:color w:val="auto"/>
                <w:kern w:val="0"/>
                <w:szCs w:val="21"/>
              </w:rPr>
            </w:pPr>
          </w:p>
        </w:tc>
      </w:tr>
    </w:tbl>
    <w:p w14:paraId="1207A523">
      <w:pPr>
        <w:spacing w:line="360" w:lineRule="auto"/>
        <w:outlineLvl w:val="0"/>
        <w:rPr>
          <w:rFonts w:eastAsia="黑体"/>
          <w:color w:val="auto"/>
          <w:sz w:val="30"/>
        </w:rPr>
        <w:sectPr>
          <w:footerReference r:id="rId5" w:type="default"/>
          <w:pgSz w:w="11906" w:h="16838"/>
          <w:pgMar w:top="1701" w:right="1531" w:bottom="1701" w:left="1531" w:header="851" w:footer="1077" w:gutter="0"/>
          <w:pgNumType w:start="1"/>
          <w:cols w:space="720" w:num="1"/>
          <w:docGrid w:linePitch="312" w:charSpace="0"/>
        </w:sectPr>
      </w:pPr>
    </w:p>
    <w:p w14:paraId="7B6E6AC4">
      <w:pPr>
        <w:pStyle w:val="21"/>
        <w:jc w:val="center"/>
        <w:outlineLvl w:val="0"/>
        <w:rPr>
          <w:rFonts w:ascii="Times New Roman" w:hAnsi="Times New Roman" w:eastAsia="黑体"/>
          <w:snapToGrid w:val="0"/>
          <w:color w:val="auto"/>
          <w:sz w:val="30"/>
          <w:szCs w:val="30"/>
        </w:rPr>
      </w:pPr>
      <w:bookmarkStart w:id="2" w:name="_Toc15239"/>
      <w:r>
        <w:rPr>
          <w:rFonts w:ascii="Times New Roman" w:hAnsi="Times New Roman" w:eastAsia="黑体"/>
          <w:snapToGrid w:val="0"/>
          <w:color w:val="auto"/>
          <w:sz w:val="30"/>
          <w:szCs w:val="30"/>
        </w:rPr>
        <w:t>二、建设内容</w:t>
      </w:r>
      <w:bookmarkEnd w:id="2"/>
    </w:p>
    <w:tbl>
      <w:tblPr>
        <w:tblStyle w:val="25"/>
        <w:tblW w:w="909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78"/>
        <w:gridCol w:w="8312"/>
      </w:tblGrid>
      <w:tr w14:paraId="042A1D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81" w:hRule="atLeast"/>
          <w:jc w:val="center"/>
        </w:trPr>
        <w:tc>
          <w:tcPr>
            <w:tcW w:w="778" w:type="dxa"/>
            <w:vAlign w:val="center"/>
          </w:tcPr>
          <w:p w14:paraId="555599FC">
            <w:pPr>
              <w:adjustRightInd w:val="0"/>
              <w:snapToGrid w:val="0"/>
              <w:spacing w:line="460" w:lineRule="exact"/>
              <w:jc w:val="center"/>
              <w:rPr>
                <w:color w:val="auto"/>
                <w:kern w:val="0"/>
                <w:szCs w:val="21"/>
              </w:rPr>
            </w:pPr>
            <w:r>
              <w:rPr>
                <w:rFonts w:hint="eastAsia"/>
                <w:color w:val="auto"/>
                <w:kern w:val="0"/>
                <w:sz w:val="26"/>
                <w:szCs w:val="26"/>
              </w:rPr>
              <w:t>地理位置</w:t>
            </w:r>
          </w:p>
        </w:tc>
        <w:tc>
          <w:tcPr>
            <w:tcW w:w="8312" w:type="dxa"/>
            <w:vAlign w:val="center"/>
          </w:tcPr>
          <w:p w14:paraId="74734ADC">
            <w:pPr>
              <w:adjustRightInd w:val="0"/>
              <w:snapToGrid w:val="0"/>
              <w:spacing w:line="460" w:lineRule="exact"/>
              <w:ind w:firstLine="520" w:firstLineChars="200"/>
              <w:rPr>
                <w:color w:val="auto"/>
                <w:kern w:val="0"/>
                <w:sz w:val="26"/>
                <w:szCs w:val="26"/>
              </w:rPr>
            </w:pPr>
            <w:r>
              <w:rPr>
                <w:rFonts w:hint="eastAsia"/>
                <w:color w:val="auto"/>
                <w:sz w:val="26"/>
                <w:szCs w:val="26"/>
              </w:rPr>
              <w:t>重庆</w:t>
            </w:r>
            <w:r>
              <w:rPr>
                <w:rFonts w:hint="eastAsia"/>
                <w:color w:val="auto"/>
                <w:sz w:val="26"/>
                <w:szCs w:val="26"/>
                <w:lang w:val="en-US" w:eastAsia="zh-CN"/>
              </w:rPr>
              <w:t>奉节</w:t>
            </w:r>
            <w:r>
              <w:rPr>
                <w:rFonts w:hint="eastAsia"/>
                <w:color w:val="auto"/>
                <w:sz w:val="26"/>
                <w:szCs w:val="26"/>
              </w:rPr>
              <w:t>金凤山风电场扩建（望天坪）110千伏送出工程位于重庆市奉节县冯坪乡、新民镇。地理位置见附图1。</w:t>
            </w:r>
          </w:p>
        </w:tc>
      </w:tr>
      <w:tr w14:paraId="22A157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00" w:hRule="atLeast"/>
          <w:jc w:val="center"/>
        </w:trPr>
        <w:tc>
          <w:tcPr>
            <w:tcW w:w="778" w:type="dxa"/>
            <w:vAlign w:val="center"/>
          </w:tcPr>
          <w:p w14:paraId="16FC1A96">
            <w:pPr>
              <w:adjustRightInd w:val="0"/>
              <w:snapToGrid w:val="0"/>
              <w:spacing w:line="460" w:lineRule="exact"/>
              <w:jc w:val="center"/>
              <w:rPr>
                <w:color w:val="auto"/>
                <w:kern w:val="0"/>
                <w:szCs w:val="21"/>
              </w:rPr>
            </w:pPr>
            <w:r>
              <w:rPr>
                <w:rFonts w:hint="eastAsia"/>
                <w:color w:val="auto"/>
                <w:kern w:val="0"/>
                <w:sz w:val="26"/>
                <w:szCs w:val="26"/>
              </w:rPr>
              <w:t>项目组成及规模</w:t>
            </w:r>
          </w:p>
        </w:tc>
        <w:tc>
          <w:tcPr>
            <w:tcW w:w="8312" w:type="dxa"/>
            <w:vAlign w:val="center"/>
          </w:tcPr>
          <w:p w14:paraId="5D30C976">
            <w:pPr>
              <w:spacing w:line="460" w:lineRule="exact"/>
              <w:rPr>
                <w:b/>
                <w:color w:val="auto"/>
                <w:sz w:val="26"/>
                <w:szCs w:val="26"/>
              </w:rPr>
            </w:pPr>
            <w:r>
              <w:rPr>
                <w:rFonts w:hint="eastAsia"/>
                <w:b/>
                <w:color w:val="auto"/>
                <w:sz w:val="26"/>
                <w:szCs w:val="26"/>
              </w:rPr>
              <w:t>2</w:t>
            </w:r>
            <w:r>
              <w:rPr>
                <w:b/>
                <w:color w:val="auto"/>
                <w:sz w:val="26"/>
                <w:szCs w:val="26"/>
              </w:rPr>
              <w:t>.1</w:t>
            </w:r>
            <w:r>
              <w:rPr>
                <w:rFonts w:hint="eastAsia"/>
                <w:b/>
                <w:color w:val="auto"/>
                <w:sz w:val="26"/>
                <w:szCs w:val="26"/>
              </w:rPr>
              <w:t>项目由来</w:t>
            </w:r>
          </w:p>
          <w:p w14:paraId="2288E564">
            <w:pPr>
              <w:adjustRightInd w:val="0"/>
              <w:snapToGrid w:val="0"/>
              <w:spacing w:line="460" w:lineRule="exact"/>
              <w:ind w:firstLine="520" w:firstLineChars="200"/>
              <w:rPr>
                <w:bCs/>
                <w:color w:val="auto"/>
                <w:sz w:val="26"/>
                <w:szCs w:val="26"/>
                <w:highlight w:val="yellow"/>
              </w:rPr>
            </w:pPr>
            <w:bookmarkStart w:id="3" w:name="_Hlk109656160"/>
            <w:r>
              <w:rPr>
                <w:rFonts w:hint="eastAsia"/>
                <w:color w:val="auto"/>
                <w:sz w:val="26"/>
                <w:szCs w:val="26"/>
              </w:rPr>
              <w:t>重庆市奉节</w:t>
            </w:r>
            <w:r>
              <w:rPr>
                <w:rFonts w:hint="eastAsia"/>
                <w:color w:val="auto"/>
                <w:sz w:val="26"/>
                <w:szCs w:val="26"/>
                <w:lang w:val="en-US" w:eastAsia="zh-CN"/>
              </w:rPr>
              <w:t>县</w:t>
            </w:r>
            <w:r>
              <w:rPr>
                <w:rFonts w:hint="eastAsia"/>
                <w:color w:val="auto"/>
                <w:sz w:val="26"/>
                <w:szCs w:val="26"/>
              </w:rPr>
              <w:t>地处重庆东北部，是重庆经济圈的重要节点，奉节县电网覆盖范围广，供电面积大，片区电网结构薄弱。随着金凤山风电场的不断发展，为有效利用风电发电，为此建设“重庆</w:t>
            </w:r>
            <w:r>
              <w:rPr>
                <w:rFonts w:hint="eastAsia"/>
                <w:color w:val="auto"/>
                <w:sz w:val="26"/>
                <w:szCs w:val="26"/>
                <w:lang w:val="en-US" w:eastAsia="zh-CN"/>
              </w:rPr>
              <w:t>奉节</w:t>
            </w:r>
            <w:r>
              <w:rPr>
                <w:rFonts w:hint="eastAsia"/>
                <w:color w:val="auto"/>
                <w:sz w:val="26"/>
                <w:szCs w:val="26"/>
              </w:rPr>
              <w:t>金凤山风电场扩建（望天坪）</w:t>
            </w:r>
            <w:r>
              <w:rPr>
                <w:color w:val="auto"/>
                <w:sz w:val="26"/>
                <w:szCs w:val="26"/>
              </w:rPr>
              <w:t>110</w:t>
            </w:r>
            <w:r>
              <w:rPr>
                <w:rFonts w:hint="eastAsia"/>
                <w:color w:val="auto"/>
                <w:sz w:val="26"/>
                <w:szCs w:val="26"/>
              </w:rPr>
              <w:t>千伏送出工程”，保障金凤山片区用电负荷</w:t>
            </w:r>
            <w:r>
              <w:rPr>
                <w:rFonts w:hint="eastAsia"/>
                <w:bCs/>
                <w:color w:val="auto"/>
                <w:sz w:val="26"/>
                <w:szCs w:val="26"/>
              </w:rPr>
              <w:t>。</w:t>
            </w:r>
          </w:p>
          <w:bookmarkEnd w:id="3"/>
          <w:p w14:paraId="2E964F9E">
            <w:pPr>
              <w:spacing w:line="460" w:lineRule="exact"/>
              <w:rPr>
                <w:b/>
                <w:color w:val="auto"/>
                <w:sz w:val="26"/>
                <w:szCs w:val="26"/>
              </w:rPr>
            </w:pPr>
            <w:r>
              <w:rPr>
                <w:rFonts w:hint="eastAsia"/>
                <w:b/>
                <w:color w:val="auto"/>
                <w:sz w:val="26"/>
                <w:szCs w:val="26"/>
              </w:rPr>
              <w:t>2.2评价思路</w:t>
            </w:r>
          </w:p>
          <w:p w14:paraId="157F6217">
            <w:pPr>
              <w:adjustRightInd w:val="0"/>
              <w:snapToGrid w:val="0"/>
              <w:spacing w:line="460" w:lineRule="exact"/>
              <w:ind w:firstLine="520" w:firstLineChars="200"/>
              <w:rPr>
                <w:color w:val="auto"/>
                <w:sz w:val="26"/>
                <w:szCs w:val="26"/>
              </w:rPr>
            </w:pPr>
            <w:r>
              <w:rPr>
                <w:rFonts w:hint="eastAsia"/>
                <w:color w:val="auto"/>
                <w:sz w:val="26"/>
                <w:szCs w:val="26"/>
                <w:lang w:val="en-US" w:eastAsia="zh-CN"/>
              </w:rPr>
              <w:t>根据项目核准的批复，项目主要建设内容为扩建铁甲220千伏变电站110千伏出线间隔1个；开断茅草坝风电场一铁甲变电站单回110千伏线路，将铁甲变电站侧线路改接入望天坪风电场升压变，涉及新建架空线路长度6千米；采用光纤通信；完善相关一、二次设备。后期初设中，对线路进行详细设计，</w:t>
            </w:r>
            <w:r>
              <w:rPr>
                <w:rFonts w:hint="eastAsia"/>
                <w:color w:val="auto"/>
                <w:sz w:val="26"/>
                <w:szCs w:val="26"/>
              </w:rPr>
              <w:t>根据《重庆金凤山风电场扩建（望天坪）110千伏送出工程初步设计说明书》可知，“重庆金凤山风电场扩建（望天坪）110千伏送出工程”线路总长度约11.6km，其中包含新建段长度约</w:t>
            </w:r>
            <w:bookmarkStart w:id="28" w:name="_GoBack"/>
            <w:bookmarkEnd w:id="28"/>
            <w:r>
              <w:rPr>
                <w:rFonts w:hint="eastAsia"/>
                <w:color w:val="auto"/>
                <w:sz w:val="26"/>
                <w:szCs w:val="26"/>
              </w:rPr>
              <w:t>5.9km，利旧段长度约5.7</w:t>
            </w:r>
            <w:r>
              <w:rPr>
                <w:rFonts w:hint="eastAsia"/>
                <w:color w:val="auto"/>
                <w:sz w:val="26"/>
                <w:szCs w:val="26"/>
                <w:lang w:val="en-US" w:eastAsia="zh-CN"/>
              </w:rPr>
              <w:t>k</w:t>
            </w:r>
            <w:r>
              <w:rPr>
                <w:rFonts w:hint="eastAsia"/>
                <w:color w:val="auto"/>
                <w:sz w:val="26"/>
                <w:szCs w:val="26"/>
              </w:rPr>
              <w:t>m；利旧段为原110kV茅铁线N46-N61，</w:t>
            </w:r>
            <w:r>
              <w:rPr>
                <w:rFonts w:hint="eastAsia"/>
                <w:b/>
                <w:bCs/>
                <w:color w:val="auto"/>
                <w:sz w:val="26"/>
                <w:szCs w:val="26"/>
                <w:lang w:val="en-US" w:eastAsia="zh-CN"/>
              </w:rPr>
              <w:t>本次以后期初设阶段的5.9km进行评价；同时，</w:t>
            </w:r>
            <w:r>
              <w:rPr>
                <w:rFonts w:hint="eastAsia"/>
                <w:b/>
                <w:bCs/>
                <w:color w:val="auto"/>
                <w:sz w:val="26"/>
                <w:szCs w:val="26"/>
              </w:rPr>
              <w:t>因项目利旧段不发生任何变化，因此本次主要评价新建段相关工程内容</w:t>
            </w:r>
            <w:r>
              <w:rPr>
                <w:rFonts w:hint="eastAsia"/>
                <w:color w:val="auto"/>
                <w:sz w:val="26"/>
                <w:szCs w:val="26"/>
              </w:rPr>
              <w:t>。</w:t>
            </w:r>
          </w:p>
          <w:p w14:paraId="63C020F0">
            <w:pPr>
              <w:spacing w:line="460" w:lineRule="exact"/>
              <w:rPr>
                <w:b/>
                <w:color w:val="auto"/>
                <w:kern w:val="0"/>
                <w:sz w:val="26"/>
                <w:szCs w:val="26"/>
              </w:rPr>
            </w:pPr>
            <w:r>
              <w:rPr>
                <w:rFonts w:hint="eastAsia"/>
                <w:b/>
                <w:color w:val="auto"/>
                <w:sz w:val="26"/>
                <w:szCs w:val="26"/>
              </w:rPr>
              <w:t>2.3项目建设情况</w:t>
            </w:r>
          </w:p>
          <w:p w14:paraId="0C91D4B9">
            <w:pPr>
              <w:adjustRightInd w:val="0"/>
              <w:snapToGrid w:val="0"/>
              <w:spacing w:line="460" w:lineRule="exact"/>
              <w:ind w:firstLine="520" w:firstLineChars="200"/>
              <w:rPr>
                <w:color w:val="auto"/>
                <w:sz w:val="26"/>
                <w:szCs w:val="26"/>
              </w:rPr>
            </w:pPr>
            <w:r>
              <w:rPr>
                <w:rFonts w:hint="eastAsia"/>
                <w:color w:val="auto"/>
                <w:sz w:val="26"/>
                <w:szCs w:val="26"/>
              </w:rPr>
              <w:t>本工程的评价内容如下：</w:t>
            </w:r>
          </w:p>
          <w:p w14:paraId="1D5B1923">
            <w:pPr>
              <w:adjustRightInd w:val="0"/>
              <w:snapToGrid w:val="0"/>
              <w:spacing w:line="460" w:lineRule="exact"/>
              <w:ind w:firstLine="520" w:firstLineChars="200"/>
              <w:rPr>
                <w:rFonts w:hint="default" w:eastAsia="宋体"/>
                <w:color w:val="auto"/>
                <w:sz w:val="26"/>
                <w:szCs w:val="26"/>
                <w:lang w:val="en-US" w:eastAsia="zh-CN"/>
              </w:rPr>
            </w:pPr>
            <w:r>
              <w:rPr>
                <w:rFonts w:hint="eastAsia"/>
                <w:color w:val="auto"/>
                <w:sz w:val="26"/>
                <w:szCs w:val="26"/>
                <w:lang w:eastAsia="zh-CN"/>
              </w:rPr>
              <w:t>（</w:t>
            </w:r>
            <w:r>
              <w:rPr>
                <w:rFonts w:hint="eastAsia"/>
                <w:color w:val="auto"/>
                <w:sz w:val="26"/>
                <w:szCs w:val="26"/>
                <w:lang w:val="en-US" w:eastAsia="zh-CN"/>
              </w:rPr>
              <w:t>1）间隔扩建部分</w:t>
            </w:r>
          </w:p>
          <w:p w14:paraId="144DFDFB">
            <w:pPr>
              <w:adjustRightInd w:val="0"/>
              <w:snapToGrid w:val="0"/>
              <w:spacing w:line="460" w:lineRule="exact"/>
              <w:ind w:firstLine="520" w:firstLineChars="200"/>
              <w:rPr>
                <w:rFonts w:hint="eastAsia" w:eastAsia="宋体"/>
                <w:color w:val="auto"/>
                <w:sz w:val="26"/>
                <w:szCs w:val="26"/>
                <w:lang w:eastAsia="zh-CN"/>
              </w:rPr>
            </w:pPr>
            <w:r>
              <w:rPr>
                <w:rFonts w:hint="eastAsia"/>
                <w:color w:val="auto"/>
                <w:sz w:val="26"/>
                <w:szCs w:val="26"/>
              </w:rPr>
              <w:t>扩建铁甲220千伏变电站110千伏出线间隔1个</w:t>
            </w:r>
            <w:r>
              <w:rPr>
                <w:rFonts w:hint="eastAsia"/>
                <w:color w:val="auto"/>
                <w:sz w:val="26"/>
                <w:szCs w:val="26"/>
                <w:lang w:eastAsia="zh-CN"/>
              </w:rPr>
              <w:t>。扩建间隔位置在现茅铁线进线间隔的右侧。</w:t>
            </w:r>
            <w:r>
              <w:rPr>
                <w:rFonts w:hint="eastAsia"/>
                <w:color w:val="auto"/>
                <w:sz w:val="26"/>
                <w:szCs w:val="26"/>
                <w:lang w:val="en-US" w:eastAsia="zh-CN"/>
              </w:rPr>
              <w:t>采用户外GIS架空出线，完善相关一、二次设备。本工程仅涉及间隔建设及完善，不涉及主变等建设内容，不新增变电站用地。</w:t>
            </w:r>
          </w:p>
          <w:p w14:paraId="62DAAD1B">
            <w:pPr>
              <w:adjustRightInd w:val="0"/>
              <w:snapToGrid w:val="0"/>
              <w:spacing w:line="460" w:lineRule="exact"/>
              <w:ind w:firstLine="520" w:firstLineChars="200"/>
              <w:rPr>
                <w:rFonts w:hint="default"/>
                <w:color w:val="auto"/>
                <w:sz w:val="26"/>
                <w:szCs w:val="26"/>
                <w:lang w:val="en-US" w:eastAsia="zh-CN"/>
              </w:rPr>
            </w:pPr>
            <w:r>
              <w:rPr>
                <w:rFonts w:hint="eastAsia"/>
                <w:color w:val="auto"/>
                <w:sz w:val="26"/>
                <w:szCs w:val="26"/>
                <w:lang w:eastAsia="zh-CN"/>
              </w:rPr>
              <w:t>（</w:t>
            </w:r>
            <w:r>
              <w:rPr>
                <w:rFonts w:hint="eastAsia"/>
                <w:color w:val="auto"/>
                <w:sz w:val="26"/>
                <w:szCs w:val="26"/>
                <w:lang w:val="en-US" w:eastAsia="zh-CN"/>
              </w:rPr>
              <w:t>2）线路部分</w:t>
            </w:r>
          </w:p>
          <w:p w14:paraId="109759F3">
            <w:pPr>
              <w:adjustRightInd w:val="0"/>
              <w:snapToGrid w:val="0"/>
              <w:spacing w:line="460" w:lineRule="exact"/>
              <w:ind w:firstLine="520" w:firstLineChars="200"/>
              <w:rPr>
                <w:rFonts w:hint="eastAsia" w:eastAsia="宋体"/>
                <w:color w:val="auto"/>
                <w:sz w:val="26"/>
                <w:szCs w:val="26"/>
                <w:lang w:val="en-US" w:eastAsia="zh-CN"/>
              </w:rPr>
            </w:pPr>
            <w:r>
              <w:rPr>
                <w:rFonts w:hint="eastAsia"/>
                <w:color w:val="auto"/>
                <w:sz w:val="26"/>
                <w:szCs w:val="26"/>
                <w:lang w:val="en-US" w:eastAsia="zh-CN"/>
              </w:rPr>
              <w:t>开断茅草坝风电场—铁甲变电站110kV茅铁线N45-N46，将铁甲变电站侧线路改接至望天坪风电场升压站，</w:t>
            </w:r>
            <w:r>
              <w:rPr>
                <w:rFonts w:hint="eastAsia" w:ascii="Times New Roman" w:hAnsi="Times New Roman" w:eastAsia="宋体" w:cs="Times New Roman"/>
                <w:color w:val="auto"/>
                <w:sz w:val="26"/>
                <w:szCs w:val="26"/>
                <w:lang w:val="en-US" w:eastAsia="zh-CN"/>
              </w:rPr>
              <w:t>新建架空线路全长约5.9km。</w:t>
            </w:r>
            <w:r>
              <w:rPr>
                <w:rFonts w:hint="eastAsia"/>
                <w:color w:val="auto"/>
                <w:sz w:val="26"/>
                <w:szCs w:val="26"/>
              </w:rPr>
              <w:t>采用单回路架设，新建杆塔24基（本线路23基</w:t>
            </w:r>
            <w:r>
              <w:rPr>
                <w:rFonts w:hint="eastAsia"/>
                <w:color w:val="auto"/>
                <w:sz w:val="26"/>
                <w:szCs w:val="26"/>
                <w:lang w:eastAsia="zh-CN"/>
              </w:rPr>
              <w:t>，</w:t>
            </w:r>
            <w:r>
              <w:rPr>
                <w:rFonts w:hint="eastAsia"/>
                <w:color w:val="auto"/>
                <w:sz w:val="26"/>
                <w:szCs w:val="26"/>
                <w:lang w:val="en-US" w:eastAsia="zh-CN"/>
              </w:rPr>
              <w:t>另外</w:t>
            </w:r>
            <w:r>
              <w:rPr>
                <w:rFonts w:hint="eastAsia"/>
                <w:color w:val="auto"/>
                <w:sz w:val="26"/>
                <w:szCs w:val="26"/>
              </w:rPr>
              <w:t>1基为原茅铁线N45塔大号侧新立的1基耐张塔</w:t>
            </w:r>
            <w:r>
              <w:rPr>
                <w:rFonts w:hint="eastAsia"/>
                <w:color w:val="auto"/>
                <w:sz w:val="26"/>
                <w:szCs w:val="26"/>
                <w:lang w:val="en-US" w:eastAsia="zh-CN"/>
              </w:rPr>
              <w:t>新46#</w:t>
            </w:r>
            <w:r>
              <w:rPr>
                <w:rFonts w:hint="eastAsia"/>
                <w:color w:val="auto"/>
                <w:sz w:val="26"/>
                <w:szCs w:val="26"/>
              </w:rPr>
              <w:t>，茅铁线</w:t>
            </w:r>
            <w:r>
              <w:rPr>
                <w:rFonts w:hint="eastAsia"/>
                <w:color w:val="auto"/>
                <w:sz w:val="26"/>
                <w:szCs w:val="26"/>
                <w:lang w:val="en-US" w:eastAsia="zh-CN"/>
              </w:rPr>
              <w:t>原45#~46#之间架空线路开断后由原45#塔接回新46#塔，保留原茅草坝风电场—新46#塔之间线路，不进行拆除</w:t>
            </w:r>
            <w:r>
              <w:rPr>
                <w:rFonts w:hint="eastAsia"/>
                <w:color w:val="auto"/>
                <w:sz w:val="26"/>
                <w:szCs w:val="26"/>
              </w:rPr>
              <w:t>）</w:t>
            </w:r>
            <w:r>
              <w:rPr>
                <w:rFonts w:hint="eastAsia"/>
                <w:color w:val="auto"/>
                <w:sz w:val="26"/>
                <w:szCs w:val="26"/>
                <w:lang w:eastAsia="zh-CN"/>
              </w:rPr>
              <w:t>。导线采用JLHA1/G1A-300/50钢芯铝合金绞线。</w:t>
            </w:r>
          </w:p>
          <w:p w14:paraId="5D0C2D13">
            <w:pPr>
              <w:spacing w:line="460" w:lineRule="exact"/>
              <w:ind w:firstLine="420" w:firstLineChars="200"/>
              <w:rPr>
                <w:rFonts w:hint="eastAsia"/>
                <w:bCs/>
                <w:color w:val="auto"/>
                <w:sz w:val="26"/>
                <w:szCs w:val="26"/>
              </w:rPr>
            </w:pPr>
            <w:r>
              <w:rPr>
                <w:color w:val="auto"/>
              </w:rPr>
              <w:drawing>
                <wp:anchor distT="0" distB="0" distL="114300" distR="114300" simplePos="0" relativeHeight="251712512" behindDoc="0" locked="0" layoutInCell="1" allowOverlap="1">
                  <wp:simplePos x="0" y="0"/>
                  <wp:positionH relativeFrom="column">
                    <wp:posOffset>-7620</wp:posOffset>
                  </wp:positionH>
                  <wp:positionV relativeFrom="paragraph">
                    <wp:posOffset>56515</wp:posOffset>
                  </wp:positionV>
                  <wp:extent cx="5138420" cy="3707130"/>
                  <wp:effectExtent l="9525" t="9525" r="14605" b="17145"/>
                  <wp:wrapNone/>
                  <wp:docPr id="4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8"/>
                          <pic:cNvPicPr>
                            <a:picLocks noChangeAspect="1"/>
                          </pic:cNvPicPr>
                        </pic:nvPicPr>
                        <pic:blipFill>
                          <a:blip r:embed="rId14"/>
                          <a:stretch>
                            <a:fillRect/>
                          </a:stretch>
                        </pic:blipFill>
                        <pic:spPr>
                          <a:xfrm>
                            <a:off x="0" y="0"/>
                            <a:ext cx="5138420" cy="3707130"/>
                          </a:xfrm>
                          <a:prstGeom prst="rect">
                            <a:avLst/>
                          </a:prstGeom>
                          <a:noFill/>
                          <a:ln>
                            <a:solidFill>
                              <a:schemeClr val="tx1"/>
                            </a:solidFill>
                          </a:ln>
                        </pic:spPr>
                      </pic:pic>
                    </a:graphicData>
                  </a:graphic>
                </wp:anchor>
              </w:drawing>
            </w:r>
          </w:p>
          <w:p w14:paraId="5EED8471">
            <w:pPr>
              <w:spacing w:line="460" w:lineRule="exact"/>
              <w:ind w:firstLine="520" w:firstLineChars="200"/>
              <w:rPr>
                <w:rFonts w:hint="eastAsia"/>
                <w:bCs/>
                <w:color w:val="auto"/>
                <w:sz w:val="26"/>
                <w:szCs w:val="26"/>
              </w:rPr>
            </w:pPr>
          </w:p>
          <w:p w14:paraId="17EBF4BC">
            <w:pPr>
              <w:spacing w:line="460" w:lineRule="exact"/>
              <w:ind w:firstLine="520" w:firstLineChars="200"/>
              <w:rPr>
                <w:rFonts w:hint="eastAsia"/>
                <w:bCs/>
                <w:color w:val="auto"/>
                <w:sz w:val="26"/>
                <w:szCs w:val="26"/>
              </w:rPr>
            </w:pPr>
          </w:p>
          <w:p w14:paraId="152A176F">
            <w:pPr>
              <w:spacing w:line="460" w:lineRule="exact"/>
              <w:ind w:firstLine="520" w:firstLineChars="200"/>
              <w:rPr>
                <w:rFonts w:hint="eastAsia"/>
                <w:bCs/>
                <w:color w:val="auto"/>
                <w:sz w:val="26"/>
                <w:szCs w:val="26"/>
              </w:rPr>
            </w:pPr>
          </w:p>
          <w:p w14:paraId="2AC98575">
            <w:pPr>
              <w:spacing w:line="460" w:lineRule="exact"/>
              <w:ind w:firstLine="520" w:firstLineChars="200"/>
              <w:rPr>
                <w:rFonts w:hint="eastAsia"/>
                <w:bCs/>
                <w:color w:val="auto"/>
                <w:sz w:val="26"/>
                <w:szCs w:val="26"/>
              </w:rPr>
            </w:pPr>
          </w:p>
          <w:p w14:paraId="7CB5087B">
            <w:pPr>
              <w:spacing w:line="460" w:lineRule="exact"/>
              <w:ind w:firstLine="520" w:firstLineChars="200"/>
              <w:rPr>
                <w:rFonts w:hint="eastAsia"/>
                <w:bCs/>
                <w:color w:val="auto"/>
                <w:sz w:val="26"/>
                <w:szCs w:val="26"/>
              </w:rPr>
            </w:pPr>
          </w:p>
          <w:p w14:paraId="16379439">
            <w:pPr>
              <w:spacing w:line="460" w:lineRule="exact"/>
              <w:ind w:firstLine="520" w:firstLineChars="200"/>
              <w:rPr>
                <w:rFonts w:hint="eastAsia"/>
                <w:bCs/>
                <w:color w:val="auto"/>
                <w:sz w:val="26"/>
                <w:szCs w:val="26"/>
              </w:rPr>
            </w:pPr>
          </w:p>
          <w:p w14:paraId="6609EB72">
            <w:pPr>
              <w:spacing w:line="460" w:lineRule="exact"/>
              <w:ind w:firstLine="520" w:firstLineChars="200"/>
              <w:rPr>
                <w:rFonts w:hint="eastAsia"/>
                <w:bCs/>
                <w:color w:val="auto"/>
                <w:sz w:val="26"/>
                <w:szCs w:val="26"/>
              </w:rPr>
            </w:pPr>
          </w:p>
          <w:p w14:paraId="58612791">
            <w:pPr>
              <w:spacing w:line="460" w:lineRule="exact"/>
              <w:ind w:firstLine="520" w:firstLineChars="200"/>
              <w:rPr>
                <w:rFonts w:hint="eastAsia"/>
                <w:bCs/>
                <w:color w:val="auto"/>
                <w:sz w:val="26"/>
                <w:szCs w:val="26"/>
              </w:rPr>
            </w:pPr>
          </w:p>
          <w:p w14:paraId="11ABDAC9">
            <w:pPr>
              <w:spacing w:line="460" w:lineRule="exact"/>
              <w:ind w:firstLine="520" w:firstLineChars="200"/>
              <w:rPr>
                <w:rFonts w:hint="eastAsia"/>
                <w:bCs/>
                <w:color w:val="auto"/>
                <w:sz w:val="26"/>
                <w:szCs w:val="26"/>
              </w:rPr>
            </w:pPr>
          </w:p>
          <w:p w14:paraId="5A290FC1">
            <w:pPr>
              <w:spacing w:line="460" w:lineRule="exact"/>
              <w:ind w:firstLine="520" w:firstLineChars="200"/>
              <w:rPr>
                <w:rFonts w:hint="eastAsia"/>
                <w:bCs/>
                <w:color w:val="auto"/>
                <w:sz w:val="26"/>
                <w:szCs w:val="26"/>
              </w:rPr>
            </w:pPr>
          </w:p>
          <w:p w14:paraId="529F347B">
            <w:pPr>
              <w:spacing w:line="460" w:lineRule="exact"/>
              <w:ind w:firstLine="520" w:firstLineChars="200"/>
              <w:rPr>
                <w:rFonts w:hint="eastAsia"/>
                <w:bCs/>
                <w:color w:val="auto"/>
                <w:sz w:val="26"/>
                <w:szCs w:val="26"/>
              </w:rPr>
            </w:pPr>
          </w:p>
          <w:p w14:paraId="0B9B3D67">
            <w:pPr>
              <w:spacing w:line="460" w:lineRule="exact"/>
              <w:ind w:firstLine="520" w:firstLineChars="200"/>
              <w:rPr>
                <w:rFonts w:hint="eastAsia"/>
                <w:bCs/>
                <w:color w:val="auto"/>
                <w:sz w:val="26"/>
                <w:szCs w:val="26"/>
              </w:rPr>
            </w:pPr>
          </w:p>
          <w:p w14:paraId="5B5E437B">
            <w:pPr>
              <w:adjustRightInd w:val="0"/>
              <w:snapToGrid w:val="0"/>
              <w:spacing w:line="460" w:lineRule="exact"/>
              <w:jc w:val="center"/>
              <w:rPr>
                <w:rFonts w:hint="eastAsia" w:eastAsia="宋体"/>
                <w:color w:val="auto"/>
                <w:sz w:val="26"/>
                <w:szCs w:val="26"/>
                <w:lang w:val="en-US" w:eastAsia="zh-CN"/>
              </w:rPr>
            </w:pPr>
            <w:r>
              <w:rPr>
                <w:rFonts w:hint="eastAsia" w:eastAsia="宋体"/>
                <w:color w:val="auto"/>
                <w:sz w:val="26"/>
                <w:szCs w:val="26"/>
                <w:lang w:val="en-US" w:eastAsia="zh-CN"/>
              </w:rPr>
              <w:t>图2-1 项目路径示意图</w:t>
            </w:r>
          </w:p>
          <w:p w14:paraId="69BB7691">
            <w:pPr>
              <w:keepNext w:val="0"/>
              <w:keepLines w:val="0"/>
              <w:pageBreakBefore w:val="0"/>
              <w:widowControl w:val="0"/>
              <w:kinsoku/>
              <w:wordWrap/>
              <w:overflowPunct/>
              <w:topLinePunct w:val="0"/>
              <w:autoSpaceDE/>
              <w:autoSpaceDN/>
              <w:bidi w:val="0"/>
              <w:adjustRightInd/>
              <w:snapToGrid w:val="0"/>
              <w:spacing w:line="240" w:lineRule="auto"/>
              <w:ind w:firstLine="520" w:firstLineChars="200"/>
              <w:textAlignment w:val="auto"/>
              <w:rPr>
                <w:rFonts w:hint="eastAsia"/>
                <w:bCs/>
                <w:color w:val="auto"/>
                <w:sz w:val="26"/>
                <w:szCs w:val="26"/>
              </w:rPr>
            </w:pPr>
          </w:p>
          <w:p w14:paraId="05D0330B">
            <w:pPr>
              <w:spacing w:line="460" w:lineRule="exact"/>
              <w:ind w:firstLine="520" w:firstLineChars="200"/>
              <w:rPr>
                <w:bCs/>
                <w:color w:val="auto"/>
                <w:sz w:val="26"/>
                <w:szCs w:val="26"/>
              </w:rPr>
            </w:pPr>
            <w:r>
              <w:rPr>
                <w:rFonts w:hint="eastAsia"/>
                <w:bCs/>
                <w:color w:val="auto"/>
                <w:sz w:val="26"/>
                <w:szCs w:val="26"/>
              </w:rPr>
              <w:t>根据初设资料，本项目整体概况见表</w:t>
            </w:r>
            <w:r>
              <w:rPr>
                <w:bCs/>
                <w:color w:val="auto"/>
                <w:sz w:val="26"/>
                <w:szCs w:val="26"/>
              </w:rPr>
              <w:t>2-1</w:t>
            </w:r>
            <w:r>
              <w:rPr>
                <w:rFonts w:hint="eastAsia"/>
                <w:bCs/>
                <w:color w:val="auto"/>
                <w:sz w:val="26"/>
                <w:szCs w:val="26"/>
              </w:rPr>
              <w:t>。</w:t>
            </w:r>
          </w:p>
          <w:p w14:paraId="37F56F55">
            <w:pPr>
              <w:snapToGrid w:val="0"/>
              <w:ind w:firstLine="520" w:firstLineChars="200"/>
              <w:rPr>
                <w:bCs/>
                <w:color w:val="auto"/>
                <w:sz w:val="26"/>
                <w:szCs w:val="26"/>
              </w:rPr>
            </w:pPr>
          </w:p>
          <w:p w14:paraId="480BF5C1">
            <w:pPr>
              <w:snapToGrid w:val="0"/>
              <w:jc w:val="center"/>
              <w:rPr>
                <w:bCs/>
                <w:color w:val="auto"/>
                <w:sz w:val="26"/>
                <w:szCs w:val="26"/>
              </w:rPr>
            </w:pPr>
            <w:r>
              <w:rPr>
                <w:rFonts w:hint="eastAsia"/>
                <w:bCs/>
                <w:color w:val="auto"/>
                <w:sz w:val="26"/>
                <w:szCs w:val="26"/>
              </w:rPr>
              <w:t>表</w:t>
            </w:r>
            <w:r>
              <w:rPr>
                <w:bCs/>
                <w:color w:val="auto"/>
                <w:sz w:val="26"/>
                <w:szCs w:val="26"/>
              </w:rPr>
              <w:t xml:space="preserve">2-1  </w:t>
            </w:r>
            <w:r>
              <w:rPr>
                <w:rFonts w:hint="eastAsia"/>
                <w:bCs/>
                <w:color w:val="auto"/>
                <w:sz w:val="26"/>
                <w:szCs w:val="26"/>
              </w:rPr>
              <w:t>工程总体概况一览表</w:t>
            </w:r>
          </w:p>
          <w:tbl>
            <w:tblPr>
              <w:tblStyle w:val="25"/>
              <w:tblW w:w="4972"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51" w:type="dxa"/>
                <w:bottom w:w="0" w:type="dxa"/>
                <w:right w:w="51" w:type="dxa"/>
              </w:tblCellMar>
            </w:tblPr>
            <w:tblGrid>
              <w:gridCol w:w="711"/>
              <w:gridCol w:w="1331"/>
              <w:gridCol w:w="6003"/>
            </w:tblGrid>
            <w:tr w14:paraId="061DBFF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1" w:type="dxa"/>
                  <w:bottom w:w="0" w:type="dxa"/>
                  <w:right w:w="51" w:type="dxa"/>
                </w:tblCellMar>
              </w:tblPrEx>
              <w:trPr>
                <w:trHeight w:val="340" w:hRule="atLeast"/>
                <w:jc w:val="center"/>
              </w:trPr>
              <w:tc>
                <w:tcPr>
                  <w:tcW w:w="1269" w:type="pct"/>
                  <w:gridSpan w:val="2"/>
                  <w:vAlign w:val="center"/>
                </w:tcPr>
                <w:p w14:paraId="3EFA38D4">
                  <w:pPr>
                    <w:jc w:val="center"/>
                    <w:rPr>
                      <w:color w:val="auto"/>
                      <w:sz w:val="22"/>
                      <w:szCs w:val="22"/>
                    </w:rPr>
                  </w:pPr>
                  <w:r>
                    <w:rPr>
                      <w:rFonts w:hAnsi="宋体"/>
                      <w:color w:val="auto"/>
                      <w:sz w:val="22"/>
                      <w:szCs w:val="22"/>
                    </w:rPr>
                    <w:t>项目分类</w:t>
                  </w:r>
                </w:p>
              </w:tc>
              <w:tc>
                <w:tcPr>
                  <w:tcW w:w="3730" w:type="pct"/>
                  <w:vAlign w:val="center"/>
                </w:tcPr>
                <w:p w14:paraId="23507F63">
                  <w:pPr>
                    <w:jc w:val="center"/>
                    <w:rPr>
                      <w:color w:val="auto"/>
                      <w:sz w:val="22"/>
                      <w:szCs w:val="22"/>
                    </w:rPr>
                  </w:pPr>
                  <w:r>
                    <w:rPr>
                      <w:rFonts w:hAnsi="宋体"/>
                      <w:color w:val="auto"/>
                      <w:sz w:val="22"/>
                      <w:szCs w:val="22"/>
                    </w:rPr>
                    <w:t>建设内容</w:t>
                  </w:r>
                </w:p>
              </w:tc>
            </w:tr>
            <w:tr w14:paraId="06C0904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1" w:type="dxa"/>
                  <w:bottom w:w="0" w:type="dxa"/>
                  <w:right w:w="51" w:type="dxa"/>
                </w:tblCellMar>
              </w:tblPrEx>
              <w:trPr>
                <w:trHeight w:val="90" w:hRule="atLeast"/>
                <w:jc w:val="center"/>
              </w:trPr>
              <w:tc>
                <w:tcPr>
                  <w:tcW w:w="442" w:type="pct"/>
                  <w:vMerge w:val="restart"/>
                  <w:vAlign w:val="center"/>
                </w:tcPr>
                <w:p w14:paraId="2777AE2B">
                  <w:pPr>
                    <w:jc w:val="center"/>
                    <w:rPr>
                      <w:color w:val="auto"/>
                      <w:sz w:val="22"/>
                      <w:szCs w:val="22"/>
                    </w:rPr>
                  </w:pPr>
                  <w:r>
                    <w:rPr>
                      <w:rFonts w:hAnsi="宋体"/>
                      <w:color w:val="auto"/>
                      <w:sz w:val="22"/>
                      <w:szCs w:val="22"/>
                    </w:rPr>
                    <w:t>主体工程</w:t>
                  </w:r>
                </w:p>
              </w:tc>
              <w:tc>
                <w:tcPr>
                  <w:tcW w:w="826" w:type="pct"/>
                  <w:vAlign w:val="center"/>
                </w:tcPr>
                <w:p w14:paraId="65224614">
                  <w:pPr>
                    <w:jc w:val="center"/>
                    <w:rPr>
                      <w:color w:val="auto"/>
                      <w:sz w:val="22"/>
                      <w:szCs w:val="22"/>
                    </w:rPr>
                  </w:pPr>
                  <w:r>
                    <w:rPr>
                      <w:rFonts w:hint="eastAsia"/>
                      <w:color w:val="auto"/>
                      <w:sz w:val="22"/>
                      <w:szCs w:val="22"/>
                    </w:rPr>
                    <w:t>110kV架空线路工程</w:t>
                  </w:r>
                </w:p>
              </w:tc>
              <w:tc>
                <w:tcPr>
                  <w:tcW w:w="3730" w:type="pct"/>
                  <w:vAlign w:val="center"/>
                </w:tcPr>
                <w:p w14:paraId="2A2B3D04">
                  <w:pPr>
                    <w:jc w:val="center"/>
                    <w:rPr>
                      <w:color w:val="auto"/>
                      <w:sz w:val="22"/>
                      <w:szCs w:val="22"/>
                    </w:rPr>
                  </w:pPr>
                  <w:r>
                    <w:rPr>
                      <w:rFonts w:hint="eastAsia" w:hAnsi="宋体"/>
                      <w:color w:val="auto"/>
                      <w:sz w:val="22"/>
                      <w:szCs w:val="22"/>
                    </w:rPr>
                    <w:t>新建架空线路长度5.9km，导线采用JLHA1/G1A-300/50钢芯铝合金绞线，架空线路单回单分裂架设；新建塔基24基（其中1基为原茅铁线N45塔大号侧新立的1基耐张塔</w:t>
                  </w:r>
                  <w:r>
                    <w:rPr>
                      <w:rFonts w:hint="eastAsia" w:hAnsi="宋体"/>
                      <w:color w:val="auto"/>
                      <w:sz w:val="22"/>
                      <w:szCs w:val="22"/>
                      <w:lang w:val="en-US" w:eastAsia="zh-CN"/>
                    </w:rPr>
                    <w:t>新46#</w:t>
                  </w:r>
                  <w:r>
                    <w:rPr>
                      <w:rFonts w:hint="eastAsia" w:hAnsi="宋体"/>
                      <w:color w:val="auto"/>
                      <w:sz w:val="22"/>
                      <w:szCs w:val="22"/>
                    </w:rPr>
                    <w:t>，本线路23基）</w:t>
                  </w:r>
                </w:p>
              </w:tc>
            </w:tr>
            <w:tr w14:paraId="3E2D196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1" w:type="dxa"/>
                  <w:bottom w:w="0" w:type="dxa"/>
                  <w:right w:w="51" w:type="dxa"/>
                </w:tblCellMar>
              </w:tblPrEx>
              <w:trPr>
                <w:trHeight w:val="90" w:hRule="atLeast"/>
                <w:jc w:val="center"/>
              </w:trPr>
              <w:tc>
                <w:tcPr>
                  <w:tcW w:w="442" w:type="pct"/>
                  <w:vMerge w:val="continue"/>
                  <w:vAlign w:val="center"/>
                </w:tcPr>
                <w:p w14:paraId="2666DC49">
                  <w:pPr>
                    <w:jc w:val="center"/>
                    <w:rPr>
                      <w:rFonts w:hAnsi="宋体"/>
                      <w:color w:val="auto"/>
                      <w:sz w:val="22"/>
                      <w:szCs w:val="22"/>
                    </w:rPr>
                  </w:pPr>
                </w:p>
              </w:tc>
              <w:tc>
                <w:tcPr>
                  <w:tcW w:w="826" w:type="pct"/>
                  <w:vAlign w:val="center"/>
                </w:tcPr>
                <w:p w14:paraId="136B7666">
                  <w:pPr>
                    <w:jc w:val="center"/>
                    <w:rPr>
                      <w:color w:val="auto"/>
                      <w:sz w:val="22"/>
                      <w:szCs w:val="22"/>
                    </w:rPr>
                  </w:pPr>
                  <w:r>
                    <w:rPr>
                      <w:rFonts w:hint="eastAsia"/>
                      <w:color w:val="auto"/>
                      <w:sz w:val="22"/>
                      <w:szCs w:val="22"/>
                    </w:rPr>
                    <w:t>110kV间隔扩建工程</w:t>
                  </w:r>
                </w:p>
              </w:tc>
              <w:tc>
                <w:tcPr>
                  <w:tcW w:w="3730" w:type="pct"/>
                  <w:vAlign w:val="center"/>
                </w:tcPr>
                <w:p w14:paraId="74DF8D59">
                  <w:pPr>
                    <w:jc w:val="center"/>
                    <w:rPr>
                      <w:rFonts w:hAnsi="宋体"/>
                      <w:color w:val="auto"/>
                      <w:sz w:val="22"/>
                      <w:szCs w:val="22"/>
                    </w:rPr>
                  </w:pPr>
                  <w:r>
                    <w:rPr>
                      <w:rFonts w:hint="eastAsia" w:hAnsi="宋体"/>
                      <w:color w:val="auto"/>
                      <w:sz w:val="22"/>
                      <w:szCs w:val="22"/>
                    </w:rPr>
                    <w:t>扩建110kV间隔1个，位置于现茅铁线进线间隔右侧（以路线面向变电站方向为准），完善相关一、二次设备</w:t>
                  </w:r>
                </w:p>
              </w:tc>
            </w:tr>
            <w:tr w14:paraId="464F3A3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1" w:type="dxa"/>
                  <w:bottom w:w="0" w:type="dxa"/>
                  <w:right w:w="51" w:type="dxa"/>
                </w:tblCellMar>
              </w:tblPrEx>
              <w:trPr>
                <w:trHeight w:val="90" w:hRule="atLeast"/>
                <w:jc w:val="center"/>
              </w:trPr>
              <w:tc>
                <w:tcPr>
                  <w:tcW w:w="442" w:type="pct"/>
                  <w:vMerge w:val="restart"/>
                  <w:vAlign w:val="center"/>
                </w:tcPr>
                <w:p w14:paraId="6A249C7C">
                  <w:pPr>
                    <w:jc w:val="center"/>
                    <w:rPr>
                      <w:rFonts w:hAnsi="宋体"/>
                      <w:color w:val="auto"/>
                      <w:sz w:val="22"/>
                      <w:szCs w:val="22"/>
                    </w:rPr>
                  </w:pPr>
                  <w:r>
                    <w:rPr>
                      <w:rFonts w:hint="eastAsia" w:hAnsi="宋体"/>
                      <w:color w:val="auto"/>
                      <w:sz w:val="22"/>
                      <w:szCs w:val="22"/>
                    </w:rPr>
                    <w:t>依托工程</w:t>
                  </w:r>
                </w:p>
              </w:tc>
              <w:tc>
                <w:tcPr>
                  <w:tcW w:w="826" w:type="pct"/>
                  <w:vMerge w:val="restart"/>
                  <w:vAlign w:val="center"/>
                </w:tcPr>
                <w:p w14:paraId="4A537AF9">
                  <w:pPr>
                    <w:jc w:val="center"/>
                    <w:rPr>
                      <w:color w:val="auto"/>
                      <w:sz w:val="22"/>
                      <w:szCs w:val="22"/>
                    </w:rPr>
                  </w:pPr>
                  <w:r>
                    <w:rPr>
                      <w:rFonts w:hint="eastAsia"/>
                      <w:color w:val="auto"/>
                      <w:sz w:val="22"/>
                      <w:szCs w:val="22"/>
                    </w:rPr>
                    <w:t>间隔</w:t>
                  </w:r>
                </w:p>
              </w:tc>
              <w:tc>
                <w:tcPr>
                  <w:tcW w:w="3730" w:type="pct"/>
                  <w:vAlign w:val="center"/>
                </w:tcPr>
                <w:p w14:paraId="4198C132">
                  <w:pPr>
                    <w:jc w:val="center"/>
                    <w:rPr>
                      <w:rFonts w:hAnsi="宋体"/>
                      <w:color w:val="auto"/>
                      <w:sz w:val="22"/>
                      <w:szCs w:val="22"/>
                    </w:rPr>
                  </w:pPr>
                  <w:r>
                    <w:rPr>
                      <w:rFonts w:hint="eastAsia"/>
                      <w:color w:val="auto"/>
                      <w:sz w:val="22"/>
                      <w:szCs w:val="22"/>
                    </w:rPr>
                    <w:t>望天坪侧：依托在建11</w:t>
                  </w:r>
                  <w:r>
                    <w:rPr>
                      <w:color w:val="auto"/>
                      <w:sz w:val="22"/>
                      <w:szCs w:val="22"/>
                    </w:rPr>
                    <w:t>0kV</w:t>
                  </w:r>
                  <w:r>
                    <w:rPr>
                      <w:rFonts w:hint="eastAsia"/>
                      <w:color w:val="auto"/>
                      <w:sz w:val="22"/>
                      <w:szCs w:val="22"/>
                    </w:rPr>
                    <w:t>望天坪升压站</w:t>
                  </w:r>
                </w:p>
              </w:tc>
            </w:tr>
            <w:tr w14:paraId="0EDC556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1" w:type="dxa"/>
                  <w:bottom w:w="0" w:type="dxa"/>
                  <w:right w:w="51" w:type="dxa"/>
                </w:tblCellMar>
              </w:tblPrEx>
              <w:trPr>
                <w:trHeight w:val="90" w:hRule="atLeast"/>
                <w:jc w:val="center"/>
              </w:trPr>
              <w:tc>
                <w:tcPr>
                  <w:tcW w:w="442" w:type="pct"/>
                  <w:vMerge w:val="continue"/>
                  <w:vAlign w:val="center"/>
                </w:tcPr>
                <w:p w14:paraId="7C3588F0">
                  <w:pPr>
                    <w:jc w:val="center"/>
                    <w:rPr>
                      <w:rFonts w:hAnsi="宋体"/>
                      <w:color w:val="auto"/>
                      <w:sz w:val="22"/>
                      <w:szCs w:val="22"/>
                    </w:rPr>
                  </w:pPr>
                </w:p>
              </w:tc>
              <w:tc>
                <w:tcPr>
                  <w:tcW w:w="826" w:type="pct"/>
                  <w:vMerge w:val="continue"/>
                  <w:vAlign w:val="center"/>
                </w:tcPr>
                <w:p w14:paraId="14060867">
                  <w:pPr>
                    <w:jc w:val="center"/>
                    <w:rPr>
                      <w:color w:val="auto"/>
                      <w:sz w:val="22"/>
                      <w:szCs w:val="22"/>
                    </w:rPr>
                  </w:pPr>
                </w:p>
              </w:tc>
              <w:tc>
                <w:tcPr>
                  <w:tcW w:w="3730" w:type="pct"/>
                  <w:vAlign w:val="center"/>
                </w:tcPr>
                <w:p w14:paraId="6C551F09">
                  <w:pPr>
                    <w:jc w:val="center"/>
                    <w:rPr>
                      <w:rFonts w:hAnsi="宋体"/>
                      <w:color w:val="auto"/>
                      <w:sz w:val="22"/>
                      <w:szCs w:val="22"/>
                    </w:rPr>
                  </w:pPr>
                  <w:r>
                    <w:rPr>
                      <w:rFonts w:hint="eastAsia"/>
                      <w:color w:val="auto"/>
                      <w:sz w:val="22"/>
                      <w:szCs w:val="22"/>
                    </w:rPr>
                    <w:t>铁甲侧：依托现有22</w:t>
                  </w:r>
                  <w:r>
                    <w:rPr>
                      <w:color w:val="auto"/>
                      <w:sz w:val="22"/>
                      <w:szCs w:val="22"/>
                    </w:rPr>
                    <w:t>0kV</w:t>
                  </w:r>
                  <w:r>
                    <w:rPr>
                      <w:rFonts w:hint="eastAsia"/>
                      <w:color w:val="auto"/>
                      <w:sz w:val="22"/>
                      <w:szCs w:val="22"/>
                    </w:rPr>
                    <w:t>铁甲</w:t>
                  </w:r>
                  <w:r>
                    <w:rPr>
                      <w:color w:val="auto"/>
                      <w:sz w:val="22"/>
                      <w:szCs w:val="22"/>
                    </w:rPr>
                    <w:t>变电站</w:t>
                  </w:r>
                  <w:r>
                    <w:rPr>
                      <w:rFonts w:hint="eastAsia"/>
                      <w:color w:val="auto"/>
                      <w:sz w:val="22"/>
                      <w:szCs w:val="22"/>
                    </w:rPr>
                    <w:t>，扩建间隔并安装设备</w:t>
                  </w:r>
                </w:p>
              </w:tc>
            </w:tr>
            <w:tr w14:paraId="75ECC8B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1" w:type="dxa"/>
                  <w:bottom w:w="0" w:type="dxa"/>
                  <w:right w:w="51" w:type="dxa"/>
                </w:tblCellMar>
              </w:tblPrEx>
              <w:trPr>
                <w:trHeight w:val="340" w:hRule="atLeast"/>
                <w:jc w:val="center"/>
              </w:trPr>
              <w:tc>
                <w:tcPr>
                  <w:tcW w:w="442" w:type="pct"/>
                  <w:vMerge w:val="restart"/>
                  <w:vAlign w:val="center"/>
                </w:tcPr>
                <w:p w14:paraId="7C013AE9">
                  <w:pPr>
                    <w:jc w:val="center"/>
                    <w:rPr>
                      <w:color w:val="auto"/>
                      <w:sz w:val="22"/>
                      <w:szCs w:val="22"/>
                    </w:rPr>
                  </w:pPr>
                  <w:r>
                    <w:rPr>
                      <w:rFonts w:hAnsi="宋体"/>
                      <w:color w:val="auto"/>
                      <w:sz w:val="22"/>
                      <w:szCs w:val="22"/>
                    </w:rPr>
                    <w:t>临时</w:t>
                  </w:r>
                </w:p>
                <w:p w14:paraId="3AA61CA2">
                  <w:pPr>
                    <w:jc w:val="center"/>
                    <w:rPr>
                      <w:color w:val="auto"/>
                      <w:sz w:val="22"/>
                      <w:szCs w:val="22"/>
                    </w:rPr>
                  </w:pPr>
                  <w:r>
                    <w:rPr>
                      <w:rFonts w:hAnsi="宋体"/>
                      <w:color w:val="auto"/>
                      <w:sz w:val="22"/>
                      <w:szCs w:val="22"/>
                    </w:rPr>
                    <w:t>工程</w:t>
                  </w:r>
                </w:p>
              </w:tc>
              <w:tc>
                <w:tcPr>
                  <w:tcW w:w="826" w:type="pct"/>
                  <w:vAlign w:val="center"/>
                </w:tcPr>
                <w:p w14:paraId="574B0418">
                  <w:pPr>
                    <w:jc w:val="center"/>
                    <w:rPr>
                      <w:bCs/>
                      <w:color w:val="auto"/>
                      <w:sz w:val="22"/>
                      <w:szCs w:val="22"/>
                    </w:rPr>
                  </w:pPr>
                  <w:r>
                    <w:rPr>
                      <w:rFonts w:hAnsi="宋体"/>
                      <w:bCs/>
                      <w:color w:val="auto"/>
                      <w:sz w:val="22"/>
                      <w:szCs w:val="22"/>
                    </w:rPr>
                    <w:t>施工营地</w:t>
                  </w:r>
                </w:p>
              </w:tc>
              <w:tc>
                <w:tcPr>
                  <w:tcW w:w="3730" w:type="pct"/>
                  <w:vAlign w:val="center"/>
                </w:tcPr>
                <w:p w14:paraId="246AC6CE">
                  <w:pPr>
                    <w:jc w:val="center"/>
                    <w:rPr>
                      <w:bCs/>
                      <w:color w:val="auto"/>
                      <w:sz w:val="22"/>
                      <w:szCs w:val="22"/>
                    </w:rPr>
                  </w:pPr>
                  <w:r>
                    <w:rPr>
                      <w:rFonts w:hint="eastAsia" w:hAnsi="宋体"/>
                      <w:color w:val="auto"/>
                      <w:sz w:val="22"/>
                      <w:szCs w:val="22"/>
                    </w:rPr>
                    <w:t>拟租用沿线民房作为项目施工营地、</w:t>
                  </w:r>
                  <w:r>
                    <w:rPr>
                      <w:rFonts w:hint="eastAsia"/>
                      <w:color w:val="auto"/>
                      <w:sz w:val="22"/>
                      <w:szCs w:val="22"/>
                    </w:rPr>
                    <w:t>项目部</w:t>
                  </w:r>
                </w:p>
              </w:tc>
            </w:tr>
            <w:tr w14:paraId="4070157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1" w:type="dxa"/>
                  <w:bottom w:w="0" w:type="dxa"/>
                  <w:right w:w="51" w:type="dxa"/>
                </w:tblCellMar>
              </w:tblPrEx>
              <w:trPr>
                <w:trHeight w:val="340" w:hRule="atLeast"/>
                <w:jc w:val="center"/>
              </w:trPr>
              <w:tc>
                <w:tcPr>
                  <w:tcW w:w="442" w:type="pct"/>
                  <w:vMerge w:val="continue"/>
                  <w:vAlign w:val="center"/>
                </w:tcPr>
                <w:p w14:paraId="0481115B">
                  <w:pPr>
                    <w:widowControl/>
                    <w:jc w:val="center"/>
                    <w:rPr>
                      <w:color w:val="auto"/>
                      <w:sz w:val="22"/>
                      <w:szCs w:val="22"/>
                    </w:rPr>
                  </w:pPr>
                </w:p>
              </w:tc>
              <w:tc>
                <w:tcPr>
                  <w:tcW w:w="826" w:type="pct"/>
                  <w:vAlign w:val="center"/>
                </w:tcPr>
                <w:p w14:paraId="6DF2691E">
                  <w:pPr>
                    <w:jc w:val="center"/>
                    <w:rPr>
                      <w:color w:val="auto"/>
                      <w:sz w:val="22"/>
                      <w:szCs w:val="22"/>
                    </w:rPr>
                  </w:pPr>
                  <w:r>
                    <w:rPr>
                      <w:rFonts w:hAnsi="宋体"/>
                      <w:bCs/>
                      <w:color w:val="auto"/>
                      <w:sz w:val="22"/>
                      <w:szCs w:val="22"/>
                    </w:rPr>
                    <w:t>施工便道</w:t>
                  </w:r>
                </w:p>
              </w:tc>
              <w:tc>
                <w:tcPr>
                  <w:tcW w:w="3730" w:type="pct"/>
                  <w:vAlign w:val="center"/>
                </w:tcPr>
                <w:p w14:paraId="20CAC21F">
                  <w:pPr>
                    <w:jc w:val="center"/>
                    <w:rPr>
                      <w:bCs/>
                      <w:color w:val="auto"/>
                      <w:sz w:val="22"/>
                      <w:szCs w:val="22"/>
                    </w:rPr>
                  </w:pPr>
                  <w:r>
                    <w:rPr>
                      <w:rFonts w:hint="eastAsia"/>
                      <w:color w:val="auto"/>
                      <w:sz w:val="22"/>
                      <w:szCs w:val="22"/>
                    </w:rPr>
                    <w:t>线路沿线有多条道路、现有村道等</w:t>
                  </w:r>
                  <w:r>
                    <w:rPr>
                      <w:color w:val="auto"/>
                      <w:sz w:val="22"/>
                      <w:szCs w:val="22"/>
                    </w:rPr>
                    <w:t>，</w:t>
                  </w:r>
                  <w:r>
                    <w:rPr>
                      <w:rFonts w:hint="eastAsia"/>
                      <w:color w:val="auto"/>
                      <w:sz w:val="22"/>
                      <w:szCs w:val="22"/>
                    </w:rPr>
                    <w:t>部分塔位材料运输等可依托现有道路、村道以及</w:t>
                  </w:r>
                  <w:r>
                    <w:rPr>
                      <w:color w:val="auto"/>
                      <w:sz w:val="22"/>
                      <w:szCs w:val="22"/>
                    </w:rPr>
                    <w:t>机耕道</w:t>
                  </w:r>
                  <w:r>
                    <w:rPr>
                      <w:rFonts w:hint="eastAsia"/>
                      <w:color w:val="auto"/>
                      <w:sz w:val="22"/>
                      <w:szCs w:val="22"/>
                    </w:rPr>
                    <w:t>；对于部分交通路网相对稀缺塔基位置，本工程拟</w:t>
                  </w:r>
                  <w:r>
                    <w:rPr>
                      <w:color w:val="auto"/>
                      <w:sz w:val="22"/>
                      <w:szCs w:val="22"/>
                    </w:rPr>
                    <w:t>新建施工便道</w:t>
                  </w:r>
                  <w:r>
                    <w:rPr>
                      <w:rFonts w:hint="eastAsia"/>
                      <w:color w:val="auto"/>
                      <w:sz w:val="22"/>
                      <w:szCs w:val="22"/>
                    </w:rPr>
                    <w:t>，道路宽度按3.5m设计，总长度约0.9km，临时占地面积约3150m</w:t>
                  </w:r>
                  <w:r>
                    <w:rPr>
                      <w:rFonts w:hint="eastAsia"/>
                      <w:color w:val="auto"/>
                      <w:sz w:val="22"/>
                      <w:szCs w:val="22"/>
                      <w:vertAlign w:val="superscript"/>
                    </w:rPr>
                    <w:t>2</w:t>
                  </w:r>
                </w:p>
              </w:tc>
            </w:tr>
            <w:tr w14:paraId="2E3FF4F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1" w:type="dxa"/>
                  <w:bottom w:w="0" w:type="dxa"/>
                  <w:right w:w="51" w:type="dxa"/>
                </w:tblCellMar>
              </w:tblPrEx>
              <w:trPr>
                <w:trHeight w:val="90" w:hRule="atLeast"/>
                <w:jc w:val="center"/>
              </w:trPr>
              <w:tc>
                <w:tcPr>
                  <w:tcW w:w="442" w:type="pct"/>
                  <w:vMerge w:val="continue"/>
                  <w:vAlign w:val="center"/>
                </w:tcPr>
                <w:p w14:paraId="634A577E">
                  <w:pPr>
                    <w:widowControl/>
                    <w:jc w:val="center"/>
                    <w:rPr>
                      <w:color w:val="auto"/>
                      <w:sz w:val="22"/>
                      <w:szCs w:val="22"/>
                    </w:rPr>
                  </w:pPr>
                </w:p>
              </w:tc>
              <w:tc>
                <w:tcPr>
                  <w:tcW w:w="826" w:type="pct"/>
                  <w:vAlign w:val="center"/>
                </w:tcPr>
                <w:p w14:paraId="35AC9F42">
                  <w:pPr>
                    <w:jc w:val="center"/>
                    <w:rPr>
                      <w:bCs/>
                      <w:color w:val="auto"/>
                      <w:sz w:val="22"/>
                      <w:szCs w:val="22"/>
                    </w:rPr>
                  </w:pPr>
                  <w:r>
                    <w:rPr>
                      <w:rFonts w:hAnsi="宋体"/>
                      <w:bCs/>
                      <w:color w:val="auto"/>
                      <w:sz w:val="22"/>
                      <w:szCs w:val="22"/>
                    </w:rPr>
                    <w:t>牵张场</w:t>
                  </w:r>
                </w:p>
              </w:tc>
              <w:tc>
                <w:tcPr>
                  <w:tcW w:w="3730" w:type="pct"/>
                  <w:vAlign w:val="center"/>
                </w:tcPr>
                <w:p w14:paraId="71DE2F9C">
                  <w:pPr>
                    <w:jc w:val="center"/>
                    <w:rPr>
                      <w:color w:val="auto"/>
                      <w:sz w:val="22"/>
                      <w:szCs w:val="22"/>
                      <w:lang w:val="zh-CN"/>
                    </w:rPr>
                  </w:pPr>
                  <w:r>
                    <w:rPr>
                      <w:bCs/>
                      <w:color w:val="auto"/>
                      <w:spacing w:val="-6"/>
                      <w:sz w:val="22"/>
                      <w:szCs w:val="22"/>
                    </w:rPr>
                    <w:t>拟设置牵张场共约</w:t>
                  </w:r>
                  <w:r>
                    <w:rPr>
                      <w:rFonts w:hint="eastAsia"/>
                      <w:bCs/>
                      <w:color w:val="auto"/>
                      <w:spacing w:val="-6"/>
                      <w:sz w:val="22"/>
                      <w:szCs w:val="22"/>
                    </w:rPr>
                    <w:t>3</w:t>
                  </w:r>
                  <w:r>
                    <w:rPr>
                      <w:bCs/>
                      <w:color w:val="auto"/>
                      <w:spacing w:val="-6"/>
                      <w:sz w:val="22"/>
                      <w:szCs w:val="22"/>
                    </w:rPr>
                    <w:t>处，</w:t>
                  </w:r>
                  <w:r>
                    <w:rPr>
                      <w:rFonts w:hint="eastAsia"/>
                      <w:bCs/>
                      <w:color w:val="auto"/>
                      <w:spacing w:val="-6"/>
                      <w:sz w:val="22"/>
                      <w:szCs w:val="22"/>
                    </w:rPr>
                    <w:t>分别位于N9、N23、46#塔附近，</w:t>
                  </w:r>
                  <w:r>
                    <w:rPr>
                      <w:bCs/>
                      <w:color w:val="auto"/>
                      <w:spacing w:val="-6"/>
                      <w:sz w:val="22"/>
                      <w:szCs w:val="22"/>
                    </w:rPr>
                    <w:t>牵张场占地面积共约</w:t>
                  </w:r>
                  <w:r>
                    <w:rPr>
                      <w:rFonts w:hint="eastAsia"/>
                      <w:bCs/>
                      <w:color w:val="auto"/>
                      <w:spacing w:val="-6"/>
                      <w:sz w:val="22"/>
                      <w:szCs w:val="22"/>
                    </w:rPr>
                    <w:t>1800</w:t>
                  </w:r>
                  <w:r>
                    <w:rPr>
                      <w:bCs/>
                      <w:color w:val="auto"/>
                      <w:spacing w:val="-6"/>
                      <w:sz w:val="22"/>
                      <w:szCs w:val="22"/>
                    </w:rPr>
                    <w:t>m</w:t>
                  </w:r>
                  <w:r>
                    <w:rPr>
                      <w:bCs/>
                      <w:color w:val="auto"/>
                      <w:spacing w:val="-6"/>
                      <w:sz w:val="22"/>
                      <w:szCs w:val="22"/>
                      <w:vertAlign w:val="superscript"/>
                    </w:rPr>
                    <w:t>2</w:t>
                  </w:r>
                  <w:r>
                    <w:rPr>
                      <w:bCs/>
                      <w:color w:val="auto"/>
                      <w:spacing w:val="-6"/>
                      <w:sz w:val="22"/>
                      <w:szCs w:val="22"/>
                    </w:rPr>
                    <w:t>，</w:t>
                  </w:r>
                  <w:r>
                    <w:rPr>
                      <w:rFonts w:hint="eastAsia"/>
                      <w:bCs/>
                      <w:color w:val="auto"/>
                      <w:spacing w:val="-6"/>
                      <w:sz w:val="22"/>
                      <w:szCs w:val="22"/>
                    </w:rPr>
                    <w:t>占地类型为</w:t>
                  </w:r>
                  <w:r>
                    <w:rPr>
                      <w:rFonts w:hint="eastAsia"/>
                      <w:color w:val="auto"/>
                      <w:sz w:val="22"/>
                      <w:szCs w:val="22"/>
                    </w:rPr>
                    <w:t>灌木林</w:t>
                  </w:r>
                  <w:r>
                    <w:rPr>
                      <w:rFonts w:hint="eastAsia"/>
                      <w:color w:val="auto"/>
                      <w:kern w:val="0"/>
                      <w:sz w:val="22"/>
                      <w:szCs w:val="22"/>
                      <w:lang w:bidi="en-US"/>
                    </w:rPr>
                    <w:t>地、</w:t>
                  </w:r>
                  <w:r>
                    <w:rPr>
                      <w:rFonts w:hint="eastAsia"/>
                      <w:color w:val="auto"/>
                      <w:sz w:val="22"/>
                      <w:szCs w:val="22"/>
                    </w:rPr>
                    <w:t>旱地和其他草地</w:t>
                  </w:r>
                </w:p>
              </w:tc>
            </w:tr>
            <w:tr w14:paraId="5494236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1" w:type="dxa"/>
                  <w:bottom w:w="0" w:type="dxa"/>
                  <w:right w:w="51" w:type="dxa"/>
                </w:tblCellMar>
              </w:tblPrEx>
              <w:trPr>
                <w:trHeight w:val="340" w:hRule="atLeast"/>
                <w:jc w:val="center"/>
              </w:trPr>
              <w:tc>
                <w:tcPr>
                  <w:tcW w:w="442" w:type="pct"/>
                  <w:vMerge w:val="continue"/>
                  <w:vAlign w:val="center"/>
                </w:tcPr>
                <w:p w14:paraId="35F3B0ED">
                  <w:pPr>
                    <w:widowControl/>
                    <w:jc w:val="center"/>
                    <w:rPr>
                      <w:color w:val="auto"/>
                      <w:sz w:val="22"/>
                      <w:szCs w:val="22"/>
                    </w:rPr>
                  </w:pPr>
                </w:p>
              </w:tc>
              <w:tc>
                <w:tcPr>
                  <w:tcW w:w="826" w:type="pct"/>
                  <w:vAlign w:val="center"/>
                </w:tcPr>
                <w:p w14:paraId="242CD187">
                  <w:pPr>
                    <w:jc w:val="center"/>
                    <w:rPr>
                      <w:bCs/>
                      <w:color w:val="auto"/>
                      <w:sz w:val="22"/>
                      <w:szCs w:val="22"/>
                    </w:rPr>
                  </w:pPr>
                  <w:r>
                    <w:rPr>
                      <w:rFonts w:hAnsi="宋体"/>
                      <w:bCs/>
                      <w:color w:val="auto"/>
                      <w:sz w:val="22"/>
                      <w:szCs w:val="22"/>
                    </w:rPr>
                    <w:t>材料堆场</w:t>
                  </w:r>
                </w:p>
              </w:tc>
              <w:tc>
                <w:tcPr>
                  <w:tcW w:w="3730" w:type="pct"/>
                  <w:vAlign w:val="center"/>
                </w:tcPr>
                <w:p w14:paraId="4764F623">
                  <w:pPr>
                    <w:jc w:val="center"/>
                    <w:rPr>
                      <w:bCs/>
                      <w:color w:val="auto"/>
                      <w:sz w:val="22"/>
                      <w:szCs w:val="22"/>
                    </w:rPr>
                  </w:pPr>
                  <w:r>
                    <w:rPr>
                      <w:rFonts w:hint="eastAsia"/>
                      <w:bCs/>
                      <w:color w:val="auto"/>
                      <w:spacing w:val="-6"/>
                      <w:sz w:val="22"/>
                      <w:szCs w:val="22"/>
                    </w:rPr>
                    <w:t>设置1个材料堆场，租赁</w:t>
                  </w:r>
                  <w:r>
                    <w:rPr>
                      <w:rFonts w:hint="eastAsia"/>
                      <w:color w:val="auto"/>
                      <w:sz w:val="22"/>
                      <w:szCs w:val="22"/>
                    </w:rPr>
                    <w:t>冯坪乡</w:t>
                  </w:r>
                  <w:r>
                    <w:rPr>
                      <w:rFonts w:hint="eastAsia" w:hAnsi="宋体"/>
                      <w:color w:val="auto"/>
                      <w:sz w:val="22"/>
                      <w:szCs w:val="22"/>
                    </w:rPr>
                    <w:t>沿线</w:t>
                  </w:r>
                  <w:r>
                    <w:rPr>
                      <w:rFonts w:hint="eastAsia"/>
                      <w:color w:val="auto"/>
                      <w:sz w:val="22"/>
                      <w:szCs w:val="22"/>
                    </w:rPr>
                    <w:t>农户</w:t>
                  </w:r>
                  <w:r>
                    <w:rPr>
                      <w:rFonts w:hint="eastAsia" w:hAnsi="宋体"/>
                      <w:color w:val="auto"/>
                      <w:sz w:val="22"/>
                      <w:szCs w:val="22"/>
                    </w:rPr>
                    <w:t>院坝，</w:t>
                  </w:r>
                  <w:r>
                    <w:rPr>
                      <w:rFonts w:hint="eastAsia"/>
                      <w:color w:val="auto"/>
                      <w:sz w:val="22"/>
                      <w:szCs w:val="22"/>
                    </w:rPr>
                    <w:t>主要堆放铁塔、导线、钢筋等</w:t>
                  </w:r>
                  <w:r>
                    <w:rPr>
                      <w:rFonts w:hint="eastAsia"/>
                      <w:bCs/>
                      <w:color w:val="auto"/>
                      <w:spacing w:val="-6"/>
                      <w:sz w:val="22"/>
                      <w:szCs w:val="22"/>
                    </w:rPr>
                    <w:t>，不另设堆场等临时占地</w:t>
                  </w:r>
                </w:p>
              </w:tc>
            </w:tr>
            <w:tr w14:paraId="0C62FA1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1" w:type="dxa"/>
                  <w:bottom w:w="0" w:type="dxa"/>
                  <w:right w:w="51" w:type="dxa"/>
                </w:tblCellMar>
              </w:tblPrEx>
              <w:trPr>
                <w:trHeight w:val="340" w:hRule="atLeast"/>
                <w:jc w:val="center"/>
              </w:trPr>
              <w:tc>
                <w:tcPr>
                  <w:tcW w:w="442" w:type="pct"/>
                  <w:vMerge w:val="continue"/>
                  <w:vAlign w:val="center"/>
                </w:tcPr>
                <w:p w14:paraId="7427D168">
                  <w:pPr>
                    <w:widowControl/>
                    <w:jc w:val="center"/>
                    <w:rPr>
                      <w:color w:val="auto"/>
                      <w:sz w:val="22"/>
                      <w:szCs w:val="22"/>
                    </w:rPr>
                  </w:pPr>
                </w:p>
              </w:tc>
              <w:tc>
                <w:tcPr>
                  <w:tcW w:w="826" w:type="pct"/>
                  <w:vAlign w:val="center"/>
                </w:tcPr>
                <w:p w14:paraId="00772217">
                  <w:pPr>
                    <w:adjustRightInd w:val="0"/>
                    <w:snapToGrid w:val="0"/>
                    <w:jc w:val="center"/>
                    <w:rPr>
                      <w:color w:val="auto"/>
                      <w:sz w:val="22"/>
                      <w:szCs w:val="22"/>
                    </w:rPr>
                  </w:pPr>
                  <w:r>
                    <w:rPr>
                      <w:rFonts w:hint="eastAsia"/>
                      <w:color w:val="auto"/>
                      <w:sz w:val="22"/>
                      <w:szCs w:val="22"/>
                    </w:rPr>
                    <w:t>塔基施工场地</w:t>
                  </w:r>
                </w:p>
              </w:tc>
              <w:tc>
                <w:tcPr>
                  <w:tcW w:w="3730" w:type="pct"/>
                  <w:vAlign w:val="center"/>
                </w:tcPr>
                <w:p w14:paraId="4DB8F20C">
                  <w:pPr>
                    <w:adjustRightInd w:val="0"/>
                    <w:snapToGrid w:val="0"/>
                    <w:jc w:val="center"/>
                    <w:rPr>
                      <w:bCs/>
                      <w:color w:val="auto"/>
                      <w:sz w:val="22"/>
                      <w:szCs w:val="22"/>
                    </w:rPr>
                  </w:pPr>
                  <w:r>
                    <w:rPr>
                      <w:color w:val="auto"/>
                      <w:sz w:val="22"/>
                      <w:szCs w:val="22"/>
                    </w:rPr>
                    <w:t>项目施工时塔基等周围临时占地约为</w:t>
                  </w:r>
                  <w:r>
                    <w:rPr>
                      <w:rFonts w:hint="eastAsia"/>
                      <w:color w:val="auto"/>
                      <w:sz w:val="22"/>
                      <w:szCs w:val="22"/>
                    </w:rPr>
                    <w:t>2640</w:t>
                  </w:r>
                  <w:r>
                    <w:rPr>
                      <w:color w:val="auto"/>
                      <w:sz w:val="22"/>
                      <w:szCs w:val="22"/>
                    </w:rPr>
                    <w:t>m</w:t>
                  </w:r>
                  <w:r>
                    <w:rPr>
                      <w:color w:val="auto"/>
                      <w:sz w:val="22"/>
                      <w:szCs w:val="22"/>
                      <w:vertAlign w:val="superscript"/>
                    </w:rPr>
                    <w:t>2</w:t>
                  </w:r>
                </w:p>
              </w:tc>
            </w:tr>
            <w:tr w14:paraId="2B62A8D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1" w:type="dxa"/>
                  <w:bottom w:w="0" w:type="dxa"/>
                  <w:right w:w="51" w:type="dxa"/>
                </w:tblCellMar>
              </w:tblPrEx>
              <w:trPr>
                <w:trHeight w:val="340" w:hRule="atLeast"/>
                <w:jc w:val="center"/>
              </w:trPr>
              <w:tc>
                <w:tcPr>
                  <w:tcW w:w="442" w:type="pct"/>
                  <w:vMerge w:val="restart"/>
                  <w:vAlign w:val="center"/>
                </w:tcPr>
                <w:p w14:paraId="01D72DA9">
                  <w:pPr>
                    <w:jc w:val="center"/>
                    <w:rPr>
                      <w:bCs/>
                      <w:color w:val="auto"/>
                      <w:sz w:val="22"/>
                      <w:szCs w:val="22"/>
                    </w:rPr>
                  </w:pPr>
                  <w:r>
                    <w:rPr>
                      <w:rFonts w:hAnsi="宋体"/>
                      <w:bCs/>
                      <w:color w:val="auto"/>
                      <w:sz w:val="22"/>
                      <w:szCs w:val="22"/>
                    </w:rPr>
                    <w:t>环保</w:t>
                  </w:r>
                </w:p>
                <w:p w14:paraId="2A7FE7D6">
                  <w:pPr>
                    <w:jc w:val="center"/>
                    <w:rPr>
                      <w:color w:val="auto"/>
                      <w:sz w:val="22"/>
                      <w:szCs w:val="22"/>
                    </w:rPr>
                  </w:pPr>
                  <w:r>
                    <w:rPr>
                      <w:rFonts w:hAnsi="宋体"/>
                      <w:bCs/>
                      <w:color w:val="auto"/>
                      <w:sz w:val="22"/>
                      <w:szCs w:val="22"/>
                    </w:rPr>
                    <w:t>工程</w:t>
                  </w:r>
                </w:p>
              </w:tc>
              <w:tc>
                <w:tcPr>
                  <w:tcW w:w="826" w:type="pct"/>
                  <w:vAlign w:val="center"/>
                </w:tcPr>
                <w:p w14:paraId="65738F01">
                  <w:pPr>
                    <w:jc w:val="center"/>
                    <w:rPr>
                      <w:bCs/>
                      <w:color w:val="auto"/>
                      <w:sz w:val="22"/>
                      <w:szCs w:val="22"/>
                    </w:rPr>
                  </w:pPr>
                  <w:r>
                    <w:rPr>
                      <w:rFonts w:hint="eastAsia" w:hAnsi="宋体"/>
                      <w:bCs/>
                      <w:color w:val="auto"/>
                      <w:sz w:val="22"/>
                      <w:szCs w:val="22"/>
                    </w:rPr>
                    <w:t>废水</w:t>
                  </w:r>
                </w:p>
              </w:tc>
              <w:tc>
                <w:tcPr>
                  <w:tcW w:w="3730" w:type="pct"/>
                  <w:vAlign w:val="center"/>
                </w:tcPr>
                <w:p w14:paraId="45FDF790">
                  <w:pPr>
                    <w:jc w:val="center"/>
                    <w:rPr>
                      <w:bCs/>
                      <w:color w:val="auto"/>
                      <w:spacing w:val="-6"/>
                      <w:sz w:val="22"/>
                      <w:szCs w:val="22"/>
                    </w:rPr>
                  </w:pPr>
                  <w:r>
                    <w:rPr>
                      <w:rFonts w:hAnsi="宋体"/>
                      <w:color w:val="auto"/>
                      <w:sz w:val="22"/>
                      <w:szCs w:val="22"/>
                    </w:rPr>
                    <w:t>施工人员生活污水依托周边现有污水处理设施收集、处理</w:t>
                  </w:r>
                  <w:r>
                    <w:rPr>
                      <w:rFonts w:hint="eastAsia" w:hAnsi="宋体"/>
                      <w:color w:val="auto"/>
                      <w:sz w:val="22"/>
                      <w:szCs w:val="22"/>
                    </w:rPr>
                    <w:t>；施工废水经简易沉淀池处理后上清液回用洒水，少量混凝土养护废水自然蒸发</w:t>
                  </w:r>
                </w:p>
              </w:tc>
            </w:tr>
            <w:tr w14:paraId="68B9BB0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1" w:type="dxa"/>
                  <w:bottom w:w="0" w:type="dxa"/>
                  <w:right w:w="51" w:type="dxa"/>
                </w:tblCellMar>
              </w:tblPrEx>
              <w:trPr>
                <w:trHeight w:val="340" w:hRule="atLeast"/>
                <w:jc w:val="center"/>
              </w:trPr>
              <w:tc>
                <w:tcPr>
                  <w:tcW w:w="442" w:type="pct"/>
                  <w:vMerge w:val="continue"/>
                  <w:vAlign w:val="center"/>
                </w:tcPr>
                <w:p w14:paraId="6539B937">
                  <w:pPr>
                    <w:widowControl/>
                    <w:jc w:val="center"/>
                    <w:rPr>
                      <w:color w:val="auto"/>
                      <w:sz w:val="22"/>
                      <w:szCs w:val="22"/>
                    </w:rPr>
                  </w:pPr>
                </w:p>
              </w:tc>
              <w:tc>
                <w:tcPr>
                  <w:tcW w:w="826" w:type="pct"/>
                  <w:vAlign w:val="center"/>
                </w:tcPr>
                <w:p w14:paraId="108FB94D">
                  <w:pPr>
                    <w:jc w:val="center"/>
                    <w:rPr>
                      <w:bCs/>
                      <w:color w:val="auto"/>
                      <w:sz w:val="22"/>
                      <w:szCs w:val="22"/>
                    </w:rPr>
                  </w:pPr>
                  <w:r>
                    <w:rPr>
                      <w:rFonts w:hint="eastAsia" w:hAnsi="宋体"/>
                      <w:bCs/>
                      <w:color w:val="auto"/>
                      <w:spacing w:val="-6"/>
                      <w:sz w:val="22"/>
                      <w:szCs w:val="22"/>
                    </w:rPr>
                    <w:t>固废</w:t>
                  </w:r>
                </w:p>
              </w:tc>
              <w:tc>
                <w:tcPr>
                  <w:tcW w:w="3730" w:type="pct"/>
                  <w:vAlign w:val="center"/>
                </w:tcPr>
                <w:p w14:paraId="6590DCD8">
                  <w:pPr>
                    <w:jc w:val="center"/>
                    <w:rPr>
                      <w:bCs/>
                      <w:color w:val="auto"/>
                      <w:spacing w:val="-6"/>
                      <w:sz w:val="22"/>
                      <w:szCs w:val="22"/>
                    </w:rPr>
                  </w:pPr>
                  <w:r>
                    <w:rPr>
                      <w:rFonts w:hAnsi="宋体"/>
                      <w:bCs/>
                      <w:color w:val="auto"/>
                      <w:spacing w:val="-6"/>
                      <w:sz w:val="22"/>
                      <w:szCs w:val="22"/>
                    </w:rPr>
                    <w:t>利用附近已有公共环卫设施收集，由当地环卫部门定期进行转移处理</w:t>
                  </w:r>
                  <w:r>
                    <w:rPr>
                      <w:rFonts w:hint="eastAsia" w:hAnsi="宋体"/>
                      <w:bCs/>
                      <w:color w:val="auto"/>
                      <w:spacing w:val="-6"/>
                      <w:sz w:val="22"/>
                      <w:szCs w:val="22"/>
                    </w:rPr>
                    <w:t>；塔基多余土石方在塔基范围内处理，施工结束后全部用于回填及就地夯实，基本无弃土</w:t>
                  </w:r>
                </w:p>
              </w:tc>
            </w:tr>
            <w:tr w14:paraId="0413BD7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1" w:type="dxa"/>
                  <w:bottom w:w="0" w:type="dxa"/>
                  <w:right w:w="51" w:type="dxa"/>
                </w:tblCellMar>
              </w:tblPrEx>
              <w:trPr>
                <w:trHeight w:val="511" w:hRule="atLeast"/>
                <w:jc w:val="center"/>
              </w:trPr>
              <w:tc>
                <w:tcPr>
                  <w:tcW w:w="442" w:type="pct"/>
                  <w:vMerge w:val="continue"/>
                  <w:vAlign w:val="center"/>
                </w:tcPr>
                <w:p w14:paraId="5C6E1194">
                  <w:pPr>
                    <w:widowControl/>
                    <w:jc w:val="center"/>
                    <w:rPr>
                      <w:color w:val="auto"/>
                      <w:sz w:val="22"/>
                      <w:szCs w:val="22"/>
                    </w:rPr>
                  </w:pPr>
                </w:p>
              </w:tc>
              <w:tc>
                <w:tcPr>
                  <w:tcW w:w="826" w:type="pct"/>
                  <w:vAlign w:val="center"/>
                </w:tcPr>
                <w:p w14:paraId="2B851F5C">
                  <w:pPr>
                    <w:jc w:val="center"/>
                    <w:rPr>
                      <w:color w:val="auto"/>
                      <w:sz w:val="22"/>
                      <w:szCs w:val="22"/>
                    </w:rPr>
                  </w:pPr>
                  <w:r>
                    <w:rPr>
                      <w:rFonts w:hAnsi="宋体"/>
                      <w:bCs/>
                      <w:color w:val="auto"/>
                      <w:sz w:val="22"/>
                      <w:szCs w:val="22"/>
                    </w:rPr>
                    <w:t>电磁和声环境</w:t>
                  </w:r>
                </w:p>
              </w:tc>
              <w:tc>
                <w:tcPr>
                  <w:tcW w:w="3730" w:type="pct"/>
                  <w:vAlign w:val="center"/>
                </w:tcPr>
                <w:p w14:paraId="6F36C31C">
                  <w:pPr>
                    <w:jc w:val="center"/>
                    <w:rPr>
                      <w:color w:val="auto"/>
                      <w:kern w:val="0"/>
                      <w:sz w:val="22"/>
                      <w:szCs w:val="22"/>
                    </w:rPr>
                  </w:pPr>
                  <w:r>
                    <w:rPr>
                      <w:rFonts w:hAnsi="宋体"/>
                      <w:bCs/>
                      <w:color w:val="auto"/>
                      <w:sz w:val="22"/>
                      <w:szCs w:val="22"/>
                    </w:rPr>
                    <w:t>控制线路与环境保护目标的距离</w:t>
                  </w:r>
                  <w:r>
                    <w:rPr>
                      <w:rFonts w:hint="eastAsia" w:hAnsi="宋体"/>
                      <w:bCs/>
                      <w:color w:val="auto"/>
                      <w:sz w:val="22"/>
                      <w:szCs w:val="22"/>
                    </w:rPr>
                    <w:t>；加强环境管理，定期进行环境监测工作</w:t>
                  </w:r>
                </w:p>
              </w:tc>
            </w:tr>
          </w:tbl>
          <w:p w14:paraId="2AB9FE72">
            <w:pPr>
              <w:snapToGrid w:val="0"/>
              <w:rPr>
                <w:b/>
                <w:color w:val="auto"/>
                <w:sz w:val="26"/>
                <w:szCs w:val="26"/>
              </w:rPr>
            </w:pPr>
          </w:p>
          <w:p w14:paraId="78166416">
            <w:pPr>
              <w:spacing w:line="460" w:lineRule="exact"/>
              <w:rPr>
                <w:b/>
                <w:color w:val="auto"/>
                <w:kern w:val="0"/>
                <w:sz w:val="26"/>
                <w:szCs w:val="26"/>
              </w:rPr>
            </w:pPr>
            <w:r>
              <w:rPr>
                <w:b/>
                <w:color w:val="auto"/>
                <w:sz w:val="26"/>
                <w:szCs w:val="26"/>
              </w:rPr>
              <w:t>2.</w:t>
            </w:r>
            <w:r>
              <w:rPr>
                <w:rFonts w:hint="eastAsia"/>
                <w:b/>
                <w:color w:val="auto"/>
                <w:sz w:val="26"/>
                <w:szCs w:val="26"/>
              </w:rPr>
              <w:t>4建设规模及主要经济技术指标</w:t>
            </w:r>
          </w:p>
          <w:p w14:paraId="7BF26763">
            <w:pPr>
              <w:spacing w:line="460" w:lineRule="exact"/>
              <w:ind w:firstLine="522" w:firstLineChars="200"/>
              <w:rPr>
                <w:b/>
                <w:color w:val="auto"/>
                <w:sz w:val="26"/>
                <w:szCs w:val="26"/>
              </w:rPr>
            </w:pPr>
            <w:r>
              <w:rPr>
                <w:rFonts w:hint="eastAsia"/>
                <w:b/>
                <w:color w:val="auto"/>
                <w:sz w:val="26"/>
                <w:szCs w:val="26"/>
              </w:rPr>
              <w:t>2.4.1 110kV架空线路工程</w:t>
            </w:r>
          </w:p>
          <w:p w14:paraId="0E0AE6DE">
            <w:pPr>
              <w:spacing w:line="460" w:lineRule="exact"/>
              <w:ind w:firstLine="522" w:firstLineChars="200"/>
              <w:rPr>
                <w:b/>
                <w:bCs/>
                <w:color w:val="auto"/>
                <w:sz w:val="26"/>
                <w:szCs w:val="26"/>
              </w:rPr>
            </w:pPr>
            <w:r>
              <w:rPr>
                <w:rFonts w:hint="eastAsia"/>
                <w:b/>
                <w:bCs/>
                <w:color w:val="auto"/>
                <w:sz w:val="26"/>
                <w:szCs w:val="26"/>
              </w:rPr>
              <w:t>（1）主要经济技术指标</w:t>
            </w:r>
          </w:p>
          <w:p w14:paraId="44181BA8">
            <w:pPr>
              <w:spacing w:line="460" w:lineRule="exact"/>
              <w:ind w:firstLine="520" w:firstLineChars="200"/>
              <w:rPr>
                <w:color w:val="auto"/>
                <w:sz w:val="26"/>
                <w:szCs w:val="26"/>
              </w:rPr>
            </w:pPr>
            <w:r>
              <w:rPr>
                <w:rFonts w:hint="eastAsia"/>
                <w:color w:val="auto"/>
                <w:sz w:val="26"/>
                <w:szCs w:val="26"/>
              </w:rPr>
              <w:t>项目线路主要技术指标见表2-2。</w:t>
            </w:r>
          </w:p>
          <w:p w14:paraId="03AC9061">
            <w:pPr>
              <w:snapToGrid w:val="0"/>
              <w:rPr>
                <w:bCs/>
                <w:color w:val="auto"/>
                <w:sz w:val="26"/>
                <w:szCs w:val="26"/>
              </w:rPr>
            </w:pPr>
          </w:p>
          <w:p w14:paraId="3A2E8B93">
            <w:pPr>
              <w:snapToGrid w:val="0"/>
              <w:jc w:val="center"/>
              <w:rPr>
                <w:bCs/>
                <w:color w:val="auto"/>
                <w:sz w:val="26"/>
                <w:szCs w:val="26"/>
              </w:rPr>
            </w:pPr>
            <w:r>
              <w:rPr>
                <w:rFonts w:hint="eastAsia"/>
                <w:bCs/>
                <w:color w:val="auto"/>
                <w:sz w:val="26"/>
                <w:szCs w:val="26"/>
              </w:rPr>
              <w:t>表2-2  项目110kV架空线路主要技术参数</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1" w:type="dxa"/>
                <w:bottom w:w="0" w:type="dxa"/>
                <w:right w:w="51" w:type="dxa"/>
              </w:tblCellMar>
            </w:tblPr>
            <w:tblGrid>
              <w:gridCol w:w="1859"/>
              <w:gridCol w:w="6217"/>
              <w:gridCol w:w="10"/>
            </w:tblGrid>
            <w:tr w14:paraId="09B941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gridAfter w:val="1"/>
                <w:wAfter w:w="6" w:type="pct"/>
                <w:trHeight w:val="340" w:hRule="atLeast"/>
                <w:tblHeader/>
                <w:jc w:val="center"/>
              </w:trPr>
              <w:tc>
                <w:tcPr>
                  <w:tcW w:w="1149" w:type="pct"/>
                  <w:vAlign w:val="center"/>
                </w:tcPr>
                <w:p w14:paraId="7F23CEC4">
                  <w:pPr>
                    <w:jc w:val="center"/>
                    <w:rPr>
                      <w:bCs/>
                      <w:color w:val="auto"/>
                      <w:sz w:val="22"/>
                      <w:szCs w:val="22"/>
                    </w:rPr>
                  </w:pPr>
                  <w:r>
                    <w:rPr>
                      <w:rFonts w:hAnsi="宋体"/>
                      <w:snapToGrid w:val="0"/>
                      <w:color w:val="auto"/>
                      <w:sz w:val="22"/>
                      <w:szCs w:val="22"/>
                    </w:rPr>
                    <w:t>线路名称</w:t>
                  </w:r>
                </w:p>
              </w:tc>
              <w:tc>
                <w:tcPr>
                  <w:tcW w:w="3844" w:type="pct"/>
                  <w:vAlign w:val="center"/>
                </w:tcPr>
                <w:p w14:paraId="0F937D84">
                  <w:pPr>
                    <w:jc w:val="center"/>
                    <w:rPr>
                      <w:color w:val="auto"/>
                      <w:sz w:val="22"/>
                      <w:szCs w:val="22"/>
                    </w:rPr>
                  </w:pPr>
                  <w:r>
                    <w:rPr>
                      <w:rFonts w:hint="eastAsia"/>
                      <w:color w:val="auto"/>
                      <w:sz w:val="22"/>
                      <w:szCs w:val="22"/>
                    </w:rPr>
                    <w:t>重庆</w:t>
                  </w:r>
                  <w:r>
                    <w:rPr>
                      <w:rFonts w:hint="eastAsia"/>
                      <w:color w:val="auto"/>
                      <w:sz w:val="22"/>
                      <w:szCs w:val="22"/>
                      <w:lang w:val="en-US" w:eastAsia="zh-CN"/>
                    </w:rPr>
                    <w:t>奉节</w:t>
                  </w:r>
                  <w:r>
                    <w:rPr>
                      <w:rFonts w:hint="eastAsia"/>
                      <w:color w:val="auto"/>
                      <w:sz w:val="22"/>
                      <w:szCs w:val="22"/>
                    </w:rPr>
                    <w:t>金凤山风电场扩建（望天坪）110千伏送出工程</w:t>
                  </w:r>
                </w:p>
              </w:tc>
            </w:tr>
            <w:tr w14:paraId="582A0D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gridAfter w:val="1"/>
                <w:wAfter w:w="6" w:type="pct"/>
                <w:trHeight w:val="340" w:hRule="atLeast"/>
                <w:tblHeader/>
                <w:jc w:val="center"/>
              </w:trPr>
              <w:tc>
                <w:tcPr>
                  <w:tcW w:w="1149" w:type="pct"/>
                  <w:vAlign w:val="center"/>
                </w:tcPr>
                <w:p w14:paraId="70331867">
                  <w:pPr>
                    <w:jc w:val="center"/>
                    <w:rPr>
                      <w:rFonts w:hAnsi="宋体"/>
                      <w:snapToGrid w:val="0"/>
                      <w:color w:val="auto"/>
                      <w:sz w:val="22"/>
                      <w:szCs w:val="22"/>
                    </w:rPr>
                  </w:pPr>
                  <w:r>
                    <w:rPr>
                      <w:color w:val="auto"/>
                      <w:sz w:val="22"/>
                      <w:szCs w:val="22"/>
                    </w:rPr>
                    <w:t>线路起止点</w:t>
                  </w:r>
                </w:p>
              </w:tc>
              <w:tc>
                <w:tcPr>
                  <w:tcW w:w="3844" w:type="pct"/>
                  <w:vAlign w:val="center"/>
                </w:tcPr>
                <w:p w14:paraId="686B9BFA">
                  <w:pPr>
                    <w:jc w:val="center"/>
                    <w:rPr>
                      <w:rFonts w:hint="default" w:eastAsia="宋体"/>
                      <w:color w:val="auto"/>
                      <w:sz w:val="22"/>
                      <w:szCs w:val="22"/>
                      <w:lang w:val="en-US" w:eastAsia="zh-CN"/>
                    </w:rPr>
                  </w:pPr>
                  <w:r>
                    <w:rPr>
                      <w:rFonts w:hint="eastAsia"/>
                      <w:color w:val="auto"/>
                      <w:sz w:val="22"/>
                      <w:szCs w:val="22"/>
                      <w:lang w:val="en-US" w:eastAsia="zh-CN"/>
                    </w:rPr>
                    <w:t>起于茅铁线原46#塔，止于110kV望天坪风电场升压站</w:t>
                  </w:r>
                </w:p>
              </w:tc>
            </w:tr>
            <w:tr w14:paraId="57C5A1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gridAfter w:val="1"/>
                <w:wAfter w:w="6" w:type="pct"/>
                <w:trHeight w:val="340" w:hRule="atLeast"/>
                <w:tblHeader/>
                <w:jc w:val="center"/>
              </w:trPr>
              <w:tc>
                <w:tcPr>
                  <w:tcW w:w="1149" w:type="pct"/>
                  <w:vAlign w:val="center"/>
                </w:tcPr>
                <w:p w14:paraId="33037892">
                  <w:pPr>
                    <w:jc w:val="center"/>
                    <w:rPr>
                      <w:bCs/>
                      <w:color w:val="auto"/>
                      <w:sz w:val="22"/>
                      <w:szCs w:val="22"/>
                    </w:rPr>
                  </w:pPr>
                  <w:r>
                    <w:rPr>
                      <w:rFonts w:hAnsi="宋体"/>
                      <w:snapToGrid w:val="0"/>
                      <w:color w:val="auto"/>
                      <w:sz w:val="22"/>
                      <w:szCs w:val="22"/>
                    </w:rPr>
                    <w:t>电压等级</w:t>
                  </w:r>
                </w:p>
              </w:tc>
              <w:tc>
                <w:tcPr>
                  <w:tcW w:w="3844" w:type="pct"/>
                  <w:vAlign w:val="center"/>
                </w:tcPr>
                <w:p w14:paraId="4395B740">
                  <w:pPr>
                    <w:jc w:val="center"/>
                    <w:rPr>
                      <w:color w:val="auto"/>
                      <w:sz w:val="22"/>
                      <w:szCs w:val="22"/>
                    </w:rPr>
                  </w:pPr>
                  <w:r>
                    <w:rPr>
                      <w:color w:val="auto"/>
                      <w:sz w:val="22"/>
                      <w:szCs w:val="22"/>
                    </w:rPr>
                    <w:t>110kV</w:t>
                  </w:r>
                </w:p>
              </w:tc>
            </w:tr>
            <w:tr w14:paraId="75BAC3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gridAfter w:val="1"/>
                <w:wAfter w:w="6" w:type="pct"/>
                <w:trHeight w:val="340" w:hRule="atLeast"/>
                <w:tblHeader/>
                <w:jc w:val="center"/>
              </w:trPr>
              <w:tc>
                <w:tcPr>
                  <w:tcW w:w="1149" w:type="pct"/>
                  <w:vAlign w:val="center"/>
                </w:tcPr>
                <w:p w14:paraId="5230D83A">
                  <w:pPr>
                    <w:jc w:val="center"/>
                    <w:rPr>
                      <w:bCs/>
                      <w:color w:val="auto"/>
                      <w:sz w:val="22"/>
                      <w:szCs w:val="22"/>
                    </w:rPr>
                  </w:pPr>
                  <w:r>
                    <w:rPr>
                      <w:rFonts w:hAnsi="宋体"/>
                      <w:snapToGrid w:val="0"/>
                      <w:color w:val="auto"/>
                      <w:sz w:val="22"/>
                      <w:szCs w:val="22"/>
                    </w:rPr>
                    <w:t>线路长度</w:t>
                  </w:r>
                </w:p>
              </w:tc>
              <w:tc>
                <w:tcPr>
                  <w:tcW w:w="3844" w:type="pct"/>
                  <w:vAlign w:val="center"/>
                </w:tcPr>
                <w:p w14:paraId="078902C0">
                  <w:pPr>
                    <w:jc w:val="center"/>
                    <w:rPr>
                      <w:color w:val="auto"/>
                      <w:sz w:val="22"/>
                      <w:szCs w:val="22"/>
                    </w:rPr>
                  </w:pPr>
                  <w:r>
                    <w:rPr>
                      <w:rFonts w:hint="eastAsia" w:hAnsi="宋体"/>
                      <w:color w:val="auto"/>
                      <w:sz w:val="22"/>
                      <w:szCs w:val="22"/>
                    </w:rPr>
                    <w:t>5.9km</w:t>
                  </w:r>
                </w:p>
              </w:tc>
            </w:tr>
            <w:tr w14:paraId="00E45B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gridAfter w:val="1"/>
                <w:wAfter w:w="6" w:type="pct"/>
                <w:trHeight w:val="340" w:hRule="atLeast"/>
                <w:tblHeader/>
                <w:jc w:val="center"/>
              </w:trPr>
              <w:tc>
                <w:tcPr>
                  <w:tcW w:w="1149" w:type="pct"/>
                  <w:vAlign w:val="center"/>
                </w:tcPr>
                <w:p w14:paraId="2AFA3D6B">
                  <w:pPr>
                    <w:jc w:val="center"/>
                    <w:rPr>
                      <w:snapToGrid w:val="0"/>
                      <w:color w:val="auto"/>
                      <w:sz w:val="22"/>
                      <w:szCs w:val="22"/>
                    </w:rPr>
                  </w:pPr>
                  <w:r>
                    <w:rPr>
                      <w:rFonts w:hAnsi="宋体"/>
                      <w:snapToGrid w:val="0"/>
                      <w:color w:val="auto"/>
                      <w:sz w:val="22"/>
                      <w:szCs w:val="22"/>
                    </w:rPr>
                    <w:t>架设方式</w:t>
                  </w:r>
                </w:p>
              </w:tc>
              <w:tc>
                <w:tcPr>
                  <w:tcW w:w="3844" w:type="pct"/>
                  <w:vAlign w:val="center"/>
                </w:tcPr>
                <w:p w14:paraId="6DF44F06">
                  <w:pPr>
                    <w:jc w:val="center"/>
                    <w:rPr>
                      <w:color w:val="auto"/>
                      <w:sz w:val="22"/>
                      <w:szCs w:val="22"/>
                    </w:rPr>
                  </w:pPr>
                  <w:r>
                    <w:rPr>
                      <w:rFonts w:hAnsi="宋体"/>
                      <w:color w:val="auto"/>
                      <w:sz w:val="22"/>
                      <w:szCs w:val="22"/>
                    </w:rPr>
                    <w:t>单回架空</w:t>
                  </w:r>
                </w:p>
              </w:tc>
            </w:tr>
            <w:tr w14:paraId="6BA029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gridAfter w:val="1"/>
                <w:wAfter w:w="6" w:type="pct"/>
                <w:trHeight w:val="340" w:hRule="atLeast"/>
                <w:tblHeader/>
                <w:jc w:val="center"/>
              </w:trPr>
              <w:tc>
                <w:tcPr>
                  <w:tcW w:w="1149" w:type="pct"/>
                  <w:vAlign w:val="center"/>
                </w:tcPr>
                <w:p w14:paraId="056D09D2">
                  <w:pPr>
                    <w:jc w:val="center"/>
                    <w:rPr>
                      <w:snapToGrid w:val="0"/>
                      <w:color w:val="auto"/>
                      <w:sz w:val="22"/>
                      <w:szCs w:val="22"/>
                    </w:rPr>
                  </w:pPr>
                  <w:r>
                    <w:rPr>
                      <w:rFonts w:hAnsi="宋体"/>
                      <w:snapToGrid w:val="0"/>
                      <w:color w:val="auto"/>
                      <w:sz w:val="22"/>
                      <w:szCs w:val="22"/>
                    </w:rPr>
                    <w:t>分裂数</w:t>
                  </w:r>
                </w:p>
              </w:tc>
              <w:tc>
                <w:tcPr>
                  <w:tcW w:w="3844" w:type="pct"/>
                  <w:vAlign w:val="center"/>
                </w:tcPr>
                <w:p w14:paraId="104C2D1E">
                  <w:pPr>
                    <w:jc w:val="center"/>
                    <w:rPr>
                      <w:color w:val="auto"/>
                      <w:sz w:val="22"/>
                      <w:szCs w:val="22"/>
                    </w:rPr>
                  </w:pPr>
                  <w:r>
                    <w:rPr>
                      <w:rFonts w:hint="eastAsia" w:hAnsi="宋体"/>
                      <w:color w:val="auto"/>
                      <w:sz w:val="22"/>
                      <w:szCs w:val="22"/>
                    </w:rPr>
                    <w:t>单</w:t>
                  </w:r>
                  <w:r>
                    <w:rPr>
                      <w:rFonts w:hAnsi="宋体"/>
                      <w:color w:val="auto"/>
                      <w:sz w:val="22"/>
                      <w:szCs w:val="22"/>
                    </w:rPr>
                    <w:t>分裂</w:t>
                  </w:r>
                </w:p>
              </w:tc>
            </w:tr>
            <w:tr w14:paraId="6ABFC8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gridAfter w:val="1"/>
                <w:wAfter w:w="6" w:type="pct"/>
                <w:trHeight w:val="340" w:hRule="atLeast"/>
                <w:tblHeader/>
                <w:jc w:val="center"/>
              </w:trPr>
              <w:tc>
                <w:tcPr>
                  <w:tcW w:w="1149" w:type="pct"/>
                  <w:vAlign w:val="center"/>
                </w:tcPr>
                <w:p w14:paraId="2FCF7FE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color w:val="auto"/>
                      <w:kern w:val="2"/>
                      <w:sz w:val="22"/>
                      <w:szCs w:val="22"/>
                      <w:highlight w:val="none"/>
                      <w:vertAlign w:val="baseline"/>
                      <w:lang w:val="en-US" w:eastAsia="zh-CN" w:bidi="ar-SA"/>
                    </w:rPr>
                  </w:pPr>
                  <w:r>
                    <w:rPr>
                      <w:rFonts w:hint="eastAsia" w:ascii="Times New Roman" w:hAnsi="Times New Roman" w:eastAsia="宋体" w:cs="Times New Roman"/>
                      <w:b w:val="0"/>
                      <w:bCs/>
                      <w:color w:val="auto"/>
                      <w:sz w:val="22"/>
                      <w:szCs w:val="22"/>
                      <w:highlight w:val="none"/>
                      <w:vertAlign w:val="baseline"/>
                      <w:lang w:val="en-US" w:eastAsia="zh-CN"/>
                    </w:rPr>
                    <w:t>下导线最低离地高度</w:t>
                  </w:r>
                </w:p>
              </w:tc>
              <w:tc>
                <w:tcPr>
                  <w:tcW w:w="3844" w:type="pct"/>
                  <w:vAlign w:val="center"/>
                </w:tcPr>
                <w:p w14:paraId="7CC9250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color w:val="auto"/>
                      <w:kern w:val="2"/>
                      <w:sz w:val="22"/>
                      <w:szCs w:val="22"/>
                      <w:highlight w:val="none"/>
                      <w:vertAlign w:val="baseline"/>
                      <w:lang w:val="en-US" w:eastAsia="zh-CN" w:bidi="ar-SA"/>
                    </w:rPr>
                  </w:pPr>
                  <w:r>
                    <w:rPr>
                      <w:rFonts w:hint="eastAsia" w:ascii="Times New Roman" w:hAnsi="Times New Roman" w:eastAsia="宋体" w:cs="Times New Roman"/>
                      <w:b w:val="0"/>
                      <w:bCs/>
                      <w:color w:val="auto"/>
                      <w:sz w:val="22"/>
                      <w:szCs w:val="22"/>
                      <w:highlight w:val="none"/>
                      <w:vertAlign w:val="baseline"/>
                      <w:lang w:val="en-US" w:eastAsia="zh-CN"/>
                    </w:rPr>
                    <w:t>约</w:t>
                  </w:r>
                  <w:r>
                    <w:rPr>
                      <w:rFonts w:hint="eastAsia" w:cs="Times New Roman"/>
                      <w:b w:val="0"/>
                      <w:bCs/>
                      <w:color w:val="auto"/>
                      <w:sz w:val="22"/>
                      <w:szCs w:val="22"/>
                      <w:highlight w:val="none"/>
                      <w:vertAlign w:val="baseline"/>
                      <w:lang w:val="en-US" w:eastAsia="zh-CN"/>
                    </w:rPr>
                    <w:t>11</w:t>
                  </w:r>
                  <w:r>
                    <w:rPr>
                      <w:rFonts w:hint="eastAsia" w:ascii="Times New Roman" w:hAnsi="Times New Roman" w:eastAsia="宋体" w:cs="Times New Roman"/>
                      <w:b w:val="0"/>
                      <w:bCs/>
                      <w:color w:val="auto"/>
                      <w:sz w:val="22"/>
                      <w:szCs w:val="22"/>
                      <w:highlight w:val="none"/>
                      <w:vertAlign w:val="baseline"/>
                      <w:lang w:val="en-US" w:eastAsia="zh-CN"/>
                    </w:rPr>
                    <w:t>m</w:t>
                  </w:r>
                </w:p>
              </w:tc>
            </w:tr>
            <w:tr w14:paraId="0558F0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gridAfter w:val="1"/>
                <w:wAfter w:w="6" w:type="pct"/>
                <w:trHeight w:val="340" w:hRule="atLeast"/>
                <w:tblHeader/>
                <w:jc w:val="center"/>
              </w:trPr>
              <w:tc>
                <w:tcPr>
                  <w:tcW w:w="1149" w:type="pct"/>
                  <w:vAlign w:val="center"/>
                </w:tcPr>
                <w:p w14:paraId="01595A95">
                  <w:pPr>
                    <w:jc w:val="center"/>
                    <w:rPr>
                      <w:snapToGrid w:val="0"/>
                      <w:color w:val="auto"/>
                      <w:sz w:val="22"/>
                      <w:szCs w:val="22"/>
                    </w:rPr>
                  </w:pPr>
                  <w:r>
                    <w:rPr>
                      <w:rFonts w:hAnsi="宋体"/>
                      <w:snapToGrid w:val="0"/>
                      <w:color w:val="auto"/>
                      <w:sz w:val="22"/>
                      <w:szCs w:val="22"/>
                    </w:rPr>
                    <w:t>导线型号</w:t>
                  </w:r>
                </w:p>
              </w:tc>
              <w:tc>
                <w:tcPr>
                  <w:tcW w:w="3844" w:type="pct"/>
                  <w:vAlign w:val="center"/>
                </w:tcPr>
                <w:p w14:paraId="390F0A23">
                  <w:pPr>
                    <w:jc w:val="center"/>
                    <w:rPr>
                      <w:color w:val="auto"/>
                      <w:sz w:val="22"/>
                      <w:szCs w:val="22"/>
                    </w:rPr>
                  </w:pPr>
                  <w:r>
                    <w:rPr>
                      <w:rFonts w:hint="eastAsia"/>
                      <w:color w:val="auto"/>
                      <w:sz w:val="22"/>
                      <w:szCs w:val="22"/>
                    </w:rPr>
                    <w:t>JLHA1/G1A-300/50</w:t>
                  </w:r>
                  <w:r>
                    <w:rPr>
                      <w:rFonts w:hint="eastAsia" w:hAnsi="宋体"/>
                      <w:color w:val="auto"/>
                      <w:sz w:val="22"/>
                      <w:szCs w:val="22"/>
                    </w:rPr>
                    <w:t>钢芯铝合金绞线</w:t>
                  </w:r>
                </w:p>
              </w:tc>
            </w:tr>
            <w:tr w14:paraId="6DA6F2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gridAfter w:val="1"/>
                <w:wAfter w:w="6" w:type="pct"/>
                <w:trHeight w:val="340" w:hRule="atLeast"/>
                <w:tblHeader/>
                <w:jc w:val="center"/>
              </w:trPr>
              <w:tc>
                <w:tcPr>
                  <w:tcW w:w="1149" w:type="pct"/>
                  <w:vAlign w:val="center"/>
                </w:tcPr>
                <w:p w14:paraId="4DD16639">
                  <w:pPr>
                    <w:jc w:val="center"/>
                    <w:rPr>
                      <w:snapToGrid w:val="0"/>
                      <w:color w:val="auto"/>
                      <w:sz w:val="22"/>
                      <w:szCs w:val="22"/>
                    </w:rPr>
                  </w:pPr>
                  <w:r>
                    <w:rPr>
                      <w:rFonts w:hAnsi="宋体"/>
                      <w:snapToGrid w:val="0"/>
                      <w:color w:val="auto"/>
                      <w:sz w:val="22"/>
                      <w:szCs w:val="22"/>
                    </w:rPr>
                    <w:t>地线型号</w:t>
                  </w:r>
                </w:p>
              </w:tc>
              <w:tc>
                <w:tcPr>
                  <w:tcW w:w="3844" w:type="pct"/>
                  <w:vAlign w:val="center"/>
                </w:tcPr>
                <w:p w14:paraId="2756DB9B">
                  <w:pPr>
                    <w:jc w:val="center"/>
                    <w:rPr>
                      <w:color w:val="auto"/>
                      <w:sz w:val="22"/>
                      <w:szCs w:val="22"/>
                    </w:rPr>
                  </w:pPr>
                  <w:r>
                    <w:rPr>
                      <w:rFonts w:hint="eastAsia"/>
                      <w:color w:val="auto"/>
                      <w:sz w:val="22"/>
                      <w:szCs w:val="22"/>
                    </w:rPr>
                    <w:t>两根24芯OPGW光缆</w:t>
                  </w:r>
                </w:p>
              </w:tc>
            </w:tr>
            <w:tr w14:paraId="232F95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gridAfter w:val="1"/>
                <w:wAfter w:w="6" w:type="pct"/>
                <w:trHeight w:val="340" w:hRule="atLeast"/>
                <w:tblHeader/>
                <w:jc w:val="center"/>
              </w:trPr>
              <w:tc>
                <w:tcPr>
                  <w:tcW w:w="1149" w:type="pct"/>
                  <w:vAlign w:val="center"/>
                </w:tcPr>
                <w:p w14:paraId="4E41507A">
                  <w:pPr>
                    <w:jc w:val="center"/>
                    <w:rPr>
                      <w:color w:val="auto"/>
                      <w:sz w:val="22"/>
                      <w:szCs w:val="22"/>
                    </w:rPr>
                  </w:pPr>
                  <w:r>
                    <w:rPr>
                      <w:rFonts w:hint="eastAsia"/>
                      <w:color w:val="auto"/>
                      <w:sz w:val="22"/>
                      <w:szCs w:val="22"/>
                    </w:rPr>
                    <w:t>杆塔使用</w:t>
                  </w:r>
                </w:p>
              </w:tc>
              <w:tc>
                <w:tcPr>
                  <w:tcW w:w="3844" w:type="pct"/>
                  <w:vAlign w:val="center"/>
                </w:tcPr>
                <w:p w14:paraId="59BBDF3F">
                  <w:pPr>
                    <w:jc w:val="center"/>
                    <w:rPr>
                      <w:color w:val="auto"/>
                      <w:sz w:val="22"/>
                      <w:szCs w:val="22"/>
                    </w:rPr>
                  </w:pPr>
                  <w:r>
                    <w:rPr>
                      <w:rFonts w:hint="eastAsia"/>
                      <w:color w:val="auto"/>
                      <w:sz w:val="22"/>
                      <w:szCs w:val="22"/>
                    </w:rPr>
                    <w:t>新建杆塔24基（其中1基为原茅铁线N45塔大号侧新立的1基耐张塔，本线路23基）</w:t>
                  </w:r>
                </w:p>
              </w:tc>
            </w:tr>
            <w:tr w14:paraId="02C924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gridAfter w:val="1"/>
                <w:wAfter w:w="6" w:type="pct"/>
                <w:trHeight w:val="346" w:hRule="atLeast"/>
                <w:tblHeader/>
                <w:jc w:val="center"/>
              </w:trPr>
              <w:tc>
                <w:tcPr>
                  <w:tcW w:w="1149" w:type="pct"/>
                  <w:vAlign w:val="center"/>
                </w:tcPr>
                <w:p w14:paraId="0E061E83">
                  <w:pPr>
                    <w:jc w:val="center"/>
                    <w:rPr>
                      <w:snapToGrid w:val="0"/>
                      <w:color w:val="auto"/>
                      <w:sz w:val="22"/>
                      <w:szCs w:val="22"/>
                    </w:rPr>
                  </w:pPr>
                  <w:r>
                    <w:rPr>
                      <w:rFonts w:hAnsi="宋体"/>
                      <w:snapToGrid w:val="0"/>
                      <w:color w:val="auto"/>
                      <w:sz w:val="22"/>
                      <w:szCs w:val="22"/>
                    </w:rPr>
                    <w:t>接地方式</w:t>
                  </w:r>
                </w:p>
              </w:tc>
              <w:tc>
                <w:tcPr>
                  <w:tcW w:w="3844" w:type="pct"/>
                  <w:vAlign w:val="center"/>
                </w:tcPr>
                <w:p w14:paraId="38D7B95A">
                  <w:pPr>
                    <w:jc w:val="center"/>
                    <w:rPr>
                      <w:color w:val="auto"/>
                      <w:sz w:val="22"/>
                      <w:szCs w:val="22"/>
                    </w:rPr>
                  </w:pPr>
                  <w:r>
                    <w:rPr>
                      <w:rFonts w:hint="eastAsia"/>
                      <w:color w:val="auto"/>
                      <w:sz w:val="22"/>
                      <w:szCs w:val="22"/>
                    </w:rPr>
                    <w:t>中性点直接接地</w:t>
                  </w:r>
                </w:p>
              </w:tc>
            </w:tr>
            <w:tr w14:paraId="58F8D8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gridAfter w:val="1"/>
                <w:wAfter w:w="6" w:type="pct"/>
                <w:trHeight w:val="90" w:hRule="atLeast"/>
                <w:tblHeader/>
                <w:jc w:val="center"/>
              </w:trPr>
              <w:tc>
                <w:tcPr>
                  <w:tcW w:w="1149" w:type="pct"/>
                  <w:vAlign w:val="center"/>
                </w:tcPr>
                <w:p w14:paraId="7473C094">
                  <w:pPr>
                    <w:jc w:val="center"/>
                    <w:rPr>
                      <w:snapToGrid w:val="0"/>
                      <w:color w:val="auto"/>
                      <w:sz w:val="22"/>
                      <w:szCs w:val="22"/>
                    </w:rPr>
                  </w:pPr>
                  <w:r>
                    <w:rPr>
                      <w:rFonts w:hAnsi="宋体"/>
                      <w:snapToGrid w:val="0"/>
                      <w:color w:val="auto"/>
                      <w:sz w:val="22"/>
                      <w:szCs w:val="22"/>
                    </w:rPr>
                    <w:t>主要气象条件</w:t>
                  </w:r>
                </w:p>
              </w:tc>
              <w:tc>
                <w:tcPr>
                  <w:tcW w:w="3844" w:type="pct"/>
                  <w:vAlign w:val="center"/>
                </w:tcPr>
                <w:p w14:paraId="61AA451B">
                  <w:pPr>
                    <w:jc w:val="center"/>
                    <w:rPr>
                      <w:color w:val="auto"/>
                      <w:sz w:val="22"/>
                      <w:szCs w:val="22"/>
                    </w:rPr>
                  </w:pPr>
                  <w:r>
                    <w:rPr>
                      <w:rFonts w:hint="eastAsia"/>
                      <w:color w:val="auto"/>
                      <w:sz w:val="22"/>
                      <w:szCs w:val="22"/>
                    </w:rPr>
                    <w:t>最高气温40℃，最低气温-5℃，</w:t>
                  </w:r>
                  <w:r>
                    <w:rPr>
                      <w:rFonts w:hint="eastAsia"/>
                      <w:color w:val="auto"/>
                      <w:sz w:val="22"/>
                      <w:szCs w:val="22"/>
                      <w:lang w:eastAsia="zh-CN"/>
                    </w:rPr>
                    <w:t>年均</w:t>
                  </w:r>
                  <w:r>
                    <w:rPr>
                      <w:rFonts w:hint="eastAsia"/>
                      <w:color w:val="auto"/>
                      <w:sz w:val="22"/>
                      <w:szCs w:val="22"/>
                    </w:rPr>
                    <w:t>气温15℃，最大风速</w:t>
                  </w:r>
                  <w:r>
                    <w:rPr>
                      <w:color w:val="auto"/>
                      <w:sz w:val="22"/>
                      <w:szCs w:val="22"/>
                    </w:rPr>
                    <w:t>2</w:t>
                  </w:r>
                  <w:r>
                    <w:rPr>
                      <w:rFonts w:hint="eastAsia"/>
                      <w:color w:val="auto"/>
                      <w:sz w:val="22"/>
                      <w:szCs w:val="22"/>
                    </w:rPr>
                    <w:t>5m/s，覆冰20mm</w:t>
                  </w:r>
                </w:p>
              </w:tc>
            </w:tr>
            <w:tr w14:paraId="16CCD5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gridAfter w:val="1"/>
                <w:wAfter w:w="6" w:type="pct"/>
                <w:trHeight w:val="330" w:hRule="atLeast"/>
                <w:tblHeader/>
                <w:jc w:val="center"/>
              </w:trPr>
              <w:tc>
                <w:tcPr>
                  <w:tcW w:w="1149" w:type="pct"/>
                  <w:vAlign w:val="center"/>
                </w:tcPr>
                <w:p w14:paraId="4E7AD666">
                  <w:pPr>
                    <w:jc w:val="center"/>
                    <w:rPr>
                      <w:snapToGrid w:val="0"/>
                      <w:color w:val="auto"/>
                      <w:sz w:val="22"/>
                      <w:szCs w:val="22"/>
                    </w:rPr>
                  </w:pPr>
                  <w:r>
                    <w:rPr>
                      <w:rFonts w:hAnsi="宋体"/>
                      <w:snapToGrid w:val="0"/>
                      <w:color w:val="auto"/>
                      <w:sz w:val="22"/>
                      <w:szCs w:val="22"/>
                    </w:rPr>
                    <w:t>沿线地形</w:t>
                  </w:r>
                  <w:r>
                    <w:rPr>
                      <w:rFonts w:hint="eastAsia" w:hAnsi="宋体"/>
                      <w:snapToGrid w:val="0"/>
                      <w:color w:val="auto"/>
                      <w:sz w:val="22"/>
                      <w:szCs w:val="22"/>
                    </w:rPr>
                    <w:t>地貌</w:t>
                  </w:r>
                </w:p>
              </w:tc>
              <w:tc>
                <w:tcPr>
                  <w:tcW w:w="3844" w:type="pct"/>
                  <w:vAlign w:val="center"/>
                </w:tcPr>
                <w:p w14:paraId="5821A133">
                  <w:pPr>
                    <w:jc w:val="center"/>
                    <w:rPr>
                      <w:color w:val="auto"/>
                      <w:sz w:val="22"/>
                      <w:szCs w:val="22"/>
                    </w:rPr>
                  </w:pPr>
                  <w:r>
                    <w:rPr>
                      <w:rFonts w:hint="eastAsia"/>
                      <w:color w:val="auto"/>
                      <w:sz w:val="22"/>
                      <w:szCs w:val="22"/>
                    </w:rPr>
                    <w:t>高山20%，山地80%</w:t>
                  </w:r>
                </w:p>
              </w:tc>
            </w:tr>
            <w:tr w14:paraId="32C944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gridAfter w:val="1"/>
                <w:wAfter w:w="6" w:type="pct"/>
                <w:trHeight w:val="340" w:hRule="atLeast"/>
                <w:tblHeader/>
                <w:jc w:val="center"/>
              </w:trPr>
              <w:tc>
                <w:tcPr>
                  <w:tcW w:w="1149" w:type="pct"/>
                  <w:vAlign w:val="center"/>
                </w:tcPr>
                <w:p w14:paraId="5BCEF9BA">
                  <w:pPr>
                    <w:jc w:val="center"/>
                    <w:rPr>
                      <w:color w:val="auto"/>
                      <w:sz w:val="22"/>
                      <w:szCs w:val="22"/>
                    </w:rPr>
                  </w:pPr>
                  <w:r>
                    <w:rPr>
                      <w:rFonts w:hint="eastAsia"/>
                      <w:color w:val="auto"/>
                      <w:sz w:val="22"/>
                      <w:szCs w:val="22"/>
                    </w:rPr>
                    <w:t>沿线地质</w:t>
                  </w:r>
                </w:p>
              </w:tc>
              <w:tc>
                <w:tcPr>
                  <w:tcW w:w="3844" w:type="pct"/>
                  <w:vAlign w:val="center"/>
                </w:tcPr>
                <w:p w14:paraId="102C2981">
                  <w:pPr>
                    <w:jc w:val="center"/>
                    <w:rPr>
                      <w:color w:val="auto"/>
                      <w:sz w:val="22"/>
                      <w:szCs w:val="22"/>
                    </w:rPr>
                  </w:pPr>
                  <w:r>
                    <w:rPr>
                      <w:rFonts w:hint="eastAsia"/>
                      <w:color w:val="auto"/>
                      <w:sz w:val="22"/>
                      <w:szCs w:val="22"/>
                    </w:rPr>
                    <w:t>普通土10%，松砂石20%，岩石70%</w:t>
                  </w:r>
                </w:p>
              </w:tc>
            </w:tr>
            <w:tr w14:paraId="050C4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gridAfter w:val="1"/>
                <w:wAfter w:w="6" w:type="pct"/>
                <w:trHeight w:val="340" w:hRule="atLeast"/>
                <w:tblHeader/>
                <w:jc w:val="center"/>
              </w:trPr>
              <w:tc>
                <w:tcPr>
                  <w:tcW w:w="1149" w:type="pct"/>
                  <w:vAlign w:val="center"/>
                </w:tcPr>
                <w:p w14:paraId="68AFFA46">
                  <w:pPr>
                    <w:jc w:val="center"/>
                    <w:rPr>
                      <w:snapToGrid w:val="0"/>
                      <w:color w:val="auto"/>
                      <w:sz w:val="22"/>
                      <w:szCs w:val="22"/>
                    </w:rPr>
                  </w:pPr>
                  <w:r>
                    <w:rPr>
                      <w:rFonts w:hAnsi="宋体"/>
                      <w:snapToGrid w:val="0"/>
                      <w:color w:val="auto"/>
                      <w:sz w:val="22"/>
                      <w:szCs w:val="22"/>
                    </w:rPr>
                    <w:t>运距</w:t>
                  </w:r>
                </w:p>
              </w:tc>
              <w:tc>
                <w:tcPr>
                  <w:tcW w:w="3844" w:type="pct"/>
                  <w:vAlign w:val="center"/>
                </w:tcPr>
                <w:p w14:paraId="314A974B">
                  <w:pPr>
                    <w:jc w:val="center"/>
                    <w:rPr>
                      <w:color w:val="auto"/>
                      <w:sz w:val="22"/>
                      <w:szCs w:val="22"/>
                    </w:rPr>
                  </w:pPr>
                  <w:r>
                    <w:rPr>
                      <w:rFonts w:hint="eastAsia"/>
                      <w:color w:val="auto"/>
                      <w:sz w:val="22"/>
                      <w:szCs w:val="22"/>
                    </w:rPr>
                    <w:t>汽车运距30km，</w:t>
                  </w:r>
                  <w:r>
                    <w:rPr>
                      <w:color w:val="auto"/>
                      <w:sz w:val="22"/>
                      <w:szCs w:val="22"/>
                    </w:rPr>
                    <w:t>人力抬运距离</w:t>
                  </w:r>
                  <w:r>
                    <w:rPr>
                      <w:rFonts w:hint="eastAsia"/>
                      <w:color w:val="auto"/>
                      <w:sz w:val="22"/>
                      <w:szCs w:val="22"/>
                    </w:rPr>
                    <w:t>250</w:t>
                  </w:r>
                  <w:r>
                    <w:rPr>
                      <w:color w:val="auto"/>
                      <w:sz w:val="22"/>
                      <w:szCs w:val="22"/>
                    </w:rPr>
                    <w:t>m</w:t>
                  </w:r>
                </w:p>
              </w:tc>
            </w:tr>
            <w:tr w14:paraId="14C08C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40" w:hRule="atLeast"/>
                <w:tblHeader/>
                <w:jc w:val="center"/>
              </w:trPr>
              <w:tc>
                <w:tcPr>
                  <w:tcW w:w="1149" w:type="pct"/>
                  <w:vAlign w:val="center"/>
                </w:tcPr>
                <w:p w14:paraId="0D3A9129">
                  <w:pPr>
                    <w:jc w:val="center"/>
                    <w:rPr>
                      <w:rFonts w:hAnsi="宋体"/>
                      <w:snapToGrid w:val="0"/>
                      <w:color w:val="auto"/>
                      <w:sz w:val="22"/>
                      <w:szCs w:val="22"/>
                    </w:rPr>
                  </w:pPr>
                  <w:r>
                    <w:rPr>
                      <w:rFonts w:hAnsi="宋体"/>
                      <w:snapToGrid w:val="0"/>
                      <w:color w:val="auto"/>
                      <w:sz w:val="22"/>
                      <w:szCs w:val="22"/>
                    </w:rPr>
                    <w:t>林木砍伐</w:t>
                  </w:r>
                </w:p>
                <w:p w14:paraId="7156B840">
                  <w:pPr>
                    <w:jc w:val="center"/>
                    <w:rPr>
                      <w:rFonts w:hint="default" w:eastAsia="宋体"/>
                      <w:snapToGrid w:val="0"/>
                      <w:color w:val="auto"/>
                      <w:sz w:val="22"/>
                      <w:szCs w:val="22"/>
                      <w:lang w:val="en-US" w:eastAsia="zh-CN"/>
                    </w:rPr>
                  </w:pPr>
                  <w:r>
                    <w:rPr>
                      <w:rFonts w:hint="eastAsia" w:hAnsi="宋体"/>
                      <w:snapToGrid w:val="0"/>
                      <w:color w:val="auto"/>
                      <w:sz w:val="22"/>
                      <w:szCs w:val="22"/>
                      <w:lang w:eastAsia="zh-CN"/>
                    </w:rPr>
                    <w:t>（</w:t>
                  </w:r>
                  <w:r>
                    <w:rPr>
                      <w:rFonts w:hint="eastAsia" w:hAnsi="宋体"/>
                      <w:snapToGrid w:val="0"/>
                      <w:color w:val="auto"/>
                      <w:sz w:val="22"/>
                      <w:szCs w:val="22"/>
                      <w:lang w:val="en-US" w:eastAsia="zh-CN"/>
                    </w:rPr>
                    <w:t>塔基占地）</w:t>
                  </w:r>
                </w:p>
              </w:tc>
              <w:tc>
                <w:tcPr>
                  <w:tcW w:w="3850" w:type="pct"/>
                  <w:gridSpan w:val="2"/>
                  <w:vAlign w:val="center"/>
                </w:tcPr>
                <w:p w14:paraId="7A3D7577">
                  <w:pPr>
                    <w:jc w:val="center"/>
                    <w:rPr>
                      <w:rFonts w:hAnsi="宋体"/>
                      <w:color w:val="auto"/>
                      <w:sz w:val="22"/>
                      <w:szCs w:val="22"/>
                    </w:rPr>
                  </w:pPr>
                  <w:r>
                    <w:rPr>
                      <w:rFonts w:hint="eastAsia" w:hAnsi="宋体"/>
                      <w:color w:val="auto"/>
                      <w:sz w:val="22"/>
                      <w:szCs w:val="22"/>
                    </w:rPr>
                    <w:t>杂树</w:t>
                  </w:r>
                  <w:r>
                    <w:rPr>
                      <w:rFonts w:hint="eastAsia" w:hAnsi="宋体"/>
                      <w:color w:val="auto"/>
                      <w:sz w:val="22"/>
                      <w:szCs w:val="22"/>
                      <w:lang w:val="en-US" w:eastAsia="zh-CN"/>
                    </w:rPr>
                    <w:t>200</w:t>
                  </w:r>
                  <w:r>
                    <w:rPr>
                      <w:rFonts w:hint="eastAsia" w:hAnsi="宋体"/>
                      <w:color w:val="auto"/>
                      <w:sz w:val="22"/>
                      <w:szCs w:val="22"/>
                    </w:rPr>
                    <w:t>棵、松树</w:t>
                  </w:r>
                  <w:r>
                    <w:rPr>
                      <w:rFonts w:hint="eastAsia" w:hAnsi="宋体"/>
                      <w:color w:val="auto"/>
                      <w:sz w:val="22"/>
                      <w:szCs w:val="22"/>
                      <w:lang w:val="en-US" w:eastAsia="zh-CN"/>
                    </w:rPr>
                    <w:t>1000</w:t>
                  </w:r>
                  <w:r>
                    <w:rPr>
                      <w:rFonts w:hint="eastAsia" w:hAnsi="宋体"/>
                      <w:color w:val="auto"/>
                      <w:sz w:val="22"/>
                      <w:szCs w:val="22"/>
                    </w:rPr>
                    <w:t>棵</w:t>
                  </w:r>
                </w:p>
              </w:tc>
            </w:tr>
            <w:tr w14:paraId="70FE0B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gridAfter w:val="1"/>
                <w:wAfter w:w="6" w:type="pct"/>
                <w:trHeight w:val="340" w:hRule="atLeast"/>
                <w:tblHeader/>
                <w:jc w:val="center"/>
              </w:trPr>
              <w:tc>
                <w:tcPr>
                  <w:tcW w:w="1149" w:type="pct"/>
                  <w:vAlign w:val="center"/>
                </w:tcPr>
                <w:p w14:paraId="66293DDF">
                  <w:pPr>
                    <w:jc w:val="center"/>
                    <w:rPr>
                      <w:snapToGrid w:val="0"/>
                      <w:color w:val="auto"/>
                      <w:sz w:val="22"/>
                      <w:szCs w:val="22"/>
                    </w:rPr>
                  </w:pPr>
                  <w:r>
                    <w:rPr>
                      <w:snapToGrid w:val="0"/>
                      <w:color w:val="auto"/>
                      <w:sz w:val="22"/>
                      <w:szCs w:val="22"/>
                    </w:rPr>
                    <w:t>沿线高程</w:t>
                  </w:r>
                </w:p>
              </w:tc>
              <w:tc>
                <w:tcPr>
                  <w:tcW w:w="3844" w:type="pct"/>
                  <w:vAlign w:val="center"/>
                </w:tcPr>
                <w:p w14:paraId="07487F72">
                  <w:pPr>
                    <w:tabs>
                      <w:tab w:val="left" w:pos="2160"/>
                    </w:tabs>
                    <w:jc w:val="center"/>
                    <w:rPr>
                      <w:color w:val="auto"/>
                      <w:sz w:val="22"/>
                      <w:szCs w:val="22"/>
                    </w:rPr>
                  </w:pPr>
                  <w:r>
                    <w:rPr>
                      <w:rFonts w:hint="eastAsia"/>
                      <w:color w:val="auto"/>
                      <w:sz w:val="22"/>
                      <w:szCs w:val="22"/>
                    </w:rPr>
                    <w:t>1100</w:t>
                  </w:r>
                  <w:r>
                    <w:rPr>
                      <w:color w:val="auto"/>
                      <w:sz w:val="22"/>
                      <w:szCs w:val="22"/>
                    </w:rPr>
                    <w:t>-</w:t>
                  </w:r>
                  <w:r>
                    <w:rPr>
                      <w:rFonts w:hint="eastAsia"/>
                      <w:color w:val="auto"/>
                      <w:sz w:val="22"/>
                      <w:szCs w:val="22"/>
                    </w:rPr>
                    <w:t>16</w:t>
                  </w:r>
                  <w:r>
                    <w:rPr>
                      <w:color w:val="auto"/>
                      <w:sz w:val="22"/>
                      <w:szCs w:val="22"/>
                    </w:rPr>
                    <w:t>00m</w:t>
                  </w:r>
                </w:p>
              </w:tc>
            </w:tr>
            <w:tr w14:paraId="63D294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gridAfter w:val="1"/>
                <w:wAfter w:w="6" w:type="pct"/>
                <w:trHeight w:val="340" w:hRule="atLeast"/>
                <w:tblHeader/>
                <w:jc w:val="center"/>
              </w:trPr>
              <w:tc>
                <w:tcPr>
                  <w:tcW w:w="1149" w:type="pct"/>
                  <w:vAlign w:val="center"/>
                </w:tcPr>
                <w:p w14:paraId="484C58A8">
                  <w:pPr>
                    <w:jc w:val="center"/>
                    <w:rPr>
                      <w:snapToGrid w:val="0"/>
                      <w:color w:val="auto"/>
                      <w:sz w:val="22"/>
                      <w:szCs w:val="22"/>
                    </w:rPr>
                  </w:pPr>
                  <w:r>
                    <w:rPr>
                      <w:rFonts w:hAnsi="宋体"/>
                      <w:snapToGrid w:val="0"/>
                      <w:color w:val="auto"/>
                      <w:sz w:val="22"/>
                      <w:szCs w:val="22"/>
                    </w:rPr>
                    <w:t>基础型式</w:t>
                  </w:r>
                </w:p>
              </w:tc>
              <w:tc>
                <w:tcPr>
                  <w:tcW w:w="3844" w:type="pct"/>
                  <w:vAlign w:val="center"/>
                </w:tcPr>
                <w:p w14:paraId="4C7D5F82">
                  <w:pPr>
                    <w:jc w:val="center"/>
                    <w:rPr>
                      <w:color w:val="auto"/>
                      <w:sz w:val="22"/>
                      <w:szCs w:val="22"/>
                    </w:rPr>
                  </w:pPr>
                  <w:r>
                    <w:rPr>
                      <w:rFonts w:hint="eastAsia"/>
                      <w:color w:val="auto"/>
                      <w:sz w:val="22"/>
                      <w:szCs w:val="22"/>
                    </w:rPr>
                    <w:t>挖孔灌注桩基础</w:t>
                  </w:r>
                </w:p>
              </w:tc>
            </w:tr>
          </w:tbl>
          <w:p w14:paraId="648465F0">
            <w:pPr>
              <w:keepNext w:val="0"/>
              <w:keepLines w:val="0"/>
              <w:pageBreakBefore w:val="0"/>
              <w:widowControl w:val="0"/>
              <w:kinsoku/>
              <w:wordWrap/>
              <w:overflowPunct/>
              <w:topLinePunct w:val="0"/>
              <w:autoSpaceDE/>
              <w:autoSpaceDN/>
              <w:bidi w:val="0"/>
              <w:adjustRightInd/>
              <w:snapToGrid w:val="0"/>
              <w:spacing w:line="240" w:lineRule="auto"/>
              <w:ind w:firstLine="522" w:firstLineChars="200"/>
              <w:textAlignment w:val="auto"/>
              <w:rPr>
                <w:rFonts w:hint="eastAsia"/>
                <w:b/>
                <w:color w:val="auto"/>
                <w:sz w:val="26"/>
                <w:szCs w:val="26"/>
              </w:rPr>
            </w:pPr>
          </w:p>
          <w:p w14:paraId="1B712B77">
            <w:pPr>
              <w:spacing w:line="460" w:lineRule="exact"/>
              <w:ind w:firstLine="522" w:firstLineChars="200"/>
              <w:rPr>
                <w:b/>
                <w:color w:val="auto"/>
                <w:sz w:val="26"/>
                <w:szCs w:val="26"/>
              </w:rPr>
            </w:pPr>
            <w:r>
              <w:rPr>
                <w:rFonts w:hint="eastAsia"/>
                <w:b/>
                <w:color w:val="auto"/>
                <w:sz w:val="26"/>
                <w:szCs w:val="26"/>
              </w:rPr>
              <w:t>（2）导线选型</w:t>
            </w:r>
          </w:p>
          <w:p w14:paraId="43F8E985">
            <w:pPr>
              <w:adjustRightInd w:val="0"/>
              <w:snapToGrid w:val="0"/>
              <w:spacing w:line="460" w:lineRule="exact"/>
              <w:ind w:firstLine="520" w:firstLineChars="200"/>
              <w:rPr>
                <w:color w:val="auto"/>
                <w:sz w:val="26"/>
                <w:szCs w:val="26"/>
              </w:rPr>
            </w:pPr>
            <w:r>
              <w:rPr>
                <w:rFonts w:hint="eastAsia"/>
                <w:color w:val="auto"/>
                <w:sz w:val="26"/>
                <w:szCs w:val="26"/>
              </w:rPr>
              <w:t>根据初设资料，线路导线采用JLHA1/G1A-300/50钢芯铝合金绞线；地线采用两根24芯OPGW光缆。</w:t>
            </w:r>
          </w:p>
          <w:p w14:paraId="4E3F9C92">
            <w:pPr>
              <w:adjustRightInd w:val="0"/>
              <w:snapToGrid w:val="0"/>
              <w:spacing w:line="460" w:lineRule="exact"/>
              <w:ind w:firstLine="522" w:firstLineChars="200"/>
              <w:rPr>
                <w:b/>
                <w:color w:val="auto"/>
                <w:sz w:val="26"/>
                <w:szCs w:val="26"/>
              </w:rPr>
            </w:pPr>
            <w:r>
              <w:rPr>
                <w:rFonts w:hint="eastAsia"/>
                <w:b/>
                <w:color w:val="auto"/>
                <w:sz w:val="26"/>
                <w:szCs w:val="26"/>
              </w:rPr>
              <w:t>（3）杆塔类型</w:t>
            </w:r>
          </w:p>
          <w:p w14:paraId="06EE641A">
            <w:pPr>
              <w:snapToGrid w:val="0"/>
              <w:spacing w:line="460" w:lineRule="exact"/>
              <w:ind w:firstLine="520" w:firstLineChars="200"/>
              <w:outlineLvl w:val="2"/>
              <w:rPr>
                <w:color w:val="auto"/>
                <w:sz w:val="26"/>
                <w:szCs w:val="26"/>
              </w:rPr>
            </w:pPr>
            <w:r>
              <w:rPr>
                <w:rFonts w:hint="eastAsia"/>
                <w:color w:val="auto"/>
                <w:sz w:val="26"/>
                <w:szCs w:val="26"/>
              </w:rPr>
              <w:t>根据设计资料，本线路新建杆塔24基，其中单回耐张角钢塔13基，单回直线角钢塔11基。主要杆塔情况表2-3，杆塔一览图见附图4。</w:t>
            </w:r>
          </w:p>
          <w:p w14:paraId="39F56600">
            <w:pPr>
              <w:snapToGrid w:val="0"/>
              <w:jc w:val="center"/>
              <w:outlineLvl w:val="2"/>
              <w:rPr>
                <w:bCs/>
                <w:color w:val="auto"/>
                <w:sz w:val="26"/>
                <w:szCs w:val="26"/>
              </w:rPr>
            </w:pPr>
          </w:p>
          <w:p w14:paraId="2A11645D">
            <w:pPr>
              <w:snapToGrid w:val="0"/>
              <w:jc w:val="center"/>
              <w:outlineLvl w:val="2"/>
              <w:rPr>
                <w:bCs/>
                <w:color w:val="auto"/>
                <w:sz w:val="26"/>
                <w:szCs w:val="26"/>
              </w:rPr>
            </w:pPr>
            <w:r>
              <w:rPr>
                <w:rFonts w:hint="eastAsia"/>
                <w:bCs/>
                <w:color w:val="auto"/>
                <w:sz w:val="26"/>
                <w:szCs w:val="26"/>
              </w:rPr>
              <w:t>表</w:t>
            </w:r>
            <w:r>
              <w:rPr>
                <w:bCs/>
                <w:color w:val="auto"/>
                <w:sz w:val="26"/>
                <w:szCs w:val="26"/>
              </w:rPr>
              <w:t>2-</w:t>
            </w:r>
            <w:r>
              <w:rPr>
                <w:rFonts w:hint="eastAsia"/>
                <w:bCs/>
                <w:color w:val="auto"/>
                <w:sz w:val="26"/>
                <w:szCs w:val="26"/>
              </w:rPr>
              <w:t>3</w:t>
            </w:r>
            <w:r>
              <w:rPr>
                <w:bCs/>
                <w:color w:val="auto"/>
                <w:sz w:val="26"/>
                <w:szCs w:val="26"/>
              </w:rPr>
              <w:t xml:space="preserve">  </w:t>
            </w:r>
            <w:r>
              <w:rPr>
                <w:rFonts w:hint="eastAsia"/>
                <w:bCs/>
                <w:color w:val="auto"/>
                <w:sz w:val="26"/>
                <w:szCs w:val="26"/>
              </w:rPr>
              <w:t>本线路新建杆塔基本情况一览表</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3"/>
              <w:gridCol w:w="1349"/>
              <w:gridCol w:w="1903"/>
              <w:gridCol w:w="1295"/>
              <w:gridCol w:w="1070"/>
              <w:gridCol w:w="1683"/>
            </w:tblGrid>
            <w:tr w14:paraId="0DA2A3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tblHeader/>
                <w:jc w:val="center"/>
              </w:trPr>
              <w:tc>
                <w:tcPr>
                  <w:tcW w:w="484" w:type="pct"/>
                  <w:tcBorders>
                    <w:tl2br w:val="nil"/>
                    <w:tr2bl w:val="nil"/>
                  </w:tcBorders>
                  <w:vAlign w:val="center"/>
                </w:tcPr>
                <w:p w14:paraId="50157978">
                  <w:pPr>
                    <w:pStyle w:val="39"/>
                    <w:tabs>
                      <w:tab w:val="left" w:pos="6160"/>
                    </w:tabs>
                    <w:spacing w:before="24" w:after="24" w:line="240" w:lineRule="auto"/>
                    <w:rPr>
                      <w:rFonts w:ascii="Times New Roman"/>
                      <w:color w:val="auto"/>
                      <w:sz w:val="22"/>
                      <w:szCs w:val="22"/>
                    </w:rPr>
                  </w:pPr>
                  <w:r>
                    <w:rPr>
                      <w:rFonts w:ascii="Times New Roman"/>
                      <w:color w:val="auto"/>
                      <w:sz w:val="22"/>
                      <w:szCs w:val="22"/>
                    </w:rPr>
                    <w:t>序号</w:t>
                  </w:r>
                </w:p>
              </w:tc>
              <w:tc>
                <w:tcPr>
                  <w:tcW w:w="2011" w:type="pct"/>
                  <w:gridSpan w:val="2"/>
                  <w:tcBorders>
                    <w:tl2br w:val="nil"/>
                    <w:tr2bl w:val="nil"/>
                  </w:tcBorders>
                  <w:vAlign w:val="center"/>
                </w:tcPr>
                <w:p w14:paraId="0FCF0309">
                  <w:pPr>
                    <w:pStyle w:val="39"/>
                    <w:tabs>
                      <w:tab w:val="left" w:pos="6160"/>
                    </w:tabs>
                    <w:spacing w:before="24" w:after="24" w:line="240" w:lineRule="auto"/>
                    <w:rPr>
                      <w:rFonts w:ascii="Times New Roman"/>
                      <w:color w:val="auto"/>
                      <w:sz w:val="22"/>
                      <w:szCs w:val="22"/>
                    </w:rPr>
                  </w:pPr>
                  <w:r>
                    <w:rPr>
                      <w:rFonts w:ascii="Times New Roman"/>
                      <w:color w:val="auto"/>
                      <w:sz w:val="22"/>
                      <w:szCs w:val="22"/>
                    </w:rPr>
                    <w:t>杆塔型号</w:t>
                  </w:r>
                </w:p>
              </w:tc>
              <w:tc>
                <w:tcPr>
                  <w:tcW w:w="800" w:type="pct"/>
                  <w:tcBorders>
                    <w:tl2br w:val="nil"/>
                    <w:tr2bl w:val="nil"/>
                  </w:tcBorders>
                  <w:vAlign w:val="center"/>
                </w:tcPr>
                <w:p w14:paraId="42A24C6A">
                  <w:pPr>
                    <w:pStyle w:val="39"/>
                    <w:spacing w:before="24" w:after="24" w:line="240" w:lineRule="auto"/>
                    <w:jc w:val="both"/>
                    <w:rPr>
                      <w:rFonts w:ascii="Times New Roman"/>
                      <w:color w:val="auto"/>
                      <w:sz w:val="22"/>
                      <w:szCs w:val="22"/>
                    </w:rPr>
                  </w:pPr>
                  <w:r>
                    <w:rPr>
                      <w:rFonts w:ascii="Times New Roman"/>
                      <w:color w:val="auto"/>
                      <w:sz w:val="22"/>
                      <w:szCs w:val="22"/>
                    </w:rPr>
                    <w:t>呼高</w:t>
                  </w:r>
                  <w:r>
                    <w:rPr>
                      <w:rFonts w:hint="eastAsia" w:ascii="Times New Roman"/>
                      <w:color w:val="auto"/>
                      <w:sz w:val="22"/>
                      <w:szCs w:val="22"/>
                    </w:rPr>
                    <w:t>（</w:t>
                  </w:r>
                  <w:r>
                    <w:rPr>
                      <w:rFonts w:ascii="Times New Roman"/>
                      <w:color w:val="auto"/>
                      <w:sz w:val="22"/>
                      <w:szCs w:val="22"/>
                    </w:rPr>
                    <w:t>m</w:t>
                  </w:r>
                  <w:r>
                    <w:rPr>
                      <w:rFonts w:hint="eastAsia" w:ascii="Times New Roman"/>
                      <w:color w:val="auto"/>
                      <w:sz w:val="22"/>
                      <w:szCs w:val="22"/>
                    </w:rPr>
                    <w:t>）</w:t>
                  </w:r>
                </w:p>
              </w:tc>
              <w:tc>
                <w:tcPr>
                  <w:tcW w:w="1703" w:type="pct"/>
                  <w:gridSpan w:val="2"/>
                  <w:tcBorders>
                    <w:tl2br w:val="nil"/>
                    <w:tr2bl w:val="nil"/>
                  </w:tcBorders>
                  <w:vAlign w:val="center"/>
                </w:tcPr>
                <w:p w14:paraId="402F50B5">
                  <w:pPr>
                    <w:pStyle w:val="39"/>
                    <w:tabs>
                      <w:tab w:val="left" w:pos="6160"/>
                    </w:tabs>
                    <w:spacing w:before="24" w:after="24" w:line="240" w:lineRule="auto"/>
                    <w:rPr>
                      <w:rFonts w:ascii="Times New Roman"/>
                      <w:color w:val="auto"/>
                      <w:sz w:val="22"/>
                      <w:szCs w:val="22"/>
                    </w:rPr>
                  </w:pPr>
                  <w:r>
                    <w:rPr>
                      <w:rFonts w:ascii="Times New Roman"/>
                      <w:color w:val="auto"/>
                      <w:sz w:val="22"/>
                      <w:szCs w:val="22"/>
                    </w:rPr>
                    <w:t>基数（基）</w:t>
                  </w:r>
                </w:p>
              </w:tc>
            </w:tr>
            <w:tr w14:paraId="630CE9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484" w:type="pct"/>
                  <w:tcBorders>
                    <w:tl2br w:val="nil"/>
                    <w:tr2bl w:val="nil"/>
                  </w:tcBorders>
                  <w:vAlign w:val="center"/>
                </w:tcPr>
                <w:p w14:paraId="5D707DE2">
                  <w:pPr>
                    <w:pStyle w:val="39"/>
                    <w:spacing w:before="24" w:after="24" w:line="240" w:lineRule="auto"/>
                    <w:rPr>
                      <w:rFonts w:ascii="Times New Roman"/>
                      <w:color w:val="auto"/>
                      <w:sz w:val="22"/>
                      <w:szCs w:val="22"/>
                    </w:rPr>
                  </w:pPr>
                  <w:r>
                    <w:rPr>
                      <w:rFonts w:ascii="Times New Roman"/>
                      <w:color w:val="auto"/>
                      <w:sz w:val="22"/>
                      <w:szCs w:val="22"/>
                    </w:rPr>
                    <w:t>1</w:t>
                  </w:r>
                </w:p>
              </w:tc>
              <w:tc>
                <w:tcPr>
                  <w:tcW w:w="834" w:type="pct"/>
                  <w:vMerge w:val="restart"/>
                  <w:tcBorders>
                    <w:tl2br w:val="nil"/>
                    <w:tr2bl w:val="nil"/>
                  </w:tcBorders>
                  <w:vAlign w:val="center"/>
                </w:tcPr>
                <w:p w14:paraId="290E1707">
                  <w:pPr>
                    <w:pStyle w:val="39"/>
                    <w:spacing w:before="24" w:after="24" w:line="240" w:lineRule="auto"/>
                    <w:rPr>
                      <w:rFonts w:ascii="Times New Roman"/>
                      <w:color w:val="auto"/>
                      <w:sz w:val="22"/>
                      <w:szCs w:val="22"/>
                    </w:rPr>
                  </w:pPr>
                  <w:r>
                    <w:rPr>
                      <w:rFonts w:hint="eastAsia" w:ascii="Times New Roman"/>
                      <w:color w:val="auto"/>
                      <w:sz w:val="22"/>
                      <w:szCs w:val="22"/>
                    </w:rPr>
                    <w:t>单回路耐张塔</w:t>
                  </w:r>
                </w:p>
              </w:tc>
              <w:tc>
                <w:tcPr>
                  <w:tcW w:w="1176" w:type="pct"/>
                  <w:tcBorders>
                    <w:tl2br w:val="nil"/>
                    <w:tr2bl w:val="nil"/>
                  </w:tcBorders>
                  <w:vAlign w:val="center"/>
                </w:tcPr>
                <w:p w14:paraId="76BC53E7">
                  <w:pPr>
                    <w:pStyle w:val="39"/>
                    <w:spacing w:before="24" w:after="24" w:line="240" w:lineRule="auto"/>
                    <w:rPr>
                      <w:rFonts w:ascii="Times New Roman"/>
                      <w:color w:val="auto"/>
                      <w:sz w:val="22"/>
                      <w:szCs w:val="22"/>
                    </w:rPr>
                  </w:pPr>
                  <w:r>
                    <w:rPr>
                      <w:rFonts w:hint="eastAsia" w:ascii="Times New Roman"/>
                      <w:color w:val="auto"/>
                      <w:sz w:val="22"/>
                      <w:szCs w:val="22"/>
                    </w:rPr>
                    <w:t>110-DC42D-J1</w:t>
                  </w:r>
                </w:p>
              </w:tc>
              <w:tc>
                <w:tcPr>
                  <w:tcW w:w="800" w:type="pct"/>
                  <w:tcBorders>
                    <w:tl2br w:val="nil"/>
                    <w:tr2bl w:val="nil"/>
                  </w:tcBorders>
                  <w:vAlign w:val="center"/>
                </w:tcPr>
                <w:p w14:paraId="33E66C41">
                  <w:pPr>
                    <w:pStyle w:val="39"/>
                    <w:spacing w:before="24" w:after="24" w:line="240" w:lineRule="auto"/>
                    <w:rPr>
                      <w:rFonts w:ascii="Times New Roman"/>
                      <w:color w:val="auto"/>
                      <w:sz w:val="22"/>
                      <w:szCs w:val="22"/>
                    </w:rPr>
                  </w:pPr>
                  <w:r>
                    <w:rPr>
                      <w:rFonts w:hint="eastAsia" w:ascii="Times New Roman"/>
                      <w:color w:val="auto"/>
                      <w:sz w:val="22"/>
                      <w:szCs w:val="22"/>
                    </w:rPr>
                    <w:t>24</w:t>
                  </w:r>
                </w:p>
              </w:tc>
              <w:tc>
                <w:tcPr>
                  <w:tcW w:w="662" w:type="pct"/>
                  <w:tcBorders>
                    <w:tl2br w:val="nil"/>
                    <w:tr2bl w:val="nil"/>
                  </w:tcBorders>
                  <w:vAlign w:val="center"/>
                </w:tcPr>
                <w:p w14:paraId="2ED6EF3F">
                  <w:pPr>
                    <w:pStyle w:val="39"/>
                    <w:spacing w:before="24" w:after="24" w:line="240" w:lineRule="auto"/>
                    <w:rPr>
                      <w:rFonts w:ascii="Times New Roman"/>
                      <w:color w:val="auto"/>
                      <w:sz w:val="22"/>
                      <w:szCs w:val="22"/>
                    </w:rPr>
                  </w:pPr>
                  <w:r>
                    <w:rPr>
                      <w:rFonts w:hint="eastAsia" w:ascii="Times New Roman"/>
                      <w:color w:val="auto"/>
                      <w:sz w:val="22"/>
                      <w:szCs w:val="22"/>
                    </w:rPr>
                    <w:t>1</w:t>
                  </w:r>
                </w:p>
              </w:tc>
              <w:tc>
                <w:tcPr>
                  <w:tcW w:w="1041" w:type="pct"/>
                  <w:vMerge w:val="restart"/>
                  <w:tcBorders>
                    <w:tl2br w:val="nil"/>
                    <w:tr2bl w:val="nil"/>
                  </w:tcBorders>
                  <w:vAlign w:val="center"/>
                </w:tcPr>
                <w:p w14:paraId="4E28AFE8">
                  <w:pPr>
                    <w:jc w:val="center"/>
                    <w:rPr>
                      <w:color w:val="auto"/>
                      <w:sz w:val="22"/>
                      <w:szCs w:val="22"/>
                    </w:rPr>
                  </w:pPr>
                  <w:r>
                    <w:rPr>
                      <w:rFonts w:hint="eastAsia"/>
                      <w:color w:val="auto"/>
                      <w:sz w:val="22"/>
                      <w:szCs w:val="22"/>
                    </w:rPr>
                    <w:t>13</w:t>
                  </w:r>
                </w:p>
              </w:tc>
            </w:tr>
            <w:tr w14:paraId="10EC99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484" w:type="pct"/>
                  <w:tcBorders>
                    <w:tl2br w:val="nil"/>
                    <w:tr2bl w:val="nil"/>
                  </w:tcBorders>
                  <w:vAlign w:val="center"/>
                </w:tcPr>
                <w:p w14:paraId="6E58E999">
                  <w:pPr>
                    <w:pStyle w:val="39"/>
                    <w:spacing w:before="24" w:after="24" w:line="240" w:lineRule="auto"/>
                    <w:rPr>
                      <w:rFonts w:ascii="Times New Roman"/>
                      <w:color w:val="auto"/>
                      <w:sz w:val="22"/>
                      <w:szCs w:val="22"/>
                    </w:rPr>
                  </w:pPr>
                  <w:r>
                    <w:rPr>
                      <w:rFonts w:hint="eastAsia" w:ascii="Times New Roman"/>
                      <w:color w:val="auto"/>
                      <w:sz w:val="22"/>
                      <w:szCs w:val="22"/>
                    </w:rPr>
                    <w:t>2</w:t>
                  </w:r>
                </w:p>
              </w:tc>
              <w:tc>
                <w:tcPr>
                  <w:tcW w:w="834" w:type="pct"/>
                  <w:vMerge w:val="continue"/>
                  <w:tcBorders>
                    <w:tl2br w:val="nil"/>
                    <w:tr2bl w:val="nil"/>
                  </w:tcBorders>
                  <w:vAlign w:val="center"/>
                </w:tcPr>
                <w:p w14:paraId="7A93380B">
                  <w:pPr>
                    <w:pStyle w:val="39"/>
                    <w:spacing w:before="24" w:after="24" w:line="240" w:lineRule="auto"/>
                    <w:rPr>
                      <w:rFonts w:ascii="Times New Roman"/>
                      <w:color w:val="auto"/>
                      <w:sz w:val="22"/>
                      <w:szCs w:val="22"/>
                    </w:rPr>
                  </w:pPr>
                </w:p>
              </w:tc>
              <w:tc>
                <w:tcPr>
                  <w:tcW w:w="1176" w:type="pct"/>
                  <w:tcBorders>
                    <w:tl2br w:val="nil"/>
                    <w:tr2bl w:val="nil"/>
                  </w:tcBorders>
                  <w:vAlign w:val="center"/>
                </w:tcPr>
                <w:p w14:paraId="78CF1581">
                  <w:pPr>
                    <w:pStyle w:val="39"/>
                    <w:spacing w:before="24" w:after="24" w:line="240" w:lineRule="auto"/>
                    <w:rPr>
                      <w:rFonts w:ascii="Times New Roman"/>
                      <w:color w:val="auto"/>
                      <w:sz w:val="22"/>
                      <w:szCs w:val="22"/>
                    </w:rPr>
                  </w:pPr>
                  <w:r>
                    <w:rPr>
                      <w:rFonts w:hint="eastAsia" w:ascii="Times New Roman"/>
                      <w:color w:val="auto"/>
                      <w:sz w:val="22"/>
                      <w:szCs w:val="22"/>
                    </w:rPr>
                    <w:t>110-DC42D-J2</w:t>
                  </w:r>
                </w:p>
              </w:tc>
              <w:tc>
                <w:tcPr>
                  <w:tcW w:w="800" w:type="pct"/>
                  <w:tcBorders>
                    <w:tl2br w:val="nil"/>
                    <w:tr2bl w:val="nil"/>
                  </w:tcBorders>
                  <w:vAlign w:val="center"/>
                </w:tcPr>
                <w:p w14:paraId="52CFC0AD">
                  <w:pPr>
                    <w:pStyle w:val="39"/>
                    <w:spacing w:before="24" w:after="24" w:line="240" w:lineRule="auto"/>
                    <w:rPr>
                      <w:rFonts w:ascii="Times New Roman"/>
                      <w:color w:val="auto"/>
                      <w:sz w:val="22"/>
                      <w:szCs w:val="22"/>
                    </w:rPr>
                  </w:pPr>
                  <w:r>
                    <w:rPr>
                      <w:rFonts w:hint="eastAsia" w:ascii="Times New Roman"/>
                      <w:color w:val="auto"/>
                      <w:sz w:val="22"/>
                      <w:szCs w:val="22"/>
                    </w:rPr>
                    <w:t>18/21/24</w:t>
                  </w:r>
                </w:p>
              </w:tc>
              <w:tc>
                <w:tcPr>
                  <w:tcW w:w="662" w:type="pct"/>
                  <w:tcBorders>
                    <w:tl2br w:val="nil"/>
                    <w:tr2bl w:val="nil"/>
                  </w:tcBorders>
                  <w:vAlign w:val="center"/>
                </w:tcPr>
                <w:p w14:paraId="084C7157">
                  <w:pPr>
                    <w:pStyle w:val="39"/>
                    <w:spacing w:before="24" w:after="24" w:line="240" w:lineRule="auto"/>
                    <w:rPr>
                      <w:rFonts w:ascii="Times New Roman"/>
                      <w:color w:val="auto"/>
                      <w:sz w:val="22"/>
                      <w:szCs w:val="22"/>
                    </w:rPr>
                  </w:pPr>
                  <w:r>
                    <w:rPr>
                      <w:rFonts w:hint="eastAsia" w:ascii="Times New Roman"/>
                      <w:color w:val="auto"/>
                      <w:sz w:val="22"/>
                      <w:szCs w:val="22"/>
                    </w:rPr>
                    <w:t>6</w:t>
                  </w:r>
                </w:p>
              </w:tc>
              <w:tc>
                <w:tcPr>
                  <w:tcW w:w="1041" w:type="pct"/>
                  <w:vMerge w:val="continue"/>
                  <w:tcBorders>
                    <w:tl2br w:val="nil"/>
                    <w:tr2bl w:val="nil"/>
                  </w:tcBorders>
                  <w:vAlign w:val="center"/>
                </w:tcPr>
                <w:p w14:paraId="1D6A6197">
                  <w:pPr>
                    <w:jc w:val="center"/>
                    <w:rPr>
                      <w:color w:val="auto"/>
                      <w:sz w:val="22"/>
                      <w:szCs w:val="22"/>
                    </w:rPr>
                  </w:pPr>
                </w:p>
              </w:tc>
            </w:tr>
            <w:tr w14:paraId="34A1D0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484" w:type="pct"/>
                  <w:tcBorders>
                    <w:tl2br w:val="nil"/>
                    <w:tr2bl w:val="nil"/>
                  </w:tcBorders>
                  <w:vAlign w:val="center"/>
                </w:tcPr>
                <w:p w14:paraId="676ADE8D">
                  <w:pPr>
                    <w:pStyle w:val="39"/>
                    <w:spacing w:before="24" w:after="24" w:line="240" w:lineRule="auto"/>
                    <w:rPr>
                      <w:rFonts w:ascii="Times New Roman"/>
                      <w:color w:val="auto"/>
                      <w:sz w:val="22"/>
                      <w:szCs w:val="22"/>
                    </w:rPr>
                  </w:pPr>
                  <w:r>
                    <w:rPr>
                      <w:rFonts w:hint="eastAsia" w:ascii="Times New Roman"/>
                      <w:color w:val="auto"/>
                      <w:sz w:val="22"/>
                      <w:szCs w:val="22"/>
                    </w:rPr>
                    <w:t>3</w:t>
                  </w:r>
                </w:p>
              </w:tc>
              <w:tc>
                <w:tcPr>
                  <w:tcW w:w="834" w:type="pct"/>
                  <w:vMerge w:val="continue"/>
                  <w:tcBorders>
                    <w:tl2br w:val="nil"/>
                    <w:tr2bl w:val="nil"/>
                  </w:tcBorders>
                  <w:vAlign w:val="center"/>
                </w:tcPr>
                <w:p w14:paraId="5C7C9E75">
                  <w:pPr>
                    <w:pStyle w:val="39"/>
                    <w:spacing w:before="24" w:after="24" w:line="240" w:lineRule="auto"/>
                    <w:rPr>
                      <w:rFonts w:ascii="Times New Roman"/>
                      <w:color w:val="auto"/>
                      <w:sz w:val="22"/>
                      <w:szCs w:val="22"/>
                    </w:rPr>
                  </w:pPr>
                </w:p>
              </w:tc>
              <w:tc>
                <w:tcPr>
                  <w:tcW w:w="1176" w:type="pct"/>
                  <w:tcBorders>
                    <w:tl2br w:val="nil"/>
                    <w:tr2bl w:val="nil"/>
                  </w:tcBorders>
                  <w:vAlign w:val="center"/>
                </w:tcPr>
                <w:p w14:paraId="1A6A5C59">
                  <w:pPr>
                    <w:pStyle w:val="39"/>
                    <w:spacing w:before="24" w:after="24" w:line="240" w:lineRule="auto"/>
                    <w:rPr>
                      <w:rFonts w:ascii="Times New Roman"/>
                      <w:color w:val="auto"/>
                      <w:sz w:val="22"/>
                      <w:szCs w:val="22"/>
                    </w:rPr>
                  </w:pPr>
                  <w:r>
                    <w:rPr>
                      <w:rFonts w:hint="eastAsia" w:ascii="Times New Roman"/>
                      <w:color w:val="auto"/>
                      <w:sz w:val="22"/>
                      <w:szCs w:val="22"/>
                    </w:rPr>
                    <w:t>110-DC42D-J3</w:t>
                  </w:r>
                </w:p>
              </w:tc>
              <w:tc>
                <w:tcPr>
                  <w:tcW w:w="800" w:type="pct"/>
                  <w:tcBorders>
                    <w:tl2br w:val="nil"/>
                    <w:tr2bl w:val="nil"/>
                  </w:tcBorders>
                  <w:vAlign w:val="center"/>
                </w:tcPr>
                <w:p w14:paraId="47816392">
                  <w:pPr>
                    <w:pStyle w:val="39"/>
                    <w:spacing w:before="24" w:after="24" w:line="240" w:lineRule="auto"/>
                    <w:rPr>
                      <w:rFonts w:ascii="Times New Roman"/>
                      <w:color w:val="auto"/>
                      <w:sz w:val="22"/>
                      <w:szCs w:val="22"/>
                    </w:rPr>
                  </w:pPr>
                  <w:r>
                    <w:rPr>
                      <w:rFonts w:hint="eastAsia" w:ascii="Times New Roman"/>
                      <w:color w:val="auto"/>
                      <w:sz w:val="22"/>
                      <w:szCs w:val="22"/>
                    </w:rPr>
                    <w:t>21/24</w:t>
                  </w:r>
                </w:p>
              </w:tc>
              <w:tc>
                <w:tcPr>
                  <w:tcW w:w="662" w:type="pct"/>
                  <w:tcBorders>
                    <w:tl2br w:val="nil"/>
                    <w:tr2bl w:val="nil"/>
                  </w:tcBorders>
                  <w:vAlign w:val="center"/>
                </w:tcPr>
                <w:p w14:paraId="6821FE36">
                  <w:pPr>
                    <w:pStyle w:val="39"/>
                    <w:spacing w:before="24" w:after="24" w:line="240" w:lineRule="auto"/>
                    <w:rPr>
                      <w:rFonts w:ascii="Times New Roman"/>
                      <w:color w:val="auto"/>
                      <w:sz w:val="22"/>
                      <w:szCs w:val="22"/>
                    </w:rPr>
                  </w:pPr>
                  <w:r>
                    <w:rPr>
                      <w:rFonts w:hint="eastAsia" w:ascii="Times New Roman"/>
                      <w:color w:val="auto"/>
                      <w:sz w:val="22"/>
                      <w:szCs w:val="22"/>
                    </w:rPr>
                    <w:t>6</w:t>
                  </w:r>
                </w:p>
              </w:tc>
              <w:tc>
                <w:tcPr>
                  <w:tcW w:w="1041" w:type="pct"/>
                  <w:vMerge w:val="continue"/>
                  <w:tcBorders>
                    <w:tl2br w:val="nil"/>
                    <w:tr2bl w:val="nil"/>
                  </w:tcBorders>
                  <w:vAlign w:val="center"/>
                </w:tcPr>
                <w:p w14:paraId="4C013316">
                  <w:pPr>
                    <w:jc w:val="center"/>
                    <w:rPr>
                      <w:color w:val="auto"/>
                      <w:sz w:val="22"/>
                      <w:szCs w:val="22"/>
                    </w:rPr>
                  </w:pPr>
                </w:p>
              </w:tc>
            </w:tr>
            <w:tr w14:paraId="286A69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484" w:type="pct"/>
                  <w:tcBorders>
                    <w:tl2br w:val="nil"/>
                    <w:tr2bl w:val="nil"/>
                  </w:tcBorders>
                  <w:vAlign w:val="center"/>
                </w:tcPr>
                <w:p w14:paraId="0CC7B987">
                  <w:pPr>
                    <w:pStyle w:val="39"/>
                    <w:spacing w:before="24" w:after="24" w:line="240" w:lineRule="auto"/>
                    <w:rPr>
                      <w:rFonts w:ascii="Times New Roman"/>
                      <w:color w:val="auto"/>
                      <w:sz w:val="22"/>
                      <w:szCs w:val="22"/>
                    </w:rPr>
                  </w:pPr>
                  <w:r>
                    <w:rPr>
                      <w:rFonts w:hint="eastAsia" w:ascii="Times New Roman"/>
                      <w:color w:val="auto"/>
                      <w:sz w:val="22"/>
                      <w:szCs w:val="22"/>
                    </w:rPr>
                    <w:t>4</w:t>
                  </w:r>
                </w:p>
              </w:tc>
              <w:tc>
                <w:tcPr>
                  <w:tcW w:w="834" w:type="pct"/>
                  <w:vMerge w:val="restart"/>
                  <w:tcBorders>
                    <w:tl2br w:val="nil"/>
                    <w:tr2bl w:val="nil"/>
                  </w:tcBorders>
                  <w:vAlign w:val="center"/>
                </w:tcPr>
                <w:p w14:paraId="50B4412F">
                  <w:pPr>
                    <w:pStyle w:val="39"/>
                    <w:spacing w:before="24" w:after="24" w:line="240" w:lineRule="auto"/>
                    <w:rPr>
                      <w:rFonts w:ascii="Times New Roman"/>
                      <w:color w:val="auto"/>
                      <w:sz w:val="22"/>
                      <w:szCs w:val="22"/>
                    </w:rPr>
                  </w:pPr>
                  <w:r>
                    <w:rPr>
                      <w:rFonts w:hint="eastAsia" w:ascii="Times New Roman"/>
                      <w:color w:val="auto"/>
                      <w:sz w:val="22"/>
                      <w:szCs w:val="22"/>
                    </w:rPr>
                    <w:t>单回路直线塔</w:t>
                  </w:r>
                </w:p>
              </w:tc>
              <w:tc>
                <w:tcPr>
                  <w:tcW w:w="1176" w:type="pct"/>
                  <w:tcBorders>
                    <w:tl2br w:val="nil"/>
                    <w:tr2bl w:val="nil"/>
                  </w:tcBorders>
                  <w:vAlign w:val="center"/>
                </w:tcPr>
                <w:p w14:paraId="4752CD94">
                  <w:pPr>
                    <w:pStyle w:val="39"/>
                    <w:spacing w:before="24" w:after="24" w:line="240" w:lineRule="auto"/>
                    <w:rPr>
                      <w:rFonts w:ascii="Times New Roman"/>
                      <w:color w:val="auto"/>
                      <w:sz w:val="22"/>
                      <w:szCs w:val="22"/>
                    </w:rPr>
                  </w:pPr>
                  <w:r>
                    <w:rPr>
                      <w:rFonts w:hint="eastAsia" w:ascii="Times New Roman"/>
                      <w:color w:val="auto"/>
                      <w:sz w:val="22"/>
                      <w:szCs w:val="22"/>
                    </w:rPr>
                    <w:t>110-DC42D-Z1</w:t>
                  </w:r>
                </w:p>
              </w:tc>
              <w:tc>
                <w:tcPr>
                  <w:tcW w:w="800" w:type="pct"/>
                  <w:tcBorders>
                    <w:tl2br w:val="nil"/>
                    <w:tr2bl w:val="nil"/>
                  </w:tcBorders>
                  <w:vAlign w:val="center"/>
                </w:tcPr>
                <w:p w14:paraId="39B353F1">
                  <w:pPr>
                    <w:pStyle w:val="39"/>
                    <w:spacing w:before="24" w:after="24" w:line="240" w:lineRule="auto"/>
                    <w:rPr>
                      <w:rFonts w:ascii="Times New Roman"/>
                      <w:color w:val="auto"/>
                      <w:sz w:val="22"/>
                      <w:szCs w:val="22"/>
                    </w:rPr>
                  </w:pPr>
                  <w:r>
                    <w:rPr>
                      <w:rFonts w:hint="eastAsia" w:ascii="Times New Roman"/>
                      <w:color w:val="auto"/>
                      <w:sz w:val="22"/>
                      <w:szCs w:val="22"/>
                    </w:rPr>
                    <w:t>27/30</w:t>
                  </w:r>
                </w:p>
              </w:tc>
              <w:tc>
                <w:tcPr>
                  <w:tcW w:w="662" w:type="pct"/>
                  <w:tcBorders>
                    <w:tl2br w:val="nil"/>
                    <w:tr2bl w:val="nil"/>
                  </w:tcBorders>
                  <w:vAlign w:val="center"/>
                </w:tcPr>
                <w:p w14:paraId="74EEAE9C">
                  <w:pPr>
                    <w:pStyle w:val="39"/>
                    <w:spacing w:before="24" w:after="24" w:line="240" w:lineRule="auto"/>
                    <w:rPr>
                      <w:rFonts w:ascii="Times New Roman"/>
                      <w:color w:val="auto"/>
                      <w:sz w:val="22"/>
                      <w:szCs w:val="22"/>
                    </w:rPr>
                  </w:pPr>
                  <w:r>
                    <w:rPr>
                      <w:rFonts w:hint="eastAsia" w:ascii="Times New Roman"/>
                      <w:color w:val="auto"/>
                      <w:sz w:val="22"/>
                      <w:szCs w:val="22"/>
                    </w:rPr>
                    <w:t>7</w:t>
                  </w:r>
                </w:p>
              </w:tc>
              <w:tc>
                <w:tcPr>
                  <w:tcW w:w="1041" w:type="pct"/>
                  <w:vMerge w:val="restart"/>
                  <w:tcBorders>
                    <w:tl2br w:val="nil"/>
                    <w:tr2bl w:val="nil"/>
                  </w:tcBorders>
                  <w:vAlign w:val="center"/>
                </w:tcPr>
                <w:p w14:paraId="431EEFA4">
                  <w:pPr>
                    <w:jc w:val="center"/>
                    <w:rPr>
                      <w:color w:val="auto"/>
                      <w:sz w:val="22"/>
                      <w:szCs w:val="22"/>
                    </w:rPr>
                  </w:pPr>
                  <w:r>
                    <w:rPr>
                      <w:rFonts w:hint="eastAsia"/>
                      <w:color w:val="auto"/>
                      <w:sz w:val="22"/>
                      <w:szCs w:val="22"/>
                    </w:rPr>
                    <w:t>11</w:t>
                  </w:r>
                </w:p>
              </w:tc>
            </w:tr>
            <w:tr w14:paraId="6660C9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484" w:type="pct"/>
                  <w:tcBorders>
                    <w:tl2br w:val="nil"/>
                    <w:tr2bl w:val="nil"/>
                  </w:tcBorders>
                  <w:vAlign w:val="center"/>
                </w:tcPr>
                <w:p w14:paraId="4CD32922">
                  <w:pPr>
                    <w:pStyle w:val="39"/>
                    <w:spacing w:before="24" w:after="24" w:line="240" w:lineRule="auto"/>
                    <w:rPr>
                      <w:rFonts w:ascii="Times New Roman"/>
                      <w:color w:val="auto"/>
                      <w:sz w:val="22"/>
                      <w:szCs w:val="22"/>
                    </w:rPr>
                  </w:pPr>
                  <w:r>
                    <w:rPr>
                      <w:rFonts w:hint="eastAsia" w:ascii="Times New Roman"/>
                      <w:color w:val="auto"/>
                      <w:sz w:val="22"/>
                      <w:szCs w:val="22"/>
                    </w:rPr>
                    <w:t>5</w:t>
                  </w:r>
                </w:p>
              </w:tc>
              <w:tc>
                <w:tcPr>
                  <w:tcW w:w="834" w:type="pct"/>
                  <w:vMerge w:val="continue"/>
                  <w:tcBorders>
                    <w:tl2br w:val="nil"/>
                    <w:tr2bl w:val="nil"/>
                  </w:tcBorders>
                  <w:vAlign w:val="center"/>
                </w:tcPr>
                <w:p w14:paraId="51E365E9">
                  <w:pPr>
                    <w:jc w:val="center"/>
                    <w:rPr>
                      <w:color w:val="auto"/>
                      <w:sz w:val="22"/>
                      <w:szCs w:val="22"/>
                    </w:rPr>
                  </w:pPr>
                </w:p>
              </w:tc>
              <w:tc>
                <w:tcPr>
                  <w:tcW w:w="1176" w:type="pct"/>
                  <w:tcBorders>
                    <w:tl2br w:val="nil"/>
                    <w:tr2bl w:val="nil"/>
                  </w:tcBorders>
                  <w:vAlign w:val="center"/>
                </w:tcPr>
                <w:p w14:paraId="3A2ED03A">
                  <w:pPr>
                    <w:pStyle w:val="39"/>
                    <w:spacing w:before="24" w:after="24" w:line="240" w:lineRule="auto"/>
                    <w:rPr>
                      <w:rFonts w:ascii="Times New Roman"/>
                      <w:color w:val="auto"/>
                      <w:sz w:val="22"/>
                      <w:szCs w:val="22"/>
                    </w:rPr>
                  </w:pPr>
                  <w:r>
                    <w:rPr>
                      <w:rFonts w:hint="eastAsia" w:ascii="Times New Roman"/>
                      <w:color w:val="auto"/>
                      <w:sz w:val="22"/>
                      <w:szCs w:val="22"/>
                    </w:rPr>
                    <w:t>110-DC42D-Z2</w:t>
                  </w:r>
                </w:p>
              </w:tc>
              <w:tc>
                <w:tcPr>
                  <w:tcW w:w="800" w:type="pct"/>
                  <w:tcBorders>
                    <w:tl2br w:val="nil"/>
                    <w:tr2bl w:val="nil"/>
                  </w:tcBorders>
                  <w:vAlign w:val="center"/>
                </w:tcPr>
                <w:p w14:paraId="56981244">
                  <w:pPr>
                    <w:pStyle w:val="39"/>
                    <w:spacing w:before="24" w:after="24" w:line="240" w:lineRule="auto"/>
                    <w:rPr>
                      <w:rFonts w:ascii="Times New Roman"/>
                      <w:color w:val="auto"/>
                      <w:sz w:val="22"/>
                      <w:szCs w:val="22"/>
                    </w:rPr>
                  </w:pPr>
                  <w:r>
                    <w:rPr>
                      <w:rFonts w:hint="eastAsia" w:ascii="Times New Roman"/>
                      <w:color w:val="auto"/>
                      <w:sz w:val="22"/>
                      <w:szCs w:val="22"/>
                    </w:rPr>
                    <w:t>33/36/42</w:t>
                  </w:r>
                </w:p>
              </w:tc>
              <w:tc>
                <w:tcPr>
                  <w:tcW w:w="662" w:type="pct"/>
                  <w:tcBorders>
                    <w:tl2br w:val="nil"/>
                    <w:tr2bl w:val="nil"/>
                  </w:tcBorders>
                  <w:vAlign w:val="center"/>
                </w:tcPr>
                <w:p w14:paraId="46C54C0D">
                  <w:pPr>
                    <w:pStyle w:val="39"/>
                    <w:spacing w:before="24" w:after="24" w:line="240" w:lineRule="auto"/>
                    <w:rPr>
                      <w:rFonts w:ascii="Times New Roman"/>
                      <w:color w:val="auto"/>
                      <w:sz w:val="22"/>
                      <w:szCs w:val="22"/>
                    </w:rPr>
                  </w:pPr>
                  <w:r>
                    <w:rPr>
                      <w:rFonts w:hint="eastAsia" w:ascii="Times New Roman"/>
                      <w:color w:val="auto"/>
                      <w:sz w:val="22"/>
                      <w:szCs w:val="22"/>
                    </w:rPr>
                    <w:t>4</w:t>
                  </w:r>
                </w:p>
              </w:tc>
              <w:tc>
                <w:tcPr>
                  <w:tcW w:w="1041" w:type="pct"/>
                  <w:vMerge w:val="continue"/>
                  <w:tcBorders>
                    <w:tl2br w:val="nil"/>
                    <w:tr2bl w:val="nil"/>
                  </w:tcBorders>
                  <w:vAlign w:val="center"/>
                </w:tcPr>
                <w:p w14:paraId="102262F4">
                  <w:pPr>
                    <w:jc w:val="center"/>
                    <w:rPr>
                      <w:color w:val="auto"/>
                      <w:sz w:val="22"/>
                      <w:szCs w:val="22"/>
                    </w:rPr>
                  </w:pPr>
                </w:p>
              </w:tc>
            </w:tr>
            <w:tr w14:paraId="0EE285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3296" w:type="pct"/>
                  <w:gridSpan w:val="4"/>
                  <w:tcBorders>
                    <w:tl2br w:val="nil"/>
                    <w:tr2bl w:val="nil"/>
                  </w:tcBorders>
                  <w:vAlign w:val="center"/>
                </w:tcPr>
                <w:p w14:paraId="105C411D">
                  <w:pPr>
                    <w:jc w:val="center"/>
                    <w:rPr>
                      <w:color w:val="auto"/>
                      <w:sz w:val="22"/>
                      <w:szCs w:val="22"/>
                    </w:rPr>
                  </w:pPr>
                  <w:r>
                    <w:rPr>
                      <w:rFonts w:hint="eastAsia"/>
                      <w:color w:val="auto"/>
                      <w:sz w:val="22"/>
                      <w:szCs w:val="22"/>
                    </w:rPr>
                    <w:t>小计</w:t>
                  </w:r>
                </w:p>
              </w:tc>
              <w:tc>
                <w:tcPr>
                  <w:tcW w:w="1703" w:type="pct"/>
                  <w:gridSpan w:val="2"/>
                  <w:tcBorders>
                    <w:tl2br w:val="nil"/>
                    <w:tr2bl w:val="nil"/>
                  </w:tcBorders>
                  <w:vAlign w:val="center"/>
                </w:tcPr>
                <w:p w14:paraId="5E6E85B6">
                  <w:pPr>
                    <w:jc w:val="center"/>
                    <w:rPr>
                      <w:color w:val="auto"/>
                      <w:sz w:val="22"/>
                      <w:szCs w:val="22"/>
                    </w:rPr>
                  </w:pPr>
                  <w:r>
                    <w:rPr>
                      <w:rFonts w:hint="eastAsia"/>
                      <w:color w:val="auto"/>
                      <w:sz w:val="22"/>
                      <w:szCs w:val="22"/>
                    </w:rPr>
                    <w:t>24</w:t>
                  </w:r>
                </w:p>
              </w:tc>
            </w:tr>
          </w:tbl>
          <w:p w14:paraId="318235C1">
            <w:pPr>
              <w:snapToGrid w:val="0"/>
              <w:outlineLvl w:val="2"/>
              <w:rPr>
                <w:bCs/>
                <w:color w:val="auto"/>
                <w:sz w:val="26"/>
                <w:szCs w:val="26"/>
              </w:rPr>
            </w:pPr>
          </w:p>
          <w:p w14:paraId="63C5EF36">
            <w:pPr>
              <w:snapToGrid w:val="0"/>
              <w:spacing w:line="460" w:lineRule="exact"/>
              <w:ind w:firstLine="522" w:firstLineChars="200"/>
              <w:rPr>
                <w:b/>
                <w:color w:val="auto"/>
                <w:sz w:val="26"/>
                <w:szCs w:val="26"/>
              </w:rPr>
            </w:pPr>
            <w:r>
              <w:rPr>
                <w:rFonts w:hint="eastAsia"/>
                <w:b/>
                <w:color w:val="auto"/>
                <w:sz w:val="26"/>
                <w:szCs w:val="26"/>
              </w:rPr>
              <w:t>（4）基础选型</w:t>
            </w:r>
          </w:p>
          <w:p w14:paraId="411B0273">
            <w:pPr>
              <w:snapToGrid w:val="0"/>
              <w:spacing w:line="460" w:lineRule="exact"/>
              <w:ind w:firstLine="520" w:firstLineChars="200"/>
              <w:rPr>
                <w:bCs/>
                <w:color w:val="auto"/>
                <w:sz w:val="26"/>
                <w:szCs w:val="26"/>
              </w:rPr>
            </w:pPr>
            <w:r>
              <w:rPr>
                <w:rFonts w:hint="eastAsia"/>
                <w:bCs/>
                <w:color w:val="auto"/>
                <w:sz w:val="26"/>
                <w:szCs w:val="26"/>
              </w:rPr>
              <w:t>根据本工程线路沿线的地形、地质情况，杆塔基础采用人工开挖基础和灌注桩基础，奉节县生态保护红线内塔基基础均为人工开挖。</w:t>
            </w:r>
          </w:p>
          <w:p w14:paraId="7BA77D44">
            <w:pPr>
              <w:spacing w:line="460" w:lineRule="exact"/>
              <w:ind w:firstLine="522" w:firstLineChars="200"/>
              <w:rPr>
                <w:b/>
                <w:color w:val="auto"/>
                <w:sz w:val="26"/>
                <w:szCs w:val="26"/>
              </w:rPr>
            </w:pPr>
            <w:r>
              <w:rPr>
                <w:rFonts w:hint="eastAsia"/>
                <w:b/>
                <w:color w:val="auto"/>
                <w:sz w:val="26"/>
                <w:szCs w:val="26"/>
              </w:rPr>
              <w:t>（5）线路交叉跨越</w:t>
            </w:r>
          </w:p>
          <w:p w14:paraId="669E799E">
            <w:pPr>
              <w:spacing w:line="460" w:lineRule="exact"/>
              <w:ind w:firstLine="520" w:firstLineChars="200"/>
              <w:rPr>
                <w:bCs/>
                <w:color w:val="auto"/>
                <w:sz w:val="26"/>
                <w:szCs w:val="26"/>
              </w:rPr>
            </w:pPr>
            <w:r>
              <w:rPr>
                <w:rFonts w:hint="eastAsia"/>
                <w:bCs/>
                <w:color w:val="auto"/>
                <w:sz w:val="26"/>
                <w:szCs w:val="26"/>
              </w:rPr>
              <w:t>根据设计资料及现场调查，线路跨越10kV线路3次，跨越低压及通信线路5次，跨越一般公路13次。本项目不涉及3</w:t>
            </w:r>
            <w:r>
              <w:rPr>
                <w:bCs/>
                <w:color w:val="auto"/>
                <w:sz w:val="26"/>
                <w:szCs w:val="26"/>
              </w:rPr>
              <w:t>30</w:t>
            </w:r>
            <w:r>
              <w:rPr>
                <w:rFonts w:hint="eastAsia"/>
                <w:bCs/>
                <w:color w:val="auto"/>
                <w:sz w:val="26"/>
                <w:szCs w:val="26"/>
              </w:rPr>
              <w:t>kV及以上线路交叉跨越、并行。</w:t>
            </w:r>
          </w:p>
          <w:p w14:paraId="3AB9393E">
            <w:pPr>
              <w:spacing w:line="460" w:lineRule="exact"/>
              <w:ind w:firstLine="520" w:firstLineChars="200"/>
              <w:rPr>
                <w:bCs/>
                <w:color w:val="auto"/>
                <w:sz w:val="26"/>
                <w:szCs w:val="26"/>
              </w:rPr>
            </w:pPr>
            <w:r>
              <w:rPr>
                <w:rFonts w:hint="eastAsia"/>
                <w:bCs/>
                <w:color w:val="auto"/>
                <w:sz w:val="26"/>
                <w:szCs w:val="26"/>
              </w:rPr>
              <w:t>导线对地及交叉跨越物的最小距离设计单位按照《110kV～750kV架空输电线路设计规范》（GB50545-2010）的要求进行设计，施工单位在建设过程中需保证项目线路导线与山坡、岩石、电力线、通信线、居民区、非居民区、等级公路、树木自然生长高度和街道行道树等被交叉跨越物的最小垂直距离满足《110kV～750kV架空输电线路设计规范》（GB50545-2010）的相关要求。</w:t>
            </w:r>
          </w:p>
          <w:p w14:paraId="7F7F0AD4">
            <w:pPr>
              <w:jc w:val="center"/>
              <w:rPr>
                <w:bCs/>
                <w:color w:val="auto"/>
                <w:sz w:val="26"/>
                <w:szCs w:val="26"/>
              </w:rPr>
            </w:pPr>
          </w:p>
          <w:p w14:paraId="7E039E83">
            <w:pPr>
              <w:jc w:val="center"/>
              <w:rPr>
                <w:bCs/>
                <w:color w:val="auto"/>
                <w:sz w:val="26"/>
                <w:szCs w:val="26"/>
              </w:rPr>
            </w:pPr>
          </w:p>
          <w:p w14:paraId="664AC1D1">
            <w:pPr>
              <w:jc w:val="center"/>
              <w:rPr>
                <w:bCs/>
                <w:color w:val="auto"/>
                <w:kern w:val="0"/>
                <w:sz w:val="26"/>
                <w:szCs w:val="26"/>
              </w:rPr>
            </w:pPr>
            <w:r>
              <w:rPr>
                <w:bCs/>
                <w:color w:val="auto"/>
                <w:sz w:val="26"/>
                <w:szCs w:val="26"/>
              </w:rPr>
              <w:t>表</w:t>
            </w:r>
            <w:r>
              <w:rPr>
                <w:rFonts w:hint="eastAsia"/>
                <w:bCs/>
                <w:color w:val="auto"/>
                <w:sz w:val="26"/>
                <w:szCs w:val="26"/>
              </w:rPr>
              <w:t>2-4</w:t>
            </w:r>
            <w:r>
              <w:rPr>
                <w:bCs/>
                <w:color w:val="auto"/>
                <w:sz w:val="26"/>
                <w:szCs w:val="26"/>
              </w:rPr>
              <w:t xml:space="preserve">  线路主要交叉跨越一览表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6"/>
              <w:gridCol w:w="2695"/>
              <w:gridCol w:w="2417"/>
              <w:gridCol w:w="2168"/>
            </w:tblGrid>
            <w:tr w14:paraId="0972C9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14:paraId="532E3EC0">
                  <w:pPr>
                    <w:snapToGrid w:val="0"/>
                    <w:jc w:val="center"/>
                    <w:rPr>
                      <w:bCs/>
                      <w:color w:val="auto"/>
                      <w:sz w:val="22"/>
                      <w:szCs w:val="22"/>
                    </w:rPr>
                  </w:pPr>
                  <w:r>
                    <w:rPr>
                      <w:rFonts w:hint="eastAsia"/>
                      <w:bCs/>
                      <w:color w:val="auto"/>
                      <w:sz w:val="22"/>
                      <w:szCs w:val="22"/>
                    </w:rPr>
                    <w:t>序号</w:t>
                  </w:r>
                </w:p>
              </w:tc>
              <w:tc>
                <w:tcPr>
                  <w:tcW w:w="2695" w:type="dxa"/>
                  <w:tcBorders>
                    <w:top w:val="single" w:color="auto" w:sz="4" w:space="0"/>
                    <w:left w:val="single" w:color="auto" w:sz="4" w:space="0"/>
                    <w:bottom w:val="single" w:color="auto" w:sz="4" w:space="0"/>
                    <w:right w:val="single" w:color="auto" w:sz="4" w:space="0"/>
                  </w:tcBorders>
                  <w:vAlign w:val="center"/>
                </w:tcPr>
                <w:p w14:paraId="026F7551">
                  <w:pPr>
                    <w:snapToGrid w:val="0"/>
                    <w:jc w:val="center"/>
                    <w:rPr>
                      <w:bCs/>
                      <w:color w:val="auto"/>
                      <w:sz w:val="22"/>
                      <w:szCs w:val="22"/>
                    </w:rPr>
                  </w:pPr>
                  <w:r>
                    <w:rPr>
                      <w:rFonts w:hint="eastAsia"/>
                      <w:bCs/>
                      <w:color w:val="auto"/>
                      <w:sz w:val="22"/>
                      <w:szCs w:val="22"/>
                    </w:rPr>
                    <w:t>交叉跨越类型</w:t>
                  </w:r>
                </w:p>
              </w:tc>
              <w:tc>
                <w:tcPr>
                  <w:tcW w:w="2417" w:type="dxa"/>
                  <w:tcBorders>
                    <w:top w:val="single" w:color="auto" w:sz="4" w:space="0"/>
                    <w:left w:val="single" w:color="auto" w:sz="4" w:space="0"/>
                    <w:bottom w:val="single" w:color="auto" w:sz="4" w:space="0"/>
                    <w:right w:val="single" w:color="auto" w:sz="4" w:space="0"/>
                  </w:tcBorders>
                  <w:vAlign w:val="center"/>
                </w:tcPr>
                <w:p w14:paraId="0ECC0982">
                  <w:pPr>
                    <w:snapToGrid w:val="0"/>
                    <w:jc w:val="center"/>
                    <w:rPr>
                      <w:bCs/>
                      <w:color w:val="auto"/>
                      <w:sz w:val="22"/>
                      <w:szCs w:val="22"/>
                    </w:rPr>
                  </w:pPr>
                  <w:r>
                    <w:rPr>
                      <w:rFonts w:hint="eastAsia"/>
                      <w:bCs/>
                      <w:color w:val="auto"/>
                      <w:sz w:val="22"/>
                      <w:szCs w:val="22"/>
                    </w:rPr>
                    <w:t>跨越次数</w:t>
                  </w:r>
                </w:p>
              </w:tc>
              <w:tc>
                <w:tcPr>
                  <w:tcW w:w="2168" w:type="dxa"/>
                  <w:tcBorders>
                    <w:top w:val="single" w:color="auto" w:sz="4" w:space="0"/>
                    <w:left w:val="single" w:color="auto" w:sz="4" w:space="0"/>
                    <w:bottom w:val="single" w:color="auto" w:sz="4" w:space="0"/>
                    <w:right w:val="single" w:color="auto" w:sz="4" w:space="0"/>
                  </w:tcBorders>
                  <w:vAlign w:val="center"/>
                </w:tcPr>
                <w:p w14:paraId="2EECDC0F">
                  <w:pPr>
                    <w:snapToGrid w:val="0"/>
                    <w:jc w:val="center"/>
                    <w:rPr>
                      <w:bCs/>
                      <w:color w:val="auto"/>
                      <w:sz w:val="22"/>
                      <w:szCs w:val="22"/>
                    </w:rPr>
                  </w:pPr>
                  <w:r>
                    <w:rPr>
                      <w:rFonts w:hint="eastAsia"/>
                      <w:bCs/>
                      <w:color w:val="auto"/>
                      <w:sz w:val="22"/>
                      <w:szCs w:val="22"/>
                    </w:rPr>
                    <w:t>备注</w:t>
                  </w:r>
                </w:p>
              </w:tc>
            </w:tr>
            <w:tr w14:paraId="0AE1E9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14:paraId="26F5956A">
                  <w:pPr>
                    <w:snapToGrid w:val="0"/>
                    <w:jc w:val="center"/>
                    <w:rPr>
                      <w:bCs/>
                      <w:color w:val="auto"/>
                      <w:sz w:val="22"/>
                      <w:szCs w:val="22"/>
                    </w:rPr>
                  </w:pPr>
                  <w:r>
                    <w:rPr>
                      <w:rFonts w:hint="eastAsia"/>
                      <w:bCs/>
                      <w:color w:val="auto"/>
                      <w:sz w:val="22"/>
                      <w:szCs w:val="22"/>
                    </w:rPr>
                    <w:t>1</w:t>
                  </w:r>
                </w:p>
              </w:tc>
              <w:tc>
                <w:tcPr>
                  <w:tcW w:w="2695" w:type="dxa"/>
                  <w:tcBorders>
                    <w:top w:val="single" w:color="auto" w:sz="4" w:space="0"/>
                    <w:left w:val="single" w:color="auto" w:sz="4" w:space="0"/>
                    <w:bottom w:val="single" w:color="auto" w:sz="4" w:space="0"/>
                    <w:right w:val="single" w:color="auto" w:sz="4" w:space="0"/>
                  </w:tcBorders>
                  <w:vAlign w:val="center"/>
                </w:tcPr>
                <w:p w14:paraId="31CC14D6">
                  <w:pPr>
                    <w:snapToGrid w:val="0"/>
                    <w:jc w:val="center"/>
                    <w:rPr>
                      <w:bCs/>
                      <w:color w:val="auto"/>
                      <w:sz w:val="22"/>
                      <w:szCs w:val="22"/>
                    </w:rPr>
                  </w:pPr>
                  <w:r>
                    <w:rPr>
                      <w:rFonts w:hint="eastAsia"/>
                      <w:bCs/>
                      <w:color w:val="auto"/>
                      <w:sz w:val="22"/>
                      <w:szCs w:val="22"/>
                    </w:rPr>
                    <w:t>10kV线路</w:t>
                  </w:r>
                </w:p>
              </w:tc>
              <w:tc>
                <w:tcPr>
                  <w:tcW w:w="2417" w:type="dxa"/>
                  <w:tcBorders>
                    <w:top w:val="single" w:color="auto" w:sz="4" w:space="0"/>
                    <w:left w:val="single" w:color="auto" w:sz="4" w:space="0"/>
                    <w:bottom w:val="single" w:color="auto" w:sz="4" w:space="0"/>
                    <w:right w:val="single" w:color="auto" w:sz="4" w:space="0"/>
                  </w:tcBorders>
                  <w:vAlign w:val="center"/>
                </w:tcPr>
                <w:p w14:paraId="7AF08172">
                  <w:pPr>
                    <w:snapToGrid w:val="0"/>
                    <w:jc w:val="center"/>
                    <w:rPr>
                      <w:bCs/>
                      <w:color w:val="auto"/>
                      <w:sz w:val="22"/>
                      <w:szCs w:val="22"/>
                    </w:rPr>
                  </w:pPr>
                  <w:r>
                    <w:rPr>
                      <w:rFonts w:hint="eastAsia"/>
                      <w:bCs/>
                      <w:color w:val="auto"/>
                      <w:sz w:val="22"/>
                      <w:szCs w:val="22"/>
                    </w:rPr>
                    <w:t>3次</w:t>
                  </w:r>
                </w:p>
              </w:tc>
              <w:tc>
                <w:tcPr>
                  <w:tcW w:w="2168" w:type="dxa"/>
                  <w:tcBorders>
                    <w:top w:val="single" w:color="auto" w:sz="4" w:space="0"/>
                    <w:left w:val="single" w:color="auto" w:sz="4" w:space="0"/>
                    <w:bottom w:val="single" w:color="auto" w:sz="4" w:space="0"/>
                    <w:right w:val="single" w:color="auto" w:sz="4" w:space="0"/>
                  </w:tcBorders>
                  <w:vAlign w:val="center"/>
                </w:tcPr>
                <w:p w14:paraId="47315B9A">
                  <w:pPr>
                    <w:snapToGrid w:val="0"/>
                    <w:jc w:val="center"/>
                    <w:rPr>
                      <w:bCs/>
                      <w:color w:val="auto"/>
                      <w:sz w:val="22"/>
                      <w:szCs w:val="22"/>
                    </w:rPr>
                  </w:pPr>
                  <w:r>
                    <w:rPr>
                      <w:rFonts w:hint="eastAsia"/>
                      <w:bCs/>
                      <w:color w:val="auto"/>
                      <w:sz w:val="22"/>
                      <w:szCs w:val="22"/>
                    </w:rPr>
                    <w:t>/</w:t>
                  </w:r>
                </w:p>
              </w:tc>
            </w:tr>
            <w:tr w14:paraId="3E0FA4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14:paraId="1FAF56A4">
                  <w:pPr>
                    <w:snapToGrid w:val="0"/>
                    <w:jc w:val="center"/>
                    <w:rPr>
                      <w:bCs/>
                      <w:color w:val="auto"/>
                      <w:sz w:val="22"/>
                      <w:szCs w:val="22"/>
                    </w:rPr>
                  </w:pPr>
                  <w:r>
                    <w:rPr>
                      <w:rFonts w:hint="eastAsia"/>
                      <w:bCs/>
                      <w:color w:val="auto"/>
                      <w:sz w:val="22"/>
                      <w:szCs w:val="22"/>
                    </w:rPr>
                    <w:t>2</w:t>
                  </w:r>
                </w:p>
              </w:tc>
              <w:tc>
                <w:tcPr>
                  <w:tcW w:w="2695" w:type="dxa"/>
                  <w:tcBorders>
                    <w:top w:val="single" w:color="auto" w:sz="4" w:space="0"/>
                    <w:left w:val="single" w:color="auto" w:sz="4" w:space="0"/>
                    <w:bottom w:val="single" w:color="auto" w:sz="4" w:space="0"/>
                    <w:right w:val="single" w:color="auto" w:sz="4" w:space="0"/>
                  </w:tcBorders>
                  <w:vAlign w:val="center"/>
                </w:tcPr>
                <w:p w14:paraId="05003978">
                  <w:pPr>
                    <w:snapToGrid w:val="0"/>
                    <w:jc w:val="center"/>
                    <w:rPr>
                      <w:bCs/>
                      <w:color w:val="auto"/>
                      <w:sz w:val="22"/>
                      <w:szCs w:val="22"/>
                    </w:rPr>
                  </w:pPr>
                  <w:r>
                    <w:rPr>
                      <w:rFonts w:hint="eastAsia"/>
                      <w:bCs/>
                      <w:color w:val="auto"/>
                      <w:sz w:val="22"/>
                      <w:szCs w:val="22"/>
                    </w:rPr>
                    <w:t>低压及通信线</w:t>
                  </w:r>
                </w:p>
              </w:tc>
              <w:tc>
                <w:tcPr>
                  <w:tcW w:w="2417" w:type="dxa"/>
                  <w:tcBorders>
                    <w:top w:val="single" w:color="auto" w:sz="4" w:space="0"/>
                    <w:left w:val="single" w:color="auto" w:sz="4" w:space="0"/>
                    <w:bottom w:val="single" w:color="auto" w:sz="4" w:space="0"/>
                    <w:right w:val="single" w:color="auto" w:sz="4" w:space="0"/>
                  </w:tcBorders>
                  <w:vAlign w:val="center"/>
                </w:tcPr>
                <w:p w14:paraId="5EBA31D9">
                  <w:pPr>
                    <w:snapToGrid w:val="0"/>
                    <w:jc w:val="center"/>
                    <w:rPr>
                      <w:bCs/>
                      <w:color w:val="auto"/>
                      <w:sz w:val="22"/>
                      <w:szCs w:val="22"/>
                    </w:rPr>
                  </w:pPr>
                  <w:r>
                    <w:rPr>
                      <w:rFonts w:hint="eastAsia"/>
                      <w:bCs/>
                      <w:color w:val="auto"/>
                      <w:sz w:val="22"/>
                      <w:szCs w:val="22"/>
                    </w:rPr>
                    <w:t>5次</w:t>
                  </w:r>
                </w:p>
              </w:tc>
              <w:tc>
                <w:tcPr>
                  <w:tcW w:w="2168" w:type="dxa"/>
                  <w:tcBorders>
                    <w:top w:val="single" w:color="auto" w:sz="4" w:space="0"/>
                    <w:left w:val="single" w:color="auto" w:sz="4" w:space="0"/>
                    <w:bottom w:val="single" w:color="auto" w:sz="4" w:space="0"/>
                    <w:right w:val="single" w:color="auto" w:sz="4" w:space="0"/>
                  </w:tcBorders>
                  <w:vAlign w:val="center"/>
                </w:tcPr>
                <w:p w14:paraId="77583179">
                  <w:pPr>
                    <w:snapToGrid w:val="0"/>
                    <w:jc w:val="center"/>
                    <w:rPr>
                      <w:bCs/>
                      <w:color w:val="auto"/>
                      <w:sz w:val="22"/>
                      <w:szCs w:val="22"/>
                    </w:rPr>
                  </w:pPr>
                  <w:r>
                    <w:rPr>
                      <w:rFonts w:hint="eastAsia"/>
                      <w:bCs/>
                      <w:color w:val="auto"/>
                      <w:sz w:val="22"/>
                      <w:szCs w:val="22"/>
                    </w:rPr>
                    <w:t>/</w:t>
                  </w:r>
                </w:p>
              </w:tc>
            </w:tr>
            <w:tr w14:paraId="481D20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3"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14:paraId="6F5F562E">
                  <w:pPr>
                    <w:snapToGrid w:val="0"/>
                    <w:jc w:val="center"/>
                    <w:rPr>
                      <w:bCs/>
                      <w:color w:val="auto"/>
                      <w:sz w:val="22"/>
                      <w:szCs w:val="22"/>
                    </w:rPr>
                  </w:pPr>
                  <w:r>
                    <w:rPr>
                      <w:rFonts w:hint="eastAsia"/>
                      <w:bCs/>
                      <w:color w:val="auto"/>
                      <w:sz w:val="22"/>
                      <w:szCs w:val="22"/>
                    </w:rPr>
                    <w:t>3</w:t>
                  </w:r>
                </w:p>
              </w:tc>
              <w:tc>
                <w:tcPr>
                  <w:tcW w:w="2695" w:type="dxa"/>
                  <w:tcBorders>
                    <w:top w:val="single" w:color="auto" w:sz="4" w:space="0"/>
                    <w:left w:val="single" w:color="auto" w:sz="4" w:space="0"/>
                    <w:bottom w:val="single" w:color="auto" w:sz="4" w:space="0"/>
                    <w:right w:val="single" w:color="auto" w:sz="4" w:space="0"/>
                  </w:tcBorders>
                  <w:vAlign w:val="center"/>
                </w:tcPr>
                <w:p w14:paraId="7659C647">
                  <w:pPr>
                    <w:snapToGrid w:val="0"/>
                    <w:jc w:val="center"/>
                    <w:rPr>
                      <w:bCs/>
                      <w:color w:val="auto"/>
                      <w:sz w:val="22"/>
                      <w:szCs w:val="22"/>
                    </w:rPr>
                  </w:pPr>
                  <w:r>
                    <w:rPr>
                      <w:rFonts w:hint="eastAsia"/>
                      <w:bCs/>
                      <w:color w:val="auto"/>
                      <w:sz w:val="22"/>
                      <w:szCs w:val="22"/>
                    </w:rPr>
                    <w:t>一般公路</w:t>
                  </w:r>
                </w:p>
              </w:tc>
              <w:tc>
                <w:tcPr>
                  <w:tcW w:w="2417" w:type="dxa"/>
                  <w:tcBorders>
                    <w:top w:val="single" w:color="auto" w:sz="4" w:space="0"/>
                    <w:left w:val="single" w:color="auto" w:sz="4" w:space="0"/>
                    <w:bottom w:val="single" w:color="auto" w:sz="4" w:space="0"/>
                    <w:right w:val="single" w:color="auto" w:sz="4" w:space="0"/>
                  </w:tcBorders>
                  <w:vAlign w:val="center"/>
                </w:tcPr>
                <w:p w14:paraId="7C96D965">
                  <w:pPr>
                    <w:snapToGrid w:val="0"/>
                    <w:jc w:val="center"/>
                    <w:rPr>
                      <w:bCs/>
                      <w:color w:val="auto"/>
                      <w:sz w:val="22"/>
                      <w:szCs w:val="22"/>
                    </w:rPr>
                  </w:pPr>
                  <w:r>
                    <w:rPr>
                      <w:rFonts w:hint="eastAsia"/>
                      <w:bCs/>
                      <w:color w:val="auto"/>
                      <w:sz w:val="22"/>
                      <w:szCs w:val="22"/>
                    </w:rPr>
                    <w:t>13次</w:t>
                  </w:r>
                </w:p>
              </w:tc>
              <w:tc>
                <w:tcPr>
                  <w:tcW w:w="2168" w:type="dxa"/>
                  <w:tcBorders>
                    <w:top w:val="single" w:color="auto" w:sz="4" w:space="0"/>
                    <w:left w:val="single" w:color="auto" w:sz="4" w:space="0"/>
                    <w:bottom w:val="single" w:color="auto" w:sz="4" w:space="0"/>
                    <w:right w:val="single" w:color="auto" w:sz="4" w:space="0"/>
                  </w:tcBorders>
                  <w:vAlign w:val="center"/>
                </w:tcPr>
                <w:p w14:paraId="70DD2D8B">
                  <w:pPr>
                    <w:snapToGrid w:val="0"/>
                    <w:jc w:val="center"/>
                    <w:rPr>
                      <w:bCs/>
                      <w:color w:val="auto"/>
                      <w:sz w:val="22"/>
                      <w:szCs w:val="22"/>
                    </w:rPr>
                  </w:pPr>
                  <w:r>
                    <w:rPr>
                      <w:rFonts w:hint="eastAsia"/>
                      <w:bCs/>
                      <w:color w:val="auto"/>
                      <w:sz w:val="22"/>
                      <w:szCs w:val="22"/>
                    </w:rPr>
                    <w:t>/</w:t>
                  </w:r>
                </w:p>
              </w:tc>
            </w:tr>
          </w:tbl>
          <w:p w14:paraId="5131A22D">
            <w:pPr>
              <w:snapToGrid w:val="0"/>
              <w:ind w:firstLine="522" w:firstLineChars="200"/>
              <w:rPr>
                <w:b/>
                <w:color w:val="auto"/>
                <w:sz w:val="26"/>
                <w:szCs w:val="26"/>
              </w:rPr>
            </w:pPr>
          </w:p>
          <w:p w14:paraId="4AD4E17F">
            <w:pPr>
              <w:jc w:val="center"/>
              <w:rPr>
                <w:bCs/>
                <w:color w:val="auto"/>
                <w:sz w:val="26"/>
                <w:szCs w:val="26"/>
              </w:rPr>
            </w:pPr>
            <w:r>
              <w:rPr>
                <w:rFonts w:hint="eastAsia"/>
                <w:bCs/>
                <w:color w:val="auto"/>
                <w:sz w:val="26"/>
                <w:szCs w:val="26"/>
              </w:rPr>
              <w:t>表</w:t>
            </w:r>
            <w:r>
              <w:rPr>
                <w:bCs/>
                <w:color w:val="auto"/>
                <w:sz w:val="26"/>
                <w:szCs w:val="26"/>
              </w:rPr>
              <w:t>2</w:t>
            </w:r>
            <w:r>
              <w:rPr>
                <w:rFonts w:hint="eastAsia"/>
                <w:bCs/>
                <w:color w:val="auto"/>
                <w:sz w:val="26"/>
                <w:szCs w:val="26"/>
              </w:rPr>
              <w:t>-5</w:t>
            </w:r>
            <w:r>
              <w:rPr>
                <w:bCs/>
                <w:color w:val="auto"/>
                <w:sz w:val="26"/>
                <w:szCs w:val="26"/>
              </w:rPr>
              <w:t xml:space="preserve">  110kV</w:t>
            </w:r>
            <w:r>
              <w:rPr>
                <w:rFonts w:hint="eastAsia"/>
                <w:bCs/>
                <w:color w:val="auto"/>
                <w:sz w:val="26"/>
                <w:szCs w:val="26"/>
              </w:rPr>
              <w:t>架空送电线路交叉跨越要求</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42"/>
              <w:gridCol w:w="2375"/>
              <w:gridCol w:w="2769"/>
            </w:tblGrid>
            <w:tr w14:paraId="75E382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tblHeader/>
                <w:jc w:val="center"/>
              </w:trPr>
              <w:tc>
                <w:tcPr>
                  <w:tcW w:w="2942" w:type="dxa"/>
                  <w:tcBorders>
                    <w:top w:val="single" w:color="auto" w:sz="4" w:space="0"/>
                    <w:left w:val="single" w:color="auto" w:sz="4" w:space="0"/>
                    <w:bottom w:val="single" w:color="auto" w:sz="4" w:space="0"/>
                    <w:right w:val="single" w:color="auto" w:sz="4" w:space="0"/>
                  </w:tcBorders>
                  <w:vAlign w:val="center"/>
                </w:tcPr>
                <w:p w14:paraId="71613704">
                  <w:pPr>
                    <w:jc w:val="center"/>
                    <w:rPr>
                      <w:color w:val="auto"/>
                      <w:sz w:val="22"/>
                      <w:szCs w:val="22"/>
                    </w:rPr>
                  </w:pPr>
                  <w:r>
                    <w:rPr>
                      <w:rFonts w:hint="eastAsia"/>
                      <w:color w:val="auto"/>
                      <w:sz w:val="22"/>
                      <w:szCs w:val="22"/>
                    </w:rPr>
                    <w:t>线路经过地区</w:t>
                  </w:r>
                </w:p>
              </w:tc>
              <w:tc>
                <w:tcPr>
                  <w:tcW w:w="2375" w:type="dxa"/>
                  <w:tcBorders>
                    <w:top w:val="single" w:color="auto" w:sz="4" w:space="0"/>
                    <w:left w:val="single" w:color="auto" w:sz="4" w:space="0"/>
                    <w:bottom w:val="single" w:color="auto" w:sz="4" w:space="0"/>
                    <w:right w:val="single" w:color="auto" w:sz="4" w:space="0"/>
                  </w:tcBorders>
                  <w:vAlign w:val="center"/>
                </w:tcPr>
                <w:p w14:paraId="32BBB422">
                  <w:pPr>
                    <w:jc w:val="center"/>
                    <w:rPr>
                      <w:color w:val="auto"/>
                      <w:sz w:val="22"/>
                      <w:szCs w:val="22"/>
                    </w:rPr>
                  </w:pPr>
                  <w:r>
                    <w:rPr>
                      <w:rFonts w:hint="eastAsia"/>
                      <w:color w:val="auto"/>
                      <w:sz w:val="22"/>
                      <w:szCs w:val="22"/>
                    </w:rPr>
                    <w:t>最小垂直距离（</w:t>
                  </w:r>
                  <w:r>
                    <w:rPr>
                      <w:color w:val="auto"/>
                      <w:sz w:val="22"/>
                      <w:szCs w:val="22"/>
                    </w:rPr>
                    <w:t>m</w:t>
                  </w:r>
                  <w:r>
                    <w:rPr>
                      <w:rFonts w:hint="eastAsia"/>
                      <w:color w:val="auto"/>
                      <w:sz w:val="22"/>
                      <w:szCs w:val="22"/>
                    </w:rPr>
                    <w:t>）</w:t>
                  </w:r>
                </w:p>
              </w:tc>
              <w:tc>
                <w:tcPr>
                  <w:tcW w:w="2769" w:type="dxa"/>
                  <w:tcBorders>
                    <w:top w:val="single" w:color="auto" w:sz="4" w:space="0"/>
                    <w:left w:val="single" w:color="auto" w:sz="4" w:space="0"/>
                    <w:bottom w:val="single" w:color="auto" w:sz="4" w:space="0"/>
                    <w:right w:val="single" w:color="auto" w:sz="4" w:space="0"/>
                  </w:tcBorders>
                  <w:vAlign w:val="center"/>
                </w:tcPr>
                <w:p w14:paraId="493D23F5">
                  <w:pPr>
                    <w:jc w:val="center"/>
                    <w:rPr>
                      <w:color w:val="auto"/>
                      <w:sz w:val="22"/>
                      <w:szCs w:val="22"/>
                    </w:rPr>
                  </w:pPr>
                  <w:r>
                    <w:rPr>
                      <w:rFonts w:hint="eastAsia"/>
                      <w:color w:val="auto"/>
                      <w:sz w:val="22"/>
                      <w:szCs w:val="22"/>
                    </w:rPr>
                    <w:t>与边导线的水平距离（</w:t>
                  </w:r>
                  <w:r>
                    <w:rPr>
                      <w:color w:val="auto"/>
                      <w:sz w:val="22"/>
                      <w:szCs w:val="22"/>
                    </w:rPr>
                    <w:t>m</w:t>
                  </w:r>
                  <w:r>
                    <w:rPr>
                      <w:rFonts w:hint="eastAsia"/>
                      <w:color w:val="auto"/>
                      <w:sz w:val="22"/>
                      <w:szCs w:val="22"/>
                    </w:rPr>
                    <w:t>）</w:t>
                  </w:r>
                </w:p>
              </w:tc>
            </w:tr>
            <w:tr w14:paraId="595C37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tblHeader/>
                <w:jc w:val="center"/>
              </w:trPr>
              <w:tc>
                <w:tcPr>
                  <w:tcW w:w="2942" w:type="dxa"/>
                  <w:tcBorders>
                    <w:top w:val="single" w:color="auto" w:sz="4" w:space="0"/>
                    <w:left w:val="single" w:color="auto" w:sz="4" w:space="0"/>
                    <w:bottom w:val="single" w:color="auto" w:sz="4" w:space="0"/>
                    <w:right w:val="single" w:color="auto" w:sz="4" w:space="0"/>
                  </w:tcBorders>
                  <w:vAlign w:val="center"/>
                </w:tcPr>
                <w:p w14:paraId="431260F6">
                  <w:pPr>
                    <w:jc w:val="center"/>
                    <w:rPr>
                      <w:color w:val="auto"/>
                      <w:sz w:val="22"/>
                      <w:szCs w:val="22"/>
                    </w:rPr>
                  </w:pPr>
                  <w:r>
                    <w:rPr>
                      <w:rFonts w:hint="eastAsia"/>
                      <w:color w:val="auto"/>
                      <w:sz w:val="22"/>
                      <w:szCs w:val="22"/>
                    </w:rPr>
                    <w:t>建筑物</w:t>
                  </w:r>
                </w:p>
              </w:tc>
              <w:tc>
                <w:tcPr>
                  <w:tcW w:w="2375" w:type="dxa"/>
                  <w:tcBorders>
                    <w:top w:val="single" w:color="auto" w:sz="4" w:space="0"/>
                    <w:left w:val="single" w:color="auto" w:sz="4" w:space="0"/>
                    <w:bottom w:val="single" w:color="auto" w:sz="4" w:space="0"/>
                    <w:right w:val="single" w:color="auto" w:sz="4" w:space="0"/>
                  </w:tcBorders>
                  <w:vAlign w:val="center"/>
                </w:tcPr>
                <w:p w14:paraId="4C040189">
                  <w:pPr>
                    <w:jc w:val="center"/>
                    <w:rPr>
                      <w:color w:val="auto"/>
                      <w:sz w:val="22"/>
                      <w:szCs w:val="22"/>
                    </w:rPr>
                  </w:pPr>
                  <w:r>
                    <w:rPr>
                      <w:color w:val="auto"/>
                      <w:sz w:val="22"/>
                      <w:szCs w:val="22"/>
                    </w:rPr>
                    <w:t>5</w:t>
                  </w:r>
                </w:p>
              </w:tc>
              <w:tc>
                <w:tcPr>
                  <w:tcW w:w="2769" w:type="dxa"/>
                  <w:tcBorders>
                    <w:top w:val="single" w:color="auto" w:sz="4" w:space="0"/>
                    <w:left w:val="single" w:color="auto" w:sz="4" w:space="0"/>
                    <w:bottom w:val="single" w:color="auto" w:sz="4" w:space="0"/>
                    <w:right w:val="single" w:color="auto" w:sz="4" w:space="0"/>
                  </w:tcBorders>
                  <w:vAlign w:val="center"/>
                </w:tcPr>
                <w:p w14:paraId="2AE15DA0">
                  <w:pPr>
                    <w:jc w:val="center"/>
                    <w:rPr>
                      <w:color w:val="auto"/>
                      <w:sz w:val="22"/>
                      <w:szCs w:val="22"/>
                    </w:rPr>
                  </w:pPr>
                  <w:r>
                    <w:rPr>
                      <w:color w:val="auto"/>
                      <w:sz w:val="22"/>
                      <w:szCs w:val="22"/>
                    </w:rPr>
                    <w:t>2</w:t>
                  </w:r>
                  <w:r>
                    <w:rPr>
                      <w:rFonts w:hint="eastAsia"/>
                      <w:color w:val="auto"/>
                      <w:sz w:val="22"/>
                      <w:szCs w:val="22"/>
                    </w:rPr>
                    <w:t>（无风情况）</w:t>
                  </w:r>
                </w:p>
              </w:tc>
            </w:tr>
            <w:tr w14:paraId="00160F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942" w:type="dxa"/>
                  <w:tcBorders>
                    <w:top w:val="single" w:color="auto" w:sz="4" w:space="0"/>
                    <w:left w:val="single" w:color="auto" w:sz="4" w:space="0"/>
                    <w:bottom w:val="single" w:color="auto" w:sz="4" w:space="0"/>
                    <w:right w:val="single" w:color="auto" w:sz="4" w:space="0"/>
                  </w:tcBorders>
                  <w:vAlign w:val="center"/>
                </w:tcPr>
                <w:p w14:paraId="0102C673">
                  <w:pPr>
                    <w:jc w:val="center"/>
                    <w:rPr>
                      <w:color w:val="auto"/>
                      <w:sz w:val="22"/>
                      <w:szCs w:val="22"/>
                    </w:rPr>
                  </w:pPr>
                  <w:r>
                    <w:rPr>
                      <w:rFonts w:hint="eastAsia"/>
                      <w:color w:val="auto"/>
                      <w:sz w:val="22"/>
                      <w:szCs w:val="22"/>
                    </w:rPr>
                    <w:t>居民区（地面）</w:t>
                  </w:r>
                </w:p>
              </w:tc>
              <w:tc>
                <w:tcPr>
                  <w:tcW w:w="2375" w:type="dxa"/>
                  <w:tcBorders>
                    <w:top w:val="single" w:color="auto" w:sz="4" w:space="0"/>
                    <w:left w:val="single" w:color="auto" w:sz="4" w:space="0"/>
                    <w:bottom w:val="single" w:color="auto" w:sz="4" w:space="0"/>
                    <w:right w:val="single" w:color="auto" w:sz="4" w:space="0"/>
                  </w:tcBorders>
                  <w:vAlign w:val="center"/>
                </w:tcPr>
                <w:p w14:paraId="3CACCCA0">
                  <w:pPr>
                    <w:jc w:val="center"/>
                    <w:rPr>
                      <w:color w:val="auto"/>
                      <w:sz w:val="22"/>
                      <w:szCs w:val="22"/>
                    </w:rPr>
                  </w:pPr>
                  <w:r>
                    <w:rPr>
                      <w:color w:val="auto"/>
                      <w:sz w:val="22"/>
                      <w:szCs w:val="22"/>
                    </w:rPr>
                    <w:t>7</w:t>
                  </w:r>
                </w:p>
              </w:tc>
              <w:tc>
                <w:tcPr>
                  <w:tcW w:w="2769" w:type="dxa"/>
                  <w:tcBorders>
                    <w:top w:val="single" w:color="auto" w:sz="4" w:space="0"/>
                    <w:left w:val="single" w:color="auto" w:sz="4" w:space="0"/>
                    <w:bottom w:val="single" w:color="auto" w:sz="4" w:space="0"/>
                    <w:right w:val="single" w:color="auto" w:sz="4" w:space="0"/>
                  </w:tcBorders>
                  <w:vAlign w:val="center"/>
                </w:tcPr>
                <w:p w14:paraId="33452D47">
                  <w:pPr>
                    <w:jc w:val="center"/>
                    <w:rPr>
                      <w:color w:val="auto"/>
                      <w:sz w:val="22"/>
                      <w:szCs w:val="22"/>
                    </w:rPr>
                  </w:pPr>
                  <w:r>
                    <w:rPr>
                      <w:color w:val="auto"/>
                      <w:sz w:val="22"/>
                      <w:szCs w:val="22"/>
                    </w:rPr>
                    <w:t>/</w:t>
                  </w:r>
                </w:p>
              </w:tc>
            </w:tr>
            <w:tr w14:paraId="537803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942" w:type="dxa"/>
                  <w:tcBorders>
                    <w:top w:val="single" w:color="auto" w:sz="4" w:space="0"/>
                    <w:left w:val="single" w:color="auto" w:sz="4" w:space="0"/>
                    <w:bottom w:val="single" w:color="auto" w:sz="4" w:space="0"/>
                    <w:right w:val="single" w:color="auto" w:sz="4" w:space="0"/>
                  </w:tcBorders>
                  <w:vAlign w:val="center"/>
                </w:tcPr>
                <w:p w14:paraId="2CDC9C8F">
                  <w:pPr>
                    <w:jc w:val="center"/>
                    <w:rPr>
                      <w:color w:val="auto"/>
                      <w:sz w:val="22"/>
                      <w:szCs w:val="22"/>
                    </w:rPr>
                  </w:pPr>
                  <w:r>
                    <w:rPr>
                      <w:rFonts w:hint="eastAsia"/>
                      <w:color w:val="auto"/>
                      <w:sz w:val="22"/>
                      <w:szCs w:val="22"/>
                    </w:rPr>
                    <w:t>非居民区（地面）</w:t>
                  </w:r>
                </w:p>
              </w:tc>
              <w:tc>
                <w:tcPr>
                  <w:tcW w:w="2375" w:type="dxa"/>
                  <w:tcBorders>
                    <w:top w:val="single" w:color="auto" w:sz="4" w:space="0"/>
                    <w:left w:val="single" w:color="auto" w:sz="4" w:space="0"/>
                    <w:bottom w:val="single" w:color="auto" w:sz="4" w:space="0"/>
                    <w:right w:val="single" w:color="auto" w:sz="4" w:space="0"/>
                  </w:tcBorders>
                  <w:vAlign w:val="center"/>
                </w:tcPr>
                <w:p w14:paraId="18A4D493">
                  <w:pPr>
                    <w:jc w:val="center"/>
                    <w:rPr>
                      <w:color w:val="auto"/>
                      <w:sz w:val="22"/>
                      <w:szCs w:val="22"/>
                    </w:rPr>
                  </w:pPr>
                  <w:r>
                    <w:rPr>
                      <w:color w:val="auto"/>
                      <w:sz w:val="22"/>
                      <w:szCs w:val="22"/>
                    </w:rPr>
                    <w:t>6</w:t>
                  </w:r>
                </w:p>
              </w:tc>
              <w:tc>
                <w:tcPr>
                  <w:tcW w:w="2769" w:type="dxa"/>
                  <w:tcBorders>
                    <w:top w:val="single" w:color="auto" w:sz="4" w:space="0"/>
                    <w:left w:val="single" w:color="auto" w:sz="4" w:space="0"/>
                    <w:bottom w:val="single" w:color="auto" w:sz="4" w:space="0"/>
                    <w:right w:val="single" w:color="auto" w:sz="4" w:space="0"/>
                  </w:tcBorders>
                  <w:vAlign w:val="center"/>
                </w:tcPr>
                <w:p w14:paraId="31AEAE6A">
                  <w:pPr>
                    <w:jc w:val="center"/>
                    <w:rPr>
                      <w:color w:val="auto"/>
                      <w:sz w:val="22"/>
                      <w:szCs w:val="22"/>
                    </w:rPr>
                  </w:pPr>
                  <w:r>
                    <w:rPr>
                      <w:color w:val="auto"/>
                      <w:sz w:val="22"/>
                      <w:szCs w:val="22"/>
                    </w:rPr>
                    <w:t>/</w:t>
                  </w:r>
                </w:p>
              </w:tc>
            </w:tr>
            <w:tr w14:paraId="5BDAEB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942" w:type="dxa"/>
                  <w:tcBorders>
                    <w:top w:val="single" w:color="auto" w:sz="4" w:space="0"/>
                    <w:left w:val="single" w:color="auto" w:sz="4" w:space="0"/>
                    <w:bottom w:val="single" w:color="auto" w:sz="4" w:space="0"/>
                    <w:right w:val="single" w:color="auto" w:sz="4" w:space="0"/>
                  </w:tcBorders>
                  <w:vAlign w:val="center"/>
                </w:tcPr>
                <w:p w14:paraId="1AE43EAC">
                  <w:pPr>
                    <w:jc w:val="center"/>
                    <w:rPr>
                      <w:color w:val="auto"/>
                      <w:sz w:val="22"/>
                      <w:szCs w:val="22"/>
                    </w:rPr>
                  </w:pPr>
                  <w:r>
                    <w:rPr>
                      <w:rFonts w:hint="eastAsia"/>
                      <w:color w:val="auto"/>
                      <w:sz w:val="22"/>
                      <w:szCs w:val="22"/>
                    </w:rPr>
                    <w:t>交通困难地区</w:t>
                  </w:r>
                </w:p>
              </w:tc>
              <w:tc>
                <w:tcPr>
                  <w:tcW w:w="2375" w:type="dxa"/>
                  <w:tcBorders>
                    <w:top w:val="single" w:color="auto" w:sz="4" w:space="0"/>
                    <w:left w:val="single" w:color="auto" w:sz="4" w:space="0"/>
                    <w:bottom w:val="single" w:color="auto" w:sz="4" w:space="0"/>
                    <w:right w:val="single" w:color="auto" w:sz="4" w:space="0"/>
                  </w:tcBorders>
                  <w:vAlign w:val="center"/>
                </w:tcPr>
                <w:p w14:paraId="18E74A56">
                  <w:pPr>
                    <w:jc w:val="center"/>
                    <w:rPr>
                      <w:color w:val="auto"/>
                      <w:sz w:val="22"/>
                      <w:szCs w:val="22"/>
                    </w:rPr>
                  </w:pPr>
                  <w:r>
                    <w:rPr>
                      <w:color w:val="auto"/>
                      <w:sz w:val="22"/>
                      <w:szCs w:val="22"/>
                    </w:rPr>
                    <w:t>5</w:t>
                  </w:r>
                </w:p>
              </w:tc>
              <w:tc>
                <w:tcPr>
                  <w:tcW w:w="2769" w:type="dxa"/>
                  <w:tcBorders>
                    <w:top w:val="single" w:color="auto" w:sz="4" w:space="0"/>
                    <w:left w:val="single" w:color="auto" w:sz="4" w:space="0"/>
                    <w:bottom w:val="single" w:color="auto" w:sz="4" w:space="0"/>
                    <w:right w:val="single" w:color="auto" w:sz="4" w:space="0"/>
                  </w:tcBorders>
                  <w:vAlign w:val="center"/>
                </w:tcPr>
                <w:p w14:paraId="5C06F2D4">
                  <w:pPr>
                    <w:jc w:val="center"/>
                    <w:rPr>
                      <w:color w:val="auto"/>
                      <w:sz w:val="22"/>
                      <w:szCs w:val="22"/>
                    </w:rPr>
                  </w:pPr>
                  <w:r>
                    <w:rPr>
                      <w:color w:val="auto"/>
                      <w:sz w:val="22"/>
                      <w:szCs w:val="22"/>
                    </w:rPr>
                    <w:t>/</w:t>
                  </w:r>
                </w:p>
              </w:tc>
            </w:tr>
            <w:tr w14:paraId="0ECB3E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942" w:type="dxa"/>
                  <w:tcBorders>
                    <w:top w:val="single" w:color="auto" w:sz="4" w:space="0"/>
                    <w:left w:val="single" w:color="auto" w:sz="4" w:space="0"/>
                    <w:bottom w:val="single" w:color="auto" w:sz="4" w:space="0"/>
                    <w:right w:val="single" w:color="auto" w:sz="4" w:space="0"/>
                  </w:tcBorders>
                  <w:vAlign w:val="center"/>
                </w:tcPr>
                <w:p w14:paraId="41186CA1">
                  <w:pPr>
                    <w:jc w:val="center"/>
                    <w:rPr>
                      <w:color w:val="auto"/>
                      <w:sz w:val="22"/>
                      <w:szCs w:val="22"/>
                    </w:rPr>
                  </w:pPr>
                  <w:r>
                    <w:rPr>
                      <w:rFonts w:hint="eastAsia"/>
                      <w:color w:val="auto"/>
                      <w:sz w:val="22"/>
                      <w:szCs w:val="22"/>
                    </w:rPr>
                    <w:t>高速公路和等级公路</w:t>
                  </w:r>
                </w:p>
              </w:tc>
              <w:tc>
                <w:tcPr>
                  <w:tcW w:w="2375" w:type="dxa"/>
                  <w:tcBorders>
                    <w:top w:val="single" w:color="auto" w:sz="4" w:space="0"/>
                    <w:left w:val="single" w:color="auto" w:sz="4" w:space="0"/>
                    <w:bottom w:val="single" w:color="auto" w:sz="4" w:space="0"/>
                    <w:right w:val="single" w:color="auto" w:sz="4" w:space="0"/>
                  </w:tcBorders>
                  <w:vAlign w:val="center"/>
                </w:tcPr>
                <w:p w14:paraId="794EABC7">
                  <w:pPr>
                    <w:jc w:val="center"/>
                    <w:rPr>
                      <w:color w:val="auto"/>
                      <w:sz w:val="22"/>
                      <w:szCs w:val="22"/>
                    </w:rPr>
                  </w:pPr>
                  <w:r>
                    <w:rPr>
                      <w:color w:val="auto"/>
                      <w:sz w:val="22"/>
                      <w:szCs w:val="22"/>
                    </w:rPr>
                    <w:t>7</w:t>
                  </w:r>
                </w:p>
              </w:tc>
              <w:tc>
                <w:tcPr>
                  <w:tcW w:w="2769" w:type="dxa"/>
                  <w:tcBorders>
                    <w:top w:val="single" w:color="auto" w:sz="4" w:space="0"/>
                    <w:left w:val="single" w:color="auto" w:sz="4" w:space="0"/>
                    <w:bottom w:val="single" w:color="auto" w:sz="4" w:space="0"/>
                    <w:right w:val="single" w:color="auto" w:sz="4" w:space="0"/>
                  </w:tcBorders>
                  <w:vAlign w:val="center"/>
                </w:tcPr>
                <w:p w14:paraId="3F481108">
                  <w:pPr>
                    <w:jc w:val="center"/>
                    <w:rPr>
                      <w:color w:val="auto"/>
                      <w:sz w:val="22"/>
                      <w:szCs w:val="22"/>
                    </w:rPr>
                  </w:pPr>
                  <w:r>
                    <w:rPr>
                      <w:color w:val="auto"/>
                      <w:sz w:val="22"/>
                      <w:szCs w:val="22"/>
                    </w:rPr>
                    <w:t>/</w:t>
                  </w:r>
                </w:p>
              </w:tc>
            </w:tr>
            <w:tr w14:paraId="6C9BAE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942" w:type="dxa"/>
                  <w:tcBorders>
                    <w:top w:val="single" w:color="auto" w:sz="4" w:space="0"/>
                    <w:left w:val="single" w:color="auto" w:sz="4" w:space="0"/>
                    <w:bottom w:val="single" w:color="auto" w:sz="4" w:space="0"/>
                    <w:right w:val="single" w:color="auto" w:sz="4" w:space="0"/>
                  </w:tcBorders>
                  <w:vAlign w:val="center"/>
                </w:tcPr>
                <w:p w14:paraId="5676B795">
                  <w:pPr>
                    <w:jc w:val="center"/>
                    <w:rPr>
                      <w:color w:val="auto"/>
                      <w:sz w:val="22"/>
                      <w:szCs w:val="22"/>
                    </w:rPr>
                  </w:pPr>
                  <w:r>
                    <w:rPr>
                      <w:rFonts w:hint="eastAsia"/>
                      <w:color w:val="auto"/>
                      <w:sz w:val="22"/>
                      <w:szCs w:val="22"/>
                    </w:rPr>
                    <w:t>电力线</w:t>
                  </w:r>
                </w:p>
              </w:tc>
              <w:tc>
                <w:tcPr>
                  <w:tcW w:w="2375" w:type="dxa"/>
                  <w:tcBorders>
                    <w:top w:val="single" w:color="auto" w:sz="4" w:space="0"/>
                    <w:left w:val="single" w:color="auto" w:sz="4" w:space="0"/>
                    <w:bottom w:val="single" w:color="auto" w:sz="4" w:space="0"/>
                    <w:right w:val="single" w:color="auto" w:sz="4" w:space="0"/>
                  </w:tcBorders>
                  <w:vAlign w:val="center"/>
                </w:tcPr>
                <w:p w14:paraId="50BCA2D1">
                  <w:pPr>
                    <w:jc w:val="center"/>
                    <w:rPr>
                      <w:color w:val="auto"/>
                      <w:sz w:val="22"/>
                      <w:szCs w:val="22"/>
                    </w:rPr>
                  </w:pPr>
                  <w:r>
                    <w:rPr>
                      <w:color w:val="auto"/>
                      <w:sz w:val="22"/>
                      <w:szCs w:val="22"/>
                    </w:rPr>
                    <w:t>3</w:t>
                  </w:r>
                </w:p>
              </w:tc>
              <w:tc>
                <w:tcPr>
                  <w:tcW w:w="2769" w:type="dxa"/>
                  <w:tcBorders>
                    <w:top w:val="single" w:color="auto" w:sz="4" w:space="0"/>
                    <w:left w:val="single" w:color="auto" w:sz="4" w:space="0"/>
                    <w:bottom w:val="single" w:color="auto" w:sz="4" w:space="0"/>
                    <w:right w:val="single" w:color="auto" w:sz="4" w:space="0"/>
                  </w:tcBorders>
                  <w:vAlign w:val="center"/>
                </w:tcPr>
                <w:p w14:paraId="2C8DE609">
                  <w:pPr>
                    <w:jc w:val="center"/>
                    <w:rPr>
                      <w:color w:val="auto"/>
                      <w:sz w:val="22"/>
                      <w:szCs w:val="22"/>
                    </w:rPr>
                  </w:pPr>
                  <w:r>
                    <w:rPr>
                      <w:color w:val="auto"/>
                      <w:sz w:val="22"/>
                      <w:szCs w:val="22"/>
                    </w:rPr>
                    <w:t>/</w:t>
                  </w:r>
                </w:p>
              </w:tc>
            </w:tr>
            <w:tr w14:paraId="6CEF28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942" w:type="dxa"/>
                  <w:tcBorders>
                    <w:top w:val="single" w:color="auto" w:sz="4" w:space="0"/>
                    <w:left w:val="single" w:color="auto" w:sz="4" w:space="0"/>
                    <w:bottom w:val="single" w:color="auto" w:sz="4" w:space="0"/>
                    <w:right w:val="single" w:color="auto" w:sz="4" w:space="0"/>
                  </w:tcBorders>
                  <w:vAlign w:val="center"/>
                </w:tcPr>
                <w:p w14:paraId="173C68BA">
                  <w:pPr>
                    <w:jc w:val="center"/>
                    <w:rPr>
                      <w:color w:val="auto"/>
                      <w:sz w:val="22"/>
                      <w:szCs w:val="22"/>
                    </w:rPr>
                  </w:pPr>
                  <w:r>
                    <w:rPr>
                      <w:rFonts w:hint="eastAsia"/>
                      <w:color w:val="auto"/>
                      <w:sz w:val="22"/>
                      <w:szCs w:val="22"/>
                    </w:rPr>
                    <w:t>通信线</w:t>
                  </w:r>
                </w:p>
              </w:tc>
              <w:tc>
                <w:tcPr>
                  <w:tcW w:w="2375" w:type="dxa"/>
                  <w:tcBorders>
                    <w:top w:val="single" w:color="auto" w:sz="4" w:space="0"/>
                    <w:left w:val="single" w:color="auto" w:sz="4" w:space="0"/>
                    <w:bottom w:val="single" w:color="auto" w:sz="4" w:space="0"/>
                    <w:right w:val="single" w:color="auto" w:sz="4" w:space="0"/>
                  </w:tcBorders>
                  <w:vAlign w:val="center"/>
                </w:tcPr>
                <w:p w14:paraId="0C4C9A10">
                  <w:pPr>
                    <w:jc w:val="center"/>
                    <w:rPr>
                      <w:color w:val="auto"/>
                      <w:sz w:val="22"/>
                      <w:szCs w:val="22"/>
                    </w:rPr>
                  </w:pPr>
                  <w:r>
                    <w:rPr>
                      <w:color w:val="auto"/>
                      <w:sz w:val="22"/>
                      <w:szCs w:val="22"/>
                    </w:rPr>
                    <w:t>3</w:t>
                  </w:r>
                </w:p>
              </w:tc>
              <w:tc>
                <w:tcPr>
                  <w:tcW w:w="2769" w:type="dxa"/>
                  <w:tcBorders>
                    <w:top w:val="single" w:color="auto" w:sz="4" w:space="0"/>
                    <w:left w:val="single" w:color="auto" w:sz="4" w:space="0"/>
                    <w:bottom w:val="single" w:color="auto" w:sz="4" w:space="0"/>
                    <w:right w:val="single" w:color="auto" w:sz="4" w:space="0"/>
                  </w:tcBorders>
                  <w:vAlign w:val="center"/>
                </w:tcPr>
                <w:p w14:paraId="733718EC">
                  <w:pPr>
                    <w:jc w:val="center"/>
                    <w:rPr>
                      <w:color w:val="auto"/>
                      <w:sz w:val="22"/>
                      <w:szCs w:val="22"/>
                    </w:rPr>
                  </w:pPr>
                  <w:r>
                    <w:rPr>
                      <w:color w:val="auto"/>
                      <w:sz w:val="22"/>
                      <w:szCs w:val="22"/>
                    </w:rPr>
                    <w:t>/</w:t>
                  </w:r>
                </w:p>
              </w:tc>
            </w:tr>
            <w:tr w14:paraId="1CEB17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942" w:type="dxa"/>
                  <w:tcBorders>
                    <w:top w:val="single" w:color="auto" w:sz="4" w:space="0"/>
                    <w:left w:val="single" w:color="auto" w:sz="4" w:space="0"/>
                    <w:bottom w:val="single" w:color="auto" w:sz="4" w:space="0"/>
                    <w:right w:val="single" w:color="auto" w:sz="4" w:space="0"/>
                  </w:tcBorders>
                  <w:vAlign w:val="center"/>
                </w:tcPr>
                <w:p w14:paraId="4CCE4D8A">
                  <w:pPr>
                    <w:jc w:val="center"/>
                    <w:rPr>
                      <w:color w:val="auto"/>
                      <w:sz w:val="22"/>
                      <w:szCs w:val="22"/>
                    </w:rPr>
                  </w:pPr>
                  <w:r>
                    <w:rPr>
                      <w:rFonts w:hint="eastAsia"/>
                      <w:color w:val="auto"/>
                      <w:sz w:val="22"/>
                      <w:szCs w:val="22"/>
                    </w:rPr>
                    <w:t>对树木自然生长高度</w:t>
                  </w:r>
                </w:p>
              </w:tc>
              <w:tc>
                <w:tcPr>
                  <w:tcW w:w="2375" w:type="dxa"/>
                  <w:tcBorders>
                    <w:top w:val="single" w:color="auto" w:sz="4" w:space="0"/>
                    <w:left w:val="single" w:color="auto" w:sz="4" w:space="0"/>
                    <w:bottom w:val="single" w:color="auto" w:sz="4" w:space="0"/>
                    <w:right w:val="single" w:color="auto" w:sz="4" w:space="0"/>
                  </w:tcBorders>
                  <w:vAlign w:val="center"/>
                </w:tcPr>
                <w:p w14:paraId="2445F67A">
                  <w:pPr>
                    <w:jc w:val="center"/>
                    <w:rPr>
                      <w:color w:val="auto"/>
                      <w:sz w:val="22"/>
                      <w:szCs w:val="22"/>
                    </w:rPr>
                  </w:pPr>
                  <w:r>
                    <w:rPr>
                      <w:color w:val="auto"/>
                      <w:sz w:val="22"/>
                      <w:szCs w:val="22"/>
                    </w:rPr>
                    <w:t>4</w:t>
                  </w:r>
                </w:p>
              </w:tc>
              <w:tc>
                <w:tcPr>
                  <w:tcW w:w="2769" w:type="dxa"/>
                  <w:tcBorders>
                    <w:top w:val="single" w:color="auto" w:sz="4" w:space="0"/>
                    <w:left w:val="single" w:color="auto" w:sz="4" w:space="0"/>
                    <w:bottom w:val="single" w:color="auto" w:sz="4" w:space="0"/>
                    <w:right w:val="single" w:color="auto" w:sz="4" w:space="0"/>
                  </w:tcBorders>
                  <w:vAlign w:val="center"/>
                </w:tcPr>
                <w:p w14:paraId="6A9D1A2F">
                  <w:pPr>
                    <w:jc w:val="center"/>
                    <w:rPr>
                      <w:color w:val="auto"/>
                      <w:sz w:val="22"/>
                      <w:szCs w:val="22"/>
                    </w:rPr>
                  </w:pPr>
                  <w:r>
                    <w:rPr>
                      <w:color w:val="auto"/>
                      <w:sz w:val="22"/>
                      <w:szCs w:val="22"/>
                    </w:rPr>
                    <w:t>/</w:t>
                  </w:r>
                </w:p>
              </w:tc>
            </w:tr>
            <w:tr w14:paraId="770192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942" w:type="dxa"/>
                  <w:tcBorders>
                    <w:top w:val="single" w:color="auto" w:sz="4" w:space="0"/>
                    <w:left w:val="single" w:color="auto" w:sz="4" w:space="0"/>
                    <w:bottom w:val="single" w:color="auto" w:sz="4" w:space="0"/>
                    <w:right w:val="single" w:color="auto" w:sz="4" w:space="0"/>
                  </w:tcBorders>
                  <w:vAlign w:val="center"/>
                </w:tcPr>
                <w:p w14:paraId="017EEB96">
                  <w:pPr>
                    <w:jc w:val="center"/>
                    <w:rPr>
                      <w:color w:val="auto"/>
                      <w:sz w:val="22"/>
                      <w:szCs w:val="22"/>
                    </w:rPr>
                  </w:pPr>
                  <w:r>
                    <w:rPr>
                      <w:rFonts w:hint="eastAsia"/>
                      <w:color w:val="auto"/>
                      <w:sz w:val="22"/>
                      <w:szCs w:val="22"/>
                    </w:rPr>
                    <w:t>对山坡、岩石（步行可达）</w:t>
                  </w:r>
                </w:p>
              </w:tc>
              <w:tc>
                <w:tcPr>
                  <w:tcW w:w="2375" w:type="dxa"/>
                  <w:tcBorders>
                    <w:top w:val="single" w:color="auto" w:sz="4" w:space="0"/>
                    <w:left w:val="single" w:color="auto" w:sz="4" w:space="0"/>
                    <w:bottom w:val="single" w:color="auto" w:sz="4" w:space="0"/>
                    <w:right w:val="single" w:color="auto" w:sz="4" w:space="0"/>
                  </w:tcBorders>
                  <w:vAlign w:val="center"/>
                </w:tcPr>
                <w:p w14:paraId="71789740">
                  <w:pPr>
                    <w:jc w:val="center"/>
                    <w:rPr>
                      <w:color w:val="auto"/>
                      <w:sz w:val="22"/>
                      <w:szCs w:val="22"/>
                    </w:rPr>
                  </w:pPr>
                  <w:r>
                    <w:rPr>
                      <w:rFonts w:hint="eastAsia"/>
                      <w:color w:val="auto"/>
                      <w:sz w:val="22"/>
                      <w:szCs w:val="22"/>
                    </w:rPr>
                    <w:t>5</w:t>
                  </w:r>
                </w:p>
              </w:tc>
              <w:tc>
                <w:tcPr>
                  <w:tcW w:w="2769" w:type="dxa"/>
                  <w:tcBorders>
                    <w:top w:val="single" w:color="auto" w:sz="4" w:space="0"/>
                    <w:left w:val="single" w:color="auto" w:sz="4" w:space="0"/>
                    <w:bottom w:val="single" w:color="auto" w:sz="4" w:space="0"/>
                    <w:right w:val="single" w:color="auto" w:sz="4" w:space="0"/>
                  </w:tcBorders>
                  <w:vAlign w:val="center"/>
                </w:tcPr>
                <w:p w14:paraId="29A645A5">
                  <w:pPr>
                    <w:jc w:val="center"/>
                    <w:rPr>
                      <w:color w:val="auto"/>
                      <w:sz w:val="22"/>
                      <w:szCs w:val="22"/>
                    </w:rPr>
                  </w:pPr>
                  <w:r>
                    <w:rPr>
                      <w:color w:val="auto"/>
                      <w:sz w:val="22"/>
                      <w:szCs w:val="22"/>
                    </w:rPr>
                    <w:t>/</w:t>
                  </w:r>
                </w:p>
              </w:tc>
            </w:tr>
          </w:tbl>
          <w:p w14:paraId="4CD8022C">
            <w:pPr>
              <w:snapToGrid w:val="0"/>
              <w:ind w:firstLine="522" w:firstLineChars="200"/>
              <w:rPr>
                <w:b/>
                <w:color w:val="auto"/>
                <w:sz w:val="26"/>
                <w:szCs w:val="26"/>
              </w:rPr>
            </w:pPr>
          </w:p>
          <w:p w14:paraId="00C30ECF">
            <w:pPr>
              <w:spacing w:line="460" w:lineRule="exact"/>
              <w:ind w:firstLine="522" w:firstLineChars="200"/>
              <w:rPr>
                <w:b/>
                <w:color w:val="auto"/>
                <w:sz w:val="26"/>
                <w:szCs w:val="26"/>
              </w:rPr>
            </w:pPr>
            <w:r>
              <w:rPr>
                <w:rFonts w:hint="eastAsia"/>
                <w:b/>
                <w:color w:val="auto"/>
                <w:sz w:val="26"/>
                <w:szCs w:val="26"/>
              </w:rPr>
              <w:t>2.4.2 220kV铁甲变电站110kV间隔扩建工程</w:t>
            </w:r>
          </w:p>
          <w:p w14:paraId="141B5449">
            <w:pPr>
              <w:snapToGrid w:val="0"/>
              <w:spacing w:line="460" w:lineRule="exact"/>
              <w:ind w:firstLine="522" w:firstLineChars="200"/>
              <w:rPr>
                <w:b/>
                <w:color w:val="auto"/>
                <w:sz w:val="26"/>
                <w:szCs w:val="26"/>
              </w:rPr>
            </w:pPr>
            <w:r>
              <w:rPr>
                <w:rFonts w:hint="eastAsia"/>
                <w:b/>
                <w:color w:val="auto"/>
                <w:sz w:val="26"/>
                <w:szCs w:val="26"/>
              </w:rPr>
              <w:t>（1）220kV铁甲变电站现有规模</w:t>
            </w:r>
          </w:p>
          <w:p w14:paraId="7F3E6B84">
            <w:pPr>
              <w:snapToGrid w:val="0"/>
              <w:spacing w:line="460" w:lineRule="exact"/>
              <w:ind w:firstLine="520" w:firstLineChars="200"/>
              <w:rPr>
                <w:color w:val="auto"/>
                <w:sz w:val="26"/>
                <w:szCs w:val="26"/>
                <w:highlight w:val="yellow"/>
              </w:rPr>
            </w:pPr>
            <w:r>
              <w:rPr>
                <w:rFonts w:hint="eastAsia"/>
                <w:color w:val="auto"/>
                <w:sz w:val="26"/>
                <w:szCs w:val="26"/>
              </w:rPr>
              <w:t>220kV铁甲变电站为户外变电站，现有主变容量2×180MVA</w:t>
            </w:r>
            <w:r>
              <w:rPr>
                <w:rFonts w:hint="eastAsia"/>
                <w:color w:val="auto"/>
                <w:sz w:val="26"/>
                <w:szCs w:val="26"/>
                <w:highlight w:val="none"/>
              </w:rPr>
              <w:t>。</w:t>
            </w:r>
          </w:p>
          <w:p w14:paraId="462CDF37">
            <w:pPr>
              <w:snapToGrid w:val="0"/>
              <w:spacing w:line="460" w:lineRule="exact"/>
              <w:ind w:firstLine="522" w:firstLineChars="200"/>
              <w:rPr>
                <w:b/>
                <w:color w:val="auto"/>
                <w:sz w:val="26"/>
                <w:szCs w:val="26"/>
              </w:rPr>
            </w:pPr>
            <w:r>
              <w:rPr>
                <w:rFonts w:hint="eastAsia"/>
                <w:b/>
                <w:color w:val="auto"/>
                <w:sz w:val="26"/>
                <w:szCs w:val="26"/>
              </w:rPr>
              <w:t>（2）站内现有环保设施</w:t>
            </w:r>
          </w:p>
          <w:p w14:paraId="50D4B2C7">
            <w:pPr>
              <w:snapToGrid w:val="0"/>
              <w:spacing w:line="460" w:lineRule="exact"/>
              <w:ind w:firstLine="520" w:firstLineChars="200"/>
              <w:rPr>
                <w:color w:val="auto"/>
                <w:sz w:val="26"/>
                <w:szCs w:val="26"/>
                <w:highlight w:val="yellow"/>
              </w:rPr>
            </w:pPr>
            <w:r>
              <w:rPr>
                <w:rFonts w:hint="eastAsia"/>
                <w:color w:val="auto"/>
                <w:sz w:val="26"/>
                <w:szCs w:val="26"/>
              </w:rPr>
              <w:t>①站内现有污水处理装置</w:t>
            </w:r>
            <w:r>
              <w:rPr>
                <w:color w:val="auto"/>
                <w:sz w:val="26"/>
                <w:szCs w:val="26"/>
              </w:rPr>
              <w:t>1</w:t>
            </w:r>
            <w:r>
              <w:rPr>
                <w:rFonts w:hint="eastAsia"/>
                <w:color w:val="auto"/>
                <w:sz w:val="26"/>
                <w:szCs w:val="26"/>
              </w:rPr>
              <w:t>座，</w:t>
            </w:r>
            <w:r>
              <w:rPr>
                <w:rFonts w:hint="eastAsia"/>
                <w:color w:val="auto"/>
                <w:sz w:val="26"/>
                <w:szCs w:val="26"/>
                <w:highlight w:val="none"/>
              </w:rPr>
              <w:t>值守人员及检修人员产生的少量生活污水经</w:t>
            </w:r>
            <w:r>
              <w:rPr>
                <w:rFonts w:hint="eastAsia"/>
                <w:color w:val="auto"/>
                <w:sz w:val="26"/>
                <w:szCs w:val="26"/>
                <w:highlight w:val="none"/>
                <w:lang w:val="en-US" w:eastAsia="zh-CN"/>
              </w:rPr>
              <w:t>化粪池</w:t>
            </w:r>
            <w:r>
              <w:rPr>
                <w:rFonts w:hint="eastAsia"/>
                <w:color w:val="auto"/>
                <w:sz w:val="26"/>
                <w:szCs w:val="26"/>
                <w:highlight w:val="none"/>
              </w:rPr>
              <w:t>处理后</w:t>
            </w:r>
            <w:r>
              <w:rPr>
                <w:rFonts w:hint="eastAsia"/>
                <w:color w:val="auto"/>
                <w:sz w:val="26"/>
                <w:szCs w:val="26"/>
                <w:highlight w:val="none"/>
                <w:lang w:val="en-US" w:eastAsia="zh-CN"/>
              </w:rPr>
              <w:t>用作周边耕作施肥</w:t>
            </w:r>
            <w:r>
              <w:rPr>
                <w:rFonts w:hint="eastAsia"/>
                <w:color w:val="auto"/>
                <w:sz w:val="26"/>
                <w:szCs w:val="26"/>
                <w:highlight w:val="none"/>
              </w:rPr>
              <w:t>。</w:t>
            </w:r>
          </w:p>
          <w:p w14:paraId="582D9FCA">
            <w:pPr>
              <w:snapToGrid w:val="0"/>
              <w:spacing w:line="460" w:lineRule="exact"/>
              <w:ind w:firstLine="520" w:firstLineChars="200"/>
              <w:rPr>
                <w:color w:val="auto"/>
                <w:sz w:val="26"/>
                <w:szCs w:val="26"/>
              </w:rPr>
            </w:pPr>
            <w:r>
              <w:rPr>
                <w:rFonts w:hint="eastAsia"/>
                <w:color w:val="auto"/>
                <w:sz w:val="26"/>
                <w:szCs w:val="26"/>
              </w:rPr>
              <w:t>②变电站内已设有垃圾桶等生活垃圾收集设施，生活垃圾定期由环卫部门进行清运。</w:t>
            </w:r>
          </w:p>
          <w:p w14:paraId="719FD4A9">
            <w:pPr>
              <w:snapToGrid w:val="0"/>
              <w:spacing w:line="460" w:lineRule="exact"/>
              <w:ind w:firstLine="520" w:firstLineChars="200"/>
              <w:rPr>
                <w:color w:val="auto"/>
                <w:sz w:val="26"/>
                <w:szCs w:val="26"/>
                <w:highlight w:val="yellow"/>
              </w:rPr>
            </w:pPr>
            <w:r>
              <w:rPr>
                <w:rFonts w:hint="eastAsia"/>
                <w:color w:val="auto"/>
                <w:sz w:val="26"/>
                <w:szCs w:val="26"/>
              </w:rPr>
              <w:t>③根据前期竣工验收资料，站内现有</w:t>
            </w:r>
            <w:r>
              <w:rPr>
                <w:color w:val="auto"/>
                <w:sz w:val="26"/>
                <w:szCs w:val="26"/>
              </w:rPr>
              <w:t>1</w:t>
            </w:r>
            <w:r>
              <w:rPr>
                <w:rFonts w:hint="eastAsia"/>
                <w:color w:val="auto"/>
                <w:sz w:val="26"/>
                <w:szCs w:val="26"/>
              </w:rPr>
              <w:t>座有效容积为6</w:t>
            </w:r>
            <w:r>
              <w:rPr>
                <w:color w:val="auto"/>
                <w:sz w:val="26"/>
                <w:szCs w:val="26"/>
              </w:rPr>
              <w:t>0m</w:t>
            </w:r>
            <w:r>
              <w:rPr>
                <w:color w:val="auto"/>
                <w:sz w:val="26"/>
                <w:szCs w:val="26"/>
                <w:vertAlign w:val="superscript"/>
              </w:rPr>
              <w:t>3</w:t>
            </w:r>
            <w:r>
              <w:rPr>
                <w:rFonts w:hint="eastAsia"/>
                <w:color w:val="auto"/>
                <w:sz w:val="26"/>
                <w:szCs w:val="26"/>
              </w:rPr>
              <w:t>的事故油池，事故油池容积能够满足《火力发电厂与变电所设计防火规范》（</w:t>
            </w:r>
            <w:r>
              <w:rPr>
                <w:color w:val="auto"/>
                <w:sz w:val="26"/>
                <w:szCs w:val="26"/>
              </w:rPr>
              <w:t>GB50229-2019</w:t>
            </w:r>
            <w:r>
              <w:rPr>
                <w:rFonts w:hint="eastAsia"/>
                <w:color w:val="auto"/>
                <w:sz w:val="26"/>
                <w:szCs w:val="26"/>
              </w:rPr>
              <w:t>）中</w:t>
            </w:r>
            <w:r>
              <w:rPr>
                <w:rFonts w:hint="eastAsia" w:ascii="宋体" w:hAnsi="宋体" w:cs="宋体"/>
                <w:color w:val="auto"/>
                <w:sz w:val="26"/>
                <w:szCs w:val="26"/>
              </w:rPr>
              <w:t>“总事故贮油池的容量应按其接入的油量最大的一台设备确定”的要求</w:t>
            </w:r>
            <w:r>
              <w:rPr>
                <w:rFonts w:hint="eastAsia"/>
                <w:color w:val="auto"/>
                <w:sz w:val="26"/>
                <w:szCs w:val="26"/>
              </w:rPr>
              <w:t>。</w:t>
            </w:r>
          </w:p>
          <w:p w14:paraId="6DD6A997">
            <w:pPr>
              <w:snapToGrid w:val="0"/>
              <w:spacing w:line="460" w:lineRule="exact"/>
              <w:ind w:firstLine="520" w:firstLineChars="200"/>
              <w:rPr>
                <w:color w:val="auto"/>
                <w:sz w:val="26"/>
                <w:szCs w:val="26"/>
              </w:rPr>
            </w:pPr>
            <w:r>
              <w:rPr>
                <w:rFonts w:hint="eastAsia"/>
                <w:color w:val="auto"/>
                <w:sz w:val="26"/>
                <w:szCs w:val="26"/>
              </w:rPr>
              <w:t>根据现场调查，站内以上环保设施均运行正常。</w:t>
            </w:r>
          </w:p>
          <w:p w14:paraId="4CEB985E">
            <w:pPr>
              <w:snapToGrid w:val="0"/>
              <w:spacing w:line="460" w:lineRule="exact"/>
              <w:ind w:firstLine="522" w:firstLineChars="200"/>
              <w:rPr>
                <w:b/>
                <w:color w:val="auto"/>
                <w:sz w:val="26"/>
                <w:szCs w:val="26"/>
              </w:rPr>
            </w:pPr>
            <w:r>
              <w:rPr>
                <w:rFonts w:hint="eastAsia"/>
                <w:b/>
                <w:color w:val="auto"/>
                <w:sz w:val="26"/>
                <w:szCs w:val="26"/>
              </w:rPr>
              <w:t>（3）前期工程环保手续履行情况</w:t>
            </w:r>
          </w:p>
          <w:p w14:paraId="6E628C0A">
            <w:pPr>
              <w:snapToGrid w:val="0"/>
              <w:spacing w:line="460" w:lineRule="exact"/>
              <w:ind w:firstLine="520" w:firstLineChars="200"/>
              <w:rPr>
                <w:color w:val="auto"/>
                <w:sz w:val="26"/>
                <w:szCs w:val="26"/>
                <w:highlight w:val="yellow"/>
              </w:rPr>
            </w:pPr>
            <w:r>
              <w:rPr>
                <w:rFonts w:hint="eastAsia" w:ascii="宋体" w:hAnsi="宋体" w:cs="宋体"/>
                <w:color w:val="auto"/>
                <w:sz w:val="26"/>
                <w:szCs w:val="26"/>
              </w:rPr>
              <w:t>“</w:t>
            </w:r>
            <w:r>
              <w:rPr>
                <w:color w:val="auto"/>
                <w:sz w:val="26"/>
                <w:szCs w:val="26"/>
              </w:rPr>
              <w:t>220kV</w:t>
            </w:r>
            <w:r>
              <w:rPr>
                <w:rFonts w:hint="eastAsia"/>
                <w:color w:val="auto"/>
                <w:sz w:val="26"/>
                <w:szCs w:val="26"/>
              </w:rPr>
              <w:t>奉节铁甲输变电工程</w:t>
            </w:r>
            <w:r>
              <w:rPr>
                <w:rFonts w:hint="eastAsia" w:ascii="宋体" w:hAnsi="宋体" w:cs="宋体"/>
                <w:color w:val="auto"/>
                <w:sz w:val="26"/>
                <w:szCs w:val="26"/>
              </w:rPr>
              <w:t>”</w:t>
            </w:r>
            <w:r>
              <w:rPr>
                <w:rFonts w:hint="eastAsia"/>
                <w:color w:val="auto"/>
                <w:sz w:val="26"/>
                <w:szCs w:val="26"/>
              </w:rPr>
              <w:t>已于</w:t>
            </w:r>
            <w:r>
              <w:rPr>
                <w:color w:val="auto"/>
                <w:sz w:val="26"/>
                <w:szCs w:val="26"/>
              </w:rPr>
              <w:t>201</w:t>
            </w:r>
            <w:r>
              <w:rPr>
                <w:rFonts w:hint="eastAsia"/>
                <w:color w:val="auto"/>
                <w:sz w:val="26"/>
                <w:szCs w:val="26"/>
              </w:rPr>
              <w:t>1年5月</w:t>
            </w:r>
            <w:r>
              <w:rPr>
                <w:color w:val="auto"/>
                <w:sz w:val="26"/>
                <w:szCs w:val="26"/>
              </w:rPr>
              <w:t>1</w:t>
            </w:r>
            <w:r>
              <w:rPr>
                <w:rFonts w:hint="eastAsia"/>
                <w:color w:val="auto"/>
                <w:sz w:val="26"/>
                <w:szCs w:val="26"/>
              </w:rPr>
              <w:t>1日取得了环评批复（渝</w:t>
            </w:r>
            <w:r>
              <w:rPr>
                <w:color w:val="auto"/>
                <w:sz w:val="26"/>
                <w:szCs w:val="26"/>
              </w:rPr>
              <w:t>（辐）环准〔2011〕46号</w:t>
            </w:r>
            <w:r>
              <w:rPr>
                <w:rFonts w:hint="eastAsia"/>
                <w:color w:val="auto"/>
                <w:sz w:val="26"/>
                <w:szCs w:val="26"/>
              </w:rPr>
              <w:t>）。于</w:t>
            </w:r>
            <w:r>
              <w:rPr>
                <w:color w:val="auto"/>
                <w:sz w:val="26"/>
                <w:szCs w:val="26"/>
              </w:rPr>
              <w:t>201</w:t>
            </w:r>
            <w:r>
              <w:rPr>
                <w:rFonts w:hint="eastAsia"/>
                <w:color w:val="auto"/>
                <w:sz w:val="26"/>
                <w:szCs w:val="26"/>
              </w:rPr>
              <w:t>4年12月22日取得了验收批复（渝（辐）环验〔</w:t>
            </w:r>
            <w:r>
              <w:rPr>
                <w:color w:val="auto"/>
                <w:sz w:val="26"/>
                <w:szCs w:val="26"/>
              </w:rPr>
              <w:t>201</w:t>
            </w:r>
            <w:r>
              <w:rPr>
                <w:rFonts w:hint="eastAsia"/>
                <w:color w:val="auto"/>
                <w:sz w:val="26"/>
                <w:szCs w:val="26"/>
              </w:rPr>
              <w:t>4〕123号）。</w:t>
            </w:r>
          </w:p>
          <w:p w14:paraId="367C25C2">
            <w:pPr>
              <w:snapToGrid w:val="0"/>
              <w:spacing w:line="460" w:lineRule="exact"/>
              <w:ind w:firstLine="520" w:firstLineChars="200"/>
              <w:rPr>
                <w:color w:val="auto"/>
                <w:sz w:val="26"/>
                <w:szCs w:val="26"/>
              </w:rPr>
            </w:pPr>
            <w:r>
              <w:rPr>
                <w:rFonts w:hint="eastAsia"/>
                <w:color w:val="auto"/>
                <w:sz w:val="26"/>
                <w:szCs w:val="26"/>
              </w:rPr>
              <w:t>根据现场调查，变电站内各项环保设施均运行正常，变电站竣工验收以来，未出现过污染事件，无历史环境遗留问题，无环保相关投诉。</w:t>
            </w:r>
          </w:p>
          <w:p w14:paraId="7D44D396">
            <w:pPr>
              <w:numPr>
                <w:ilvl w:val="0"/>
                <w:numId w:val="2"/>
              </w:numPr>
              <w:snapToGrid w:val="0"/>
              <w:spacing w:line="460" w:lineRule="exact"/>
              <w:ind w:firstLine="522" w:firstLineChars="200"/>
              <w:rPr>
                <w:b/>
                <w:color w:val="auto"/>
                <w:sz w:val="26"/>
                <w:szCs w:val="26"/>
              </w:rPr>
            </w:pPr>
            <w:r>
              <w:rPr>
                <w:rFonts w:hint="eastAsia"/>
                <w:b/>
                <w:color w:val="auto"/>
                <w:sz w:val="26"/>
                <w:szCs w:val="26"/>
              </w:rPr>
              <w:t>本次扩建规模</w:t>
            </w:r>
          </w:p>
          <w:p w14:paraId="4E2643CE">
            <w:pPr>
              <w:snapToGrid w:val="0"/>
              <w:spacing w:line="460" w:lineRule="exact"/>
              <w:ind w:firstLine="520" w:firstLineChars="200"/>
              <w:rPr>
                <w:rFonts w:hint="eastAsia"/>
                <w:color w:val="auto"/>
                <w:sz w:val="26"/>
                <w:szCs w:val="26"/>
              </w:rPr>
            </w:pPr>
            <w:r>
              <w:rPr>
                <w:rFonts w:hint="eastAsia"/>
                <w:color w:val="auto"/>
                <w:sz w:val="26"/>
                <w:szCs w:val="26"/>
              </w:rPr>
              <w:t>本次在</w:t>
            </w:r>
            <w:r>
              <w:rPr>
                <w:color w:val="auto"/>
                <w:sz w:val="26"/>
                <w:szCs w:val="26"/>
              </w:rPr>
              <w:t>220kV</w:t>
            </w:r>
            <w:r>
              <w:rPr>
                <w:rFonts w:hint="eastAsia"/>
                <w:color w:val="auto"/>
                <w:sz w:val="26"/>
                <w:szCs w:val="26"/>
              </w:rPr>
              <w:t>铁甲变电站站内预留间隔处扩建1个110</w:t>
            </w:r>
            <w:r>
              <w:rPr>
                <w:color w:val="auto"/>
                <w:sz w:val="26"/>
                <w:szCs w:val="26"/>
              </w:rPr>
              <w:t>kV</w:t>
            </w:r>
            <w:r>
              <w:rPr>
                <w:rFonts w:hint="eastAsia"/>
                <w:color w:val="auto"/>
                <w:sz w:val="26"/>
                <w:szCs w:val="26"/>
              </w:rPr>
              <w:t>出线间隔至11</w:t>
            </w:r>
            <w:r>
              <w:rPr>
                <w:color w:val="auto"/>
                <w:sz w:val="26"/>
                <w:szCs w:val="26"/>
              </w:rPr>
              <w:t>0kV</w:t>
            </w:r>
            <w:r>
              <w:rPr>
                <w:rFonts w:hint="eastAsia"/>
                <w:color w:val="auto"/>
                <w:sz w:val="26"/>
                <w:szCs w:val="26"/>
              </w:rPr>
              <w:t>望天坪变电站，出线间隔基础已建成，本期仅增加相关电气设施，不需新征用地和土建施工。</w:t>
            </w:r>
          </w:p>
          <w:p w14:paraId="56F4812A">
            <w:pPr>
              <w:snapToGrid w:val="0"/>
              <w:spacing w:line="460" w:lineRule="exact"/>
              <w:rPr>
                <w:b/>
                <w:color w:val="auto"/>
                <w:sz w:val="26"/>
                <w:szCs w:val="26"/>
              </w:rPr>
            </w:pPr>
            <w:r>
              <w:rPr>
                <w:color w:val="auto"/>
              </w:rPr>
              <w:drawing>
                <wp:anchor distT="0" distB="0" distL="114300" distR="114300" simplePos="0" relativeHeight="251710464" behindDoc="0" locked="0" layoutInCell="1" allowOverlap="1">
                  <wp:simplePos x="0" y="0"/>
                  <wp:positionH relativeFrom="column">
                    <wp:posOffset>19685</wp:posOffset>
                  </wp:positionH>
                  <wp:positionV relativeFrom="paragraph">
                    <wp:posOffset>23495</wp:posOffset>
                  </wp:positionV>
                  <wp:extent cx="5135880" cy="3816985"/>
                  <wp:effectExtent l="9525" t="9525" r="17145" b="21590"/>
                  <wp:wrapNone/>
                  <wp:docPr id="3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7"/>
                          <pic:cNvPicPr>
                            <a:picLocks noChangeAspect="1"/>
                          </pic:cNvPicPr>
                        </pic:nvPicPr>
                        <pic:blipFill>
                          <a:blip r:embed="rId15"/>
                          <a:stretch>
                            <a:fillRect/>
                          </a:stretch>
                        </pic:blipFill>
                        <pic:spPr>
                          <a:xfrm>
                            <a:off x="0" y="0"/>
                            <a:ext cx="5135880" cy="3816985"/>
                          </a:xfrm>
                          <a:prstGeom prst="rect">
                            <a:avLst/>
                          </a:prstGeom>
                          <a:noFill/>
                          <a:ln>
                            <a:solidFill>
                              <a:schemeClr val="tx1"/>
                            </a:solidFill>
                          </a:ln>
                        </pic:spPr>
                      </pic:pic>
                    </a:graphicData>
                  </a:graphic>
                </wp:anchor>
              </w:drawing>
            </w:r>
          </w:p>
          <w:p w14:paraId="20EA825D">
            <w:pPr>
              <w:snapToGrid w:val="0"/>
              <w:spacing w:line="460" w:lineRule="exact"/>
              <w:rPr>
                <w:b/>
                <w:color w:val="auto"/>
                <w:sz w:val="26"/>
                <w:szCs w:val="26"/>
              </w:rPr>
            </w:pPr>
          </w:p>
          <w:p w14:paraId="72615BE8">
            <w:pPr>
              <w:snapToGrid w:val="0"/>
              <w:spacing w:line="460" w:lineRule="exact"/>
              <w:rPr>
                <w:b/>
                <w:color w:val="auto"/>
                <w:sz w:val="26"/>
                <w:szCs w:val="26"/>
              </w:rPr>
            </w:pPr>
          </w:p>
          <w:p w14:paraId="22165EF2">
            <w:pPr>
              <w:snapToGrid w:val="0"/>
              <w:spacing w:line="460" w:lineRule="exact"/>
              <w:rPr>
                <w:b/>
                <w:color w:val="auto"/>
                <w:sz w:val="26"/>
                <w:szCs w:val="26"/>
              </w:rPr>
            </w:pPr>
          </w:p>
          <w:p w14:paraId="54E702FB">
            <w:pPr>
              <w:snapToGrid w:val="0"/>
              <w:spacing w:line="460" w:lineRule="exact"/>
              <w:rPr>
                <w:b/>
                <w:color w:val="auto"/>
                <w:sz w:val="26"/>
                <w:szCs w:val="26"/>
              </w:rPr>
            </w:pPr>
            <w:r>
              <w:rPr>
                <w:color w:val="auto"/>
                <w:sz w:val="26"/>
              </w:rPr>
              <mc:AlternateContent>
                <mc:Choice Requires="wps">
                  <w:drawing>
                    <wp:anchor distT="0" distB="0" distL="114300" distR="114300" simplePos="0" relativeHeight="251711488" behindDoc="0" locked="0" layoutInCell="1" allowOverlap="1">
                      <wp:simplePos x="0" y="0"/>
                      <wp:positionH relativeFrom="column">
                        <wp:posOffset>3686810</wp:posOffset>
                      </wp:positionH>
                      <wp:positionV relativeFrom="paragraph">
                        <wp:posOffset>193040</wp:posOffset>
                      </wp:positionV>
                      <wp:extent cx="677545" cy="614045"/>
                      <wp:effectExtent l="13970" t="13970" r="32385" b="19685"/>
                      <wp:wrapNone/>
                      <wp:docPr id="43" name="矩形 43"/>
                      <wp:cNvGraphicFramePr/>
                      <a:graphic xmlns:a="http://schemas.openxmlformats.org/drawingml/2006/main">
                        <a:graphicData uri="http://schemas.microsoft.com/office/word/2010/wordprocessingShape">
                          <wps:wsp>
                            <wps:cNvSpPr/>
                            <wps:spPr>
                              <a:xfrm>
                                <a:off x="5143500" y="4911090"/>
                                <a:ext cx="677545" cy="614045"/>
                              </a:xfrm>
                              <a:prstGeom prst="rect">
                                <a:avLst/>
                              </a:prstGeom>
                              <a:noFill/>
                              <a:ln w="190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0.3pt;margin-top:15.2pt;height:48.35pt;width:53.35pt;z-index:251711488;v-text-anchor:middle;mso-width-relative:page;mso-height-relative:page;" filled="f" stroked="t" coordsize="21600,21600" o:gfxdata="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BabMMJ2AAAAAoBAAAPAAAAAAAAAAEAIAAAACIAAABk&#10;cnMvZG93bnJldi54bWxQSwECFAAUAAAACACHTuJAMQu7K3gCAADYBAAADgAAAAAAAAABACAAAAAn&#10;AQAAZHJzL2Uyb0RvYy54bWxQSwUGAAAAAAYABgBZAQAAEQYAAAAA&#10;">
                      <v:fill on="f" focussize="0,0"/>
                      <v:stroke weight="1.5pt" color="#FF0000 [2404]" miterlimit="8" joinstyle="miter"/>
                      <v:imagedata o:title=""/>
                      <o:lock v:ext="edit" aspectratio="f"/>
                    </v:rect>
                  </w:pict>
                </mc:Fallback>
              </mc:AlternateContent>
            </w:r>
          </w:p>
          <w:p w14:paraId="55EB8D91">
            <w:pPr>
              <w:snapToGrid w:val="0"/>
              <w:spacing w:line="460" w:lineRule="exact"/>
              <w:rPr>
                <w:b/>
                <w:color w:val="auto"/>
                <w:sz w:val="26"/>
                <w:szCs w:val="26"/>
              </w:rPr>
            </w:pPr>
          </w:p>
          <w:p w14:paraId="615A023C">
            <w:pPr>
              <w:snapToGrid w:val="0"/>
              <w:spacing w:line="460" w:lineRule="exact"/>
              <w:rPr>
                <w:b/>
                <w:color w:val="auto"/>
                <w:sz w:val="26"/>
                <w:szCs w:val="26"/>
              </w:rPr>
            </w:pPr>
          </w:p>
          <w:p w14:paraId="2FF51CE0">
            <w:pPr>
              <w:snapToGrid w:val="0"/>
              <w:spacing w:line="460" w:lineRule="exact"/>
              <w:rPr>
                <w:b/>
                <w:color w:val="auto"/>
                <w:sz w:val="26"/>
                <w:szCs w:val="26"/>
              </w:rPr>
            </w:pPr>
          </w:p>
          <w:p w14:paraId="06AAD84D">
            <w:pPr>
              <w:snapToGrid w:val="0"/>
              <w:spacing w:line="460" w:lineRule="exact"/>
              <w:rPr>
                <w:b/>
                <w:color w:val="auto"/>
                <w:sz w:val="26"/>
                <w:szCs w:val="26"/>
              </w:rPr>
            </w:pPr>
          </w:p>
          <w:p w14:paraId="6951B974">
            <w:pPr>
              <w:snapToGrid w:val="0"/>
              <w:spacing w:line="460" w:lineRule="exact"/>
              <w:rPr>
                <w:b/>
                <w:color w:val="auto"/>
                <w:sz w:val="26"/>
                <w:szCs w:val="26"/>
              </w:rPr>
            </w:pPr>
          </w:p>
          <w:p w14:paraId="7EFE811C">
            <w:pPr>
              <w:snapToGrid w:val="0"/>
              <w:spacing w:line="460" w:lineRule="exact"/>
              <w:rPr>
                <w:b/>
                <w:color w:val="auto"/>
                <w:sz w:val="26"/>
                <w:szCs w:val="26"/>
              </w:rPr>
            </w:pPr>
          </w:p>
          <w:p w14:paraId="4DCA7052">
            <w:pPr>
              <w:snapToGrid w:val="0"/>
              <w:spacing w:line="460" w:lineRule="exact"/>
              <w:rPr>
                <w:b/>
                <w:color w:val="auto"/>
                <w:sz w:val="26"/>
                <w:szCs w:val="26"/>
              </w:rPr>
            </w:pPr>
          </w:p>
          <w:p w14:paraId="12B53DCA">
            <w:pPr>
              <w:snapToGrid w:val="0"/>
              <w:spacing w:line="460" w:lineRule="exact"/>
              <w:rPr>
                <w:b/>
                <w:color w:val="auto"/>
                <w:sz w:val="26"/>
                <w:szCs w:val="26"/>
              </w:rPr>
            </w:pPr>
          </w:p>
          <w:p w14:paraId="30A773D4">
            <w:pPr>
              <w:snapToGrid w:val="0"/>
              <w:spacing w:line="460" w:lineRule="exact"/>
              <w:jc w:val="center"/>
              <w:rPr>
                <w:b/>
                <w:color w:val="auto"/>
                <w:sz w:val="26"/>
                <w:szCs w:val="26"/>
              </w:rPr>
            </w:pPr>
            <w:r>
              <w:rPr>
                <w:rFonts w:hint="eastAsia"/>
                <w:color w:val="auto"/>
                <w:sz w:val="26"/>
                <w:szCs w:val="26"/>
              </w:rPr>
              <w:t>图2-1  扩建间隔示意图</w:t>
            </w:r>
          </w:p>
          <w:p w14:paraId="79CD743D">
            <w:pPr>
              <w:snapToGrid w:val="0"/>
              <w:rPr>
                <w:b/>
                <w:color w:val="auto"/>
                <w:sz w:val="26"/>
                <w:szCs w:val="26"/>
              </w:rPr>
            </w:pPr>
          </w:p>
          <w:p w14:paraId="049729FF">
            <w:pPr>
              <w:numPr>
                <w:ilvl w:val="0"/>
                <w:numId w:val="2"/>
              </w:numPr>
              <w:snapToGrid w:val="0"/>
              <w:spacing w:line="460" w:lineRule="exact"/>
              <w:ind w:firstLine="522" w:firstLineChars="200"/>
              <w:rPr>
                <w:b/>
                <w:color w:val="auto"/>
                <w:sz w:val="26"/>
                <w:szCs w:val="26"/>
              </w:rPr>
            </w:pPr>
            <w:r>
              <w:rPr>
                <w:rFonts w:hint="eastAsia"/>
                <w:b/>
                <w:color w:val="auto"/>
                <w:sz w:val="26"/>
                <w:szCs w:val="26"/>
              </w:rPr>
              <w:t>依托工程及可行性分析</w:t>
            </w:r>
          </w:p>
          <w:p w14:paraId="7174C0C7">
            <w:pPr>
              <w:snapToGrid w:val="0"/>
              <w:spacing w:line="460" w:lineRule="exact"/>
              <w:ind w:firstLine="520" w:firstLineChars="200"/>
              <w:rPr>
                <w:color w:val="auto"/>
                <w:sz w:val="26"/>
                <w:szCs w:val="26"/>
              </w:rPr>
            </w:pPr>
            <w:r>
              <w:rPr>
                <w:color w:val="auto"/>
                <w:sz w:val="26"/>
                <w:szCs w:val="26"/>
              </w:rPr>
              <w:t>220kV</w:t>
            </w:r>
            <w:r>
              <w:rPr>
                <w:rFonts w:hint="eastAsia"/>
                <w:color w:val="auto"/>
                <w:sz w:val="26"/>
                <w:szCs w:val="26"/>
              </w:rPr>
              <w:t>铁甲变电站间隔扩建工程与前期工程依托关系见表</w:t>
            </w:r>
            <w:r>
              <w:rPr>
                <w:color w:val="auto"/>
                <w:sz w:val="26"/>
                <w:szCs w:val="26"/>
              </w:rPr>
              <w:t>2-</w:t>
            </w:r>
            <w:r>
              <w:rPr>
                <w:rFonts w:hint="eastAsia"/>
                <w:color w:val="auto"/>
                <w:sz w:val="26"/>
                <w:szCs w:val="26"/>
              </w:rPr>
              <w:t>6。</w:t>
            </w:r>
          </w:p>
          <w:p w14:paraId="4E06DDDF">
            <w:pPr>
              <w:jc w:val="center"/>
              <w:rPr>
                <w:bCs/>
                <w:color w:val="auto"/>
                <w:sz w:val="26"/>
                <w:szCs w:val="26"/>
              </w:rPr>
            </w:pPr>
          </w:p>
          <w:p w14:paraId="0FF6741D">
            <w:pPr>
              <w:jc w:val="center"/>
              <w:rPr>
                <w:bCs/>
                <w:color w:val="auto"/>
                <w:sz w:val="26"/>
                <w:szCs w:val="26"/>
              </w:rPr>
            </w:pPr>
            <w:r>
              <w:rPr>
                <w:rFonts w:hint="eastAsia"/>
                <w:bCs/>
                <w:color w:val="auto"/>
                <w:sz w:val="26"/>
                <w:szCs w:val="26"/>
              </w:rPr>
              <w:t>表</w:t>
            </w:r>
            <w:r>
              <w:rPr>
                <w:bCs/>
                <w:color w:val="auto"/>
                <w:sz w:val="26"/>
                <w:szCs w:val="26"/>
              </w:rPr>
              <w:t>2</w:t>
            </w:r>
            <w:r>
              <w:rPr>
                <w:rFonts w:hint="eastAsia"/>
                <w:bCs/>
                <w:color w:val="auto"/>
                <w:sz w:val="26"/>
                <w:szCs w:val="26"/>
              </w:rPr>
              <w:t>-6</w:t>
            </w:r>
            <w:r>
              <w:rPr>
                <w:bCs/>
                <w:color w:val="auto"/>
                <w:sz w:val="26"/>
                <w:szCs w:val="26"/>
              </w:rPr>
              <w:t xml:space="preserve">  </w:t>
            </w:r>
            <w:r>
              <w:rPr>
                <w:color w:val="auto"/>
                <w:sz w:val="26"/>
                <w:szCs w:val="26"/>
              </w:rPr>
              <w:t>220kV</w:t>
            </w:r>
            <w:r>
              <w:rPr>
                <w:rFonts w:hint="eastAsia"/>
                <w:color w:val="auto"/>
                <w:sz w:val="26"/>
                <w:szCs w:val="26"/>
              </w:rPr>
              <w:t>铁甲变电站</w:t>
            </w:r>
            <w:r>
              <w:rPr>
                <w:bCs/>
                <w:color w:val="auto"/>
                <w:sz w:val="26"/>
                <w:szCs w:val="26"/>
              </w:rPr>
              <w:t>110kV</w:t>
            </w:r>
            <w:r>
              <w:rPr>
                <w:rFonts w:hint="eastAsia"/>
                <w:color w:val="auto"/>
                <w:sz w:val="26"/>
                <w:szCs w:val="26"/>
              </w:rPr>
              <w:t>间隔扩建工程与前期工程依托关系</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8"/>
              <w:gridCol w:w="2224"/>
              <w:gridCol w:w="5144"/>
            </w:tblGrid>
            <w:tr w14:paraId="3E691A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tblHeader/>
                <w:jc w:val="center"/>
              </w:trPr>
              <w:tc>
                <w:tcPr>
                  <w:tcW w:w="2942" w:type="dxa"/>
                  <w:gridSpan w:val="2"/>
                  <w:tcBorders>
                    <w:top w:val="single" w:color="auto" w:sz="4" w:space="0"/>
                    <w:left w:val="single" w:color="auto" w:sz="4" w:space="0"/>
                    <w:bottom w:val="single" w:color="auto" w:sz="4" w:space="0"/>
                    <w:right w:val="single" w:color="auto" w:sz="4" w:space="0"/>
                  </w:tcBorders>
                  <w:vAlign w:val="center"/>
                </w:tcPr>
                <w:p w14:paraId="4DF514AD">
                  <w:pPr>
                    <w:jc w:val="center"/>
                    <w:rPr>
                      <w:color w:val="auto"/>
                      <w:sz w:val="22"/>
                      <w:szCs w:val="22"/>
                    </w:rPr>
                  </w:pPr>
                  <w:r>
                    <w:rPr>
                      <w:rFonts w:hint="eastAsia"/>
                      <w:color w:val="auto"/>
                      <w:sz w:val="22"/>
                      <w:szCs w:val="22"/>
                    </w:rPr>
                    <w:t>依托工程</w:t>
                  </w:r>
                </w:p>
              </w:tc>
              <w:tc>
                <w:tcPr>
                  <w:tcW w:w="5144" w:type="dxa"/>
                  <w:tcBorders>
                    <w:top w:val="single" w:color="auto" w:sz="4" w:space="0"/>
                    <w:left w:val="single" w:color="auto" w:sz="4" w:space="0"/>
                    <w:bottom w:val="single" w:color="auto" w:sz="4" w:space="0"/>
                    <w:right w:val="single" w:color="auto" w:sz="4" w:space="0"/>
                  </w:tcBorders>
                  <w:vAlign w:val="center"/>
                </w:tcPr>
                <w:p w14:paraId="3F1DAB65">
                  <w:pPr>
                    <w:jc w:val="center"/>
                    <w:rPr>
                      <w:color w:val="auto"/>
                      <w:sz w:val="22"/>
                      <w:szCs w:val="22"/>
                    </w:rPr>
                  </w:pPr>
                  <w:r>
                    <w:rPr>
                      <w:rFonts w:hint="eastAsia"/>
                      <w:color w:val="auto"/>
                      <w:sz w:val="22"/>
                      <w:szCs w:val="22"/>
                    </w:rPr>
                    <w:t>内容</w:t>
                  </w:r>
                </w:p>
              </w:tc>
            </w:tr>
            <w:tr w14:paraId="6770E5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tblHeader/>
                <w:jc w:val="center"/>
              </w:trPr>
              <w:tc>
                <w:tcPr>
                  <w:tcW w:w="718" w:type="dxa"/>
                  <w:vMerge w:val="restart"/>
                  <w:tcBorders>
                    <w:top w:val="single" w:color="auto" w:sz="4" w:space="0"/>
                    <w:left w:val="single" w:color="auto" w:sz="4" w:space="0"/>
                    <w:right w:val="single" w:color="auto" w:sz="4" w:space="0"/>
                  </w:tcBorders>
                  <w:vAlign w:val="center"/>
                </w:tcPr>
                <w:p w14:paraId="0C217610">
                  <w:pPr>
                    <w:jc w:val="center"/>
                    <w:rPr>
                      <w:color w:val="auto"/>
                      <w:sz w:val="22"/>
                      <w:szCs w:val="22"/>
                    </w:rPr>
                  </w:pPr>
                  <w:r>
                    <w:rPr>
                      <w:rFonts w:hint="eastAsia"/>
                      <w:color w:val="auto"/>
                      <w:sz w:val="22"/>
                      <w:szCs w:val="22"/>
                    </w:rPr>
                    <w:t>站内设施</w:t>
                  </w:r>
                </w:p>
              </w:tc>
              <w:tc>
                <w:tcPr>
                  <w:tcW w:w="2224" w:type="dxa"/>
                  <w:tcBorders>
                    <w:top w:val="single" w:color="auto" w:sz="4" w:space="0"/>
                    <w:left w:val="single" w:color="auto" w:sz="4" w:space="0"/>
                    <w:bottom w:val="single" w:color="auto" w:sz="4" w:space="0"/>
                    <w:right w:val="single" w:color="auto" w:sz="4" w:space="0"/>
                  </w:tcBorders>
                  <w:vAlign w:val="center"/>
                </w:tcPr>
                <w:p w14:paraId="2D431B1C">
                  <w:pPr>
                    <w:jc w:val="center"/>
                    <w:rPr>
                      <w:color w:val="auto"/>
                      <w:sz w:val="22"/>
                      <w:szCs w:val="22"/>
                    </w:rPr>
                  </w:pPr>
                  <w:r>
                    <w:rPr>
                      <w:rFonts w:hint="eastAsia"/>
                      <w:color w:val="auto"/>
                      <w:sz w:val="22"/>
                      <w:szCs w:val="22"/>
                    </w:rPr>
                    <w:t>进站道路</w:t>
                  </w:r>
                </w:p>
              </w:tc>
              <w:tc>
                <w:tcPr>
                  <w:tcW w:w="5144" w:type="dxa"/>
                  <w:tcBorders>
                    <w:top w:val="single" w:color="auto" w:sz="4" w:space="0"/>
                    <w:left w:val="single" w:color="auto" w:sz="4" w:space="0"/>
                    <w:bottom w:val="single" w:color="auto" w:sz="4" w:space="0"/>
                    <w:right w:val="single" w:color="auto" w:sz="4" w:space="0"/>
                  </w:tcBorders>
                  <w:vAlign w:val="center"/>
                </w:tcPr>
                <w:p w14:paraId="06BD58A7">
                  <w:pPr>
                    <w:jc w:val="center"/>
                    <w:rPr>
                      <w:color w:val="auto"/>
                      <w:sz w:val="22"/>
                      <w:szCs w:val="22"/>
                    </w:rPr>
                  </w:pPr>
                  <w:r>
                    <w:rPr>
                      <w:rFonts w:hint="eastAsia"/>
                      <w:color w:val="auto"/>
                      <w:sz w:val="22"/>
                      <w:szCs w:val="22"/>
                    </w:rPr>
                    <w:t>利用现有进站道路，本次无需扩建</w:t>
                  </w:r>
                </w:p>
              </w:tc>
            </w:tr>
            <w:tr w14:paraId="7D0978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718" w:type="dxa"/>
                  <w:vMerge w:val="continue"/>
                  <w:tcBorders>
                    <w:left w:val="single" w:color="auto" w:sz="4" w:space="0"/>
                    <w:right w:val="single" w:color="auto" w:sz="4" w:space="0"/>
                  </w:tcBorders>
                  <w:vAlign w:val="center"/>
                </w:tcPr>
                <w:p w14:paraId="780C39A3">
                  <w:pPr>
                    <w:jc w:val="center"/>
                    <w:rPr>
                      <w:color w:val="auto"/>
                      <w:sz w:val="22"/>
                      <w:szCs w:val="22"/>
                    </w:rPr>
                  </w:pPr>
                </w:p>
              </w:tc>
              <w:tc>
                <w:tcPr>
                  <w:tcW w:w="2224" w:type="dxa"/>
                  <w:tcBorders>
                    <w:top w:val="single" w:color="auto" w:sz="4" w:space="0"/>
                    <w:left w:val="single" w:color="auto" w:sz="4" w:space="0"/>
                    <w:bottom w:val="single" w:color="auto" w:sz="4" w:space="0"/>
                    <w:right w:val="single" w:color="auto" w:sz="4" w:space="0"/>
                  </w:tcBorders>
                  <w:vAlign w:val="center"/>
                </w:tcPr>
                <w:p w14:paraId="4AAEED75">
                  <w:pPr>
                    <w:jc w:val="center"/>
                    <w:rPr>
                      <w:color w:val="auto"/>
                      <w:sz w:val="22"/>
                      <w:szCs w:val="22"/>
                    </w:rPr>
                  </w:pPr>
                  <w:r>
                    <w:rPr>
                      <w:rFonts w:hint="eastAsia"/>
                      <w:color w:val="auto"/>
                      <w:sz w:val="22"/>
                      <w:szCs w:val="22"/>
                    </w:rPr>
                    <w:t>供水管线</w:t>
                  </w:r>
                </w:p>
              </w:tc>
              <w:tc>
                <w:tcPr>
                  <w:tcW w:w="5144" w:type="dxa"/>
                  <w:tcBorders>
                    <w:top w:val="single" w:color="auto" w:sz="4" w:space="0"/>
                    <w:left w:val="single" w:color="auto" w:sz="4" w:space="0"/>
                    <w:bottom w:val="single" w:color="auto" w:sz="4" w:space="0"/>
                    <w:right w:val="single" w:color="auto" w:sz="4" w:space="0"/>
                  </w:tcBorders>
                  <w:vAlign w:val="center"/>
                </w:tcPr>
                <w:p w14:paraId="1ED3C3DA">
                  <w:pPr>
                    <w:jc w:val="center"/>
                    <w:rPr>
                      <w:color w:val="auto"/>
                      <w:sz w:val="22"/>
                      <w:szCs w:val="22"/>
                    </w:rPr>
                  </w:pPr>
                  <w:r>
                    <w:rPr>
                      <w:rFonts w:hint="eastAsia"/>
                      <w:color w:val="auto"/>
                      <w:sz w:val="22"/>
                      <w:szCs w:val="22"/>
                    </w:rPr>
                    <w:t>利用站内已建供水系统，本期无需增设生活给水管网</w:t>
                  </w:r>
                </w:p>
              </w:tc>
            </w:tr>
            <w:tr w14:paraId="6A37AE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718" w:type="dxa"/>
                  <w:vMerge w:val="continue"/>
                  <w:tcBorders>
                    <w:left w:val="single" w:color="auto" w:sz="4" w:space="0"/>
                    <w:right w:val="single" w:color="auto" w:sz="4" w:space="0"/>
                  </w:tcBorders>
                  <w:vAlign w:val="center"/>
                </w:tcPr>
                <w:p w14:paraId="524D054C">
                  <w:pPr>
                    <w:jc w:val="center"/>
                    <w:rPr>
                      <w:color w:val="auto"/>
                      <w:sz w:val="22"/>
                      <w:szCs w:val="22"/>
                    </w:rPr>
                  </w:pPr>
                </w:p>
              </w:tc>
              <w:tc>
                <w:tcPr>
                  <w:tcW w:w="2224" w:type="dxa"/>
                  <w:tcBorders>
                    <w:top w:val="single" w:color="auto" w:sz="4" w:space="0"/>
                    <w:left w:val="single" w:color="auto" w:sz="4" w:space="0"/>
                    <w:bottom w:val="single" w:color="auto" w:sz="4" w:space="0"/>
                    <w:right w:val="single" w:color="auto" w:sz="4" w:space="0"/>
                  </w:tcBorders>
                  <w:vAlign w:val="center"/>
                </w:tcPr>
                <w:p w14:paraId="7AA0D486">
                  <w:pPr>
                    <w:jc w:val="center"/>
                    <w:rPr>
                      <w:rFonts w:hint="default" w:eastAsia="宋体"/>
                      <w:color w:val="auto"/>
                      <w:sz w:val="22"/>
                      <w:szCs w:val="22"/>
                      <w:lang w:val="en-US" w:eastAsia="zh-CN"/>
                    </w:rPr>
                  </w:pPr>
                  <w:r>
                    <w:rPr>
                      <w:rFonts w:hint="eastAsia"/>
                      <w:color w:val="auto"/>
                      <w:sz w:val="22"/>
                      <w:szCs w:val="22"/>
                      <w:lang w:val="en-US" w:eastAsia="zh-CN"/>
                    </w:rPr>
                    <w:t>化粪池</w:t>
                  </w:r>
                </w:p>
              </w:tc>
              <w:tc>
                <w:tcPr>
                  <w:tcW w:w="5144" w:type="dxa"/>
                  <w:tcBorders>
                    <w:top w:val="single" w:color="auto" w:sz="4" w:space="0"/>
                    <w:left w:val="single" w:color="auto" w:sz="4" w:space="0"/>
                    <w:bottom w:val="single" w:color="auto" w:sz="4" w:space="0"/>
                    <w:right w:val="single" w:color="auto" w:sz="4" w:space="0"/>
                  </w:tcBorders>
                  <w:vAlign w:val="center"/>
                </w:tcPr>
                <w:p w14:paraId="383758B5">
                  <w:pPr>
                    <w:jc w:val="center"/>
                    <w:rPr>
                      <w:color w:val="auto"/>
                      <w:sz w:val="22"/>
                      <w:szCs w:val="22"/>
                    </w:rPr>
                  </w:pPr>
                  <w:r>
                    <w:rPr>
                      <w:rFonts w:hint="eastAsia"/>
                      <w:color w:val="auto"/>
                      <w:sz w:val="22"/>
                      <w:szCs w:val="22"/>
                      <w:lang w:val="en-US" w:eastAsia="zh-CN"/>
                    </w:rPr>
                    <w:t>生活污水</w:t>
                  </w:r>
                  <w:r>
                    <w:rPr>
                      <w:rFonts w:hint="eastAsia"/>
                      <w:color w:val="auto"/>
                      <w:sz w:val="22"/>
                      <w:szCs w:val="22"/>
                    </w:rPr>
                    <w:t>依托</w:t>
                  </w:r>
                  <w:r>
                    <w:rPr>
                      <w:rFonts w:hint="eastAsia"/>
                      <w:color w:val="auto"/>
                      <w:sz w:val="22"/>
                      <w:szCs w:val="22"/>
                      <w:lang w:val="en-US" w:eastAsia="zh-CN"/>
                    </w:rPr>
                    <w:t>现有化粪池处理</w:t>
                  </w:r>
                  <w:r>
                    <w:rPr>
                      <w:rFonts w:hint="eastAsia"/>
                      <w:color w:val="auto"/>
                      <w:sz w:val="22"/>
                      <w:szCs w:val="22"/>
                    </w:rPr>
                    <w:t>，不新增运行人员，不增加生活污水量</w:t>
                  </w:r>
                </w:p>
              </w:tc>
            </w:tr>
            <w:tr w14:paraId="398463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718" w:type="dxa"/>
                  <w:vMerge w:val="continue"/>
                  <w:tcBorders>
                    <w:left w:val="single" w:color="auto" w:sz="4" w:space="0"/>
                    <w:right w:val="single" w:color="auto" w:sz="4" w:space="0"/>
                  </w:tcBorders>
                  <w:vAlign w:val="center"/>
                </w:tcPr>
                <w:p w14:paraId="253A2E0B">
                  <w:pPr>
                    <w:jc w:val="center"/>
                    <w:rPr>
                      <w:color w:val="auto"/>
                      <w:sz w:val="22"/>
                      <w:szCs w:val="22"/>
                    </w:rPr>
                  </w:pPr>
                </w:p>
              </w:tc>
              <w:tc>
                <w:tcPr>
                  <w:tcW w:w="2224" w:type="dxa"/>
                  <w:tcBorders>
                    <w:top w:val="single" w:color="auto" w:sz="4" w:space="0"/>
                    <w:left w:val="single" w:color="auto" w:sz="4" w:space="0"/>
                    <w:bottom w:val="single" w:color="auto" w:sz="4" w:space="0"/>
                    <w:right w:val="single" w:color="auto" w:sz="4" w:space="0"/>
                  </w:tcBorders>
                  <w:vAlign w:val="center"/>
                </w:tcPr>
                <w:p w14:paraId="4959D226">
                  <w:pPr>
                    <w:jc w:val="center"/>
                    <w:rPr>
                      <w:color w:val="auto"/>
                      <w:sz w:val="22"/>
                      <w:szCs w:val="22"/>
                    </w:rPr>
                  </w:pPr>
                  <w:r>
                    <w:rPr>
                      <w:rFonts w:hint="eastAsia"/>
                      <w:color w:val="auto"/>
                      <w:sz w:val="22"/>
                      <w:szCs w:val="22"/>
                    </w:rPr>
                    <w:t>雨水排水</w:t>
                  </w:r>
                </w:p>
              </w:tc>
              <w:tc>
                <w:tcPr>
                  <w:tcW w:w="5144" w:type="dxa"/>
                  <w:tcBorders>
                    <w:top w:val="single" w:color="auto" w:sz="4" w:space="0"/>
                    <w:left w:val="single" w:color="auto" w:sz="4" w:space="0"/>
                    <w:bottom w:val="single" w:color="auto" w:sz="4" w:space="0"/>
                    <w:right w:val="single" w:color="auto" w:sz="4" w:space="0"/>
                  </w:tcBorders>
                  <w:vAlign w:val="center"/>
                </w:tcPr>
                <w:p w14:paraId="77BD223C">
                  <w:pPr>
                    <w:jc w:val="center"/>
                    <w:rPr>
                      <w:color w:val="auto"/>
                      <w:sz w:val="22"/>
                      <w:szCs w:val="22"/>
                    </w:rPr>
                  </w:pPr>
                  <w:r>
                    <w:rPr>
                      <w:rFonts w:hint="eastAsia"/>
                      <w:color w:val="auto"/>
                      <w:sz w:val="22"/>
                      <w:szCs w:val="22"/>
                    </w:rPr>
                    <w:t>利用站内外已建雨水排水系统，不新增</w:t>
                  </w:r>
                </w:p>
              </w:tc>
            </w:tr>
            <w:tr w14:paraId="2639F2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718" w:type="dxa"/>
                  <w:vMerge w:val="continue"/>
                  <w:tcBorders>
                    <w:left w:val="single" w:color="auto" w:sz="4" w:space="0"/>
                    <w:right w:val="single" w:color="auto" w:sz="4" w:space="0"/>
                  </w:tcBorders>
                  <w:vAlign w:val="center"/>
                </w:tcPr>
                <w:p w14:paraId="535DD8A5">
                  <w:pPr>
                    <w:jc w:val="center"/>
                    <w:rPr>
                      <w:color w:val="auto"/>
                      <w:sz w:val="22"/>
                      <w:szCs w:val="22"/>
                    </w:rPr>
                  </w:pPr>
                </w:p>
              </w:tc>
              <w:tc>
                <w:tcPr>
                  <w:tcW w:w="2224" w:type="dxa"/>
                  <w:tcBorders>
                    <w:top w:val="single" w:color="auto" w:sz="4" w:space="0"/>
                    <w:left w:val="single" w:color="auto" w:sz="4" w:space="0"/>
                    <w:bottom w:val="single" w:color="auto" w:sz="4" w:space="0"/>
                    <w:right w:val="single" w:color="auto" w:sz="4" w:space="0"/>
                  </w:tcBorders>
                  <w:vAlign w:val="center"/>
                </w:tcPr>
                <w:p w14:paraId="64600449">
                  <w:pPr>
                    <w:jc w:val="center"/>
                    <w:rPr>
                      <w:color w:val="auto"/>
                      <w:sz w:val="22"/>
                      <w:szCs w:val="22"/>
                    </w:rPr>
                  </w:pPr>
                  <w:r>
                    <w:rPr>
                      <w:rFonts w:hint="eastAsia"/>
                      <w:color w:val="auto"/>
                      <w:sz w:val="22"/>
                      <w:szCs w:val="22"/>
                    </w:rPr>
                    <w:t>生活垃圾</w:t>
                  </w:r>
                </w:p>
              </w:tc>
              <w:tc>
                <w:tcPr>
                  <w:tcW w:w="5144" w:type="dxa"/>
                  <w:tcBorders>
                    <w:top w:val="single" w:color="auto" w:sz="4" w:space="0"/>
                    <w:left w:val="single" w:color="auto" w:sz="4" w:space="0"/>
                    <w:bottom w:val="single" w:color="auto" w:sz="4" w:space="0"/>
                    <w:right w:val="single" w:color="auto" w:sz="4" w:space="0"/>
                  </w:tcBorders>
                  <w:vAlign w:val="center"/>
                </w:tcPr>
                <w:p w14:paraId="43C63759">
                  <w:pPr>
                    <w:jc w:val="center"/>
                    <w:rPr>
                      <w:color w:val="auto"/>
                      <w:sz w:val="22"/>
                      <w:szCs w:val="22"/>
                    </w:rPr>
                  </w:pPr>
                  <w:r>
                    <w:rPr>
                      <w:rFonts w:hint="eastAsia"/>
                      <w:color w:val="auto"/>
                      <w:sz w:val="22"/>
                      <w:szCs w:val="22"/>
                    </w:rPr>
                    <w:t>利用站内已设垃圾桶</w:t>
                  </w:r>
                </w:p>
              </w:tc>
            </w:tr>
            <w:tr w14:paraId="66DD76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718" w:type="dxa"/>
                  <w:vMerge w:val="continue"/>
                  <w:tcBorders>
                    <w:left w:val="single" w:color="auto" w:sz="4" w:space="0"/>
                    <w:bottom w:val="single" w:color="auto" w:sz="4" w:space="0"/>
                    <w:right w:val="single" w:color="auto" w:sz="4" w:space="0"/>
                  </w:tcBorders>
                  <w:vAlign w:val="center"/>
                </w:tcPr>
                <w:p w14:paraId="4F82FED6">
                  <w:pPr>
                    <w:jc w:val="center"/>
                    <w:rPr>
                      <w:color w:val="auto"/>
                      <w:sz w:val="22"/>
                      <w:szCs w:val="22"/>
                    </w:rPr>
                  </w:pPr>
                </w:p>
              </w:tc>
              <w:tc>
                <w:tcPr>
                  <w:tcW w:w="2224" w:type="dxa"/>
                  <w:tcBorders>
                    <w:top w:val="single" w:color="auto" w:sz="4" w:space="0"/>
                    <w:left w:val="single" w:color="auto" w:sz="4" w:space="0"/>
                    <w:bottom w:val="single" w:color="auto" w:sz="4" w:space="0"/>
                    <w:right w:val="single" w:color="auto" w:sz="4" w:space="0"/>
                  </w:tcBorders>
                  <w:vAlign w:val="center"/>
                </w:tcPr>
                <w:p w14:paraId="61485ADC">
                  <w:pPr>
                    <w:jc w:val="center"/>
                    <w:rPr>
                      <w:color w:val="auto"/>
                      <w:sz w:val="22"/>
                      <w:szCs w:val="22"/>
                    </w:rPr>
                  </w:pPr>
                  <w:r>
                    <w:rPr>
                      <w:rFonts w:hint="eastAsia"/>
                      <w:color w:val="auto"/>
                      <w:sz w:val="22"/>
                      <w:szCs w:val="22"/>
                    </w:rPr>
                    <w:t>事故油池</w:t>
                  </w:r>
                </w:p>
              </w:tc>
              <w:tc>
                <w:tcPr>
                  <w:tcW w:w="5144" w:type="dxa"/>
                  <w:tcBorders>
                    <w:top w:val="single" w:color="auto" w:sz="4" w:space="0"/>
                    <w:left w:val="single" w:color="auto" w:sz="4" w:space="0"/>
                    <w:bottom w:val="single" w:color="auto" w:sz="4" w:space="0"/>
                    <w:right w:val="single" w:color="auto" w:sz="4" w:space="0"/>
                  </w:tcBorders>
                  <w:vAlign w:val="center"/>
                </w:tcPr>
                <w:p w14:paraId="0C4003A7">
                  <w:pPr>
                    <w:jc w:val="center"/>
                    <w:rPr>
                      <w:color w:val="auto"/>
                      <w:sz w:val="22"/>
                      <w:szCs w:val="22"/>
                    </w:rPr>
                  </w:pPr>
                  <w:r>
                    <w:rPr>
                      <w:rFonts w:hint="eastAsia"/>
                      <w:color w:val="auto"/>
                      <w:sz w:val="22"/>
                      <w:szCs w:val="22"/>
                    </w:rPr>
                    <w:t>站内现有1座有效容积为60m</w:t>
                  </w:r>
                  <w:r>
                    <w:rPr>
                      <w:rFonts w:hint="eastAsia"/>
                      <w:color w:val="auto"/>
                      <w:sz w:val="22"/>
                      <w:szCs w:val="22"/>
                      <w:vertAlign w:val="superscript"/>
                    </w:rPr>
                    <w:t>3</w:t>
                  </w:r>
                  <w:r>
                    <w:rPr>
                      <w:rFonts w:hint="eastAsia"/>
                      <w:color w:val="auto"/>
                      <w:sz w:val="22"/>
                      <w:szCs w:val="22"/>
                    </w:rPr>
                    <w:t>的事故油池，本次扩建不涉及含油设备，本次无需扩建</w:t>
                  </w:r>
                </w:p>
              </w:tc>
            </w:tr>
          </w:tbl>
          <w:p w14:paraId="61AA9A57">
            <w:pPr>
              <w:snapToGrid w:val="0"/>
              <w:ind w:firstLine="520" w:firstLineChars="200"/>
              <w:rPr>
                <w:color w:val="auto"/>
                <w:sz w:val="26"/>
                <w:szCs w:val="26"/>
                <w:highlight w:val="yellow"/>
              </w:rPr>
            </w:pPr>
          </w:p>
          <w:p w14:paraId="5CEACC21">
            <w:pPr>
              <w:snapToGrid w:val="0"/>
              <w:spacing w:line="460" w:lineRule="exact"/>
              <w:ind w:firstLine="520" w:firstLineChars="200"/>
              <w:rPr>
                <w:b/>
                <w:color w:val="auto"/>
                <w:sz w:val="26"/>
                <w:szCs w:val="26"/>
              </w:rPr>
            </w:pPr>
            <w:r>
              <w:rPr>
                <w:rFonts w:hint="eastAsia"/>
                <w:bCs/>
                <w:color w:val="auto"/>
                <w:sz w:val="26"/>
                <w:szCs w:val="26"/>
              </w:rPr>
              <w:t>本次间隔扩建工程不改变站内现有布置，不新增工作人员，不新增用水及排水，不新增事故油池，不改变变电站已设计的环保设施运行及利用方式，变电站运行至今站内各环保设施运行稳定，无遗留环保问题；因此，本期扩建依托变电站内现有设施合理可行。</w:t>
            </w:r>
          </w:p>
        </w:tc>
      </w:tr>
      <w:tr w14:paraId="4B44C7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78" w:type="dxa"/>
            <w:vAlign w:val="center"/>
          </w:tcPr>
          <w:p w14:paraId="1B842572">
            <w:pPr>
              <w:adjustRightInd w:val="0"/>
              <w:snapToGrid w:val="0"/>
              <w:spacing w:line="460" w:lineRule="exact"/>
              <w:jc w:val="center"/>
              <w:rPr>
                <w:color w:val="auto"/>
                <w:kern w:val="0"/>
                <w:szCs w:val="21"/>
              </w:rPr>
            </w:pPr>
            <w:r>
              <w:rPr>
                <w:rFonts w:hint="eastAsia"/>
                <w:color w:val="auto"/>
                <w:kern w:val="0"/>
                <w:sz w:val="26"/>
                <w:szCs w:val="26"/>
              </w:rPr>
              <w:t>总平面及现场布置</w:t>
            </w:r>
          </w:p>
        </w:tc>
        <w:tc>
          <w:tcPr>
            <w:tcW w:w="8312" w:type="dxa"/>
            <w:vAlign w:val="center"/>
          </w:tcPr>
          <w:p w14:paraId="5718E024">
            <w:pPr>
              <w:spacing w:line="460" w:lineRule="exact"/>
              <w:rPr>
                <w:b/>
                <w:color w:val="auto"/>
                <w:sz w:val="26"/>
                <w:szCs w:val="26"/>
              </w:rPr>
            </w:pPr>
            <w:r>
              <w:rPr>
                <w:b/>
                <w:color w:val="auto"/>
                <w:sz w:val="26"/>
                <w:szCs w:val="26"/>
              </w:rPr>
              <w:t>2.</w:t>
            </w:r>
            <w:r>
              <w:rPr>
                <w:rFonts w:hint="eastAsia"/>
                <w:b/>
                <w:color w:val="auto"/>
                <w:sz w:val="26"/>
                <w:szCs w:val="26"/>
              </w:rPr>
              <w:t>4线路路径方案</w:t>
            </w:r>
          </w:p>
          <w:p w14:paraId="7A1D48B3">
            <w:pPr>
              <w:spacing w:line="460" w:lineRule="exact"/>
              <w:ind w:firstLine="520" w:firstLineChars="200"/>
              <w:rPr>
                <w:bCs/>
                <w:color w:val="auto"/>
                <w:sz w:val="26"/>
                <w:szCs w:val="26"/>
              </w:rPr>
            </w:pPr>
            <w:r>
              <w:rPr>
                <w:rFonts w:hint="eastAsia"/>
                <w:bCs/>
                <w:color w:val="auto"/>
                <w:sz w:val="26"/>
                <w:szCs w:val="26"/>
              </w:rPr>
              <w:t>本项目从茅草坝风电场-铁甲变电站单回110kV线路（原110kV茅铁线）N46塔开断，新建110kV线路接入望天坪风电场升压站，最终形成重庆</w:t>
            </w:r>
            <w:r>
              <w:rPr>
                <w:rFonts w:hint="eastAsia"/>
                <w:bCs/>
                <w:color w:val="auto"/>
                <w:sz w:val="26"/>
                <w:szCs w:val="26"/>
                <w:lang w:val="en-US" w:eastAsia="zh-CN"/>
              </w:rPr>
              <w:t>奉节</w:t>
            </w:r>
            <w:r>
              <w:rPr>
                <w:rFonts w:hint="eastAsia"/>
                <w:bCs/>
                <w:color w:val="auto"/>
                <w:sz w:val="26"/>
                <w:szCs w:val="26"/>
              </w:rPr>
              <w:t>金凤山风电场扩建（望天坪）110千伏送出工程线路。</w:t>
            </w:r>
          </w:p>
          <w:p w14:paraId="65FA5EE3">
            <w:pPr>
              <w:spacing w:line="460" w:lineRule="exact"/>
              <w:ind w:firstLine="520" w:firstLineChars="200"/>
              <w:rPr>
                <w:bCs/>
                <w:color w:val="auto"/>
                <w:sz w:val="26"/>
                <w:szCs w:val="26"/>
              </w:rPr>
            </w:pPr>
            <w:r>
              <w:rPr>
                <w:rFonts w:hint="eastAsia"/>
                <w:bCs/>
                <w:color w:val="auto"/>
                <w:sz w:val="26"/>
                <w:szCs w:val="26"/>
              </w:rPr>
              <w:t>本项目拟建线路从原110kV茅铁线N46塔开断，向西南方向走线，途径何家湾、漆树坪、大龙洞、罗家营，再往南走线，途径二台子、樟子湾、云雾坪，最终接入望天坪风电场升压站。</w:t>
            </w:r>
          </w:p>
          <w:p w14:paraId="67E21122">
            <w:pPr>
              <w:spacing w:line="460" w:lineRule="exact"/>
              <w:rPr>
                <w:b/>
                <w:color w:val="auto"/>
                <w:sz w:val="26"/>
                <w:szCs w:val="26"/>
              </w:rPr>
            </w:pPr>
            <w:r>
              <w:rPr>
                <w:rFonts w:hint="eastAsia"/>
                <w:b/>
                <w:color w:val="auto"/>
                <w:sz w:val="26"/>
                <w:szCs w:val="26"/>
              </w:rPr>
              <w:t>2.5 220kV铁甲变电站110kV间隔扩建工程</w:t>
            </w:r>
          </w:p>
          <w:p w14:paraId="15C7ABB6">
            <w:pPr>
              <w:adjustRightInd w:val="0"/>
              <w:snapToGrid w:val="0"/>
              <w:spacing w:line="460" w:lineRule="exact"/>
              <w:ind w:firstLine="520" w:firstLineChars="200"/>
              <w:rPr>
                <w:rFonts w:hint="eastAsia"/>
                <w:color w:val="auto"/>
                <w:sz w:val="26"/>
                <w:szCs w:val="26"/>
                <w:lang w:val="en-US" w:eastAsia="zh-CN"/>
              </w:rPr>
            </w:pPr>
            <w:r>
              <w:rPr>
                <w:rFonts w:hint="eastAsia"/>
                <w:color w:val="auto"/>
                <w:sz w:val="26"/>
                <w:szCs w:val="26"/>
              </w:rPr>
              <w:t>根据设计资料，</w:t>
            </w:r>
            <w:r>
              <w:rPr>
                <w:color w:val="auto"/>
                <w:sz w:val="26"/>
                <w:szCs w:val="26"/>
              </w:rPr>
              <w:t>220kV</w:t>
            </w:r>
            <w:r>
              <w:rPr>
                <w:rFonts w:hint="eastAsia"/>
                <w:color w:val="auto"/>
                <w:sz w:val="26"/>
                <w:szCs w:val="26"/>
              </w:rPr>
              <w:t>铁甲变电站出线间隔共10个，已用</w:t>
            </w:r>
            <w:r>
              <w:rPr>
                <w:color w:val="auto"/>
                <w:sz w:val="26"/>
                <w:szCs w:val="26"/>
              </w:rPr>
              <w:t>6</w:t>
            </w:r>
            <w:r>
              <w:rPr>
                <w:rFonts w:hint="eastAsia"/>
                <w:color w:val="auto"/>
                <w:sz w:val="26"/>
                <w:szCs w:val="26"/>
              </w:rPr>
              <w:t>个，预留4个（其中3个电缆出线，1个架空出线），本次利用1个架空出线间隔进行扩建，扩建间隔位置在现茅铁线进线间隔的右侧</w:t>
            </w:r>
            <w:r>
              <w:rPr>
                <w:rFonts w:hint="eastAsia"/>
                <w:color w:val="auto"/>
                <w:sz w:val="26"/>
                <w:szCs w:val="26"/>
                <w:lang w:eastAsia="zh-CN"/>
              </w:rPr>
              <w:t>。</w:t>
            </w:r>
            <w:r>
              <w:rPr>
                <w:rFonts w:hint="eastAsia"/>
                <w:color w:val="auto"/>
                <w:sz w:val="26"/>
                <w:szCs w:val="26"/>
                <w:lang w:val="en-US" w:eastAsia="zh-CN"/>
              </w:rPr>
              <w:t>因现110kV</w:t>
            </w:r>
            <w:r>
              <w:rPr>
                <w:rFonts w:hint="eastAsia"/>
                <w:color w:val="auto"/>
                <w:sz w:val="26"/>
                <w:szCs w:val="26"/>
                <w:lang w:eastAsia="zh-CN"/>
              </w:rPr>
              <w:t>茅铁线间隔前期规划为大木第3回间隔，</w:t>
            </w:r>
            <w:r>
              <w:rPr>
                <w:rFonts w:hint="eastAsia"/>
                <w:color w:val="auto"/>
                <w:sz w:val="26"/>
                <w:szCs w:val="26"/>
                <w:lang w:val="en-US" w:eastAsia="zh-CN"/>
              </w:rPr>
              <w:t>而</w:t>
            </w:r>
            <w:r>
              <w:rPr>
                <w:rFonts w:hint="eastAsia"/>
                <w:color w:val="auto"/>
                <w:sz w:val="26"/>
                <w:szCs w:val="26"/>
                <w:lang w:eastAsia="zh-CN"/>
              </w:rPr>
              <w:t>大木第3回线路与望天坪</w:t>
            </w:r>
            <w:r>
              <w:rPr>
                <w:rFonts w:hint="eastAsia"/>
                <w:color w:val="auto"/>
                <w:sz w:val="26"/>
                <w:szCs w:val="26"/>
                <w:lang w:val="en-US" w:eastAsia="zh-CN"/>
              </w:rPr>
              <w:t>送出</w:t>
            </w:r>
            <w:r>
              <w:rPr>
                <w:rFonts w:hint="eastAsia"/>
                <w:color w:val="auto"/>
                <w:sz w:val="26"/>
                <w:szCs w:val="26"/>
                <w:lang w:eastAsia="zh-CN"/>
              </w:rPr>
              <w:t>线路（</w:t>
            </w:r>
            <w:r>
              <w:rPr>
                <w:rFonts w:hint="eastAsia"/>
                <w:color w:val="auto"/>
                <w:sz w:val="26"/>
                <w:szCs w:val="26"/>
                <w:lang w:val="en-US" w:eastAsia="zh-CN"/>
              </w:rPr>
              <w:t>本次评价工程线路</w:t>
            </w:r>
            <w:r>
              <w:rPr>
                <w:rFonts w:hint="eastAsia"/>
                <w:color w:val="auto"/>
                <w:sz w:val="26"/>
                <w:szCs w:val="26"/>
                <w:lang w:eastAsia="zh-CN"/>
              </w:rPr>
              <w:t>）在进站终端塔处存在交叉，需将大木第3回间隔与望天坪间隔（</w:t>
            </w:r>
            <w:r>
              <w:rPr>
                <w:rFonts w:hint="eastAsia"/>
                <w:color w:val="auto"/>
                <w:sz w:val="26"/>
                <w:szCs w:val="26"/>
                <w:lang w:val="en-US" w:eastAsia="zh-CN"/>
              </w:rPr>
              <w:t>本次评价扩建间隔</w:t>
            </w:r>
            <w:r>
              <w:rPr>
                <w:rFonts w:hint="eastAsia"/>
                <w:color w:val="auto"/>
                <w:sz w:val="26"/>
                <w:szCs w:val="26"/>
                <w:lang w:eastAsia="zh-CN"/>
              </w:rPr>
              <w:t>）进行互换；</w:t>
            </w:r>
            <w:r>
              <w:rPr>
                <w:rFonts w:hint="eastAsia"/>
                <w:color w:val="auto"/>
                <w:sz w:val="26"/>
                <w:szCs w:val="26"/>
                <w:lang w:val="en-US" w:eastAsia="zh-CN"/>
              </w:rPr>
              <w:t>因此最终望天坪架空线路仍使用原茅铁线间隔，本次新扩建间隔用于大木第3回线路</w:t>
            </w:r>
            <w:r>
              <w:rPr>
                <w:rFonts w:hint="eastAsia"/>
                <w:color w:val="auto"/>
                <w:sz w:val="26"/>
                <w:szCs w:val="26"/>
              </w:rPr>
              <w:t>。</w:t>
            </w:r>
            <w:r>
              <w:rPr>
                <w:color w:val="auto"/>
                <w:sz w:val="26"/>
                <w:szCs w:val="26"/>
              </w:rPr>
              <w:t>220kV</w:t>
            </w:r>
            <w:r>
              <w:rPr>
                <w:rFonts w:hint="eastAsia"/>
                <w:color w:val="auto"/>
                <w:sz w:val="26"/>
                <w:szCs w:val="26"/>
              </w:rPr>
              <w:t>铁甲变电站间隔扩建工程示意图见下图</w:t>
            </w:r>
            <w:r>
              <w:rPr>
                <w:color w:val="auto"/>
                <w:sz w:val="26"/>
                <w:szCs w:val="26"/>
              </w:rPr>
              <w:t>2-</w:t>
            </w:r>
            <w:r>
              <w:rPr>
                <w:rFonts w:hint="eastAsia"/>
                <w:color w:val="auto"/>
                <w:sz w:val="26"/>
                <w:szCs w:val="26"/>
              </w:rPr>
              <w:t>2。</w:t>
            </w:r>
          </w:p>
          <w:p w14:paraId="2275C409">
            <w:pPr>
              <w:spacing w:line="460" w:lineRule="exact"/>
              <w:rPr>
                <w:b/>
                <w:color w:val="auto"/>
                <w:sz w:val="26"/>
                <w:szCs w:val="26"/>
              </w:rPr>
            </w:pP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451"/>
              <w:gridCol w:w="777"/>
              <w:gridCol w:w="665"/>
              <w:gridCol w:w="630"/>
              <w:gridCol w:w="632"/>
              <w:gridCol w:w="631"/>
              <w:gridCol w:w="630"/>
              <w:gridCol w:w="633"/>
              <w:gridCol w:w="594"/>
              <w:gridCol w:w="640"/>
              <w:gridCol w:w="513"/>
              <w:gridCol w:w="738"/>
              <w:gridCol w:w="552"/>
            </w:tblGrid>
            <w:tr w14:paraId="3AB047B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612" w:hRule="atLeast"/>
                <w:jc w:val="center"/>
              </w:trPr>
              <w:tc>
                <w:tcPr>
                  <w:tcW w:w="451" w:type="dxa"/>
                  <w:vMerge w:val="restart"/>
                  <w:shd w:val="clear" w:color="auto" w:fill="auto"/>
                  <w:vAlign w:val="center"/>
                </w:tcPr>
                <w:p w14:paraId="279ADE07">
                  <w:pPr>
                    <w:adjustRightInd w:val="0"/>
                    <w:jc w:val="center"/>
                    <w:rPr>
                      <w:b/>
                      <w:color w:val="auto"/>
                      <w:sz w:val="19"/>
                      <w:szCs w:val="19"/>
                    </w:rPr>
                  </w:pPr>
                  <w:r>
                    <w:rPr>
                      <w:rFonts w:hint="eastAsia"/>
                      <w:b/>
                      <w:color w:val="auto"/>
                      <w:sz w:val="19"/>
                      <w:szCs w:val="19"/>
                    </w:rPr>
                    <w:t>西北方向</w:t>
                  </w:r>
                </w:p>
              </w:tc>
              <w:tc>
                <w:tcPr>
                  <w:tcW w:w="777" w:type="dxa"/>
                  <w:shd w:val="clear" w:color="auto" w:fill="auto"/>
                  <w:vAlign w:val="center"/>
                </w:tcPr>
                <w:p w14:paraId="38A31EB1">
                  <w:pPr>
                    <w:adjustRightInd w:val="0"/>
                    <w:jc w:val="center"/>
                    <w:rPr>
                      <w:b/>
                      <w:color w:val="auto"/>
                      <w:sz w:val="19"/>
                      <w:szCs w:val="19"/>
                    </w:rPr>
                  </w:pPr>
                  <w:r>
                    <w:rPr>
                      <w:b/>
                      <w:color w:val="auto"/>
                      <w:sz w:val="19"/>
                      <w:szCs w:val="19"/>
                    </w:rPr>
                    <w:t>序号</w:t>
                  </w:r>
                </w:p>
              </w:tc>
              <w:tc>
                <w:tcPr>
                  <w:tcW w:w="665" w:type="dxa"/>
                  <w:tcBorders>
                    <w:bottom w:val="single" w:color="auto" w:sz="6" w:space="0"/>
                  </w:tcBorders>
                  <w:shd w:val="clear" w:color="auto" w:fill="FFFFFF"/>
                  <w:vAlign w:val="center"/>
                </w:tcPr>
                <w:p w14:paraId="6AA76100">
                  <w:pPr>
                    <w:adjustRightInd w:val="0"/>
                    <w:jc w:val="center"/>
                    <w:rPr>
                      <w:b/>
                      <w:color w:val="auto"/>
                      <w:sz w:val="19"/>
                      <w:szCs w:val="19"/>
                    </w:rPr>
                  </w:pPr>
                  <w:r>
                    <w:rPr>
                      <w:b/>
                      <w:color w:val="auto"/>
                      <w:sz w:val="19"/>
                      <w:szCs w:val="19"/>
                    </w:rPr>
                    <w:t>1</w:t>
                  </w:r>
                </w:p>
              </w:tc>
              <w:tc>
                <w:tcPr>
                  <w:tcW w:w="630" w:type="dxa"/>
                  <w:tcBorders>
                    <w:bottom w:val="single" w:color="auto" w:sz="6" w:space="0"/>
                  </w:tcBorders>
                  <w:shd w:val="clear" w:color="auto" w:fill="FFFFFF"/>
                  <w:vAlign w:val="center"/>
                </w:tcPr>
                <w:p w14:paraId="5D52E2E7">
                  <w:pPr>
                    <w:adjustRightInd w:val="0"/>
                    <w:jc w:val="center"/>
                    <w:rPr>
                      <w:b/>
                      <w:color w:val="auto"/>
                      <w:sz w:val="19"/>
                      <w:szCs w:val="19"/>
                    </w:rPr>
                  </w:pPr>
                  <w:r>
                    <w:rPr>
                      <w:b/>
                      <w:color w:val="auto"/>
                      <w:sz w:val="19"/>
                      <w:szCs w:val="19"/>
                    </w:rPr>
                    <w:t>2</w:t>
                  </w:r>
                </w:p>
              </w:tc>
              <w:tc>
                <w:tcPr>
                  <w:tcW w:w="632" w:type="dxa"/>
                  <w:tcBorders>
                    <w:bottom w:val="single" w:color="auto" w:sz="6" w:space="0"/>
                  </w:tcBorders>
                  <w:vAlign w:val="center"/>
                </w:tcPr>
                <w:p w14:paraId="79F1B856">
                  <w:pPr>
                    <w:adjustRightInd w:val="0"/>
                    <w:jc w:val="center"/>
                    <w:rPr>
                      <w:b/>
                      <w:color w:val="auto"/>
                      <w:sz w:val="19"/>
                      <w:szCs w:val="19"/>
                    </w:rPr>
                  </w:pPr>
                  <w:r>
                    <w:rPr>
                      <w:b/>
                      <w:color w:val="auto"/>
                      <w:sz w:val="19"/>
                      <w:szCs w:val="19"/>
                    </w:rPr>
                    <w:t>3</w:t>
                  </w:r>
                </w:p>
              </w:tc>
              <w:tc>
                <w:tcPr>
                  <w:tcW w:w="631" w:type="dxa"/>
                  <w:tcBorders>
                    <w:bottom w:val="single" w:color="auto" w:sz="6" w:space="0"/>
                  </w:tcBorders>
                  <w:vAlign w:val="center"/>
                </w:tcPr>
                <w:p w14:paraId="4B61C350">
                  <w:pPr>
                    <w:adjustRightInd w:val="0"/>
                    <w:jc w:val="center"/>
                    <w:rPr>
                      <w:b/>
                      <w:color w:val="auto"/>
                      <w:sz w:val="19"/>
                      <w:szCs w:val="19"/>
                    </w:rPr>
                  </w:pPr>
                  <w:r>
                    <w:rPr>
                      <w:b/>
                      <w:color w:val="auto"/>
                      <w:sz w:val="19"/>
                      <w:szCs w:val="19"/>
                    </w:rPr>
                    <w:t>4</w:t>
                  </w:r>
                </w:p>
              </w:tc>
              <w:tc>
                <w:tcPr>
                  <w:tcW w:w="630" w:type="dxa"/>
                  <w:tcBorders>
                    <w:bottom w:val="single" w:color="auto" w:sz="6" w:space="0"/>
                  </w:tcBorders>
                  <w:vAlign w:val="center"/>
                </w:tcPr>
                <w:p w14:paraId="1DD2C30A">
                  <w:pPr>
                    <w:adjustRightInd w:val="0"/>
                    <w:jc w:val="center"/>
                    <w:rPr>
                      <w:b/>
                      <w:color w:val="auto"/>
                      <w:sz w:val="19"/>
                      <w:szCs w:val="19"/>
                    </w:rPr>
                  </w:pPr>
                  <w:r>
                    <w:rPr>
                      <w:b/>
                      <w:color w:val="auto"/>
                      <w:sz w:val="19"/>
                      <w:szCs w:val="19"/>
                    </w:rPr>
                    <w:t>5</w:t>
                  </w:r>
                </w:p>
              </w:tc>
              <w:tc>
                <w:tcPr>
                  <w:tcW w:w="633" w:type="dxa"/>
                  <w:tcBorders>
                    <w:bottom w:val="single" w:color="auto" w:sz="6" w:space="0"/>
                  </w:tcBorders>
                  <w:vAlign w:val="center"/>
                </w:tcPr>
                <w:p w14:paraId="2FF9F799">
                  <w:pPr>
                    <w:adjustRightInd w:val="0"/>
                    <w:jc w:val="center"/>
                    <w:rPr>
                      <w:b/>
                      <w:color w:val="auto"/>
                      <w:sz w:val="19"/>
                      <w:szCs w:val="19"/>
                    </w:rPr>
                  </w:pPr>
                  <w:r>
                    <w:rPr>
                      <w:b/>
                      <w:color w:val="auto"/>
                      <w:sz w:val="19"/>
                      <w:szCs w:val="19"/>
                    </w:rPr>
                    <w:t>6</w:t>
                  </w:r>
                </w:p>
              </w:tc>
              <w:tc>
                <w:tcPr>
                  <w:tcW w:w="594" w:type="dxa"/>
                  <w:vAlign w:val="center"/>
                </w:tcPr>
                <w:p w14:paraId="133EEF2A">
                  <w:pPr>
                    <w:adjustRightInd w:val="0"/>
                    <w:jc w:val="center"/>
                    <w:rPr>
                      <w:b/>
                      <w:color w:val="auto"/>
                      <w:sz w:val="19"/>
                      <w:szCs w:val="19"/>
                    </w:rPr>
                  </w:pPr>
                  <w:r>
                    <w:rPr>
                      <w:b/>
                      <w:color w:val="auto"/>
                      <w:sz w:val="19"/>
                      <w:szCs w:val="19"/>
                    </w:rPr>
                    <w:t>7</w:t>
                  </w:r>
                </w:p>
              </w:tc>
              <w:tc>
                <w:tcPr>
                  <w:tcW w:w="640" w:type="dxa"/>
                  <w:vAlign w:val="center"/>
                </w:tcPr>
                <w:p w14:paraId="5452A681">
                  <w:pPr>
                    <w:adjustRightInd w:val="0"/>
                    <w:jc w:val="center"/>
                    <w:rPr>
                      <w:b/>
                      <w:color w:val="auto"/>
                      <w:sz w:val="19"/>
                      <w:szCs w:val="19"/>
                    </w:rPr>
                  </w:pPr>
                  <w:r>
                    <w:rPr>
                      <w:b/>
                      <w:color w:val="auto"/>
                      <w:sz w:val="19"/>
                      <w:szCs w:val="19"/>
                    </w:rPr>
                    <w:t>8</w:t>
                  </w:r>
                </w:p>
              </w:tc>
              <w:tc>
                <w:tcPr>
                  <w:tcW w:w="513" w:type="dxa"/>
                  <w:vAlign w:val="center"/>
                </w:tcPr>
                <w:p w14:paraId="065C85AA">
                  <w:pPr>
                    <w:adjustRightInd w:val="0"/>
                    <w:jc w:val="center"/>
                    <w:rPr>
                      <w:b/>
                      <w:color w:val="auto"/>
                      <w:sz w:val="19"/>
                      <w:szCs w:val="19"/>
                    </w:rPr>
                  </w:pPr>
                  <w:r>
                    <w:rPr>
                      <w:b/>
                      <w:color w:val="auto"/>
                      <w:sz w:val="19"/>
                      <w:szCs w:val="19"/>
                    </w:rPr>
                    <w:t>9</w:t>
                  </w:r>
                </w:p>
              </w:tc>
              <w:tc>
                <w:tcPr>
                  <w:tcW w:w="738" w:type="dxa"/>
                  <w:vAlign w:val="center"/>
                </w:tcPr>
                <w:p w14:paraId="058786EA">
                  <w:pPr>
                    <w:adjustRightInd w:val="0"/>
                    <w:jc w:val="center"/>
                    <w:rPr>
                      <w:b/>
                      <w:color w:val="auto"/>
                      <w:sz w:val="19"/>
                      <w:szCs w:val="19"/>
                    </w:rPr>
                  </w:pPr>
                  <w:r>
                    <w:rPr>
                      <w:b/>
                      <w:color w:val="auto"/>
                      <w:sz w:val="19"/>
                      <w:szCs w:val="19"/>
                    </w:rPr>
                    <w:t>10</w:t>
                  </w:r>
                </w:p>
              </w:tc>
              <w:tc>
                <w:tcPr>
                  <w:tcW w:w="552" w:type="dxa"/>
                  <w:vMerge w:val="restart"/>
                  <w:vAlign w:val="center"/>
                </w:tcPr>
                <w:p w14:paraId="2B0B03D1">
                  <w:pPr>
                    <w:adjustRightInd w:val="0"/>
                    <w:jc w:val="center"/>
                    <w:rPr>
                      <w:color w:val="auto"/>
                      <w:sz w:val="19"/>
                      <w:szCs w:val="19"/>
                    </w:rPr>
                  </w:pPr>
                  <w:r>
                    <w:rPr>
                      <w:rFonts w:hint="eastAsia"/>
                      <w:b/>
                      <w:color w:val="auto"/>
                      <w:sz w:val="19"/>
                      <w:szCs w:val="19"/>
                    </w:rPr>
                    <w:t>东南方向</w:t>
                  </w:r>
                </w:p>
              </w:tc>
            </w:tr>
            <w:tr w14:paraId="74FE133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51" w:type="dxa"/>
                  <w:vMerge w:val="continue"/>
                  <w:shd w:val="clear" w:color="auto" w:fill="auto"/>
                  <w:vAlign w:val="center"/>
                </w:tcPr>
                <w:p w14:paraId="74D2EAD6">
                  <w:pPr>
                    <w:adjustRightInd w:val="0"/>
                    <w:jc w:val="center"/>
                    <w:rPr>
                      <w:color w:val="auto"/>
                      <w:sz w:val="19"/>
                      <w:szCs w:val="19"/>
                    </w:rPr>
                  </w:pPr>
                </w:p>
              </w:tc>
              <w:tc>
                <w:tcPr>
                  <w:tcW w:w="777" w:type="dxa"/>
                  <w:shd w:val="clear" w:color="auto" w:fill="auto"/>
                  <w:vAlign w:val="center"/>
                </w:tcPr>
                <w:p w14:paraId="13611E94">
                  <w:pPr>
                    <w:adjustRightInd w:val="0"/>
                    <w:jc w:val="center"/>
                    <w:rPr>
                      <w:color w:val="auto"/>
                      <w:sz w:val="19"/>
                      <w:szCs w:val="19"/>
                    </w:rPr>
                  </w:pPr>
                  <w:r>
                    <w:rPr>
                      <w:rFonts w:hint="eastAsia"/>
                      <w:color w:val="auto"/>
                      <w:sz w:val="19"/>
                      <w:szCs w:val="19"/>
                    </w:rPr>
                    <w:t>出线间隔（现状）</w:t>
                  </w:r>
                </w:p>
              </w:tc>
              <w:tc>
                <w:tcPr>
                  <w:tcW w:w="665" w:type="dxa"/>
                  <w:tcBorders>
                    <w:top w:val="single" w:color="auto" w:sz="6" w:space="0"/>
                    <w:bottom w:val="single" w:color="auto" w:sz="6" w:space="0"/>
                  </w:tcBorders>
                  <w:shd w:val="clear" w:color="auto" w:fill="FFFFFF"/>
                  <w:vAlign w:val="center"/>
                </w:tcPr>
                <w:p w14:paraId="014A55CB">
                  <w:pPr>
                    <w:adjustRightInd w:val="0"/>
                    <w:jc w:val="center"/>
                    <w:rPr>
                      <w:color w:val="auto"/>
                      <w:sz w:val="19"/>
                      <w:szCs w:val="19"/>
                    </w:rPr>
                  </w:pPr>
                  <w:r>
                    <w:rPr>
                      <w:rFonts w:hint="eastAsia"/>
                      <w:color w:val="auto"/>
                      <w:sz w:val="19"/>
                      <w:szCs w:val="19"/>
                    </w:rPr>
                    <w:t>羊市坪170</w:t>
                  </w:r>
                </w:p>
              </w:tc>
              <w:tc>
                <w:tcPr>
                  <w:tcW w:w="630" w:type="dxa"/>
                  <w:tcBorders>
                    <w:top w:val="single" w:color="auto" w:sz="6" w:space="0"/>
                    <w:bottom w:val="single" w:color="auto" w:sz="6" w:space="0"/>
                  </w:tcBorders>
                  <w:shd w:val="clear" w:color="auto" w:fill="FFFFFF"/>
                  <w:vAlign w:val="center"/>
                </w:tcPr>
                <w:p w14:paraId="4B636F06">
                  <w:pPr>
                    <w:adjustRightInd w:val="0"/>
                    <w:jc w:val="center"/>
                    <w:rPr>
                      <w:color w:val="auto"/>
                      <w:sz w:val="19"/>
                      <w:szCs w:val="19"/>
                    </w:rPr>
                  </w:pPr>
                  <w:r>
                    <w:rPr>
                      <w:rFonts w:hint="eastAsia"/>
                      <w:color w:val="auto"/>
                      <w:sz w:val="19"/>
                      <w:szCs w:val="19"/>
                    </w:rPr>
                    <w:t>大木Ⅰ-169</w:t>
                  </w:r>
                </w:p>
              </w:tc>
              <w:tc>
                <w:tcPr>
                  <w:tcW w:w="632" w:type="dxa"/>
                  <w:tcBorders>
                    <w:top w:val="single" w:color="auto" w:sz="6" w:space="0"/>
                    <w:bottom w:val="single" w:color="auto" w:sz="6" w:space="0"/>
                  </w:tcBorders>
                  <w:vAlign w:val="center"/>
                </w:tcPr>
                <w:p w14:paraId="1E8F2350">
                  <w:pPr>
                    <w:adjustRightInd w:val="0"/>
                    <w:jc w:val="center"/>
                    <w:rPr>
                      <w:color w:val="auto"/>
                      <w:sz w:val="19"/>
                      <w:szCs w:val="19"/>
                    </w:rPr>
                  </w:pPr>
                  <w:r>
                    <w:rPr>
                      <w:rFonts w:hint="eastAsia"/>
                      <w:color w:val="auto"/>
                      <w:sz w:val="19"/>
                      <w:szCs w:val="19"/>
                    </w:rPr>
                    <w:t>预留（电缆出线）</w:t>
                  </w:r>
                </w:p>
              </w:tc>
              <w:tc>
                <w:tcPr>
                  <w:tcW w:w="631" w:type="dxa"/>
                  <w:tcBorders>
                    <w:top w:val="single" w:color="auto" w:sz="6" w:space="0"/>
                    <w:bottom w:val="single" w:color="auto" w:sz="6" w:space="0"/>
                  </w:tcBorders>
                  <w:vAlign w:val="center"/>
                </w:tcPr>
                <w:p w14:paraId="3CF1263E">
                  <w:pPr>
                    <w:adjustRightInd w:val="0"/>
                    <w:jc w:val="center"/>
                    <w:rPr>
                      <w:color w:val="auto"/>
                      <w:sz w:val="19"/>
                      <w:szCs w:val="19"/>
                    </w:rPr>
                  </w:pPr>
                  <w:r>
                    <w:rPr>
                      <w:rFonts w:hint="eastAsia"/>
                      <w:color w:val="auto"/>
                      <w:sz w:val="19"/>
                      <w:szCs w:val="19"/>
                    </w:rPr>
                    <w:t>预留（电缆出线）</w:t>
                  </w:r>
                </w:p>
              </w:tc>
              <w:tc>
                <w:tcPr>
                  <w:tcW w:w="630" w:type="dxa"/>
                  <w:tcBorders>
                    <w:top w:val="single" w:color="auto" w:sz="6" w:space="0"/>
                    <w:bottom w:val="single" w:color="auto" w:sz="6" w:space="0"/>
                  </w:tcBorders>
                  <w:vAlign w:val="center"/>
                </w:tcPr>
                <w:p w14:paraId="36844913">
                  <w:pPr>
                    <w:adjustRightInd w:val="0"/>
                    <w:jc w:val="center"/>
                    <w:rPr>
                      <w:color w:val="auto"/>
                      <w:sz w:val="19"/>
                      <w:szCs w:val="19"/>
                    </w:rPr>
                  </w:pPr>
                  <w:r>
                    <w:rPr>
                      <w:rFonts w:hint="eastAsia"/>
                      <w:color w:val="auto"/>
                      <w:sz w:val="19"/>
                      <w:szCs w:val="19"/>
                    </w:rPr>
                    <w:t>大木Ⅱ-166</w:t>
                  </w:r>
                </w:p>
              </w:tc>
              <w:tc>
                <w:tcPr>
                  <w:tcW w:w="633" w:type="dxa"/>
                  <w:tcBorders>
                    <w:top w:val="single" w:color="auto" w:sz="6" w:space="0"/>
                    <w:bottom w:val="single" w:color="auto" w:sz="6" w:space="0"/>
                  </w:tcBorders>
                  <w:vAlign w:val="center"/>
                </w:tcPr>
                <w:p w14:paraId="6AFD2A3F">
                  <w:pPr>
                    <w:adjustRightInd w:val="0"/>
                    <w:jc w:val="center"/>
                    <w:rPr>
                      <w:color w:val="auto"/>
                      <w:sz w:val="19"/>
                      <w:szCs w:val="19"/>
                    </w:rPr>
                  </w:pPr>
                  <w:r>
                    <w:rPr>
                      <w:rFonts w:hint="eastAsia"/>
                      <w:color w:val="auto"/>
                      <w:sz w:val="19"/>
                      <w:szCs w:val="19"/>
                    </w:rPr>
                    <w:t>朱衣Ⅰ-165</w:t>
                  </w:r>
                </w:p>
              </w:tc>
              <w:tc>
                <w:tcPr>
                  <w:tcW w:w="594" w:type="dxa"/>
                  <w:vAlign w:val="center"/>
                </w:tcPr>
                <w:p w14:paraId="7B17F570">
                  <w:pPr>
                    <w:tabs>
                      <w:tab w:val="left" w:pos="287"/>
                    </w:tabs>
                    <w:adjustRightInd w:val="0"/>
                    <w:jc w:val="center"/>
                    <w:rPr>
                      <w:color w:val="auto"/>
                      <w:sz w:val="19"/>
                      <w:szCs w:val="19"/>
                    </w:rPr>
                  </w:pPr>
                  <w:r>
                    <w:rPr>
                      <w:rFonts w:hint="eastAsia"/>
                      <w:color w:val="auto"/>
                      <w:sz w:val="19"/>
                      <w:szCs w:val="19"/>
                    </w:rPr>
                    <w:t>朱衣Ⅱ-164</w:t>
                  </w:r>
                </w:p>
              </w:tc>
              <w:tc>
                <w:tcPr>
                  <w:tcW w:w="640" w:type="dxa"/>
                  <w:vAlign w:val="center"/>
                </w:tcPr>
                <w:p w14:paraId="41B690E5">
                  <w:pPr>
                    <w:adjustRightInd w:val="0"/>
                    <w:jc w:val="center"/>
                    <w:rPr>
                      <w:color w:val="auto"/>
                      <w:sz w:val="19"/>
                      <w:szCs w:val="19"/>
                    </w:rPr>
                  </w:pPr>
                  <w:r>
                    <w:rPr>
                      <w:rFonts w:hint="eastAsia"/>
                      <w:color w:val="auto"/>
                      <w:sz w:val="19"/>
                      <w:szCs w:val="19"/>
                    </w:rPr>
                    <w:t>预留（电缆出线）</w:t>
                  </w:r>
                </w:p>
              </w:tc>
              <w:tc>
                <w:tcPr>
                  <w:tcW w:w="513" w:type="dxa"/>
                  <w:vAlign w:val="center"/>
                </w:tcPr>
                <w:p w14:paraId="055359F8">
                  <w:pPr>
                    <w:adjustRightInd w:val="0"/>
                    <w:jc w:val="center"/>
                    <w:rPr>
                      <w:color w:val="auto"/>
                      <w:sz w:val="19"/>
                      <w:szCs w:val="19"/>
                    </w:rPr>
                  </w:pPr>
                  <w:r>
                    <w:rPr>
                      <w:rFonts w:hint="eastAsia"/>
                      <w:color w:val="auto"/>
                      <w:sz w:val="19"/>
                      <w:szCs w:val="19"/>
                    </w:rPr>
                    <w:t>铁茅线</w:t>
                  </w:r>
                </w:p>
              </w:tc>
              <w:tc>
                <w:tcPr>
                  <w:tcW w:w="738" w:type="dxa"/>
                  <w:vAlign w:val="center"/>
                </w:tcPr>
                <w:p w14:paraId="2DBC20E8">
                  <w:pPr>
                    <w:adjustRightInd w:val="0"/>
                    <w:jc w:val="center"/>
                    <w:rPr>
                      <w:color w:val="auto"/>
                      <w:sz w:val="19"/>
                      <w:szCs w:val="19"/>
                    </w:rPr>
                  </w:pPr>
                  <w:r>
                    <w:rPr>
                      <w:rFonts w:hint="eastAsia"/>
                      <w:b/>
                      <w:bCs/>
                      <w:color w:val="auto"/>
                      <w:sz w:val="19"/>
                      <w:szCs w:val="19"/>
                    </w:rPr>
                    <w:t>预留（架空出线）</w:t>
                  </w:r>
                </w:p>
              </w:tc>
              <w:tc>
                <w:tcPr>
                  <w:tcW w:w="552" w:type="dxa"/>
                  <w:vMerge w:val="continue"/>
                  <w:vAlign w:val="center"/>
                </w:tcPr>
                <w:p w14:paraId="1E957459">
                  <w:pPr>
                    <w:adjustRightInd w:val="0"/>
                    <w:jc w:val="center"/>
                    <w:rPr>
                      <w:color w:val="auto"/>
                      <w:sz w:val="19"/>
                      <w:szCs w:val="19"/>
                    </w:rPr>
                  </w:pPr>
                </w:p>
              </w:tc>
            </w:tr>
            <w:tr w14:paraId="6A7A0EC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100" w:hRule="atLeast"/>
                <w:jc w:val="center"/>
              </w:trPr>
              <w:tc>
                <w:tcPr>
                  <w:tcW w:w="451" w:type="dxa"/>
                  <w:vMerge w:val="continue"/>
                  <w:shd w:val="clear" w:color="auto" w:fill="auto"/>
                  <w:vAlign w:val="center"/>
                </w:tcPr>
                <w:p w14:paraId="793FAEE1">
                  <w:pPr>
                    <w:adjustRightInd w:val="0"/>
                    <w:jc w:val="center"/>
                    <w:rPr>
                      <w:color w:val="auto"/>
                      <w:sz w:val="19"/>
                      <w:szCs w:val="19"/>
                    </w:rPr>
                  </w:pPr>
                </w:p>
              </w:tc>
              <w:tc>
                <w:tcPr>
                  <w:tcW w:w="777" w:type="dxa"/>
                  <w:shd w:val="clear" w:color="auto" w:fill="auto"/>
                  <w:vAlign w:val="center"/>
                </w:tcPr>
                <w:p w14:paraId="52BEE196">
                  <w:pPr>
                    <w:adjustRightInd w:val="0"/>
                    <w:jc w:val="center"/>
                    <w:rPr>
                      <w:color w:val="auto"/>
                      <w:sz w:val="19"/>
                      <w:szCs w:val="19"/>
                    </w:rPr>
                  </w:pPr>
                  <w:r>
                    <w:rPr>
                      <w:rFonts w:hint="eastAsia"/>
                      <w:color w:val="auto"/>
                      <w:sz w:val="19"/>
                      <w:szCs w:val="19"/>
                    </w:rPr>
                    <w:t>出线间隔</w:t>
                  </w:r>
                </w:p>
              </w:tc>
              <w:tc>
                <w:tcPr>
                  <w:tcW w:w="665" w:type="dxa"/>
                  <w:tcBorders>
                    <w:top w:val="single" w:color="auto" w:sz="6" w:space="0"/>
                    <w:bottom w:val="single" w:color="auto" w:sz="6" w:space="0"/>
                  </w:tcBorders>
                  <w:shd w:val="clear" w:color="auto" w:fill="FFFFFF"/>
                  <w:vAlign w:val="center"/>
                </w:tcPr>
                <w:p w14:paraId="1C5339F9">
                  <w:pPr>
                    <w:adjustRightInd w:val="0"/>
                    <w:jc w:val="center"/>
                    <w:rPr>
                      <w:color w:val="auto"/>
                      <w:sz w:val="19"/>
                      <w:szCs w:val="19"/>
                    </w:rPr>
                  </w:pPr>
                  <w:r>
                    <w:rPr>
                      <w:rFonts w:hint="eastAsia"/>
                      <w:color w:val="auto"/>
                      <w:sz w:val="19"/>
                      <w:szCs w:val="19"/>
                    </w:rPr>
                    <w:t>羊市坪170</w:t>
                  </w:r>
                </w:p>
              </w:tc>
              <w:tc>
                <w:tcPr>
                  <w:tcW w:w="630" w:type="dxa"/>
                  <w:tcBorders>
                    <w:top w:val="single" w:color="auto" w:sz="6" w:space="0"/>
                    <w:bottom w:val="single" w:color="auto" w:sz="6" w:space="0"/>
                  </w:tcBorders>
                  <w:shd w:val="clear" w:color="auto" w:fill="FFFFFF"/>
                  <w:vAlign w:val="center"/>
                </w:tcPr>
                <w:p w14:paraId="0AF1C17B">
                  <w:pPr>
                    <w:adjustRightInd w:val="0"/>
                    <w:jc w:val="center"/>
                    <w:rPr>
                      <w:color w:val="auto"/>
                      <w:sz w:val="19"/>
                      <w:szCs w:val="19"/>
                    </w:rPr>
                  </w:pPr>
                  <w:r>
                    <w:rPr>
                      <w:rFonts w:hint="eastAsia"/>
                      <w:color w:val="auto"/>
                      <w:sz w:val="19"/>
                      <w:szCs w:val="19"/>
                    </w:rPr>
                    <w:t>大木Ⅰ-169</w:t>
                  </w:r>
                </w:p>
              </w:tc>
              <w:tc>
                <w:tcPr>
                  <w:tcW w:w="632" w:type="dxa"/>
                  <w:tcBorders>
                    <w:top w:val="single" w:color="auto" w:sz="6" w:space="0"/>
                    <w:bottom w:val="single" w:color="auto" w:sz="6" w:space="0"/>
                  </w:tcBorders>
                  <w:vAlign w:val="center"/>
                </w:tcPr>
                <w:p w14:paraId="2295B313">
                  <w:pPr>
                    <w:adjustRightInd w:val="0"/>
                    <w:jc w:val="center"/>
                    <w:rPr>
                      <w:color w:val="auto"/>
                      <w:sz w:val="19"/>
                      <w:szCs w:val="19"/>
                    </w:rPr>
                  </w:pPr>
                  <w:r>
                    <w:rPr>
                      <w:rFonts w:hint="eastAsia"/>
                      <w:color w:val="auto"/>
                      <w:sz w:val="19"/>
                      <w:szCs w:val="19"/>
                    </w:rPr>
                    <w:t>预留（电缆出线）</w:t>
                  </w:r>
                </w:p>
              </w:tc>
              <w:tc>
                <w:tcPr>
                  <w:tcW w:w="631" w:type="dxa"/>
                  <w:tcBorders>
                    <w:top w:val="single" w:color="auto" w:sz="6" w:space="0"/>
                    <w:bottom w:val="single" w:color="auto" w:sz="6" w:space="0"/>
                  </w:tcBorders>
                  <w:vAlign w:val="center"/>
                </w:tcPr>
                <w:p w14:paraId="07BC2DA5">
                  <w:pPr>
                    <w:adjustRightInd w:val="0"/>
                    <w:jc w:val="center"/>
                    <w:rPr>
                      <w:color w:val="auto"/>
                      <w:sz w:val="19"/>
                      <w:szCs w:val="19"/>
                    </w:rPr>
                  </w:pPr>
                  <w:r>
                    <w:rPr>
                      <w:rFonts w:hint="eastAsia"/>
                      <w:color w:val="auto"/>
                      <w:sz w:val="19"/>
                      <w:szCs w:val="19"/>
                    </w:rPr>
                    <w:t>预留（电缆出线）</w:t>
                  </w:r>
                </w:p>
              </w:tc>
              <w:tc>
                <w:tcPr>
                  <w:tcW w:w="630" w:type="dxa"/>
                  <w:tcBorders>
                    <w:top w:val="single" w:color="auto" w:sz="6" w:space="0"/>
                    <w:bottom w:val="single" w:color="auto" w:sz="6" w:space="0"/>
                  </w:tcBorders>
                  <w:vAlign w:val="center"/>
                </w:tcPr>
                <w:p w14:paraId="7B8E90F4">
                  <w:pPr>
                    <w:adjustRightInd w:val="0"/>
                    <w:jc w:val="center"/>
                    <w:rPr>
                      <w:color w:val="auto"/>
                      <w:sz w:val="19"/>
                      <w:szCs w:val="19"/>
                    </w:rPr>
                  </w:pPr>
                  <w:r>
                    <w:rPr>
                      <w:rFonts w:hint="eastAsia"/>
                      <w:color w:val="auto"/>
                      <w:sz w:val="19"/>
                      <w:szCs w:val="19"/>
                    </w:rPr>
                    <w:t>大木Ⅱ-166</w:t>
                  </w:r>
                </w:p>
              </w:tc>
              <w:tc>
                <w:tcPr>
                  <w:tcW w:w="633" w:type="dxa"/>
                  <w:tcBorders>
                    <w:top w:val="single" w:color="auto" w:sz="6" w:space="0"/>
                    <w:bottom w:val="single" w:color="auto" w:sz="6" w:space="0"/>
                  </w:tcBorders>
                  <w:vAlign w:val="center"/>
                </w:tcPr>
                <w:p w14:paraId="7EBDE37C">
                  <w:pPr>
                    <w:adjustRightInd w:val="0"/>
                    <w:jc w:val="center"/>
                    <w:rPr>
                      <w:color w:val="auto"/>
                      <w:sz w:val="19"/>
                      <w:szCs w:val="19"/>
                    </w:rPr>
                  </w:pPr>
                  <w:r>
                    <w:rPr>
                      <w:rFonts w:hint="eastAsia"/>
                      <w:color w:val="auto"/>
                      <w:sz w:val="19"/>
                      <w:szCs w:val="19"/>
                    </w:rPr>
                    <w:t>朱衣Ⅰ-165</w:t>
                  </w:r>
                </w:p>
              </w:tc>
              <w:tc>
                <w:tcPr>
                  <w:tcW w:w="594" w:type="dxa"/>
                  <w:vAlign w:val="center"/>
                </w:tcPr>
                <w:p w14:paraId="1B19D3E8">
                  <w:pPr>
                    <w:tabs>
                      <w:tab w:val="left" w:pos="287"/>
                    </w:tabs>
                    <w:adjustRightInd w:val="0"/>
                    <w:jc w:val="center"/>
                    <w:rPr>
                      <w:color w:val="auto"/>
                      <w:sz w:val="19"/>
                      <w:szCs w:val="19"/>
                    </w:rPr>
                  </w:pPr>
                  <w:r>
                    <w:rPr>
                      <w:rFonts w:hint="eastAsia"/>
                      <w:color w:val="auto"/>
                      <w:sz w:val="19"/>
                      <w:szCs w:val="19"/>
                    </w:rPr>
                    <w:t>朱衣Ⅱ-164</w:t>
                  </w:r>
                </w:p>
              </w:tc>
              <w:tc>
                <w:tcPr>
                  <w:tcW w:w="640" w:type="dxa"/>
                  <w:vAlign w:val="center"/>
                </w:tcPr>
                <w:p w14:paraId="7D3CB25D">
                  <w:pPr>
                    <w:adjustRightInd w:val="0"/>
                    <w:jc w:val="center"/>
                    <w:rPr>
                      <w:color w:val="auto"/>
                      <w:sz w:val="19"/>
                      <w:szCs w:val="19"/>
                    </w:rPr>
                  </w:pPr>
                  <w:r>
                    <w:rPr>
                      <w:rFonts w:hint="eastAsia"/>
                      <w:color w:val="auto"/>
                      <w:sz w:val="19"/>
                      <w:szCs w:val="19"/>
                    </w:rPr>
                    <w:t>预留（电缆出线）</w:t>
                  </w:r>
                </w:p>
              </w:tc>
              <w:tc>
                <w:tcPr>
                  <w:tcW w:w="513" w:type="dxa"/>
                  <w:vAlign w:val="center"/>
                </w:tcPr>
                <w:p w14:paraId="7AA0BC23">
                  <w:pPr>
                    <w:adjustRightInd w:val="0"/>
                    <w:jc w:val="center"/>
                    <w:rPr>
                      <w:color w:val="auto"/>
                      <w:sz w:val="19"/>
                      <w:szCs w:val="19"/>
                    </w:rPr>
                  </w:pPr>
                  <w:r>
                    <w:rPr>
                      <w:rFonts w:hint="eastAsia"/>
                      <w:color w:val="auto"/>
                      <w:sz w:val="19"/>
                      <w:szCs w:val="19"/>
                    </w:rPr>
                    <w:t>大木第3回</w:t>
                  </w:r>
                </w:p>
              </w:tc>
              <w:tc>
                <w:tcPr>
                  <w:tcW w:w="738" w:type="dxa"/>
                  <w:vAlign w:val="center"/>
                </w:tcPr>
                <w:p w14:paraId="46F09746">
                  <w:pPr>
                    <w:adjustRightInd w:val="0"/>
                    <w:jc w:val="center"/>
                    <w:rPr>
                      <w:color w:val="auto"/>
                      <w:sz w:val="19"/>
                      <w:szCs w:val="19"/>
                    </w:rPr>
                  </w:pPr>
                  <w:r>
                    <w:rPr>
                      <w:rFonts w:hint="eastAsia"/>
                      <w:color w:val="auto"/>
                      <w:sz w:val="19"/>
                      <w:szCs w:val="19"/>
                    </w:rPr>
                    <w:t>本期扩建间隔（架空出线）</w:t>
                  </w:r>
                </w:p>
              </w:tc>
              <w:tc>
                <w:tcPr>
                  <w:tcW w:w="552" w:type="dxa"/>
                  <w:vMerge w:val="continue"/>
                  <w:vAlign w:val="center"/>
                </w:tcPr>
                <w:p w14:paraId="155FE231">
                  <w:pPr>
                    <w:adjustRightInd w:val="0"/>
                    <w:jc w:val="center"/>
                    <w:rPr>
                      <w:color w:val="auto"/>
                      <w:sz w:val="19"/>
                      <w:szCs w:val="19"/>
                    </w:rPr>
                  </w:pPr>
                </w:p>
              </w:tc>
            </w:tr>
            <w:tr w14:paraId="23E1B30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100" w:hRule="atLeast"/>
                <w:jc w:val="center"/>
              </w:trPr>
              <w:tc>
                <w:tcPr>
                  <w:tcW w:w="451" w:type="dxa"/>
                  <w:vMerge w:val="continue"/>
                  <w:shd w:val="clear" w:color="auto" w:fill="auto"/>
                  <w:vAlign w:val="center"/>
                </w:tcPr>
                <w:p w14:paraId="03C3C95C">
                  <w:pPr>
                    <w:adjustRightInd w:val="0"/>
                    <w:jc w:val="center"/>
                    <w:rPr>
                      <w:color w:val="auto"/>
                      <w:sz w:val="19"/>
                      <w:szCs w:val="19"/>
                    </w:rPr>
                  </w:pPr>
                </w:p>
              </w:tc>
              <w:tc>
                <w:tcPr>
                  <w:tcW w:w="777" w:type="dxa"/>
                  <w:shd w:val="clear" w:color="auto" w:fill="auto"/>
                  <w:vAlign w:val="center"/>
                </w:tcPr>
                <w:p w14:paraId="3B4323BF">
                  <w:pPr>
                    <w:adjustRightInd w:val="0"/>
                    <w:jc w:val="center"/>
                    <w:rPr>
                      <w:color w:val="auto"/>
                      <w:sz w:val="19"/>
                      <w:szCs w:val="19"/>
                    </w:rPr>
                  </w:pPr>
                  <w:r>
                    <w:rPr>
                      <w:rFonts w:hint="eastAsia"/>
                      <w:color w:val="auto"/>
                      <w:sz w:val="19"/>
                      <w:szCs w:val="19"/>
                    </w:rPr>
                    <w:t>出线间隔（最终）</w:t>
                  </w:r>
                </w:p>
              </w:tc>
              <w:tc>
                <w:tcPr>
                  <w:tcW w:w="665" w:type="dxa"/>
                  <w:tcBorders>
                    <w:top w:val="single" w:color="auto" w:sz="6" w:space="0"/>
                    <w:bottom w:val="single" w:color="auto" w:sz="6" w:space="0"/>
                  </w:tcBorders>
                  <w:shd w:val="clear" w:color="auto" w:fill="FFFFFF"/>
                  <w:vAlign w:val="center"/>
                </w:tcPr>
                <w:p w14:paraId="4046E0CB">
                  <w:pPr>
                    <w:adjustRightInd w:val="0"/>
                    <w:jc w:val="center"/>
                    <w:rPr>
                      <w:color w:val="auto"/>
                      <w:sz w:val="19"/>
                      <w:szCs w:val="19"/>
                    </w:rPr>
                  </w:pPr>
                  <w:r>
                    <w:rPr>
                      <w:rFonts w:hint="eastAsia"/>
                      <w:color w:val="auto"/>
                      <w:sz w:val="19"/>
                      <w:szCs w:val="19"/>
                    </w:rPr>
                    <w:t>羊市坪170</w:t>
                  </w:r>
                </w:p>
              </w:tc>
              <w:tc>
                <w:tcPr>
                  <w:tcW w:w="630" w:type="dxa"/>
                  <w:tcBorders>
                    <w:top w:val="single" w:color="auto" w:sz="6" w:space="0"/>
                    <w:bottom w:val="single" w:color="auto" w:sz="6" w:space="0"/>
                  </w:tcBorders>
                  <w:shd w:val="clear" w:color="auto" w:fill="FFFFFF"/>
                  <w:vAlign w:val="center"/>
                </w:tcPr>
                <w:p w14:paraId="0F5B3039">
                  <w:pPr>
                    <w:adjustRightInd w:val="0"/>
                    <w:jc w:val="center"/>
                    <w:rPr>
                      <w:color w:val="auto"/>
                      <w:sz w:val="19"/>
                      <w:szCs w:val="19"/>
                    </w:rPr>
                  </w:pPr>
                  <w:r>
                    <w:rPr>
                      <w:rFonts w:hint="eastAsia"/>
                      <w:color w:val="auto"/>
                      <w:sz w:val="19"/>
                      <w:szCs w:val="19"/>
                    </w:rPr>
                    <w:t>大木Ⅰ-169</w:t>
                  </w:r>
                </w:p>
              </w:tc>
              <w:tc>
                <w:tcPr>
                  <w:tcW w:w="632" w:type="dxa"/>
                  <w:tcBorders>
                    <w:top w:val="single" w:color="auto" w:sz="6" w:space="0"/>
                    <w:bottom w:val="single" w:color="auto" w:sz="6" w:space="0"/>
                  </w:tcBorders>
                  <w:vAlign w:val="center"/>
                </w:tcPr>
                <w:p w14:paraId="71E62394">
                  <w:pPr>
                    <w:adjustRightInd w:val="0"/>
                    <w:jc w:val="center"/>
                    <w:rPr>
                      <w:color w:val="auto"/>
                      <w:sz w:val="19"/>
                      <w:szCs w:val="19"/>
                    </w:rPr>
                  </w:pPr>
                  <w:r>
                    <w:rPr>
                      <w:rFonts w:hint="eastAsia"/>
                      <w:color w:val="auto"/>
                      <w:sz w:val="19"/>
                      <w:szCs w:val="19"/>
                    </w:rPr>
                    <w:t>预留（电缆出线）</w:t>
                  </w:r>
                </w:p>
              </w:tc>
              <w:tc>
                <w:tcPr>
                  <w:tcW w:w="631" w:type="dxa"/>
                  <w:tcBorders>
                    <w:top w:val="single" w:color="auto" w:sz="6" w:space="0"/>
                    <w:bottom w:val="single" w:color="auto" w:sz="6" w:space="0"/>
                  </w:tcBorders>
                  <w:vAlign w:val="center"/>
                </w:tcPr>
                <w:p w14:paraId="5ACC90DB">
                  <w:pPr>
                    <w:adjustRightInd w:val="0"/>
                    <w:jc w:val="center"/>
                    <w:rPr>
                      <w:color w:val="auto"/>
                      <w:sz w:val="19"/>
                      <w:szCs w:val="19"/>
                    </w:rPr>
                  </w:pPr>
                  <w:r>
                    <w:rPr>
                      <w:rFonts w:hint="eastAsia"/>
                      <w:color w:val="auto"/>
                      <w:sz w:val="19"/>
                      <w:szCs w:val="19"/>
                    </w:rPr>
                    <w:t>预留（电缆出线）</w:t>
                  </w:r>
                </w:p>
              </w:tc>
              <w:tc>
                <w:tcPr>
                  <w:tcW w:w="630" w:type="dxa"/>
                  <w:tcBorders>
                    <w:top w:val="single" w:color="auto" w:sz="6" w:space="0"/>
                    <w:bottom w:val="single" w:color="auto" w:sz="6" w:space="0"/>
                  </w:tcBorders>
                  <w:vAlign w:val="center"/>
                </w:tcPr>
                <w:p w14:paraId="44B788E0">
                  <w:pPr>
                    <w:adjustRightInd w:val="0"/>
                    <w:jc w:val="center"/>
                    <w:rPr>
                      <w:color w:val="auto"/>
                      <w:sz w:val="19"/>
                      <w:szCs w:val="19"/>
                    </w:rPr>
                  </w:pPr>
                  <w:r>
                    <w:rPr>
                      <w:rFonts w:hint="eastAsia"/>
                      <w:color w:val="auto"/>
                      <w:sz w:val="19"/>
                      <w:szCs w:val="19"/>
                    </w:rPr>
                    <w:t>大木Ⅱ-166</w:t>
                  </w:r>
                </w:p>
              </w:tc>
              <w:tc>
                <w:tcPr>
                  <w:tcW w:w="633" w:type="dxa"/>
                  <w:tcBorders>
                    <w:top w:val="single" w:color="auto" w:sz="6" w:space="0"/>
                    <w:bottom w:val="single" w:color="auto" w:sz="6" w:space="0"/>
                  </w:tcBorders>
                  <w:vAlign w:val="center"/>
                </w:tcPr>
                <w:p w14:paraId="17B00DCB">
                  <w:pPr>
                    <w:adjustRightInd w:val="0"/>
                    <w:jc w:val="center"/>
                    <w:rPr>
                      <w:color w:val="auto"/>
                      <w:sz w:val="19"/>
                      <w:szCs w:val="19"/>
                    </w:rPr>
                  </w:pPr>
                  <w:r>
                    <w:rPr>
                      <w:rFonts w:hint="eastAsia"/>
                      <w:color w:val="auto"/>
                      <w:sz w:val="19"/>
                      <w:szCs w:val="19"/>
                    </w:rPr>
                    <w:t>朱衣Ⅰ-165</w:t>
                  </w:r>
                </w:p>
              </w:tc>
              <w:tc>
                <w:tcPr>
                  <w:tcW w:w="594" w:type="dxa"/>
                  <w:vAlign w:val="center"/>
                </w:tcPr>
                <w:p w14:paraId="7A76C095">
                  <w:pPr>
                    <w:tabs>
                      <w:tab w:val="left" w:pos="287"/>
                    </w:tabs>
                    <w:adjustRightInd w:val="0"/>
                    <w:jc w:val="center"/>
                    <w:rPr>
                      <w:color w:val="auto"/>
                      <w:sz w:val="19"/>
                      <w:szCs w:val="19"/>
                    </w:rPr>
                  </w:pPr>
                  <w:r>
                    <w:rPr>
                      <w:rFonts w:hint="eastAsia"/>
                      <w:color w:val="auto"/>
                      <w:sz w:val="19"/>
                      <w:szCs w:val="19"/>
                    </w:rPr>
                    <w:t>朱衣Ⅱ-164</w:t>
                  </w:r>
                </w:p>
              </w:tc>
              <w:tc>
                <w:tcPr>
                  <w:tcW w:w="640" w:type="dxa"/>
                  <w:vAlign w:val="center"/>
                </w:tcPr>
                <w:p w14:paraId="5CFAC8E4">
                  <w:pPr>
                    <w:adjustRightInd w:val="0"/>
                    <w:jc w:val="center"/>
                    <w:rPr>
                      <w:color w:val="auto"/>
                      <w:sz w:val="19"/>
                      <w:szCs w:val="19"/>
                    </w:rPr>
                  </w:pPr>
                  <w:r>
                    <w:rPr>
                      <w:rFonts w:hint="eastAsia"/>
                      <w:color w:val="auto"/>
                      <w:sz w:val="19"/>
                      <w:szCs w:val="19"/>
                    </w:rPr>
                    <w:t>预留（电缆出线）</w:t>
                  </w:r>
                </w:p>
              </w:tc>
              <w:tc>
                <w:tcPr>
                  <w:tcW w:w="513" w:type="dxa"/>
                  <w:vAlign w:val="center"/>
                </w:tcPr>
                <w:p w14:paraId="0C30DE89">
                  <w:pPr>
                    <w:adjustRightInd w:val="0"/>
                    <w:jc w:val="center"/>
                    <w:rPr>
                      <w:color w:val="auto"/>
                      <w:sz w:val="19"/>
                      <w:szCs w:val="19"/>
                    </w:rPr>
                  </w:pPr>
                  <w:r>
                    <w:rPr>
                      <w:rFonts w:hint="eastAsia"/>
                      <w:b/>
                      <w:bCs/>
                      <w:color w:val="auto"/>
                      <w:sz w:val="19"/>
                      <w:szCs w:val="19"/>
                    </w:rPr>
                    <w:t>望天坪（架空）</w:t>
                  </w:r>
                </w:p>
              </w:tc>
              <w:tc>
                <w:tcPr>
                  <w:tcW w:w="738" w:type="dxa"/>
                  <w:vAlign w:val="center"/>
                </w:tcPr>
                <w:p w14:paraId="15A71F70">
                  <w:pPr>
                    <w:adjustRightInd w:val="0"/>
                    <w:jc w:val="center"/>
                    <w:rPr>
                      <w:color w:val="auto"/>
                      <w:sz w:val="19"/>
                      <w:szCs w:val="19"/>
                      <w:highlight w:val="yellow"/>
                    </w:rPr>
                  </w:pPr>
                  <w:r>
                    <w:rPr>
                      <w:rFonts w:hint="eastAsia"/>
                      <w:color w:val="auto"/>
                      <w:sz w:val="19"/>
                      <w:szCs w:val="19"/>
                    </w:rPr>
                    <w:t>大木第3回（架空）</w:t>
                  </w:r>
                </w:p>
              </w:tc>
              <w:tc>
                <w:tcPr>
                  <w:tcW w:w="552" w:type="dxa"/>
                  <w:vMerge w:val="continue"/>
                  <w:vAlign w:val="center"/>
                </w:tcPr>
                <w:p w14:paraId="75A1238A">
                  <w:pPr>
                    <w:adjustRightInd w:val="0"/>
                    <w:jc w:val="center"/>
                    <w:rPr>
                      <w:color w:val="auto"/>
                      <w:sz w:val="19"/>
                      <w:szCs w:val="19"/>
                    </w:rPr>
                  </w:pPr>
                </w:p>
              </w:tc>
            </w:tr>
            <w:tr w14:paraId="45BAB18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51" w:type="dxa"/>
                  <w:vMerge w:val="continue"/>
                  <w:shd w:val="clear" w:color="auto" w:fill="auto"/>
                  <w:vAlign w:val="center"/>
                </w:tcPr>
                <w:p w14:paraId="5E34C05E">
                  <w:pPr>
                    <w:adjustRightInd w:val="0"/>
                    <w:jc w:val="center"/>
                    <w:rPr>
                      <w:color w:val="auto"/>
                      <w:sz w:val="19"/>
                      <w:szCs w:val="19"/>
                    </w:rPr>
                  </w:pPr>
                </w:p>
              </w:tc>
              <w:tc>
                <w:tcPr>
                  <w:tcW w:w="777" w:type="dxa"/>
                  <w:shd w:val="clear" w:color="auto" w:fill="auto"/>
                  <w:vAlign w:val="center"/>
                </w:tcPr>
                <w:p w14:paraId="11C1CBC7">
                  <w:pPr>
                    <w:adjustRightInd w:val="0"/>
                    <w:jc w:val="center"/>
                    <w:rPr>
                      <w:color w:val="auto"/>
                      <w:sz w:val="19"/>
                      <w:szCs w:val="19"/>
                    </w:rPr>
                  </w:pPr>
                  <w:r>
                    <w:rPr>
                      <w:rFonts w:hint="eastAsia"/>
                      <w:color w:val="auto"/>
                      <w:sz w:val="19"/>
                      <w:szCs w:val="19"/>
                    </w:rPr>
                    <w:t>出线方向</w:t>
                  </w:r>
                </w:p>
              </w:tc>
              <w:tc>
                <w:tcPr>
                  <w:tcW w:w="6306" w:type="dxa"/>
                  <w:gridSpan w:val="10"/>
                  <w:tcBorders>
                    <w:top w:val="single" w:color="auto" w:sz="6" w:space="0"/>
                  </w:tcBorders>
                  <w:shd w:val="clear" w:color="auto" w:fill="FFFFFF"/>
                  <w:vAlign w:val="center"/>
                </w:tcPr>
                <w:p w14:paraId="1F676C92">
                  <w:pPr>
                    <w:adjustRightInd w:val="0"/>
                    <w:jc w:val="center"/>
                    <w:rPr>
                      <w:color w:val="auto"/>
                      <w:sz w:val="19"/>
                      <w:szCs w:val="19"/>
                    </w:rPr>
                  </w:pPr>
                  <w:r>
                    <w:rPr>
                      <w:rFonts w:hint="eastAsia"/>
                      <w:b/>
                      <w:color w:val="auto"/>
                      <w:sz w:val="19"/>
                      <w:szCs w:val="19"/>
                    </w:rPr>
                    <w:t>西南方向</w:t>
                  </w:r>
                </w:p>
              </w:tc>
              <w:tc>
                <w:tcPr>
                  <w:tcW w:w="552" w:type="dxa"/>
                  <w:vMerge w:val="continue"/>
                  <w:vAlign w:val="center"/>
                </w:tcPr>
                <w:p w14:paraId="6F715E6C">
                  <w:pPr>
                    <w:adjustRightInd w:val="0"/>
                    <w:jc w:val="center"/>
                    <w:rPr>
                      <w:color w:val="auto"/>
                      <w:sz w:val="19"/>
                      <w:szCs w:val="19"/>
                    </w:rPr>
                  </w:pPr>
                </w:p>
              </w:tc>
            </w:tr>
          </w:tbl>
          <w:p w14:paraId="36FC7947">
            <w:pPr>
              <w:spacing w:line="460" w:lineRule="exact"/>
              <w:jc w:val="center"/>
              <w:rPr>
                <w:bCs/>
                <w:color w:val="auto"/>
                <w:sz w:val="26"/>
                <w:szCs w:val="26"/>
              </w:rPr>
            </w:pPr>
            <w:r>
              <w:rPr>
                <w:rFonts w:hint="eastAsia"/>
                <w:bCs/>
                <w:color w:val="auto"/>
                <w:sz w:val="26"/>
                <w:szCs w:val="26"/>
              </w:rPr>
              <w:t xml:space="preserve">图2-2  </w:t>
            </w:r>
            <w:r>
              <w:rPr>
                <w:bCs/>
                <w:color w:val="auto"/>
                <w:sz w:val="26"/>
                <w:szCs w:val="26"/>
              </w:rPr>
              <w:t>220kV</w:t>
            </w:r>
            <w:r>
              <w:rPr>
                <w:rFonts w:hint="eastAsia"/>
                <w:bCs/>
                <w:color w:val="auto"/>
                <w:sz w:val="26"/>
                <w:szCs w:val="26"/>
              </w:rPr>
              <w:t>铁甲变电站间隔布置情况图</w:t>
            </w:r>
          </w:p>
          <w:p w14:paraId="18CA8452">
            <w:pPr>
              <w:keepNext w:val="0"/>
              <w:keepLines w:val="0"/>
              <w:pageBreakBefore w:val="0"/>
              <w:widowControl w:val="0"/>
              <w:kinsoku/>
              <w:wordWrap/>
              <w:overflowPunct/>
              <w:topLinePunct w:val="0"/>
              <w:autoSpaceDE/>
              <w:autoSpaceDN/>
              <w:bidi w:val="0"/>
              <w:adjustRightInd/>
              <w:snapToGrid w:val="0"/>
              <w:textAlignment w:val="auto"/>
              <w:rPr>
                <w:b/>
                <w:color w:val="auto"/>
                <w:sz w:val="26"/>
                <w:szCs w:val="26"/>
              </w:rPr>
            </w:pPr>
          </w:p>
          <w:p w14:paraId="7435CC58">
            <w:pPr>
              <w:snapToGrid w:val="0"/>
              <w:spacing w:line="460" w:lineRule="exact"/>
              <w:rPr>
                <w:b/>
                <w:bCs/>
                <w:color w:val="auto"/>
                <w:sz w:val="26"/>
                <w:szCs w:val="26"/>
              </w:rPr>
            </w:pPr>
            <w:r>
              <w:rPr>
                <w:rFonts w:hint="eastAsia"/>
                <w:b/>
                <w:bCs/>
                <w:color w:val="auto"/>
                <w:sz w:val="26"/>
                <w:szCs w:val="26"/>
              </w:rPr>
              <w:t>2.6工程占地及土石方量</w:t>
            </w:r>
          </w:p>
          <w:p w14:paraId="1070E1D4">
            <w:pPr>
              <w:snapToGrid w:val="0"/>
              <w:spacing w:line="460" w:lineRule="exact"/>
              <w:ind w:firstLine="520" w:firstLineChars="200"/>
              <w:rPr>
                <w:color w:val="auto"/>
                <w:sz w:val="26"/>
                <w:szCs w:val="26"/>
              </w:rPr>
            </w:pPr>
            <w:r>
              <w:rPr>
                <w:rFonts w:hint="eastAsia"/>
                <w:color w:val="auto"/>
                <w:sz w:val="26"/>
                <w:szCs w:val="26"/>
              </w:rPr>
              <w:t>（</w:t>
            </w:r>
            <w:r>
              <w:rPr>
                <w:color w:val="auto"/>
                <w:sz w:val="26"/>
                <w:szCs w:val="26"/>
              </w:rPr>
              <w:t>1</w:t>
            </w:r>
            <w:r>
              <w:rPr>
                <w:rFonts w:hint="eastAsia"/>
                <w:color w:val="auto"/>
                <w:sz w:val="26"/>
                <w:szCs w:val="26"/>
              </w:rPr>
              <w:t>）</w:t>
            </w:r>
            <w:r>
              <w:rPr>
                <w:rFonts w:hint="eastAsia"/>
                <w:color w:val="auto"/>
                <w:sz w:val="26"/>
                <w:szCs w:val="26"/>
                <w:lang w:val="en-US" w:eastAsia="zh-CN"/>
              </w:rPr>
              <w:t>塔基</w:t>
            </w:r>
            <w:r>
              <w:rPr>
                <w:rFonts w:hint="eastAsia"/>
                <w:color w:val="auto"/>
                <w:sz w:val="26"/>
                <w:szCs w:val="26"/>
              </w:rPr>
              <w:t>用地</w:t>
            </w:r>
          </w:p>
          <w:p w14:paraId="12146E53">
            <w:pPr>
              <w:snapToGrid w:val="0"/>
              <w:spacing w:line="460" w:lineRule="exact"/>
              <w:ind w:firstLine="520" w:firstLineChars="200"/>
              <w:rPr>
                <w:color w:val="auto"/>
                <w:sz w:val="26"/>
                <w:szCs w:val="26"/>
              </w:rPr>
            </w:pPr>
            <w:r>
              <w:rPr>
                <w:rFonts w:hint="eastAsia"/>
                <w:color w:val="auto"/>
                <w:sz w:val="26"/>
                <w:szCs w:val="26"/>
              </w:rPr>
              <w:t>本</w:t>
            </w:r>
            <w:r>
              <w:rPr>
                <w:color w:val="auto"/>
                <w:sz w:val="26"/>
                <w:szCs w:val="26"/>
              </w:rPr>
              <w:t>项目塔基占地</w:t>
            </w:r>
            <w:r>
              <w:rPr>
                <w:rFonts w:hint="eastAsia"/>
                <w:color w:val="auto"/>
                <w:sz w:val="26"/>
                <w:szCs w:val="26"/>
              </w:rPr>
              <w:t>类型主要为旱地、乔木林地、灌木林地和其他草地，塔基占地面积共约1536m</w:t>
            </w:r>
            <w:r>
              <w:rPr>
                <w:rFonts w:hint="eastAsia"/>
                <w:color w:val="auto"/>
                <w:sz w:val="26"/>
                <w:szCs w:val="26"/>
                <w:vertAlign w:val="superscript"/>
              </w:rPr>
              <w:t>2</w:t>
            </w:r>
            <w:r>
              <w:rPr>
                <w:rFonts w:hint="eastAsia"/>
                <w:color w:val="auto"/>
                <w:sz w:val="26"/>
                <w:szCs w:val="26"/>
              </w:rPr>
              <w:t>。</w:t>
            </w:r>
          </w:p>
          <w:p w14:paraId="04CCBDF5">
            <w:pPr>
              <w:snapToGrid w:val="0"/>
              <w:spacing w:line="460" w:lineRule="exact"/>
              <w:ind w:firstLine="520" w:firstLineChars="200"/>
              <w:rPr>
                <w:color w:val="auto"/>
                <w:sz w:val="26"/>
                <w:szCs w:val="26"/>
              </w:rPr>
            </w:pPr>
            <w:r>
              <w:rPr>
                <w:rFonts w:hint="eastAsia"/>
                <w:color w:val="auto"/>
                <w:sz w:val="26"/>
                <w:szCs w:val="26"/>
              </w:rPr>
              <w:t>（2）临时用地</w:t>
            </w:r>
          </w:p>
          <w:p w14:paraId="08AC90DF">
            <w:pPr>
              <w:snapToGrid w:val="0"/>
              <w:spacing w:line="460" w:lineRule="exact"/>
              <w:ind w:firstLine="520" w:firstLineChars="200"/>
              <w:rPr>
                <w:color w:val="auto"/>
                <w:sz w:val="26"/>
                <w:szCs w:val="26"/>
              </w:rPr>
            </w:pPr>
            <w:r>
              <w:rPr>
                <w:rFonts w:hint="eastAsia"/>
                <w:color w:val="auto"/>
                <w:sz w:val="26"/>
                <w:szCs w:val="26"/>
              </w:rPr>
              <w:t>本项目牵张场、塔基施工场地以及施工便道等临时占地面积共约7590m</w:t>
            </w:r>
            <w:r>
              <w:rPr>
                <w:rFonts w:hint="eastAsia"/>
                <w:color w:val="auto"/>
                <w:sz w:val="26"/>
                <w:szCs w:val="26"/>
                <w:vertAlign w:val="superscript"/>
              </w:rPr>
              <w:t>2</w:t>
            </w:r>
            <w:r>
              <w:rPr>
                <w:rFonts w:hint="eastAsia"/>
                <w:color w:val="auto"/>
                <w:sz w:val="26"/>
                <w:szCs w:val="26"/>
              </w:rPr>
              <w:t>，占地类型主要为旱地、乔木林地、灌木林地和其他草地，本项目牵张场、施工便道均不在生态敏感区范围内设置。工程占地情况见表2-7。</w:t>
            </w:r>
          </w:p>
          <w:p w14:paraId="0C404AF7">
            <w:pPr>
              <w:snapToGrid w:val="0"/>
              <w:jc w:val="center"/>
              <w:rPr>
                <w:color w:val="auto"/>
                <w:sz w:val="26"/>
                <w:szCs w:val="26"/>
                <w:highlight w:val="yellow"/>
              </w:rPr>
            </w:pPr>
          </w:p>
          <w:p w14:paraId="5A2262F9">
            <w:pPr>
              <w:snapToGrid w:val="0"/>
              <w:jc w:val="center"/>
              <w:rPr>
                <w:color w:val="auto"/>
                <w:sz w:val="26"/>
                <w:szCs w:val="26"/>
              </w:rPr>
            </w:pPr>
            <w:r>
              <w:rPr>
                <w:rFonts w:hint="eastAsia"/>
                <w:color w:val="auto"/>
                <w:sz w:val="26"/>
                <w:szCs w:val="26"/>
              </w:rPr>
              <w:t>表2-7  工程用地情况  单位：</w:t>
            </w:r>
            <w:r>
              <w:rPr>
                <w:rFonts w:hint="eastAsia"/>
                <w:color w:val="auto"/>
                <w:sz w:val="26"/>
                <w:szCs w:val="26"/>
                <w:lang w:val="zh-CN"/>
              </w:rPr>
              <w:t>m</w:t>
            </w:r>
            <w:r>
              <w:rPr>
                <w:rFonts w:hint="eastAsia"/>
                <w:color w:val="auto"/>
                <w:sz w:val="26"/>
                <w:szCs w:val="26"/>
                <w:vertAlign w:val="superscript"/>
                <w:lang w:val="zh-CN"/>
              </w:rPr>
              <w:t>2</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4"/>
              <w:gridCol w:w="1154"/>
              <w:gridCol w:w="1155"/>
              <w:gridCol w:w="1155"/>
              <w:gridCol w:w="1156"/>
              <w:gridCol w:w="1156"/>
              <w:gridCol w:w="1156"/>
            </w:tblGrid>
            <w:tr w14:paraId="21E567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154" w:type="dxa"/>
                  <w:vMerge w:val="restart"/>
                  <w:vAlign w:val="center"/>
                </w:tcPr>
                <w:p w14:paraId="3E958900">
                  <w:pPr>
                    <w:snapToGrid w:val="0"/>
                    <w:spacing w:line="460" w:lineRule="exact"/>
                    <w:jc w:val="center"/>
                    <w:rPr>
                      <w:color w:val="auto"/>
                      <w:sz w:val="22"/>
                      <w:szCs w:val="22"/>
                    </w:rPr>
                  </w:pPr>
                  <w:r>
                    <w:rPr>
                      <w:rFonts w:hint="eastAsia"/>
                      <w:color w:val="auto"/>
                      <w:sz w:val="22"/>
                      <w:szCs w:val="22"/>
                    </w:rPr>
                    <w:t>占地类型</w:t>
                  </w:r>
                </w:p>
              </w:tc>
              <w:tc>
                <w:tcPr>
                  <w:tcW w:w="1154" w:type="dxa"/>
                  <w:vMerge w:val="restart"/>
                  <w:vAlign w:val="center"/>
                </w:tcPr>
                <w:p w14:paraId="68CB1F35">
                  <w:pPr>
                    <w:snapToGrid w:val="0"/>
                    <w:spacing w:line="460" w:lineRule="exact"/>
                    <w:jc w:val="center"/>
                    <w:rPr>
                      <w:color w:val="auto"/>
                      <w:sz w:val="22"/>
                      <w:szCs w:val="22"/>
                    </w:rPr>
                  </w:pPr>
                  <w:r>
                    <w:rPr>
                      <w:rFonts w:hint="eastAsia"/>
                      <w:color w:val="auto"/>
                      <w:sz w:val="22"/>
                      <w:szCs w:val="22"/>
                    </w:rPr>
                    <w:t>占地项目</w:t>
                  </w:r>
                </w:p>
              </w:tc>
              <w:tc>
                <w:tcPr>
                  <w:tcW w:w="4622" w:type="dxa"/>
                  <w:gridSpan w:val="4"/>
                  <w:vAlign w:val="center"/>
                </w:tcPr>
                <w:p w14:paraId="740F0C4F">
                  <w:pPr>
                    <w:snapToGrid w:val="0"/>
                    <w:spacing w:line="460" w:lineRule="exact"/>
                    <w:jc w:val="center"/>
                    <w:rPr>
                      <w:color w:val="auto"/>
                      <w:sz w:val="22"/>
                      <w:szCs w:val="22"/>
                    </w:rPr>
                  </w:pPr>
                  <w:r>
                    <w:rPr>
                      <w:rFonts w:hint="eastAsia"/>
                      <w:color w:val="auto"/>
                      <w:kern w:val="0"/>
                      <w:sz w:val="22"/>
                      <w:szCs w:val="22"/>
                    </w:rPr>
                    <w:t>占地类型</w:t>
                  </w:r>
                </w:p>
              </w:tc>
              <w:tc>
                <w:tcPr>
                  <w:tcW w:w="1156" w:type="dxa"/>
                  <w:vMerge w:val="restart"/>
                  <w:vAlign w:val="center"/>
                </w:tcPr>
                <w:p w14:paraId="4FCEAC37">
                  <w:pPr>
                    <w:snapToGrid w:val="0"/>
                    <w:spacing w:line="460" w:lineRule="exact"/>
                    <w:jc w:val="center"/>
                    <w:rPr>
                      <w:color w:val="auto"/>
                      <w:sz w:val="22"/>
                      <w:szCs w:val="22"/>
                    </w:rPr>
                  </w:pPr>
                  <w:r>
                    <w:rPr>
                      <w:rFonts w:hint="eastAsia"/>
                      <w:color w:val="auto"/>
                      <w:sz w:val="22"/>
                      <w:szCs w:val="22"/>
                    </w:rPr>
                    <w:t>合计</w:t>
                  </w:r>
                </w:p>
              </w:tc>
            </w:tr>
            <w:tr w14:paraId="06354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54" w:type="dxa"/>
                  <w:vMerge w:val="continue"/>
                  <w:vAlign w:val="center"/>
                </w:tcPr>
                <w:p w14:paraId="12D2755F">
                  <w:pPr>
                    <w:snapToGrid w:val="0"/>
                    <w:spacing w:line="460" w:lineRule="exact"/>
                    <w:jc w:val="center"/>
                    <w:rPr>
                      <w:color w:val="auto"/>
                      <w:sz w:val="22"/>
                      <w:szCs w:val="22"/>
                    </w:rPr>
                  </w:pPr>
                </w:p>
              </w:tc>
              <w:tc>
                <w:tcPr>
                  <w:tcW w:w="1154" w:type="dxa"/>
                  <w:vMerge w:val="continue"/>
                  <w:vAlign w:val="center"/>
                </w:tcPr>
                <w:p w14:paraId="40F5259A">
                  <w:pPr>
                    <w:snapToGrid w:val="0"/>
                    <w:spacing w:line="460" w:lineRule="exact"/>
                    <w:jc w:val="center"/>
                    <w:rPr>
                      <w:color w:val="auto"/>
                      <w:sz w:val="22"/>
                      <w:szCs w:val="22"/>
                    </w:rPr>
                  </w:pPr>
                </w:p>
              </w:tc>
              <w:tc>
                <w:tcPr>
                  <w:tcW w:w="1155" w:type="dxa"/>
                  <w:vAlign w:val="center"/>
                </w:tcPr>
                <w:p w14:paraId="62D60497">
                  <w:pPr>
                    <w:widowControl/>
                    <w:jc w:val="center"/>
                    <w:rPr>
                      <w:color w:val="auto"/>
                      <w:sz w:val="22"/>
                      <w:szCs w:val="22"/>
                    </w:rPr>
                  </w:pPr>
                  <w:r>
                    <w:rPr>
                      <w:rFonts w:hint="eastAsia"/>
                      <w:color w:val="auto"/>
                      <w:kern w:val="0"/>
                      <w:sz w:val="22"/>
                      <w:szCs w:val="22"/>
                      <w:lang w:bidi="en-US"/>
                    </w:rPr>
                    <w:t>旱地</w:t>
                  </w:r>
                </w:p>
              </w:tc>
              <w:tc>
                <w:tcPr>
                  <w:tcW w:w="1155" w:type="dxa"/>
                  <w:vAlign w:val="center"/>
                </w:tcPr>
                <w:p w14:paraId="6003BA12">
                  <w:pPr>
                    <w:widowControl/>
                    <w:jc w:val="center"/>
                    <w:rPr>
                      <w:color w:val="auto"/>
                      <w:sz w:val="22"/>
                      <w:szCs w:val="22"/>
                    </w:rPr>
                  </w:pPr>
                  <w:r>
                    <w:rPr>
                      <w:rFonts w:hint="eastAsia"/>
                      <w:color w:val="auto"/>
                      <w:kern w:val="0"/>
                      <w:sz w:val="22"/>
                      <w:szCs w:val="22"/>
                      <w:lang w:bidi="en-US"/>
                    </w:rPr>
                    <w:t>乔木林地</w:t>
                  </w:r>
                </w:p>
              </w:tc>
              <w:tc>
                <w:tcPr>
                  <w:tcW w:w="1156" w:type="dxa"/>
                  <w:vAlign w:val="center"/>
                </w:tcPr>
                <w:p w14:paraId="548CF86C">
                  <w:pPr>
                    <w:widowControl/>
                    <w:jc w:val="center"/>
                    <w:rPr>
                      <w:color w:val="auto"/>
                      <w:sz w:val="22"/>
                      <w:szCs w:val="22"/>
                    </w:rPr>
                  </w:pPr>
                  <w:r>
                    <w:rPr>
                      <w:rFonts w:hint="eastAsia"/>
                      <w:color w:val="auto"/>
                      <w:kern w:val="0"/>
                      <w:sz w:val="22"/>
                      <w:szCs w:val="22"/>
                      <w:lang w:bidi="en-US"/>
                    </w:rPr>
                    <w:t>灌木林</w:t>
                  </w:r>
                  <w:r>
                    <w:rPr>
                      <w:rFonts w:hint="eastAsia"/>
                      <w:color w:val="auto"/>
                      <w:sz w:val="22"/>
                      <w:szCs w:val="22"/>
                    </w:rPr>
                    <w:t>地</w:t>
                  </w:r>
                </w:p>
              </w:tc>
              <w:tc>
                <w:tcPr>
                  <w:tcW w:w="1156" w:type="dxa"/>
                  <w:vAlign w:val="center"/>
                </w:tcPr>
                <w:p w14:paraId="5DF8E79E">
                  <w:pPr>
                    <w:widowControl/>
                    <w:jc w:val="center"/>
                    <w:rPr>
                      <w:color w:val="auto"/>
                      <w:sz w:val="22"/>
                      <w:szCs w:val="22"/>
                    </w:rPr>
                  </w:pPr>
                  <w:r>
                    <w:rPr>
                      <w:rFonts w:hint="eastAsia"/>
                      <w:color w:val="auto"/>
                      <w:kern w:val="0"/>
                      <w:sz w:val="22"/>
                      <w:szCs w:val="22"/>
                      <w:lang w:bidi="en-US"/>
                    </w:rPr>
                    <w:t>其他草地</w:t>
                  </w:r>
                </w:p>
              </w:tc>
              <w:tc>
                <w:tcPr>
                  <w:tcW w:w="1156" w:type="dxa"/>
                  <w:vMerge w:val="continue"/>
                  <w:vAlign w:val="center"/>
                </w:tcPr>
                <w:p w14:paraId="0F0C23EA">
                  <w:pPr>
                    <w:snapToGrid w:val="0"/>
                    <w:spacing w:line="460" w:lineRule="exact"/>
                    <w:jc w:val="center"/>
                    <w:rPr>
                      <w:color w:val="auto"/>
                      <w:sz w:val="22"/>
                      <w:szCs w:val="22"/>
                    </w:rPr>
                  </w:pPr>
                </w:p>
              </w:tc>
            </w:tr>
            <w:tr w14:paraId="4BA7D8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54" w:type="dxa"/>
                  <w:vAlign w:val="center"/>
                </w:tcPr>
                <w:p w14:paraId="61080A4A">
                  <w:pPr>
                    <w:snapToGrid w:val="0"/>
                    <w:spacing w:line="460" w:lineRule="exact"/>
                    <w:jc w:val="center"/>
                    <w:rPr>
                      <w:color w:val="auto"/>
                      <w:sz w:val="22"/>
                      <w:szCs w:val="22"/>
                    </w:rPr>
                  </w:pPr>
                  <w:r>
                    <w:rPr>
                      <w:rFonts w:hint="eastAsia"/>
                      <w:color w:val="auto"/>
                      <w:sz w:val="22"/>
                      <w:szCs w:val="22"/>
                    </w:rPr>
                    <w:t>塔基占地</w:t>
                  </w:r>
                </w:p>
              </w:tc>
              <w:tc>
                <w:tcPr>
                  <w:tcW w:w="1154" w:type="dxa"/>
                  <w:vAlign w:val="center"/>
                </w:tcPr>
                <w:p w14:paraId="364086E9">
                  <w:pPr>
                    <w:snapToGrid w:val="0"/>
                    <w:spacing w:line="460" w:lineRule="exact"/>
                    <w:jc w:val="center"/>
                    <w:rPr>
                      <w:color w:val="auto"/>
                      <w:sz w:val="22"/>
                      <w:szCs w:val="22"/>
                    </w:rPr>
                  </w:pPr>
                  <w:r>
                    <w:rPr>
                      <w:rFonts w:hint="eastAsia"/>
                      <w:color w:val="auto"/>
                      <w:sz w:val="22"/>
                      <w:szCs w:val="22"/>
                    </w:rPr>
                    <w:t>塔基</w:t>
                  </w:r>
                </w:p>
              </w:tc>
              <w:tc>
                <w:tcPr>
                  <w:tcW w:w="1155" w:type="dxa"/>
                  <w:vAlign w:val="center"/>
                </w:tcPr>
                <w:p w14:paraId="4B2D4809">
                  <w:pPr>
                    <w:widowControl/>
                    <w:jc w:val="center"/>
                    <w:textAlignment w:val="center"/>
                    <w:rPr>
                      <w:color w:val="auto"/>
                      <w:kern w:val="0"/>
                      <w:sz w:val="22"/>
                      <w:szCs w:val="22"/>
                    </w:rPr>
                  </w:pPr>
                  <w:r>
                    <w:rPr>
                      <w:rFonts w:eastAsia="等线"/>
                      <w:color w:val="auto"/>
                      <w:kern w:val="0"/>
                      <w:sz w:val="22"/>
                      <w:szCs w:val="22"/>
                      <w:lang w:bidi="ar"/>
                    </w:rPr>
                    <w:t>120</w:t>
                  </w:r>
                </w:p>
              </w:tc>
              <w:tc>
                <w:tcPr>
                  <w:tcW w:w="1155" w:type="dxa"/>
                  <w:vAlign w:val="center"/>
                </w:tcPr>
                <w:p w14:paraId="7E01C6E6">
                  <w:pPr>
                    <w:widowControl/>
                    <w:jc w:val="center"/>
                    <w:textAlignment w:val="center"/>
                    <w:rPr>
                      <w:color w:val="auto"/>
                      <w:kern w:val="0"/>
                      <w:sz w:val="22"/>
                      <w:szCs w:val="22"/>
                    </w:rPr>
                  </w:pPr>
                  <w:r>
                    <w:rPr>
                      <w:rFonts w:eastAsia="等线"/>
                      <w:color w:val="auto"/>
                      <w:kern w:val="0"/>
                      <w:sz w:val="22"/>
                      <w:szCs w:val="22"/>
                      <w:lang w:bidi="ar"/>
                    </w:rPr>
                    <w:t>810</w:t>
                  </w:r>
                </w:p>
              </w:tc>
              <w:tc>
                <w:tcPr>
                  <w:tcW w:w="1156" w:type="dxa"/>
                  <w:vAlign w:val="center"/>
                </w:tcPr>
                <w:p w14:paraId="470C418A">
                  <w:pPr>
                    <w:widowControl/>
                    <w:jc w:val="center"/>
                    <w:textAlignment w:val="center"/>
                    <w:rPr>
                      <w:color w:val="auto"/>
                      <w:kern w:val="0"/>
                      <w:sz w:val="22"/>
                      <w:szCs w:val="22"/>
                      <w:lang w:bidi="ar"/>
                    </w:rPr>
                  </w:pPr>
                  <w:r>
                    <w:rPr>
                      <w:rFonts w:eastAsia="等线"/>
                      <w:color w:val="auto"/>
                      <w:kern w:val="0"/>
                      <w:sz w:val="22"/>
                      <w:szCs w:val="22"/>
                      <w:lang w:bidi="ar"/>
                    </w:rPr>
                    <w:t>526</w:t>
                  </w:r>
                </w:p>
              </w:tc>
              <w:tc>
                <w:tcPr>
                  <w:tcW w:w="1156" w:type="dxa"/>
                  <w:vAlign w:val="center"/>
                </w:tcPr>
                <w:p w14:paraId="236A6CF7">
                  <w:pPr>
                    <w:widowControl/>
                    <w:jc w:val="center"/>
                    <w:textAlignment w:val="center"/>
                    <w:rPr>
                      <w:rFonts w:eastAsia="等线"/>
                      <w:color w:val="auto"/>
                      <w:kern w:val="0"/>
                      <w:sz w:val="22"/>
                      <w:szCs w:val="22"/>
                      <w:lang w:bidi="ar"/>
                    </w:rPr>
                  </w:pPr>
                  <w:r>
                    <w:rPr>
                      <w:rFonts w:eastAsia="等线"/>
                      <w:color w:val="auto"/>
                      <w:kern w:val="0"/>
                      <w:sz w:val="22"/>
                      <w:szCs w:val="22"/>
                      <w:lang w:bidi="ar"/>
                    </w:rPr>
                    <w:t>80</w:t>
                  </w:r>
                </w:p>
              </w:tc>
              <w:tc>
                <w:tcPr>
                  <w:tcW w:w="1156" w:type="dxa"/>
                  <w:vAlign w:val="center"/>
                </w:tcPr>
                <w:p w14:paraId="68F03347">
                  <w:pPr>
                    <w:widowControl/>
                    <w:jc w:val="center"/>
                    <w:textAlignment w:val="center"/>
                    <w:rPr>
                      <w:rFonts w:eastAsia="等线"/>
                      <w:color w:val="auto"/>
                      <w:kern w:val="0"/>
                      <w:sz w:val="22"/>
                      <w:szCs w:val="22"/>
                      <w:lang w:bidi="ar"/>
                    </w:rPr>
                  </w:pPr>
                  <w:r>
                    <w:rPr>
                      <w:rFonts w:hint="eastAsia" w:eastAsia="等线"/>
                      <w:color w:val="auto"/>
                      <w:kern w:val="0"/>
                      <w:sz w:val="22"/>
                      <w:szCs w:val="22"/>
                      <w:lang w:bidi="ar"/>
                    </w:rPr>
                    <w:t>1536</w:t>
                  </w:r>
                </w:p>
              </w:tc>
            </w:tr>
            <w:tr w14:paraId="5DA72F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54" w:type="dxa"/>
                  <w:vMerge w:val="restart"/>
                  <w:vAlign w:val="center"/>
                </w:tcPr>
                <w:p w14:paraId="663F8E3D">
                  <w:pPr>
                    <w:snapToGrid w:val="0"/>
                    <w:spacing w:line="460" w:lineRule="exact"/>
                    <w:jc w:val="center"/>
                    <w:rPr>
                      <w:color w:val="auto"/>
                      <w:sz w:val="22"/>
                      <w:szCs w:val="22"/>
                    </w:rPr>
                  </w:pPr>
                  <w:r>
                    <w:rPr>
                      <w:rFonts w:hint="eastAsia"/>
                      <w:color w:val="auto"/>
                      <w:sz w:val="22"/>
                      <w:szCs w:val="22"/>
                    </w:rPr>
                    <w:t>临时占地</w:t>
                  </w:r>
                </w:p>
              </w:tc>
              <w:tc>
                <w:tcPr>
                  <w:tcW w:w="1154" w:type="dxa"/>
                  <w:vAlign w:val="center"/>
                </w:tcPr>
                <w:p w14:paraId="5D303A89">
                  <w:pPr>
                    <w:jc w:val="center"/>
                    <w:rPr>
                      <w:color w:val="auto"/>
                      <w:kern w:val="0"/>
                      <w:sz w:val="22"/>
                      <w:szCs w:val="22"/>
                    </w:rPr>
                  </w:pPr>
                  <w:r>
                    <w:rPr>
                      <w:rFonts w:hint="eastAsia"/>
                      <w:color w:val="auto"/>
                      <w:sz w:val="22"/>
                      <w:szCs w:val="22"/>
                    </w:rPr>
                    <w:t>牵张场</w:t>
                  </w:r>
                </w:p>
              </w:tc>
              <w:tc>
                <w:tcPr>
                  <w:tcW w:w="1155" w:type="dxa"/>
                  <w:vAlign w:val="center"/>
                </w:tcPr>
                <w:p w14:paraId="4303A355">
                  <w:pPr>
                    <w:widowControl/>
                    <w:jc w:val="center"/>
                    <w:textAlignment w:val="center"/>
                    <w:rPr>
                      <w:rFonts w:eastAsia="等线"/>
                      <w:color w:val="auto"/>
                      <w:kern w:val="0"/>
                      <w:sz w:val="22"/>
                      <w:szCs w:val="22"/>
                      <w:lang w:bidi="ar"/>
                    </w:rPr>
                  </w:pPr>
                  <w:r>
                    <w:rPr>
                      <w:rFonts w:eastAsia="等线"/>
                      <w:color w:val="auto"/>
                      <w:kern w:val="0"/>
                      <w:sz w:val="22"/>
                      <w:szCs w:val="22"/>
                      <w:lang w:bidi="ar"/>
                    </w:rPr>
                    <w:t>180</w:t>
                  </w:r>
                </w:p>
              </w:tc>
              <w:tc>
                <w:tcPr>
                  <w:tcW w:w="1155" w:type="dxa"/>
                  <w:vAlign w:val="center"/>
                </w:tcPr>
                <w:p w14:paraId="1DC887A0">
                  <w:pPr>
                    <w:widowControl/>
                    <w:jc w:val="center"/>
                    <w:textAlignment w:val="center"/>
                    <w:rPr>
                      <w:rFonts w:eastAsia="等线"/>
                      <w:color w:val="auto"/>
                      <w:kern w:val="0"/>
                      <w:sz w:val="22"/>
                      <w:szCs w:val="22"/>
                      <w:lang w:bidi="ar"/>
                    </w:rPr>
                  </w:pPr>
                  <w:r>
                    <w:rPr>
                      <w:rFonts w:hint="eastAsia" w:eastAsia="等线"/>
                      <w:color w:val="auto"/>
                      <w:kern w:val="0"/>
                      <w:sz w:val="22"/>
                      <w:szCs w:val="22"/>
                      <w:lang w:bidi="ar"/>
                    </w:rPr>
                    <w:t>/</w:t>
                  </w:r>
                </w:p>
              </w:tc>
              <w:tc>
                <w:tcPr>
                  <w:tcW w:w="1156" w:type="dxa"/>
                  <w:vAlign w:val="center"/>
                </w:tcPr>
                <w:p w14:paraId="6065D6BE">
                  <w:pPr>
                    <w:widowControl/>
                    <w:jc w:val="center"/>
                    <w:textAlignment w:val="center"/>
                    <w:rPr>
                      <w:rFonts w:eastAsia="等线"/>
                      <w:color w:val="auto"/>
                      <w:kern w:val="0"/>
                      <w:sz w:val="22"/>
                      <w:szCs w:val="22"/>
                      <w:lang w:bidi="ar"/>
                    </w:rPr>
                  </w:pPr>
                  <w:r>
                    <w:rPr>
                      <w:rFonts w:hint="eastAsia" w:eastAsia="等线"/>
                      <w:color w:val="auto"/>
                      <w:kern w:val="0"/>
                      <w:sz w:val="22"/>
                      <w:szCs w:val="22"/>
                      <w:lang w:bidi="ar"/>
                    </w:rPr>
                    <w:t>700</w:t>
                  </w:r>
                </w:p>
              </w:tc>
              <w:tc>
                <w:tcPr>
                  <w:tcW w:w="1156" w:type="dxa"/>
                  <w:vAlign w:val="center"/>
                </w:tcPr>
                <w:p w14:paraId="2D53517C">
                  <w:pPr>
                    <w:widowControl/>
                    <w:jc w:val="center"/>
                    <w:textAlignment w:val="center"/>
                    <w:rPr>
                      <w:rFonts w:eastAsia="等线"/>
                      <w:color w:val="auto"/>
                      <w:kern w:val="0"/>
                      <w:sz w:val="22"/>
                      <w:szCs w:val="22"/>
                      <w:lang w:bidi="ar"/>
                    </w:rPr>
                  </w:pPr>
                  <w:r>
                    <w:rPr>
                      <w:rFonts w:hint="eastAsia" w:eastAsia="等线"/>
                      <w:color w:val="auto"/>
                      <w:kern w:val="0"/>
                      <w:sz w:val="22"/>
                      <w:szCs w:val="22"/>
                      <w:lang w:bidi="ar"/>
                    </w:rPr>
                    <w:t>920</w:t>
                  </w:r>
                </w:p>
              </w:tc>
              <w:tc>
                <w:tcPr>
                  <w:tcW w:w="1156" w:type="dxa"/>
                  <w:vMerge w:val="restart"/>
                  <w:vAlign w:val="center"/>
                </w:tcPr>
                <w:p w14:paraId="4A455C4F">
                  <w:pPr>
                    <w:widowControl/>
                    <w:jc w:val="center"/>
                    <w:textAlignment w:val="center"/>
                    <w:rPr>
                      <w:rFonts w:eastAsia="等线"/>
                      <w:color w:val="auto"/>
                      <w:kern w:val="0"/>
                      <w:sz w:val="22"/>
                      <w:szCs w:val="22"/>
                      <w:lang w:bidi="ar"/>
                    </w:rPr>
                  </w:pPr>
                  <w:r>
                    <w:rPr>
                      <w:rFonts w:hint="eastAsia" w:eastAsia="等线"/>
                      <w:color w:val="auto"/>
                      <w:kern w:val="0"/>
                      <w:sz w:val="22"/>
                      <w:szCs w:val="22"/>
                      <w:lang w:bidi="ar"/>
                    </w:rPr>
                    <w:t>7590</w:t>
                  </w:r>
                </w:p>
              </w:tc>
            </w:tr>
            <w:tr w14:paraId="054C4D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54" w:type="dxa"/>
                  <w:vMerge w:val="continue"/>
                  <w:vAlign w:val="center"/>
                </w:tcPr>
                <w:p w14:paraId="4277376B">
                  <w:pPr>
                    <w:snapToGrid w:val="0"/>
                    <w:spacing w:line="460" w:lineRule="exact"/>
                    <w:jc w:val="center"/>
                    <w:rPr>
                      <w:color w:val="auto"/>
                      <w:sz w:val="22"/>
                      <w:szCs w:val="22"/>
                    </w:rPr>
                  </w:pPr>
                </w:p>
              </w:tc>
              <w:tc>
                <w:tcPr>
                  <w:tcW w:w="1154" w:type="dxa"/>
                  <w:vAlign w:val="center"/>
                </w:tcPr>
                <w:p w14:paraId="321CCEF1">
                  <w:pPr>
                    <w:jc w:val="center"/>
                    <w:rPr>
                      <w:color w:val="auto"/>
                      <w:sz w:val="22"/>
                      <w:szCs w:val="22"/>
                    </w:rPr>
                  </w:pPr>
                  <w:r>
                    <w:rPr>
                      <w:rFonts w:hint="eastAsia"/>
                      <w:color w:val="auto"/>
                      <w:sz w:val="22"/>
                      <w:szCs w:val="22"/>
                    </w:rPr>
                    <w:t>塔基施工场地</w:t>
                  </w:r>
                </w:p>
              </w:tc>
              <w:tc>
                <w:tcPr>
                  <w:tcW w:w="1155" w:type="dxa"/>
                  <w:vAlign w:val="center"/>
                </w:tcPr>
                <w:p w14:paraId="32C907CB">
                  <w:pPr>
                    <w:widowControl/>
                    <w:jc w:val="center"/>
                    <w:textAlignment w:val="center"/>
                    <w:rPr>
                      <w:rFonts w:eastAsia="等线"/>
                      <w:color w:val="auto"/>
                      <w:kern w:val="0"/>
                      <w:sz w:val="22"/>
                      <w:szCs w:val="22"/>
                      <w:lang w:bidi="ar"/>
                    </w:rPr>
                  </w:pPr>
                  <w:r>
                    <w:rPr>
                      <w:rFonts w:hint="eastAsia" w:eastAsia="等线"/>
                      <w:color w:val="auto"/>
                      <w:kern w:val="0"/>
                      <w:sz w:val="22"/>
                      <w:szCs w:val="22"/>
                      <w:lang w:bidi="ar"/>
                    </w:rPr>
                    <w:t>600</w:t>
                  </w:r>
                </w:p>
              </w:tc>
              <w:tc>
                <w:tcPr>
                  <w:tcW w:w="1155" w:type="dxa"/>
                  <w:vAlign w:val="center"/>
                </w:tcPr>
                <w:p w14:paraId="6F838A7B">
                  <w:pPr>
                    <w:widowControl/>
                    <w:jc w:val="center"/>
                    <w:textAlignment w:val="center"/>
                    <w:rPr>
                      <w:rFonts w:eastAsia="等线"/>
                      <w:color w:val="auto"/>
                      <w:kern w:val="0"/>
                      <w:sz w:val="22"/>
                      <w:szCs w:val="22"/>
                      <w:lang w:bidi="ar"/>
                    </w:rPr>
                  </w:pPr>
                  <w:r>
                    <w:rPr>
                      <w:rFonts w:hint="eastAsia" w:eastAsia="等线"/>
                      <w:color w:val="auto"/>
                      <w:kern w:val="0"/>
                      <w:sz w:val="22"/>
                      <w:szCs w:val="22"/>
                      <w:lang w:bidi="ar"/>
                    </w:rPr>
                    <w:t>720</w:t>
                  </w:r>
                </w:p>
              </w:tc>
              <w:tc>
                <w:tcPr>
                  <w:tcW w:w="1156" w:type="dxa"/>
                  <w:vAlign w:val="center"/>
                </w:tcPr>
                <w:p w14:paraId="51C8AF87">
                  <w:pPr>
                    <w:widowControl/>
                    <w:jc w:val="center"/>
                    <w:textAlignment w:val="center"/>
                    <w:rPr>
                      <w:rFonts w:eastAsia="等线"/>
                      <w:color w:val="auto"/>
                      <w:kern w:val="0"/>
                      <w:sz w:val="22"/>
                      <w:szCs w:val="22"/>
                      <w:lang w:bidi="ar"/>
                    </w:rPr>
                  </w:pPr>
                  <w:r>
                    <w:rPr>
                      <w:rFonts w:hint="eastAsia" w:eastAsia="等线"/>
                      <w:color w:val="auto"/>
                      <w:kern w:val="0"/>
                      <w:sz w:val="22"/>
                      <w:szCs w:val="22"/>
                      <w:lang w:bidi="ar"/>
                    </w:rPr>
                    <w:t>900</w:t>
                  </w:r>
                </w:p>
              </w:tc>
              <w:tc>
                <w:tcPr>
                  <w:tcW w:w="1156" w:type="dxa"/>
                  <w:vAlign w:val="center"/>
                </w:tcPr>
                <w:p w14:paraId="14955F86">
                  <w:pPr>
                    <w:widowControl/>
                    <w:jc w:val="center"/>
                    <w:textAlignment w:val="center"/>
                    <w:rPr>
                      <w:rFonts w:eastAsia="等线"/>
                      <w:color w:val="auto"/>
                      <w:kern w:val="0"/>
                      <w:sz w:val="22"/>
                      <w:szCs w:val="22"/>
                      <w:lang w:bidi="ar"/>
                    </w:rPr>
                  </w:pPr>
                  <w:r>
                    <w:rPr>
                      <w:rFonts w:hint="eastAsia" w:eastAsia="等线"/>
                      <w:color w:val="auto"/>
                      <w:kern w:val="0"/>
                      <w:sz w:val="22"/>
                      <w:szCs w:val="22"/>
                      <w:lang w:bidi="ar"/>
                    </w:rPr>
                    <w:t>420</w:t>
                  </w:r>
                </w:p>
              </w:tc>
              <w:tc>
                <w:tcPr>
                  <w:tcW w:w="1156" w:type="dxa"/>
                  <w:vMerge w:val="continue"/>
                  <w:vAlign w:val="center"/>
                </w:tcPr>
                <w:p w14:paraId="420D4944">
                  <w:pPr>
                    <w:widowControl/>
                    <w:jc w:val="center"/>
                    <w:textAlignment w:val="center"/>
                    <w:rPr>
                      <w:rFonts w:eastAsia="等线"/>
                      <w:color w:val="auto"/>
                      <w:kern w:val="0"/>
                      <w:sz w:val="22"/>
                      <w:szCs w:val="22"/>
                      <w:lang w:bidi="ar"/>
                    </w:rPr>
                  </w:pPr>
                </w:p>
              </w:tc>
            </w:tr>
            <w:tr w14:paraId="67EC58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54" w:type="dxa"/>
                  <w:vMerge w:val="continue"/>
                  <w:vAlign w:val="center"/>
                </w:tcPr>
                <w:p w14:paraId="6A490E87">
                  <w:pPr>
                    <w:snapToGrid w:val="0"/>
                    <w:spacing w:line="460" w:lineRule="exact"/>
                    <w:jc w:val="center"/>
                    <w:rPr>
                      <w:color w:val="auto"/>
                      <w:sz w:val="22"/>
                      <w:szCs w:val="22"/>
                    </w:rPr>
                  </w:pPr>
                </w:p>
              </w:tc>
              <w:tc>
                <w:tcPr>
                  <w:tcW w:w="1154" w:type="dxa"/>
                  <w:vAlign w:val="center"/>
                </w:tcPr>
                <w:p w14:paraId="66D17974">
                  <w:pPr>
                    <w:jc w:val="center"/>
                    <w:rPr>
                      <w:color w:val="auto"/>
                      <w:sz w:val="22"/>
                      <w:szCs w:val="22"/>
                    </w:rPr>
                  </w:pPr>
                  <w:r>
                    <w:rPr>
                      <w:rFonts w:hint="eastAsia"/>
                      <w:color w:val="auto"/>
                      <w:sz w:val="22"/>
                      <w:szCs w:val="22"/>
                    </w:rPr>
                    <w:t>施工便道</w:t>
                  </w:r>
                </w:p>
              </w:tc>
              <w:tc>
                <w:tcPr>
                  <w:tcW w:w="1155" w:type="dxa"/>
                  <w:vAlign w:val="center"/>
                </w:tcPr>
                <w:p w14:paraId="34D25EE5">
                  <w:pPr>
                    <w:widowControl/>
                    <w:jc w:val="center"/>
                    <w:textAlignment w:val="center"/>
                    <w:rPr>
                      <w:rFonts w:eastAsia="等线"/>
                      <w:color w:val="auto"/>
                      <w:kern w:val="0"/>
                      <w:sz w:val="22"/>
                      <w:szCs w:val="22"/>
                      <w:lang w:bidi="ar"/>
                    </w:rPr>
                  </w:pPr>
                  <w:r>
                    <w:rPr>
                      <w:rFonts w:eastAsia="等线"/>
                      <w:color w:val="auto"/>
                      <w:kern w:val="0"/>
                      <w:sz w:val="22"/>
                      <w:szCs w:val="22"/>
                      <w:lang w:bidi="ar"/>
                    </w:rPr>
                    <w:t>750</w:t>
                  </w:r>
                </w:p>
              </w:tc>
              <w:tc>
                <w:tcPr>
                  <w:tcW w:w="1155" w:type="dxa"/>
                  <w:vAlign w:val="center"/>
                </w:tcPr>
                <w:p w14:paraId="07C2C19C">
                  <w:pPr>
                    <w:widowControl/>
                    <w:jc w:val="center"/>
                    <w:textAlignment w:val="center"/>
                    <w:rPr>
                      <w:rFonts w:eastAsia="等线"/>
                      <w:color w:val="auto"/>
                      <w:kern w:val="0"/>
                      <w:sz w:val="22"/>
                      <w:szCs w:val="22"/>
                      <w:lang w:bidi="ar"/>
                    </w:rPr>
                  </w:pPr>
                  <w:r>
                    <w:rPr>
                      <w:rFonts w:eastAsia="等线"/>
                      <w:color w:val="auto"/>
                      <w:kern w:val="0"/>
                      <w:sz w:val="22"/>
                      <w:szCs w:val="22"/>
                      <w:lang w:bidi="ar"/>
                    </w:rPr>
                    <w:t>640</w:t>
                  </w:r>
                </w:p>
              </w:tc>
              <w:tc>
                <w:tcPr>
                  <w:tcW w:w="1156" w:type="dxa"/>
                  <w:vAlign w:val="center"/>
                </w:tcPr>
                <w:p w14:paraId="6A10827C">
                  <w:pPr>
                    <w:widowControl/>
                    <w:jc w:val="center"/>
                    <w:textAlignment w:val="center"/>
                    <w:rPr>
                      <w:rFonts w:eastAsia="等线"/>
                      <w:color w:val="auto"/>
                      <w:kern w:val="0"/>
                      <w:sz w:val="22"/>
                      <w:szCs w:val="22"/>
                      <w:lang w:bidi="ar"/>
                    </w:rPr>
                  </w:pPr>
                  <w:r>
                    <w:rPr>
                      <w:rFonts w:eastAsia="等线"/>
                      <w:color w:val="auto"/>
                      <w:kern w:val="0"/>
                      <w:sz w:val="22"/>
                      <w:szCs w:val="22"/>
                      <w:lang w:bidi="ar"/>
                    </w:rPr>
                    <w:t>810</w:t>
                  </w:r>
                </w:p>
              </w:tc>
              <w:tc>
                <w:tcPr>
                  <w:tcW w:w="1156" w:type="dxa"/>
                  <w:vAlign w:val="center"/>
                </w:tcPr>
                <w:p w14:paraId="6508E6E9">
                  <w:pPr>
                    <w:widowControl/>
                    <w:jc w:val="center"/>
                    <w:textAlignment w:val="center"/>
                    <w:rPr>
                      <w:rFonts w:eastAsia="等线"/>
                      <w:color w:val="auto"/>
                      <w:kern w:val="0"/>
                      <w:sz w:val="22"/>
                      <w:szCs w:val="22"/>
                      <w:lang w:bidi="ar"/>
                    </w:rPr>
                  </w:pPr>
                  <w:r>
                    <w:rPr>
                      <w:rFonts w:eastAsia="等线"/>
                      <w:color w:val="auto"/>
                      <w:kern w:val="0"/>
                      <w:sz w:val="22"/>
                      <w:szCs w:val="22"/>
                      <w:lang w:bidi="ar"/>
                    </w:rPr>
                    <w:t>950</w:t>
                  </w:r>
                </w:p>
              </w:tc>
              <w:tc>
                <w:tcPr>
                  <w:tcW w:w="1156" w:type="dxa"/>
                  <w:vMerge w:val="continue"/>
                  <w:vAlign w:val="center"/>
                </w:tcPr>
                <w:p w14:paraId="66733840">
                  <w:pPr>
                    <w:widowControl/>
                    <w:jc w:val="center"/>
                    <w:textAlignment w:val="center"/>
                    <w:rPr>
                      <w:rFonts w:eastAsia="等线"/>
                      <w:color w:val="auto"/>
                      <w:kern w:val="0"/>
                      <w:sz w:val="22"/>
                      <w:szCs w:val="22"/>
                      <w:lang w:bidi="ar"/>
                    </w:rPr>
                  </w:pPr>
                </w:p>
              </w:tc>
            </w:tr>
            <w:tr w14:paraId="5D1872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08" w:type="dxa"/>
                  <w:gridSpan w:val="2"/>
                  <w:vAlign w:val="center"/>
                </w:tcPr>
                <w:p w14:paraId="696552DC">
                  <w:pPr>
                    <w:jc w:val="center"/>
                    <w:rPr>
                      <w:color w:val="auto"/>
                      <w:sz w:val="22"/>
                      <w:szCs w:val="22"/>
                    </w:rPr>
                  </w:pPr>
                  <w:r>
                    <w:rPr>
                      <w:rFonts w:hint="eastAsia"/>
                      <w:color w:val="auto"/>
                      <w:sz w:val="22"/>
                      <w:szCs w:val="22"/>
                    </w:rPr>
                    <w:t>合计</w:t>
                  </w:r>
                </w:p>
              </w:tc>
              <w:tc>
                <w:tcPr>
                  <w:tcW w:w="1155" w:type="dxa"/>
                  <w:vAlign w:val="center"/>
                </w:tcPr>
                <w:p w14:paraId="3E19C2E8">
                  <w:pPr>
                    <w:widowControl/>
                    <w:jc w:val="center"/>
                    <w:textAlignment w:val="center"/>
                    <w:rPr>
                      <w:rFonts w:eastAsia="等线"/>
                      <w:color w:val="auto"/>
                      <w:kern w:val="0"/>
                      <w:sz w:val="22"/>
                      <w:szCs w:val="22"/>
                      <w:lang w:bidi="ar"/>
                    </w:rPr>
                  </w:pPr>
                  <w:r>
                    <w:rPr>
                      <w:rFonts w:hint="eastAsia" w:eastAsia="等线"/>
                      <w:color w:val="auto"/>
                      <w:kern w:val="0"/>
                      <w:sz w:val="22"/>
                      <w:szCs w:val="22"/>
                      <w:lang w:bidi="ar"/>
                    </w:rPr>
                    <w:t>1650</w:t>
                  </w:r>
                </w:p>
              </w:tc>
              <w:tc>
                <w:tcPr>
                  <w:tcW w:w="1155" w:type="dxa"/>
                  <w:vAlign w:val="center"/>
                </w:tcPr>
                <w:p w14:paraId="5D748593">
                  <w:pPr>
                    <w:widowControl/>
                    <w:jc w:val="center"/>
                    <w:textAlignment w:val="center"/>
                    <w:rPr>
                      <w:rFonts w:eastAsia="等线"/>
                      <w:color w:val="auto"/>
                      <w:kern w:val="0"/>
                      <w:sz w:val="22"/>
                      <w:szCs w:val="22"/>
                      <w:lang w:bidi="ar"/>
                    </w:rPr>
                  </w:pPr>
                  <w:r>
                    <w:rPr>
                      <w:rFonts w:hint="eastAsia" w:eastAsia="等线"/>
                      <w:color w:val="auto"/>
                      <w:kern w:val="0"/>
                      <w:sz w:val="22"/>
                      <w:szCs w:val="22"/>
                      <w:lang w:bidi="ar"/>
                    </w:rPr>
                    <w:t>2170</w:t>
                  </w:r>
                </w:p>
              </w:tc>
              <w:tc>
                <w:tcPr>
                  <w:tcW w:w="1156" w:type="dxa"/>
                  <w:vAlign w:val="center"/>
                </w:tcPr>
                <w:p w14:paraId="60DF6A17">
                  <w:pPr>
                    <w:widowControl/>
                    <w:jc w:val="center"/>
                    <w:textAlignment w:val="center"/>
                    <w:rPr>
                      <w:rFonts w:eastAsia="等线"/>
                      <w:color w:val="auto"/>
                      <w:kern w:val="0"/>
                      <w:sz w:val="22"/>
                      <w:szCs w:val="22"/>
                      <w:lang w:bidi="ar"/>
                    </w:rPr>
                  </w:pPr>
                  <w:r>
                    <w:rPr>
                      <w:rFonts w:hint="eastAsia" w:eastAsia="等线"/>
                      <w:color w:val="auto"/>
                      <w:kern w:val="0"/>
                      <w:sz w:val="22"/>
                      <w:szCs w:val="22"/>
                      <w:lang w:bidi="ar"/>
                    </w:rPr>
                    <w:t>2936</w:t>
                  </w:r>
                </w:p>
              </w:tc>
              <w:tc>
                <w:tcPr>
                  <w:tcW w:w="1156" w:type="dxa"/>
                  <w:vAlign w:val="center"/>
                </w:tcPr>
                <w:p w14:paraId="2107BB63">
                  <w:pPr>
                    <w:widowControl/>
                    <w:jc w:val="center"/>
                    <w:textAlignment w:val="center"/>
                    <w:rPr>
                      <w:rFonts w:eastAsia="等线"/>
                      <w:color w:val="auto"/>
                      <w:kern w:val="0"/>
                      <w:sz w:val="22"/>
                      <w:szCs w:val="22"/>
                      <w:lang w:bidi="ar"/>
                    </w:rPr>
                  </w:pPr>
                  <w:r>
                    <w:rPr>
                      <w:rFonts w:hint="eastAsia" w:eastAsia="等线"/>
                      <w:color w:val="auto"/>
                      <w:kern w:val="0"/>
                      <w:sz w:val="22"/>
                      <w:szCs w:val="22"/>
                      <w:lang w:bidi="ar"/>
                    </w:rPr>
                    <w:t>2370</w:t>
                  </w:r>
                </w:p>
              </w:tc>
              <w:tc>
                <w:tcPr>
                  <w:tcW w:w="1156" w:type="dxa"/>
                  <w:vAlign w:val="center"/>
                </w:tcPr>
                <w:p w14:paraId="32E40C31">
                  <w:pPr>
                    <w:widowControl/>
                    <w:jc w:val="center"/>
                    <w:textAlignment w:val="center"/>
                    <w:rPr>
                      <w:rFonts w:eastAsia="等线"/>
                      <w:color w:val="auto"/>
                      <w:kern w:val="0"/>
                      <w:sz w:val="22"/>
                      <w:szCs w:val="22"/>
                      <w:lang w:bidi="ar"/>
                    </w:rPr>
                  </w:pPr>
                  <w:r>
                    <w:rPr>
                      <w:rFonts w:hint="eastAsia" w:eastAsia="等线"/>
                      <w:color w:val="auto"/>
                      <w:kern w:val="0"/>
                      <w:sz w:val="22"/>
                      <w:szCs w:val="22"/>
                      <w:lang w:bidi="ar"/>
                    </w:rPr>
                    <w:t>9126</w:t>
                  </w:r>
                </w:p>
              </w:tc>
            </w:tr>
          </w:tbl>
          <w:p w14:paraId="6DB3F5AC">
            <w:pPr>
              <w:snapToGrid w:val="0"/>
              <w:ind w:firstLine="520" w:firstLineChars="200"/>
              <w:rPr>
                <w:color w:val="auto"/>
                <w:sz w:val="26"/>
                <w:szCs w:val="26"/>
                <w:highlight w:val="yellow"/>
              </w:rPr>
            </w:pPr>
          </w:p>
          <w:p w14:paraId="37309F5D">
            <w:pPr>
              <w:snapToGrid w:val="0"/>
              <w:spacing w:line="460" w:lineRule="exact"/>
              <w:ind w:firstLine="520" w:firstLineChars="200"/>
              <w:rPr>
                <w:color w:val="auto"/>
                <w:sz w:val="26"/>
                <w:szCs w:val="26"/>
              </w:rPr>
            </w:pPr>
            <w:r>
              <w:rPr>
                <w:rFonts w:hint="eastAsia"/>
                <w:color w:val="auto"/>
                <w:sz w:val="26"/>
                <w:szCs w:val="26"/>
              </w:rPr>
              <w:t>（3）土石方工程</w:t>
            </w:r>
          </w:p>
          <w:p w14:paraId="50C633B4">
            <w:pPr>
              <w:snapToGrid w:val="0"/>
              <w:spacing w:line="460" w:lineRule="exact"/>
              <w:ind w:firstLine="520" w:firstLineChars="200"/>
              <w:rPr>
                <w:rFonts w:hint="eastAsia"/>
                <w:color w:val="auto"/>
                <w:sz w:val="26"/>
                <w:szCs w:val="26"/>
              </w:rPr>
            </w:pPr>
            <w:r>
              <w:rPr>
                <w:rFonts w:hint="eastAsia"/>
                <w:color w:val="auto"/>
                <w:sz w:val="26"/>
                <w:szCs w:val="26"/>
              </w:rPr>
              <w:t>在塔基修建时不可避免</w:t>
            </w:r>
            <w:r>
              <w:rPr>
                <w:rFonts w:hint="eastAsia"/>
                <w:color w:val="auto"/>
                <w:sz w:val="26"/>
                <w:szCs w:val="26"/>
                <w:lang w:eastAsia="zh-CN"/>
              </w:rPr>
              <w:t>地</w:t>
            </w:r>
            <w:r>
              <w:rPr>
                <w:rFonts w:hint="eastAsia"/>
                <w:color w:val="auto"/>
                <w:sz w:val="26"/>
                <w:szCs w:val="26"/>
              </w:rPr>
              <w:t>要开挖一定方量的土石方，根据设计资料，本线路总开挖土石方量约2500m</w:t>
            </w:r>
            <w:r>
              <w:rPr>
                <w:rFonts w:hint="eastAsia"/>
                <w:color w:val="auto"/>
                <w:sz w:val="26"/>
                <w:szCs w:val="26"/>
                <w:vertAlign w:val="superscript"/>
              </w:rPr>
              <w:t>3</w:t>
            </w:r>
            <w:r>
              <w:rPr>
                <w:rFonts w:hint="eastAsia"/>
                <w:color w:val="auto"/>
                <w:sz w:val="26"/>
                <w:szCs w:val="26"/>
              </w:rPr>
              <w:t>，填方2500m</w:t>
            </w:r>
            <w:r>
              <w:rPr>
                <w:rFonts w:hint="eastAsia"/>
                <w:color w:val="auto"/>
                <w:sz w:val="26"/>
                <w:szCs w:val="26"/>
                <w:vertAlign w:val="superscript"/>
              </w:rPr>
              <w:t>3</w:t>
            </w:r>
            <w:r>
              <w:rPr>
                <w:rFonts w:hint="eastAsia"/>
                <w:color w:val="auto"/>
                <w:sz w:val="26"/>
                <w:szCs w:val="26"/>
              </w:rPr>
              <w:t>，塔基弃土在塔基范围内处理，用于回填塔基周围，无弃方产生。</w:t>
            </w:r>
          </w:p>
          <w:p w14:paraId="24F57AFD">
            <w:pPr>
              <w:snapToGrid w:val="0"/>
              <w:spacing w:line="460" w:lineRule="exact"/>
              <w:rPr>
                <w:rFonts w:hint="default" w:eastAsia="宋体"/>
                <w:b/>
                <w:bCs/>
                <w:color w:val="auto"/>
                <w:sz w:val="26"/>
                <w:szCs w:val="26"/>
                <w:lang w:val="en-US" w:eastAsia="zh-CN"/>
              </w:rPr>
            </w:pPr>
            <w:r>
              <w:rPr>
                <w:b/>
                <w:bCs/>
                <w:color w:val="auto"/>
                <w:sz w:val="26"/>
                <w:szCs w:val="26"/>
              </w:rPr>
              <w:t>2.</w:t>
            </w:r>
            <w:r>
              <w:rPr>
                <w:rFonts w:hint="eastAsia"/>
                <w:b/>
                <w:bCs/>
                <w:color w:val="auto"/>
                <w:sz w:val="26"/>
                <w:szCs w:val="26"/>
                <w:lang w:val="en-US" w:eastAsia="zh-CN"/>
              </w:rPr>
              <w:t>7林木砍伐</w:t>
            </w:r>
          </w:p>
          <w:p w14:paraId="0DE8A5ED">
            <w:pPr>
              <w:snapToGrid w:val="0"/>
              <w:spacing w:line="460" w:lineRule="exact"/>
              <w:ind w:firstLine="520" w:firstLineChars="200"/>
              <w:rPr>
                <w:rFonts w:hint="eastAsia" w:eastAsia="宋体"/>
                <w:color w:val="auto"/>
                <w:sz w:val="26"/>
                <w:szCs w:val="26"/>
                <w:lang w:eastAsia="zh-CN"/>
              </w:rPr>
            </w:pPr>
            <w:r>
              <w:rPr>
                <w:rFonts w:hint="default" w:ascii="Times New Roman" w:hAnsi="Times New Roman" w:eastAsia="宋体" w:cs="Times New Roman"/>
                <w:color w:val="auto"/>
                <w:sz w:val="26"/>
                <w:szCs w:val="26"/>
                <w:lang w:eastAsia="zh-CN"/>
              </w:rPr>
              <w:t>拟建工程位于</w:t>
            </w:r>
            <w:r>
              <w:rPr>
                <w:rFonts w:hint="eastAsia" w:ascii="Times New Roman" w:hAnsi="Times New Roman" w:eastAsia="宋体" w:cs="Times New Roman"/>
                <w:color w:val="auto"/>
                <w:sz w:val="26"/>
                <w:szCs w:val="26"/>
                <w:lang w:val="en-US" w:eastAsia="zh-CN"/>
              </w:rPr>
              <w:t>高山、</w:t>
            </w:r>
            <w:r>
              <w:rPr>
                <w:rFonts w:hint="default" w:ascii="Times New Roman" w:hAnsi="Times New Roman" w:eastAsia="宋体" w:cs="Times New Roman"/>
                <w:color w:val="auto"/>
                <w:sz w:val="26"/>
                <w:szCs w:val="26"/>
                <w:lang w:eastAsia="zh-CN"/>
              </w:rPr>
              <w:t>山地地带，线路沿线大部分以松</w:t>
            </w:r>
            <w:r>
              <w:rPr>
                <w:rFonts w:hint="eastAsia" w:ascii="Times New Roman" w:hAnsi="Times New Roman" w:eastAsia="宋体" w:cs="Times New Roman"/>
                <w:color w:val="auto"/>
                <w:sz w:val="26"/>
                <w:szCs w:val="26"/>
                <w:lang w:val="en-US" w:eastAsia="zh-CN"/>
              </w:rPr>
              <w:t>树</w:t>
            </w:r>
            <w:r>
              <w:rPr>
                <w:rFonts w:hint="default" w:ascii="Times New Roman" w:hAnsi="Times New Roman" w:eastAsia="宋体" w:cs="Times New Roman"/>
                <w:color w:val="auto"/>
                <w:sz w:val="26"/>
                <w:szCs w:val="26"/>
                <w:lang w:eastAsia="zh-CN"/>
              </w:rPr>
              <w:t>、杂树为主，均是本区域常见树种。对于输电线路沿线廊道内树木，线路跨树高度按树木自然生长高度确定，仅在线路维护和检修过程中对不满足运行安全要求的林木进行削枝处理，不砍伐树木；工程林木砍伐主要是在输电线路塔基基础施工、施工临时占地处。根据设计本工程主要砍伐树种为</w:t>
            </w:r>
            <w:r>
              <w:rPr>
                <w:rFonts w:hint="eastAsia" w:ascii="Times New Roman" w:hAnsi="Times New Roman" w:eastAsia="宋体" w:cs="Times New Roman"/>
                <w:color w:val="auto"/>
                <w:sz w:val="26"/>
                <w:szCs w:val="26"/>
                <w:lang w:val="en-US" w:eastAsia="zh-CN"/>
              </w:rPr>
              <w:t>经济林木、</w:t>
            </w:r>
            <w:r>
              <w:rPr>
                <w:rFonts w:hint="default" w:ascii="Times New Roman" w:hAnsi="Times New Roman" w:eastAsia="宋体" w:cs="Times New Roman"/>
                <w:color w:val="auto"/>
                <w:sz w:val="26"/>
                <w:szCs w:val="26"/>
                <w:lang w:eastAsia="zh-CN"/>
              </w:rPr>
              <w:t>松</w:t>
            </w:r>
            <w:r>
              <w:rPr>
                <w:rFonts w:hint="eastAsia" w:ascii="Times New Roman" w:hAnsi="Times New Roman" w:eastAsia="宋体" w:cs="Times New Roman"/>
                <w:color w:val="auto"/>
                <w:sz w:val="26"/>
                <w:szCs w:val="26"/>
                <w:lang w:val="en-US" w:eastAsia="zh-CN"/>
              </w:rPr>
              <w:t>树</w:t>
            </w:r>
            <w:r>
              <w:rPr>
                <w:rFonts w:hint="default" w:ascii="Times New Roman" w:hAnsi="Times New Roman" w:eastAsia="宋体" w:cs="Times New Roman"/>
                <w:color w:val="auto"/>
                <w:sz w:val="26"/>
                <w:szCs w:val="26"/>
                <w:lang w:eastAsia="zh-CN"/>
              </w:rPr>
              <w:t>、杂树等，</w:t>
            </w:r>
            <w:r>
              <w:rPr>
                <w:rFonts w:hint="eastAsia" w:ascii="Times New Roman" w:hAnsi="Times New Roman" w:eastAsia="宋体" w:cs="Times New Roman"/>
                <w:color w:val="auto"/>
                <w:sz w:val="26"/>
                <w:szCs w:val="26"/>
                <w:lang w:val="en-US" w:eastAsia="zh-CN"/>
              </w:rPr>
              <w:t>其中，临时占地砍伐树木总计约1300</w:t>
            </w:r>
            <w:r>
              <w:rPr>
                <w:rFonts w:hint="eastAsia" w:ascii="Times New Roman" w:hAnsi="Times New Roman" w:eastAsia="宋体" w:cs="Times New Roman"/>
                <w:color w:val="auto"/>
                <w:sz w:val="26"/>
                <w:szCs w:val="26"/>
              </w:rPr>
              <w:t>棵</w:t>
            </w:r>
            <w:r>
              <w:rPr>
                <w:rFonts w:hint="eastAsia" w:ascii="Times New Roman" w:hAnsi="Times New Roman" w:eastAsia="宋体" w:cs="Times New Roman"/>
                <w:color w:val="auto"/>
                <w:sz w:val="26"/>
                <w:szCs w:val="26"/>
                <w:lang w:eastAsia="zh-CN"/>
              </w:rPr>
              <w:t>（</w:t>
            </w:r>
            <w:r>
              <w:rPr>
                <w:rFonts w:hint="eastAsia" w:ascii="Times New Roman" w:hAnsi="Times New Roman" w:eastAsia="宋体" w:cs="Times New Roman"/>
                <w:color w:val="auto"/>
                <w:sz w:val="26"/>
                <w:szCs w:val="26"/>
              </w:rPr>
              <w:t>杂树</w:t>
            </w:r>
            <w:r>
              <w:rPr>
                <w:rFonts w:hint="eastAsia" w:ascii="Times New Roman" w:hAnsi="Times New Roman" w:eastAsia="宋体" w:cs="Times New Roman"/>
                <w:color w:val="auto"/>
                <w:sz w:val="26"/>
                <w:szCs w:val="26"/>
                <w:lang w:val="en-US" w:eastAsia="zh-CN"/>
              </w:rPr>
              <w:t>350</w:t>
            </w:r>
            <w:r>
              <w:rPr>
                <w:rFonts w:hint="eastAsia" w:ascii="Times New Roman" w:hAnsi="Times New Roman" w:eastAsia="宋体" w:cs="Times New Roman"/>
                <w:color w:val="auto"/>
                <w:sz w:val="26"/>
                <w:szCs w:val="26"/>
              </w:rPr>
              <w:t>棵、松树</w:t>
            </w:r>
            <w:r>
              <w:rPr>
                <w:rFonts w:hint="eastAsia" w:ascii="Times New Roman" w:hAnsi="Times New Roman" w:eastAsia="宋体" w:cs="Times New Roman"/>
                <w:color w:val="auto"/>
                <w:sz w:val="26"/>
                <w:szCs w:val="26"/>
                <w:lang w:val="en-US" w:eastAsia="zh-CN"/>
              </w:rPr>
              <w:t>950</w:t>
            </w:r>
            <w:r>
              <w:rPr>
                <w:rFonts w:hint="eastAsia" w:ascii="Times New Roman" w:hAnsi="Times New Roman" w:eastAsia="宋体" w:cs="Times New Roman"/>
                <w:color w:val="auto"/>
                <w:sz w:val="26"/>
                <w:szCs w:val="26"/>
              </w:rPr>
              <w:t>棵</w:t>
            </w:r>
            <w:r>
              <w:rPr>
                <w:rFonts w:hint="eastAsia" w:ascii="Times New Roman" w:hAnsi="Times New Roman" w:eastAsia="宋体" w:cs="Times New Roman"/>
                <w:color w:val="auto"/>
                <w:sz w:val="26"/>
                <w:szCs w:val="26"/>
                <w:lang w:eastAsia="zh-CN"/>
              </w:rPr>
              <w:t>），</w:t>
            </w:r>
            <w:r>
              <w:rPr>
                <w:rFonts w:hint="eastAsia" w:ascii="Times New Roman" w:hAnsi="Times New Roman" w:eastAsia="宋体" w:cs="Times New Roman"/>
                <w:color w:val="auto"/>
                <w:sz w:val="26"/>
                <w:szCs w:val="26"/>
                <w:lang w:val="en-US" w:eastAsia="zh-CN"/>
              </w:rPr>
              <w:t>塔基占地砍伐树木总计约1200</w:t>
            </w:r>
            <w:r>
              <w:rPr>
                <w:rFonts w:hint="eastAsia" w:ascii="Times New Roman" w:hAnsi="Times New Roman" w:eastAsia="宋体" w:cs="Times New Roman"/>
                <w:color w:val="auto"/>
                <w:sz w:val="26"/>
                <w:szCs w:val="26"/>
              </w:rPr>
              <w:t>棵</w:t>
            </w:r>
            <w:r>
              <w:rPr>
                <w:rFonts w:hint="eastAsia" w:ascii="Times New Roman" w:hAnsi="Times New Roman" w:eastAsia="宋体" w:cs="Times New Roman"/>
                <w:color w:val="auto"/>
                <w:sz w:val="26"/>
                <w:szCs w:val="26"/>
                <w:lang w:eastAsia="zh-CN"/>
              </w:rPr>
              <w:t>（</w:t>
            </w:r>
            <w:r>
              <w:rPr>
                <w:rFonts w:hint="eastAsia" w:ascii="Times New Roman" w:hAnsi="Times New Roman" w:eastAsia="宋体" w:cs="Times New Roman"/>
                <w:color w:val="auto"/>
                <w:sz w:val="26"/>
                <w:szCs w:val="26"/>
              </w:rPr>
              <w:t>杂树</w:t>
            </w:r>
            <w:r>
              <w:rPr>
                <w:rFonts w:hint="eastAsia" w:ascii="Times New Roman" w:hAnsi="Times New Roman" w:eastAsia="宋体" w:cs="Times New Roman"/>
                <w:color w:val="auto"/>
                <w:sz w:val="26"/>
                <w:szCs w:val="26"/>
                <w:lang w:val="en-US" w:eastAsia="zh-CN"/>
              </w:rPr>
              <w:t>200</w:t>
            </w:r>
            <w:r>
              <w:rPr>
                <w:rFonts w:hint="eastAsia" w:ascii="Times New Roman" w:hAnsi="Times New Roman" w:eastAsia="宋体" w:cs="Times New Roman"/>
                <w:color w:val="auto"/>
                <w:sz w:val="26"/>
                <w:szCs w:val="26"/>
              </w:rPr>
              <w:t>棵、松树</w:t>
            </w:r>
            <w:r>
              <w:rPr>
                <w:rFonts w:hint="eastAsia" w:ascii="Times New Roman" w:hAnsi="Times New Roman" w:eastAsia="宋体" w:cs="Times New Roman"/>
                <w:color w:val="auto"/>
                <w:sz w:val="26"/>
                <w:szCs w:val="26"/>
                <w:lang w:val="en-US" w:eastAsia="zh-CN"/>
              </w:rPr>
              <w:t>1000</w:t>
            </w:r>
            <w:r>
              <w:rPr>
                <w:rFonts w:hint="eastAsia" w:ascii="Times New Roman" w:hAnsi="Times New Roman" w:eastAsia="宋体" w:cs="Times New Roman"/>
                <w:color w:val="auto"/>
                <w:sz w:val="26"/>
                <w:szCs w:val="26"/>
              </w:rPr>
              <w:t>棵</w:t>
            </w:r>
            <w:r>
              <w:rPr>
                <w:rFonts w:hint="eastAsia" w:ascii="Times New Roman" w:hAnsi="Times New Roman" w:eastAsia="宋体" w:cs="Times New Roman"/>
                <w:color w:val="auto"/>
                <w:sz w:val="26"/>
                <w:szCs w:val="26"/>
                <w:lang w:eastAsia="zh-CN"/>
              </w:rPr>
              <w:t>），</w:t>
            </w:r>
            <w:r>
              <w:rPr>
                <w:rFonts w:hint="eastAsia" w:ascii="Times New Roman" w:hAnsi="Times New Roman" w:eastAsia="宋体" w:cs="Times New Roman"/>
                <w:color w:val="auto"/>
                <w:sz w:val="26"/>
                <w:szCs w:val="26"/>
              </w:rPr>
              <w:t>采伐林木中未发现有珍稀保护植物种类</w:t>
            </w:r>
            <w:r>
              <w:rPr>
                <w:rFonts w:hint="eastAsia" w:ascii="Times New Roman" w:hAnsi="Times New Roman" w:eastAsia="宋体" w:cs="Times New Roman"/>
                <w:color w:val="auto"/>
                <w:sz w:val="26"/>
                <w:szCs w:val="26"/>
                <w:lang w:eastAsia="zh-CN"/>
              </w:rPr>
              <w:t>。</w:t>
            </w:r>
          </w:p>
        </w:tc>
      </w:tr>
      <w:tr w14:paraId="26C3F3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14" w:hRule="atLeast"/>
          <w:jc w:val="center"/>
        </w:trPr>
        <w:tc>
          <w:tcPr>
            <w:tcW w:w="778" w:type="dxa"/>
            <w:vAlign w:val="center"/>
          </w:tcPr>
          <w:p w14:paraId="418472C6">
            <w:pPr>
              <w:adjustRightInd w:val="0"/>
              <w:snapToGrid w:val="0"/>
              <w:spacing w:line="460" w:lineRule="exact"/>
              <w:jc w:val="center"/>
              <w:rPr>
                <w:color w:val="auto"/>
                <w:kern w:val="0"/>
                <w:szCs w:val="21"/>
              </w:rPr>
            </w:pPr>
            <w:r>
              <w:rPr>
                <w:rFonts w:hint="eastAsia"/>
                <w:color w:val="auto"/>
                <w:kern w:val="0"/>
                <w:sz w:val="26"/>
                <w:szCs w:val="26"/>
              </w:rPr>
              <w:t>施工方案</w:t>
            </w:r>
          </w:p>
        </w:tc>
        <w:tc>
          <w:tcPr>
            <w:tcW w:w="8312" w:type="dxa"/>
            <w:vAlign w:val="center"/>
          </w:tcPr>
          <w:p w14:paraId="4F8FE3A8">
            <w:pPr>
              <w:snapToGrid w:val="0"/>
              <w:spacing w:line="460" w:lineRule="exact"/>
              <w:rPr>
                <w:b/>
                <w:bCs/>
                <w:color w:val="auto"/>
                <w:sz w:val="26"/>
                <w:szCs w:val="26"/>
              </w:rPr>
            </w:pPr>
            <w:r>
              <w:rPr>
                <w:b/>
                <w:bCs/>
                <w:color w:val="auto"/>
                <w:sz w:val="26"/>
                <w:szCs w:val="26"/>
              </w:rPr>
              <w:t>2.</w:t>
            </w:r>
            <w:r>
              <w:rPr>
                <w:rFonts w:hint="eastAsia"/>
                <w:b/>
                <w:bCs/>
                <w:color w:val="auto"/>
                <w:sz w:val="26"/>
                <w:szCs w:val="26"/>
              </w:rPr>
              <w:t>8施工方案</w:t>
            </w:r>
          </w:p>
          <w:p w14:paraId="0E442818">
            <w:pPr>
              <w:snapToGrid w:val="0"/>
              <w:spacing w:line="460" w:lineRule="exact"/>
              <w:ind w:firstLine="522" w:firstLineChars="200"/>
              <w:rPr>
                <w:b/>
                <w:bCs/>
                <w:color w:val="auto"/>
                <w:sz w:val="26"/>
                <w:szCs w:val="26"/>
              </w:rPr>
            </w:pPr>
            <w:r>
              <w:rPr>
                <w:rFonts w:hint="eastAsia"/>
                <w:b/>
                <w:bCs/>
                <w:color w:val="auto"/>
                <w:sz w:val="26"/>
                <w:szCs w:val="26"/>
              </w:rPr>
              <w:t>2.8.1 110kV架空线路</w:t>
            </w:r>
          </w:p>
          <w:p w14:paraId="3D9076F3">
            <w:pPr>
              <w:snapToGrid w:val="0"/>
              <w:spacing w:line="460" w:lineRule="exact"/>
              <w:ind w:firstLine="520" w:firstLineChars="200"/>
              <w:rPr>
                <w:color w:val="auto"/>
                <w:sz w:val="26"/>
                <w:szCs w:val="26"/>
              </w:rPr>
            </w:pPr>
            <w:r>
              <w:rPr>
                <w:rFonts w:hint="eastAsia"/>
                <w:color w:val="auto"/>
                <w:sz w:val="26"/>
                <w:szCs w:val="26"/>
              </w:rPr>
              <w:t>（</w:t>
            </w:r>
            <w:r>
              <w:rPr>
                <w:color w:val="auto"/>
                <w:sz w:val="26"/>
                <w:szCs w:val="26"/>
              </w:rPr>
              <w:t>1</w:t>
            </w:r>
            <w:r>
              <w:rPr>
                <w:rFonts w:hint="eastAsia"/>
                <w:color w:val="auto"/>
                <w:sz w:val="26"/>
                <w:szCs w:val="26"/>
              </w:rPr>
              <w:t>）施工准备</w:t>
            </w:r>
          </w:p>
          <w:p w14:paraId="690CAAB9">
            <w:pPr>
              <w:snapToGrid w:val="0"/>
              <w:spacing w:line="460" w:lineRule="exact"/>
              <w:ind w:firstLine="520" w:firstLineChars="200"/>
              <w:rPr>
                <w:color w:val="auto"/>
                <w:sz w:val="26"/>
                <w:szCs w:val="26"/>
              </w:rPr>
            </w:pPr>
            <w:r>
              <w:rPr>
                <w:rFonts w:hint="eastAsia"/>
                <w:color w:val="auto"/>
                <w:sz w:val="26"/>
                <w:szCs w:val="26"/>
              </w:rPr>
              <w:t>本项目采用商品混凝土，并由运输车送到塔位附近，少数由人力抬运到塔位，现场不设混凝土搅拌机。</w:t>
            </w:r>
          </w:p>
          <w:p w14:paraId="4FF453EF">
            <w:pPr>
              <w:snapToGrid w:val="0"/>
              <w:spacing w:line="460" w:lineRule="exact"/>
              <w:ind w:firstLine="520" w:firstLineChars="200"/>
              <w:rPr>
                <w:color w:val="auto"/>
                <w:sz w:val="26"/>
                <w:szCs w:val="26"/>
              </w:rPr>
            </w:pPr>
            <w:r>
              <w:rPr>
                <w:rFonts w:hint="eastAsia"/>
                <w:color w:val="auto"/>
                <w:sz w:val="26"/>
                <w:szCs w:val="26"/>
              </w:rPr>
              <w:t>（</w:t>
            </w:r>
            <w:r>
              <w:rPr>
                <w:color w:val="auto"/>
                <w:sz w:val="26"/>
                <w:szCs w:val="26"/>
              </w:rPr>
              <w:t>2</w:t>
            </w:r>
            <w:r>
              <w:rPr>
                <w:rFonts w:hint="eastAsia"/>
                <w:color w:val="auto"/>
                <w:sz w:val="26"/>
                <w:szCs w:val="26"/>
              </w:rPr>
              <w:t>）基础施工</w:t>
            </w:r>
          </w:p>
          <w:p w14:paraId="2F8EFECC">
            <w:pPr>
              <w:snapToGrid w:val="0"/>
              <w:spacing w:line="460" w:lineRule="exact"/>
              <w:ind w:firstLine="520" w:firstLineChars="200"/>
              <w:rPr>
                <w:color w:val="auto"/>
                <w:sz w:val="26"/>
                <w:szCs w:val="26"/>
              </w:rPr>
            </w:pPr>
            <w:r>
              <w:rPr>
                <w:rFonts w:hint="eastAsia"/>
                <w:color w:val="auto"/>
                <w:sz w:val="26"/>
                <w:szCs w:val="26"/>
              </w:rPr>
              <w:t>包括地面开挖、基础浇筑、预埋基础固定件等地面施工。塔基开挖不爆破，采用人工、小型机械开挖。</w:t>
            </w:r>
          </w:p>
          <w:p w14:paraId="7C54AA93">
            <w:pPr>
              <w:snapToGrid w:val="0"/>
              <w:spacing w:line="460" w:lineRule="exact"/>
              <w:ind w:firstLine="520" w:firstLineChars="200"/>
              <w:rPr>
                <w:color w:val="auto"/>
                <w:sz w:val="26"/>
                <w:szCs w:val="26"/>
              </w:rPr>
            </w:pPr>
            <w:r>
              <w:rPr>
                <w:rFonts w:hint="eastAsia"/>
                <w:color w:val="auto"/>
                <w:sz w:val="26"/>
                <w:szCs w:val="26"/>
              </w:rPr>
              <w:t>（</w:t>
            </w:r>
            <w:r>
              <w:rPr>
                <w:color w:val="auto"/>
                <w:sz w:val="26"/>
                <w:szCs w:val="26"/>
              </w:rPr>
              <w:t>3</w:t>
            </w:r>
            <w:r>
              <w:rPr>
                <w:rFonts w:hint="eastAsia"/>
                <w:color w:val="auto"/>
                <w:sz w:val="26"/>
                <w:szCs w:val="26"/>
              </w:rPr>
              <w:t>）杆塔施工</w:t>
            </w:r>
          </w:p>
          <w:p w14:paraId="6D0A922A">
            <w:pPr>
              <w:snapToGrid w:val="0"/>
              <w:spacing w:line="460" w:lineRule="exact"/>
              <w:ind w:firstLine="520" w:firstLineChars="200"/>
              <w:rPr>
                <w:color w:val="auto"/>
                <w:sz w:val="26"/>
                <w:szCs w:val="26"/>
              </w:rPr>
            </w:pPr>
            <w:r>
              <w:rPr>
                <w:rFonts w:hint="eastAsia"/>
                <w:color w:val="auto"/>
                <w:sz w:val="26"/>
                <w:szCs w:val="26"/>
              </w:rPr>
              <w:t>本项目采用分段分片吊装的方法安装，将吊端在地面分片组装好后，吊至塔上合拢，地线支架与最上段塔身同时吊装。塔吊先安装一半，再对另一半进行安装，后进行紧线和附件安装。</w:t>
            </w:r>
          </w:p>
          <w:p w14:paraId="2096DB4A">
            <w:pPr>
              <w:snapToGrid w:val="0"/>
              <w:spacing w:line="460" w:lineRule="exact"/>
              <w:ind w:firstLine="520" w:firstLineChars="200"/>
              <w:rPr>
                <w:color w:val="auto"/>
                <w:sz w:val="26"/>
                <w:szCs w:val="26"/>
              </w:rPr>
            </w:pPr>
            <w:r>
              <w:rPr>
                <w:rFonts w:hint="eastAsia"/>
                <w:color w:val="auto"/>
                <w:sz w:val="26"/>
                <w:szCs w:val="26"/>
              </w:rPr>
              <w:t>（</w:t>
            </w:r>
            <w:r>
              <w:rPr>
                <w:color w:val="auto"/>
                <w:sz w:val="26"/>
                <w:szCs w:val="26"/>
              </w:rPr>
              <w:t>4</w:t>
            </w:r>
            <w:r>
              <w:rPr>
                <w:rFonts w:hint="eastAsia"/>
                <w:color w:val="auto"/>
                <w:sz w:val="26"/>
                <w:szCs w:val="26"/>
              </w:rPr>
              <w:t>）架线施工</w:t>
            </w:r>
          </w:p>
          <w:p w14:paraId="6931A4A9">
            <w:pPr>
              <w:snapToGrid w:val="0"/>
              <w:spacing w:line="460" w:lineRule="exact"/>
              <w:ind w:firstLine="520" w:firstLineChars="200"/>
              <w:rPr>
                <w:bCs/>
                <w:color w:val="auto"/>
                <w:sz w:val="26"/>
                <w:szCs w:val="26"/>
              </w:rPr>
            </w:pPr>
            <w:r>
              <w:rPr>
                <w:rFonts w:hint="eastAsia"/>
                <w:bCs/>
                <w:color w:val="auto"/>
                <w:sz w:val="26"/>
                <w:szCs w:val="26"/>
              </w:rPr>
              <w:t>线路架线采用张力架线方法施工，不同地形采取不同的放线方法，如：人工拉氢气球、遥控汽艇和无人机等工艺，施工人员可充分利用施工道路等场地进行操作，不需新增占地，张力架线施工方法为：架空地线展放及收紧、展放导引绳、牵放牵引绳、牵放导线、锚固导线、紧线临锚、附件安装、压接升空、间隔棒安装、耐张塔平衡挂线和跳线安装等。</w:t>
            </w:r>
          </w:p>
          <w:p w14:paraId="599C52AC">
            <w:pPr>
              <w:snapToGrid w:val="0"/>
              <w:spacing w:line="460" w:lineRule="exact"/>
              <w:ind w:firstLine="520" w:firstLineChars="200"/>
              <w:rPr>
                <w:bCs/>
                <w:color w:val="auto"/>
                <w:sz w:val="26"/>
                <w:szCs w:val="26"/>
              </w:rPr>
            </w:pPr>
            <w:r>
              <w:rPr>
                <w:rFonts w:hint="eastAsia"/>
                <w:bCs/>
                <w:color w:val="auto"/>
                <w:sz w:val="26"/>
                <w:szCs w:val="26"/>
              </w:rPr>
              <w:t>线路施工工艺流程图及产污环节见图2-3。</w:t>
            </w:r>
          </w:p>
          <w:p w14:paraId="46D0242A">
            <w:pPr>
              <w:spacing w:line="360" w:lineRule="auto"/>
              <w:ind w:firstLine="420" w:firstLineChars="200"/>
              <w:rPr>
                <w:bCs/>
                <w:color w:val="auto"/>
              </w:rPr>
            </w:pPr>
          </w:p>
          <w:p w14:paraId="1FD124E4">
            <w:pPr>
              <w:spacing w:line="360" w:lineRule="auto"/>
              <w:ind w:firstLine="420" w:firstLineChars="200"/>
              <w:rPr>
                <w:bCs/>
                <w:color w:val="auto"/>
              </w:rPr>
            </w:pPr>
            <w:r>
              <w:rPr>
                <w:color w:val="auto"/>
              </w:rPr>
              <mc:AlternateContent>
                <mc:Choice Requires="wps">
                  <w:drawing>
                    <wp:anchor distT="0" distB="0" distL="114300" distR="114300" simplePos="0" relativeHeight="251681792" behindDoc="0" locked="0" layoutInCell="1" allowOverlap="1">
                      <wp:simplePos x="0" y="0"/>
                      <wp:positionH relativeFrom="column">
                        <wp:posOffset>3801745</wp:posOffset>
                      </wp:positionH>
                      <wp:positionV relativeFrom="paragraph">
                        <wp:posOffset>81915</wp:posOffset>
                      </wp:positionV>
                      <wp:extent cx="744220" cy="289560"/>
                      <wp:effectExtent l="0" t="0" r="0" b="0"/>
                      <wp:wrapNone/>
                      <wp:docPr id="8" name="文本框 8"/>
                      <wp:cNvGraphicFramePr/>
                      <a:graphic xmlns:a="http://schemas.openxmlformats.org/drawingml/2006/main">
                        <a:graphicData uri="http://schemas.microsoft.com/office/word/2010/wordprocessingShape">
                          <wps:wsp>
                            <wps:cNvSpPr txBox="1"/>
                            <wps:spPr>
                              <a:xfrm>
                                <a:off x="0" y="0"/>
                                <a:ext cx="744220" cy="289560"/>
                              </a:xfrm>
                              <a:prstGeom prst="rect">
                                <a:avLst/>
                              </a:prstGeom>
                              <a:noFill/>
                              <a:ln>
                                <a:noFill/>
                              </a:ln>
                            </wps:spPr>
                            <wps:txbx>
                              <w:txbxContent>
                                <w:p w14:paraId="3324AC30">
                                  <w:pPr>
                                    <w:jc w:val="center"/>
                                  </w:pPr>
                                  <w:r>
                                    <w:rPr>
                                      <w:rFonts w:hint="eastAsia"/>
                                    </w:rPr>
                                    <w:t>营运期</w:t>
                                  </w:r>
                                </w:p>
                              </w:txbxContent>
                            </wps:txbx>
                            <wps:bodyPr lIns="91439" tIns="45720" rIns="91439" bIns="45720" upright="1"/>
                          </wps:wsp>
                        </a:graphicData>
                      </a:graphic>
                    </wp:anchor>
                  </w:drawing>
                </mc:Choice>
                <mc:Fallback>
                  <w:pict>
                    <v:shape id="_x0000_s1026" o:spid="_x0000_s1026" o:spt="202" type="#_x0000_t202" style="position:absolute;left:0pt;margin-left:299.35pt;margin-top:6.45pt;height:22.8pt;width:58.6pt;z-index:251681792;mso-width-relative:page;mso-height-relative:page;" filled="f" stroked="f" coordsize="21600,21600" o:gfxdata="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CNSl1c2AAAAAkBAAAPAAAAAAAAAAEAIAAAACIAAABkcnMvZG93bnJl&#10;di54bWxQSwECFAAUAAAACACHTuJA5MYcOcQBAACBAwAADgAAAAAAAAABACAAAAAnAQAAZHJzL2Uy&#10;b0RvYy54bWxQSwUGAAAAAAYABgBZAQAAXQUAAAAA&#10;">
                      <v:fill on="f" focussize="0,0"/>
                      <v:stroke on="f"/>
                      <v:imagedata o:title=""/>
                      <o:lock v:ext="edit" aspectratio="f"/>
                      <v:textbox inset="7.19992125984252pt,1.27mm,7.19992125984252pt,1.27mm">
                        <w:txbxContent>
                          <w:p w14:paraId="3324AC30">
                            <w:pPr>
                              <w:jc w:val="center"/>
                            </w:pPr>
                            <w:r>
                              <w:rPr>
                                <w:rFonts w:hint="eastAsia"/>
                              </w:rPr>
                              <w:t>营运期</w:t>
                            </w:r>
                          </w:p>
                        </w:txbxContent>
                      </v:textbox>
                    </v:shape>
                  </w:pict>
                </mc:Fallback>
              </mc:AlternateContent>
            </w:r>
            <w:r>
              <w:rPr>
                <w:color w:val="auto"/>
              </w:rPr>
              <mc:AlternateContent>
                <mc:Choice Requires="wps">
                  <w:drawing>
                    <wp:anchor distT="0" distB="0" distL="114300" distR="114300" simplePos="0" relativeHeight="251679744" behindDoc="0" locked="0" layoutInCell="1" allowOverlap="1">
                      <wp:simplePos x="0" y="0"/>
                      <wp:positionH relativeFrom="column">
                        <wp:posOffset>1649095</wp:posOffset>
                      </wp:positionH>
                      <wp:positionV relativeFrom="paragraph">
                        <wp:posOffset>42545</wp:posOffset>
                      </wp:positionV>
                      <wp:extent cx="744220" cy="336550"/>
                      <wp:effectExtent l="0" t="0" r="0" b="0"/>
                      <wp:wrapNone/>
                      <wp:docPr id="4" name="文本框 4"/>
                      <wp:cNvGraphicFramePr/>
                      <a:graphic xmlns:a="http://schemas.openxmlformats.org/drawingml/2006/main">
                        <a:graphicData uri="http://schemas.microsoft.com/office/word/2010/wordprocessingShape">
                          <wps:wsp>
                            <wps:cNvSpPr txBox="1"/>
                            <wps:spPr>
                              <a:xfrm>
                                <a:off x="0" y="0"/>
                                <a:ext cx="744220" cy="336550"/>
                              </a:xfrm>
                              <a:prstGeom prst="rect">
                                <a:avLst/>
                              </a:prstGeom>
                              <a:noFill/>
                              <a:ln>
                                <a:noFill/>
                              </a:ln>
                            </wps:spPr>
                            <wps:txbx>
                              <w:txbxContent>
                                <w:p w14:paraId="20F57D45">
                                  <w:r>
                                    <w:rPr>
                                      <w:rFonts w:hint="eastAsia"/>
                                    </w:rPr>
                                    <w:t>施工期</w:t>
                                  </w:r>
                                </w:p>
                              </w:txbxContent>
                            </wps:txbx>
                            <wps:bodyPr lIns="91439" tIns="45720" rIns="91439" bIns="45720" upright="1"/>
                          </wps:wsp>
                        </a:graphicData>
                      </a:graphic>
                    </wp:anchor>
                  </w:drawing>
                </mc:Choice>
                <mc:Fallback>
                  <w:pict>
                    <v:shape id="_x0000_s1026" o:spid="_x0000_s1026" o:spt="202" type="#_x0000_t202" style="position:absolute;left:0pt;margin-left:129.85pt;margin-top:3.35pt;height:26.5pt;width:58.6pt;z-index:251679744;mso-width-relative:page;mso-height-relative:page;" filled="f" stroked="f" coordsize="21600,21600" o:gfxdata="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Hlh7i9gAAAAIAQAADwAAAAAAAAABACAAAAAiAAAAZHJzL2Rvd25y&#10;ZXYueG1sUEsBAhQAFAAAAAgAh07iQHAbHI3FAQAAgQMAAA4AAAAAAAAAAQAgAAAAJwEAAGRycy9l&#10;Mm9Eb2MueG1sUEsFBgAAAAAGAAYAWQEAAF4FAAAAAA==&#10;">
                      <v:fill on="f" focussize="0,0"/>
                      <v:stroke on="f"/>
                      <v:imagedata o:title=""/>
                      <o:lock v:ext="edit" aspectratio="f"/>
                      <v:textbox inset="7.19992125984252pt,1.27mm,7.19992125984252pt,1.27mm">
                        <w:txbxContent>
                          <w:p w14:paraId="20F57D45">
                            <w:r>
                              <w:rPr>
                                <w:rFonts w:hint="eastAsia"/>
                              </w:rPr>
                              <w:t>施工期</w:t>
                            </w:r>
                          </w:p>
                        </w:txbxContent>
                      </v:textbox>
                    </v:shape>
                  </w:pict>
                </mc:Fallback>
              </mc:AlternateContent>
            </w:r>
          </w:p>
          <w:p w14:paraId="7B12A4C3">
            <w:pPr>
              <w:spacing w:line="360" w:lineRule="auto"/>
              <w:ind w:firstLine="420" w:firstLineChars="200"/>
              <w:rPr>
                <w:bCs/>
                <w:color w:val="auto"/>
              </w:rPr>
            </w:pPr>
            <w:r>
              <w:rPr>
                <w:color w:val="auto"/>
              </w:rPr>
              <mc:AlternateContent>
                <mc:Choice Requires="wps">
                  <w:drawing>
                    <wp:anchor distT="0" distB="0" distL="114300" distR="114300" simplePos="0" relativeHeight="251680768" behindDoc="0" locked="0" layoutInCell="1" allowOverlap="1">
                      <wp:simplePos x="0" y="0"/>
                      <wp:positionH relativeFrom="column">
                        <wp:posOffset>4098290</wp:posOffset>
                      </wp:positionH>
                      <wp:positionV relativeFrom="paragraph">
                        <wp:posOffset>-231775</wp:posOffset>
                      </wp:positionV>
                      <wp:extent cx="177800" cy="899160"/>
                      <wp:effectExtent l="7620" t="7620" r="26670" b="5080"/>
                      <wp:wrapNone/>
                      <wp:docPr id="16" name="左大括号 16"/>
                      <wp:cNvGraphicFramePr/>
                      <a:graphic xmlns:a="http://schemas.openxmlformats.org/drawingml/2006/main">
                        <a:graphicData uri="http://schemas.microsoft.com/office/word/2010/wordprocessingShape">
                          <wps:wsp>
                            <wps:cNvSpPr/>
                            <wps:spPr>
                              <a:xfrm rot="-5400000" flipH="1">
                                <a:off x="0" y="0"/>
                                <a:ext cx="177800" cy="899160"/>
                              </a:xfrm>
                              <a:prstGeom prst="leftBrace">
                                <a:avLst>
                                  <a:gd name="adj1" fmla="val 42142"/>
                                  <a:gd name="adj2" fmla="val 50000"/>
                                </a:avLst>
                              </a:prstGeom>
                              <a:noFill/>
                              <a:ln w="1587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87" type="#_x0000_t87" style="position:absolute;left:0pt;flip:x;margin-left:322.7pt;margin-top:-18.25pt;height:70.8pt;width:14pt;rotation:5898240f;z-index:251680768;mso-width-relative:page;mso-height-relative:page;" filled="f" stroked="t" coordsize="21600,21600" o:gfxdata="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CRPOdNoAAAALAQAADwAAAAAAAAABACAAAAAiAAAAZHJzL2Rvd25yZXYu&#10;eG1sUEsBAhQAFAAAAAgAh07iQEGyz5YyAgAAYgQAAA4AAAAAAAAAAQAgAAAAKQEAAGRycy9lMm9E&#10;b2MueG1sUEsFBgAAAAAGAAYAWQEAAM0FAAAAAA==&#10;" adj="1799,10800">
                      <v:fill on="f" focussize="0,0"/>
                      <v:stroke weight="1.25pt" color="#000000" joinstyle="round"/>
                      <v:imagedata o:title=""/>
                      <o:lock v:ext="edit" aspectratio="f"/>
                    </v:shape>
                  </w:pict>
                </mc:Fallback>
              </mc:AlternateContent>
            </w:r>
            <w:r>
              <w:rPr>
                <w:color w:val="auto"/>
              </w:rPr>
              <mc:AlternateContent>
                <mc:Choice Requires="wps">
                  <w:drawing>
                    <wp:anchor distT="0" distB="0" distL="114300" distR="114300" simplePos="0" relativeHeight="251678720" behindDoc="0" locked="0" layoutInCell="1" allowOverlap="1">
                      <wp:simplePos x="0" y="0"/>
                      <wp:positionH relativeFrom="column">
                        <wp:posOffset>1812925</wp:posOffset>
                      </wp:positionH>
                      <wp:positionV relativeFrom="paragraph">
                        <wp:posOffset>-1577340</wp:posOffset>
                      </wp:positionV>
                      <wp:extent cx="271145" cy="3512185"/>
                      <wp:effectExtent l="7620" t="7620" r="23495" b="6985"/>
                      <wp:wrapNone/>
                      <wp:docPr id="2" name="左大括号 2"/>
                      <wp:cNvGraphicFramePr/>
                      <a:graphic xmlns:a="http://schemas.openxmlformats.org/drawingml/2006/main">
                        <a:graphicData uri="http://schemas.microsoft.com/office/word/2010/wordprocessingShape">
                          <wps:wsp>
                            <wps:cNvSpPr/>
                            <wps:spPr>
                              <a:xfrm rot="-5400000" flipH="1">
                                <a:off x="0" y="0"/>
                                <a:ext cx="271145" cy="3512185"/>
                              </a:xfrm>
                              <a:prstGeom prst="leftBrace">
                                <a:avLst>
                                  <a:gd name="adj1" fmla="val 107943"/>
                                  <a:gd name="adj2" fmla="val 50000"/>
                                </a:avLst>
                              </a:prstGeom>
                              <a:noFill/>
                              <a:ln w="15875" cap="flat" cmpd="sng">
                                <a:solidFill>
                                  <a:srgbClr val="000000"/>
                                </a:solidFill>
                                <a:prstDash val="solid"/>
                                <a:headEnd type="none" w="med" len="med"/>
                                <a:tailEnd type="none" w="med" len="med"/>
                              </a:ln>
                            </wps:spPr>
                            <wps:txbx>
                              <w:txbxContent>
                                <w:p w14:paraId="4F653AF8"/>
                              </w:txbxContent>
                            </wps:txbx>
                            <wps:bodyPr upright="1"/>
                          </wps:wsp>
                        </a:graphicData>
                      </a:graphic>
                    </wp:anchor>
                  </w:drawing>
                </mc:Choice>
                <mc:Fallback>
                  <w:pict>
                    <v:shape id="_x0000_s1026" o:spid="_x0000_s1026" o:spt="87" type="#_x0000_t87" style="position:absolute;left:0pt;flip:x;margin-left:142.75pt;margin-top:-124.2pt;height:276.55pt;width:21.35pt;rotation:5898240f;z-index:251678720;mso-width-relative:page;mso-height-relative:page;" filled="f" stroked="t" coordsize="21600,21600" o:gfxdata="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nq5qBtwAAAAMAQAADwAAAAAAAAABACAAAAAiAAAAZHJz&#10;L2Rvd25yZXYueG1sUEsBAhQAFAAAAAgAh07iQPyi1+I5AgAAbQQAAA4AAAAAAAAAAQAgAAAAKwEA&#10;AGRycy9lMm9Eb2MueG1sUEsFBgAAAAAGAAYAWQEAANYFAAAAAA==&#10;" adj="1799,10800">
                      <v:fill on="f" focussize="0,0"/>
                      <v:stroke weight="1.25pt" color="#000000" joinstyle="round"/>
                      <v:imagedata o:title=""/>
                      <o:lock v:ext="edit" aspectratio="f"/>
                      <v:textbox>
                        <w:txbxContent>
                          <w:p w14:paraId="4F653AF8"/>
                        </w:txbxContent>
                      </v:textbox>
                    </v:shape>
                  </w:pict>
                </mc:Fallback>
              </mc:AlternateContent>
            </w:r>
          </w:p>
          <w:p w14:paraId="2C9B348B">
            <w:pPr>
              <w:spacing w:line="360" w:lineRule="auto"/>
              <w:ind w:firstLine="420" w:firstLineChars="200"/>
              <w:rPr>
                <w:bCs/>
                <w:color w:val="auto"/>
              </w:rPr>
            </w:pPr>
            <w:r>
              <w:rPr>
                <w:color w:val="auto"/>
              </w:rPr>
              <mc:AlternateContent>
                <mc:Choice Requires="wps">
                  <w:drawing>
                    <wp:anchor distT="0" distB="0" distL="114300" distR="114300" simplePos="0" relativeHeight="251661312" behindDoc="0" locked="0" layoutInCell="1" allowOverlap="1">
                      <wp:simplePos x="0" y="0"/>
                      <wp:positionH relativeFrom="column">
                        <wp:posOffset>1711960</wp:posOffset>
                      </wp:positionH>
                      <wp:positionV relativeFrom="paragraph">
                        <wp:posOffset>132715</wp:posOffset>
                      </wp:positionV>
                      <wp:extent cx="507365" cy="492125"/>
                      <wp:effectExtent l="4445" t="5080" r="21590" b="17145"/>
                      <wp:wrapNone/>
                      <wp:docPr id="9" name="文本框 9"/>
                      <wp:cNvGraphicFramePr/>
                      <a:graphic xmlns:a="http://schemas.openxmlformats.org/drawingml/2006/main">
                        <a:graphicData uri="http://schemas.microsoft.com/office/word/2010/wordprocessingShape">
                          <wps:wsp>
                            <wps:cNvSpPr txBox="1"/>
                            <wps:spPr>
                              <a:xfrm>
                                <a:off x="0" y="0"/>
                                <a:ext cx="507365" cy="49212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65AE11F">
                                  <w:pPr>
                                    <w:jc w:val="center"/>
                                  </w:pPr>
                                  <w:r>
                                    <w:rPr>
                                      <w:rFonts w:hint="eastAsia"/>
                                    </w:rPr>
                                    <w:t>杆塔安装</w:t>
                                  </w:r>
                                </w:p>
                              </w:txbxContent>
                            </wps:txbx>
                            <wps:bodyPr upright="1"/>
                          </wps:wsp>
                        </a:graphicData>
                      </a:graphic>
                    </wp:anchor>
                  </w:drawing>
                </mc:Choice>
                <mc:Fallback>
                  <w:pict>
                    <v:shape id="_x0000_s1026" o:spid="_x0000_s1026" o:spt="202" type="#_x0000_t202" style="position:absolute;left:0pt;margin-left:134.8pt;margin-top:10.45pt;height:38.75pt;width:39.95pt;z-index:251661312;mso-width-relative:page;mso-height-relative:page;" fillcolor="#FFFFFF" filled="t" stroked="t" coordsize="21600,21600" o:gfxdata="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VLCum9kAAAAJAQAADwAAAAAAAAABACAAAAAi&#10;AAAAZHJzL2Rvd25yZXYueG1sUEsBAhQAFAAAAAgAh07iQMJSbdAJAgAANQQAAA4AAAAAAAAAAQAg&#10;AAAAKAEAAGRycy9lMm9Eb2MueG1sUEsFBgAAAAAGAAYAWQEAAKMFAAAAAA==&#10;">
                      <v:fill on="t" focussize="0,0"/>
                      <v:stroke color="#000000" joinstyle="miter"/>
                      <v:imagedata o:title=""/>
                      <o:lock v:ext="edit" aspectratio="f"/>
                      <v:textbox>
                        <w:txbxContent>
                          <w:p w14:paraId="765AE11F">
                            <w:pPr>
                              <w:jc w:val="center"/>
                            </w:pPr>
                            <w:r>
                              <w:rPr>
                                <w:rFonts w:hint="eastAsia"/>
                              </w:rPr>
                              <w:t>杆塔安装</w:t>
                            </w:r>
                          </w:p>
                        </w:txbxContent>
                      </v:textbox>
                    </v:shape>
                  </w:pict>
                </mc:Fallback>
              </mc:AlternateContent>
            </w:r>
            <w:r>
              <w:rPr>
                <w:color w:val="auto"/>
              </w:rPr>
              <mc:AlternateContent>
                <mc:Choice Requires="wps">
                  <w:drawing>
                    <wp:anchor distT="0" distB="0" distL="114300" distR="114300" simplePos="0" relativeHeight="251664384" behindDoc="0" locked="0" layoutInCell="1" allowOverlap="1">
                      <wp:simplePos x="0" y="0"/>
                      <wp:positionH relativeFrom="column">
                        <wp:posOffset>4368165</wp:posOffset>
                      </wp:positionH>
                      <wp:positionV relativeFrom="paragraph">
                        <wp:posOffset>111125</wp:posOffset>
                      </wp:positionV>
                      <wp:extent cx="507365" cy="492125"/>
                      <wp:effectExtent l="4445" t="5080" r="21590" b="17145"/>
                      <wp:wrapNone/>
                      <wp:docPr id="6" name="文本框 6"/>
                      <wp:cNvGraphicFramePr/>
                      <a:graphic xmlns:a="http://schemas.openxmlformats.org/drawingml/2006/main">
                        <a:graphicData uri="http://schemas.microsoft.com/office/word/2010/wordprocessingShape">
                          <wps:wsp>
                            <wps:cNvSpPr txBox="1"/>
                            <wps:spPr>
                              <a:xfrm>
                                <a:off x="0" y="0"/>
                                <a:ext cx="507365" cy="49212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9BADA12">
                                  <w:pPr>
                                    <w:jc w:val="center"/>
                                  </w:pPr>
                                  <w:r>
                                    <w:rPr>
                                      <w:rFonts w:hint="eastAsia"/>
                                    </w:rPr>
                                    <w:t>投产使用</w:t>
                                  </w:r>
                                </w:p>
                              </w:txbxContent>
                            </wps:txbx>
                            <wps:bodyPr upright="1"/>
                          </wps:wsp>
                        </a:graphicData>
                      </a:graphic>
                    </wp:anchor>
                  </w:drawing>
                </mc:Choice>
                <mc:Fallback>
                  <w:pict>
                    <v:shape id="_x0000_s1026" o:spid="_x0000_s1026" o:spt="202" type="#_x0000_t202" style="position:absolute;left:0pt;margin-left:343.95pt;margin-top:8.75pt;height:38.75pt;width:39.95pt;z-index:251664384;mso-width-relative:page;mso-height-relative:page;" fillcolor="#FFFFFF" filled="t" stroked="t" coordsize="21600,21600" o:gfxdata="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TCEK1dgAAAAJAQAADwAAAAAAAAABACAAAAAi&#10;AAAAZHJzL2Rvd25yZXYueG1sUEsBAhQAFAAAAAgAh07iQNG6ppAKAgAANQQAAA4AAAAAAAAAAQAg&#10;AAAAJwEAAGRycy9lMm9Eb2MueG1sUEsFBgAAAAAGAAYAWQEAAKMFAAAAAA==&#10;">
                      <v:fill on="t" focussize="0,0"/>
                      <v:stroke color="#000000" joinstyle="miter"/>
                      <v:imagedata o:title=""/>
                      <o:lock v:ext="edit" aspectratio="f"/>
                      <v:textbox>
                        <w:txbxContent>
                          <w:p w14:paraId="79BADA12">
                            <w:pPr>
                              <w:jc w:val="center"/>
                            </w:pPr>
                            <w:r>
                              <w:rPr>
                                <w:rFonts w:hint="eastAsia"/>
                              </w:rPr>
                              <w:t>投产使用</w:t>
                            </w:r>
                          </w:p>
                        </w:txbxContent>
                      </v:textbox>
                    </v:shape>
                  </w:pict>
                </mc:Fallback>
              </mc:AlternateContent>
            </w:r>
            <w:r>
              <w:rPr>
                <w:color w:val="auto"/>
              </w:rPr>
              <mc:AlternateContent>
                <mc:Choice Requires="wps">
                  <w:drawing>
                    <wp:anchor distT="0" distB="0" distL="114300" distR="114300" simplePos="0" relativeHeight="251663360" behindDoc="0" locked="0" layoutInCell="1" allowOverlap="1">
                      <wp:simplePos x="0" y="0"/>
                      <wp:positionH relativeFrom="column">
                        <wp:posOffset>3393440</wp:posOffset>
                      </wp:positionH>
                      <wp:positionV relativeFrom="paragraph">
                        <wp:posOffset>111125</wp:posOffset>
                      </wp:positionV>
                      <wp:extent cx="507365" cy="492125"/>
                      <wp:effectExtent l="4445" t="5080" r="21590" b="17145"/>
                      <wp:wrapNone/>
                      <wp:docPr id="11" name="文本框 11"/>
                      <wp:cNvGraphicFramePr/>
                      <a:graphic xmlns:a="http://schemas.openxmlformats.org/drawingml/2006/main">
                        <a:graphicData uri="http://schemas.microsoft.com/office/word/2010/wordprocessingShape">
                          <wps:wsp>
                            <wps:cNvSpPr txBox="1"/>
                            <wps:spPr>
                              <a:xfrm>
                                <a:off x="0" y="0"/>
                                <a:ext cx="507365" cy="49212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84503D1">
                                  <w:pPr>
                                    <w:jc w:val="center"/>
                                  </w:pPr>
                                  <w:r>
                                    <w:rPr>
                                      <w:rFonts w:hint="eastAsia"/>
                                    </w:rPr>
                                    <w:t>接通线路</w:t>
                                  </w:r>
                                </w:p>
                              </w:txbxContent>
                            </wps:txbx>
                            <wps:bodyPr upright="1"/>
                          </wps:wsp>
                        </a:graphicData>
                      </a:graphic>
                    </wp:anchor>
                  </w:drawing>
                </mc:Choice>
                <mc:Fallback>
                  <w:pict>
                    <v:shape id="_x0000_s1026" o:spid="_x0000_s1026" o:spt="202" type="#_x0000_t202" style="position:absolute;left:0pt;margin-left:267.2pt;margin-top:8.75pt;height:38.75pt;width:39.95pt;z-index:251663360;mso-width-relative:page;mso-height-relative:page;" fillcolor="#FFFFFF" filled="t" stroked="t" coordsize="21600,21600" o:gfxdata="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Lk0yCzZAAAACQEAAA8AAAAAAAAAAQAgAAAA&#10;IgAAAGRycy9kb3ducmV2LnhtbFBLAQIUABQAAAAIAIdO4kDxuLIHCgIAADcEAAAOAAAAAAAAAAEA&#10;IAAAACgBAABkcnMvZTJvRG9jLnhtbFBLBQYAAAAABgAGAFkBAACkBQAAAAA=&#10;">
                      <v:fill on="t" focussize="0,0"/>
                      <v:stroke color="#000000" joinstyle="miter"/>
                      <v:imagedata o:title=""/>
                      <o:lock v:ext="edit" aspectratio="f"/>
                      <v:textbox>
                        <w:txbxContent>
                          <w:p w14:paraId="284503D1">
                            <w:pPr>
                              <w:jc w:val="center"/>
                            </w:pPr>
                            <w:r>
                              <w:rPr>
                                <w:rFonts w:hint="eastAsia"/>
                              </w:rPr>
                              <w:t>接通线路</w:t>
                            </w:r>
                          </w:p>
                        </w:txbxContent>
                      </v:textbox>
                    </v:shape>
                  </w:pict>
                </mc:Fallback>
              </mc:AlternateContent>
            </w:r>
            <w:r>
              <w:rPr>
                <w:color w:val="auto"/>
              </w:rPr>
              <mc:AlternateContent>
                <mc:Choice Requires="wps">
                  <w:drawing>
                    <wp:anchor distT="0" distB="0" distL="114300" distR="114300" simplePos="0" relativeHeight="251662336" behindDoc="0" locked="0" layoutInCell="1" allowOverlap="1">
                      <wp:simplePos x="0" y="0"/>
                      <wp:positionH relativeFrom="column">
                        <wp:posOffset>2552700</wp:posOffset>
                      </wp:positionH>
                      <wp:positionV relativeFrom="paragraph">
                        <wp:posOffset>118110</wp:posOffset>
                      </wp:positionV>
                      <wp:extent cx="507365" cy="492125"/>
                      <wp:effectExtent l="4445" t="5080" r="21590" b="17145"/>
                      <wp:wrapNone/>
                      <wp:docPr id="7" name="文本框 7"/>
                      <wp:cNvGraphicFramePr/>
                      <a:graphic xmlns:a="http://schemas.openxmlformats.org/drawingml/2006/main">
                        <a:graphicData uri="http://schemas.microsoft.com/office/word/2010/wordprocessingShape">
                          <wps:wsp>
                            <wps:cNvSpPr txBox="1"/>
                            <wps:spPr>
                              <a:xfrm>
                                <a:off x="0" y="0"/>
                                <a:ext cx="507365" cy="49212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FEFA057">
                                  <w:pPr>
                                    <w:jc w:val="center"/>
                                  </w:pPr>
                                  <w:r>
                                    <w:rPr>
                                      <w:rFonts w:hint="eastAsia"/>
                                    </w:rPr>
                                    <w:t>线路架设</w:t>
                                  </w:r>
                                </w:p>
                              </w:txbxContent>
                            </wps:txbx>
                            <wps:bodyPr upright="1"/>
                          </wps:wsp>
                        </a:graphicData>
                      </a:graphic>
                    </wp:anchor>
                  </w:drawing>
                </mc:Choice>
                <mc:Fallback>
                  <w:pict>
                    <v:shape id="_x0000_s1026" o:spid="_x0000_s1026" o:spt="202" type="#_x0000_t202" style="position:absolute;left:0pt;margin-left:201pt;margin-top:9.3pt;height:38.75pt;width:39.95pt;z-index:251662336;mso-width-relative:page;mso-height-relative:page;" fillcolor="#FFFFFF" filled="t" stroked="t" coordsize="21600,21600" o:gfxdata="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8c4AS9gAAAAJAQAADwAAAAAAAAABACAAAAAi&#10;AAAAZHJzL2Rvd25yZXYueG1sUEsBAhQAFAAAAAgAh07iQHgzPg4KAgAANQQAAA4AAAAAAAAAAQAg&#10;AAAAJwEAAGRycy9lMm9Eb2MueG1sUEsFBgAAAAAGAAYAWQEAAKMFAAAAAA==&#10;">
                      <v:fill on="t" focussize="0,0"/>
                      <v:stroke color="#000000" joinstyle="miter"/>
                      <v:imagedata o:title=""/>
                      <o:lock v:ext="edit" aspectratio="f"/>
                      <v:textbox>
                        <w:txbxContent>
                          <w:p w14:paraId="6FEFA057">
                            <w:pPr>
                              <w:jc w:val="center"/>
                            </w:pPr>
                            <w:r>
                              <w:rPr>
                                <w:rFonts w:hint="eastAsia"/>
                              </w:rPr>
                              <w:t>线路架设</w:t>
                            </w:r>
                          </w:p>
                        </w:txbxContent>
                      </v:textbox>
                    </v:shape>
                  </w:pict>
                </mc:Fallback>
              </mc:AlternateContent>
            </w:r>
            <w:r>
              <w:rPr>
                <w:color w:val="auto"/>
              </w:rPr>
              <mc:AlternateContent>
                <mc:Choice Requires="wps">
                  <w:drawing>
                    <wp:anchor distT="0" distB="0" distL="114300" distR="114300" simplePos="0" relativeHeight="251660288" behindDoc="0" locked="0" layoutInCell="1" allowOverlap="1">
                      <wp:simplePos x="0" y="0"/>
                      <wp:positionH relativeFrom="column">
                        <wp:posOffset>870585</wp:posOffset>
                      </wp:positionH>
                      <wp:positionV relativeFrom="paragraph">
                        <wp:posOffset>132715</wp:posOffset>
                      </wp:positionV>
                      <wp:extent cx="507365" cy="492125"/>
                      <wp:effectExtent l="4445" t="5080" r="21590" b="17145"/>
                      <wp:wrapNone/>
                      <wp:docPr id="10" name="文本框 10"/>
                      <wp:cNvGraphicFramePr/>
                      <a:graphic xmlns:a="http://schemas.openxmlformats.org/drawingml/2006/main">
                        <a:graphicData uri="http://schemas.microsoft.com/office/word/2010/wordprocessingShape">
                          <wps:wsp>
                            <wps:cNvSpPr txBox="1"/>
                            <wps:spPr>
                              <a:xfrm>
                                <a:off x="0" y="0"/>
                                <a:ext cx="507365" cy="49212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D239DEA">
                                  <w:pPr>
                                    <w:jc w:val="center"/>
                                  </w:pPr>
                                  <w:r>
                                    <w:rPr>
                                      <w:rFonts w:hint="eastAsia"/>
                                    </w:rPr>
                                    <w:t>塔基建设</w:t>
                                  </w:r>
                                </w:p>
                              </w:txbxContent>
                            </wps:txbx>
                            <wps:bodyPr upright="1"/>
                          </wps:wsp>
                        </a:graphicData>
                      </a:graphic>
                    </wp:anchor>
                  </w:drawing>
                </mc:Choice>
                <mc:Fallback>
                  <w:pict>
                    <v:shape id="_x0000_s1026" o:spid="_x0000_s1026" o:spt="202" type="#_x0000_t202" style="position:absolute;left:0pt;margin-left:68.55pt;margin-top:10.45pt;height:38.75pt;width:39.95pt;z-index:251660288;mso-width-relative:page;mso-height-relative:page;" fillcolor="#FFFFFF" filled="t" stroked="t" coordsize="21600,21600" o:gfxdata="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ZlcTB2AAAAAkBAAAPAAAAAAAAAAEAIAAAACIA&#10;AABkcnMvZG93bnJldi54bWxQSwECFAAUAAAACACHTuJAvyQq8QkCAAA3BAAADgAAAAAAAAABACAA&#10;AAAnAQAAZHJzL2Uyb0RvYy54bWxQSwUGAAAAAAYABgBZAQAAogUAAAAA&#10;">
                      <v:fill on="t" focussize="0,0"/>
                      <v:stroke color="#000000" joinstyle="miter"/>
                      <v:imagedata o:title=""/>
                      <o:lock v:ext="edit" aspectratio="f"/>
                      <v:textbox>
                        <w:txbxContent>
                          <w:p w14:paraId="2D239DEA">
                            <w:pPr>
                              <w:jc w:val="center"/>
                            </w:pPr>
                            <w:r>
                              <w:rPr>
                                <w:rFonts w:hint="eastAsia"/>
                              </w:rPr>
                              <w:t>塔基建设</w:t>
                            </w:r>
                          </w:p>
                        </w:txbxContent>
                      </v:textbox>
                    </v:shape>
                  </w:pict>
                </mc:Fallback>
              </mc:AlternateContent>
            </w:r>
            <w:r>
              <w:rPr>
                <w:color w:val="auto"/>
              </w:rPr>
              <mc:AlternateContent>
                <mc:Choice Requires="wps">
                  <w:drawing>
                    <wp:anchor distT="0" distB="0" distL="114300" distR="114300" simplePos="0" relativeHeight="251659264" behindDoc="0" locked="0" layoutInCell="1" allowOverlap="1">
                      <wp:simplePos x="0" y="0"/>
                      <wp:positionH relativeFrom="column">
                        <wp:posOffset>29845</wp:posOffset>
                      </wp:positionH>
                      <wp:positionV relativeFrom="paragraph">
                        <wp:posOffset>136525</wp:posOffset>
                      </wp:positionV>
                      <wp:extent cx="507365" cy="492125"/>
                      <wp:effectExtent l="4445" t="5080" r="21590" b="17145"/>
                      <wp:wrapNone/>
                      <wp:docPr id="12" name="文本框 12"/>
                      <wp:cNvGraphicFramePr/>
                      <a:graphic xmlns:a="http://schemas.openxmlformats.org/drawingml/2006/main">
                        <a:graphicData uri="http://schemas.microsoft.com/office/word/2010/wordprocessingShape">
                          <wps:wsp>
                            <wps:cNvSpPr txBox="1"/>
                            <wps:spPr>
                              <a:xfrm>
                                <a:off x="0" y="0"/>
                                <a:ext cx="507365" cy="49212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1EBF9D0">
                                  <w:pPr>
                                    <w:jc w:val="center"/>
                                  </w:pPr>
                                  <w:r>
                                    <w:rPr>
                                      <w:rFonts w:hint="eastAsia"/>
                                    </w:rPr>
                                    <w:t>地表开挖</w:t>
                                  </w:r>
                                </w:p>
                              </w:txbxContent>
                            </wps:txbx>
                            <wps:bodyPr upright="1"/>
                          </wps:wsp>
                        </a:graphicData>
                      </a:graphic>
                    </wp:anchor>
                  </w:drawing>
                </mc:Choice>
                <mc:Fallback>
                  <w:pict>
                    <v:shape id="_x0000_s1026" o:spid="_x0000_s1026" o:spt="202" type="#_x0000_t202" style="position:absolute;left:0pt;margin-left:2.35pt;margin-top:10.75pt;height:38.75pt;width:39.95pt;z-index:251659264;mso-width-relative:page;mso-height-relative:page;" fillcolor="#FFFFFF" filled="t" stroked="t" coordsize="21600,21600" o:gfxdata="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El4Ny3WAAAABgEAAA8AAAAAAAAAAQAgAAAAIgAA&#10;AGRycy9kb3ducmV2LnhtbFBLAQIUABQAAAAIAIdO4kBiGmrHCgIAADcEAAAOAAAAAAAAAAEAIAAA&#10;ACUBAABkcnMvZTJvRG9jLnhtbFBLBQYAAAAABgAGAFkBAAChBQAAAAA=&#10;">
                      <v:fill on="t" focussize="0,0"/>
                      <v:stroke color="#000000" joinstyle="miter"/>
                      <v:imagedata o:title=""/>
                      <o:lock v:ext="edit" aspectratio="f"/>
                      <v:textbox>
                        <w:txbxContent>
                          <w:p w14:paraId="21EBF9D0">
                            <w:pPr>
                              <w:jc w:val="center"/>
                            </w:pPr>
                            <w:r>
                              <w:rPr>
                                <w:rFonts w:hint="eastAsia"/>
                              </w:rPr>
                              <w:t>地表开挖</w:t>
                            </w:r>
                          </w:p>
                        </w:txbxContent>
                      </v:textbox>
                    </v:shape>
                  </w:pict>
                </mc:Fallback>
              </mc:AlternateContent>
            </w:r>
          </w:p>
          <w:p w14:paraId="08648102">
            <w:pPr>
              <w:spacing w:line="360" w:lineRule="auto"/>
              <w:ind w:firstLine="420" w:firstLineChars="200"/>
              <w:rPr>
                <w:bCs/>
                <w:color w:val="auto"/>
              </w:rPr>
            </w:pPr>
            <w:r>
              <w:rPr>
                <w:color w:val="auto"/>
              </w:rPr>
              <mc:AlternateContent>
                <mc:Choice Requires="wps">
                  <w:drawing>
                    <wp:anchor distT="0" distB="0" distL="114300" distR="114300" simplePos="0" relativeHeight="251669504" behindDoc="0" locked="0" layoutInCell="1" allowOverlap="1">
                      <wp:simplePos x="0" y="0"/>
                      <wp:positionH relativeFrom="column">
                        <wp:posOffset>3900805</wp:posOffset>
                      </wp:positionH>
                      <wp:positionV relativeFrom="paragraph">
                        <wp:posOffset>74295</wp:posOffset>
                      </wp:positionV>
                      <wp:extent cx="467360" cy="0"/>
                      <wp:effectExtent l="0" t="38100" r="8890" b="38100"/>
                      <wp:wrapNone/>
                      <wp:docPr id="14" name="直接连接符 14"/>
                      <wp:cNvGraphicFramePr/>
                      <a:graphic xmlns:a="http://schemas.openxmlformats.org/drawingml/2006/main">
                        <a:graphicData uri="http://schemas.microsoft.com/office/word/2010/wordprocessingShape">
                          <wps:wsp>
                            <wps:cNvCnPr/>
                            <wps:spPr>
                              <a:xfrm>
                                <a:off x="0" y="0"/>
                                <a:ext cx="467360" cy="0"/>
                              </a:xfrm>
                              <a:prstGeom prst="line">
                                <a:avLst/>
                              </a:prstGeom>
                              <a:ln w="15875" cap="flat" cmpd="sng">
                                <a:solidFill>
                                  <a:srgbClr val="000000"/>
                                </a:solidFill>
                                <a:prstDash val="solid"/>
                                <a:headEnd type="none" w="med" len="med"/>
                                <a:tailEnd type="triangle" w="med" len="med"/>
                              </a:ln>
                            </wps:spPr>
                            <wps:bodyPr/>
                          </wps:wsp>
                        </a:graphicData>
                      </a:graphic>
                    </wp:anchor>
                  </w:drawing>
                </mc:Choice>
                <mc:Fallback>
                  <w:pict>
                    <v:line id="_x0000_s1026" o:spid="_x0000_s1026" o:spt="20" style="position:absolute;left:0pt;margin-left:307.15pt;margin-top:5.85pt;height:0pt;width:36.8pt;z-index:251669504;mso-width-relative:page;mso-height-relative:page;" filled="f" stroked="t" coordsize="21600,21600" o:gfxdata="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IZVgvTXAAAACQEAAA8AAAAAAAAAAQAgAAAAIgAAAGRycy9kb3ducmV2LnhtbFBLAQIU&#10;ABQAAAAIAIdO4kDx3sfk9AEAAN4DAAAOAAAAAAAAAAEAIAAAACYBAABkcnMvZTJvRG9jLnhtbFBL&#10;BQYAAAAABgAGAFkBAACMBQAAAAA=&#10;">
                      <v:fill on="f" focussize="0,0"/>
                      <v:stroke weight="1.25pt" color="#000000" joinstyle="round" endarrow="block"/>
                      <v:imagedata o:title=""/>
                      <o:lock v:ext="edit" aspectratio="f"/>
                    </v:line>
                  </w:pict>
                </mc:Fallback>
              </mc:AlternateContent>
            </w:r>
            <w:r>
              <w:rPr>
                <w:color w:val="auto"/>
              </w:rPr>
              <mc:AlternateContent>
                <mc:Choice Requires="wps">
                  <w:drawing>
                    <wp:anchor distT="0" distB="0" distL="114300" distR="114300" simplePos="0" relativeHeight="251668480" behindDoc="0" locked="0" layoutInCell="1" allowOverlap="1">
                      <wp:simplePos x="0" y="0"/>
                      <wp:positionH relativeFrom="column">
                        <wp:posOffset>3060065</wp:posOffset>
                      </wp:positionH>
                      <wp:positionV relativeFrom="paragraph">
                        <wp:posOffset>84455</wp:posOffset>
                      </wp:positionV>
                      <wp:extent cx="333375" cy="635"/>
                      <wp:effectExtent l="0" t="37465" r="9525" b="38100"/>
                      <wp:wrapNone/>
                      <wp:docPr id="13" name="直接连接符 13"/>
                      <wp:cNvGraphicFramePr/>
                      <a:graphic xmlns:a="http://schemas.openxmlformats.org/drawingml/2006/main">
                        <a:graphicData uri="http://schemas.microsoft.com/office/word/2010/wordprocessingShape">
                          <wps:wsp>
                            <wps:cNvCnPr/>
                            <wps:spPr>
                              <a:xfrm>
                                <a:off x="0" y="0"/>
                                <a:ext cx="333375" cy="635"/>
                              </a:xfrm>
                              <a:prstGeom prst="line">
                                <a:avLst/>
                              </a:prstGeom>
                              <a:ln w="15875" cap="flat" cmpd="sng">
                                <a:solidFill>
                                  <a:srgbClr val="000000"/>
                                </a:solidFill>
                                <a:prstDash val="solid"/>
                                <a:headEnd type="none" w="med" len="med"/>
                                <a:tailEnd type="triangle" w="med" len="med"/>
                              </a:ln>
                            </wps:spPr>
                            <wps:bodyPr/>
                          </wps:wsp>
                        </a:graphicData>
                      </a:graphic>
                    </wp:anchor>
                  </w:drawing>
                </mc:Choice>
                <mc:Fallback>
                  <w:pict>
                    <v:line id="_x0000_s1026" o:spid="_x0000_s1026" o:spt="20" style="position:absolute;left:0pt;margin-left:240.95pt;margin-top:6.65pt;height:0.05pt;width:26.25pt;z-index:251668480;mso-width-relative:page;mso-height-relative:page;" filled="f" stroked="t" coordsize="21600,21600" o:gfxdata="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BdlJeE1wAAAAkBAAAPAAAAAAAAAAEAIAAAACIAAABkcnMvZG93bnJldi54bWxQSwECFAAU&#10;AAAACACHTuJAYFbGB/IBAADgAwAADgAAAAAAAAABACAAAAAmAQAAZHJzL2Uyb0RvYy54bWxQSwUG&#10;AAAAAAYABgBZAQAAigUAAAAA&#10;">
                      <v:fill on="f" focussize="0,0"/>
                      <v:stroke weight="1.25pt" color="#000000" joinstyle="round" endarrow="block"/>
                      <v:imagedata o:title=""/>
                      <o:lock v:ext="edit" aspectratio="f"/>
                    </v:line>
                  </w:pict>
                </mc:Fallback>
              </mc:AlternateContent>
            </w:r>
            <w:r>
              <w:rPr>
                <w:color w:val="auto"/>
              </w:rPr>
              <mc:AlternateContent>
                <mc:Choice Requires="wps">
                  <w:drawing>
                    <wp:anchor distT="0" distB="0" distL="114300" distR="114300" simplePos="0" relativeHeight="251667456" behindDoc="0" locked="0" layoutInCell="1" allowOverlap="1">
                      <wp:simplePos x="0" y="0"/>
                      <wp:positionH relativeFrom="column">
                        <wp:posOffset>2219325</wp:posOffset>
                      </wp:positionH>
                      <wp:positionV relativeFrom="paragraph">
                        <wp:posOffset>85725</wp:posOffset>
                      </wp:positionV>
                      <wp:extent cx="333375" cy="635"/>
                      <wp:effectExtent l="0" t="37465" r="9525" b="38100"/>
                      <wp:wrapNone/>
                      <wp:docPr id="15" name="直接连接符 15"/>
                      <wp:cNvGraphicFramePr/>
                      <a:graphic xmlns:a="http://schemas.openxmlformats.org/drawingml/2006/main">
                        <a:graphicData uri="http://schemas.microsoft.com/office/word/2010/wordprocessingShape">
                          <wps:wsp>
                            <wps:cNvCnPr/>
                            <wps:spPr>
                              <a:xfrm>
                                <a:off x="0" y="0"/>
                                <a:ext cx="333375" cy="635"/>
                              </a:xfrm>
                              <a:prstGeom prst="line">
                                <a:avLst/>
                              </a:prstGeom>
                              <a:ln w="15875" cap="flat" cmpd="sng">
                                <a:solidFill>
                                  <a:srgbClr val="000000"/>
                                </a:solidFill>
                                <a:prstDash val="solid"/>
                                <a:headEnd type="none" w="med" len="med"/>
                                <a:tailEnd type="triangle" w="med" len="med"/>
                              </a:ln>
                            </wps:spPr>
                            <wps:bodyPr/>
                          </wps:wsp>
                        </a:graphicData>
                      </a:graphic>
                    </wp:anchor>
                  </w:drawing>
                </mc:Choice>
                <mc:Fallback>
                  <w:pict>
                    <v:line id="_x0000_s1026" o:spid="_x0000_s1026" o:spt="20" style="position:absolute;left:0pt;margin-left:174.75pt;margin-top:6.75pt;height:0.05pt;width:26.25pt;z-index:251667456;mso-width-relative:page;mso-height-relative:page;" filled="f" stroked="t" coordsize="21600,21600" o:gfxdata="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Cxz51PWAAAACQEAAA8AAAAAAAAAAQAgAAAAIgAAAGRycy9kb3ducmV2LnhtbFBLAQIUABQA&#10;AAAIAIdO4kB9z1lS8gEAAOADAAAOAAAAAAAAAAEAIAAAACUBAABkcnMvZTJvRG9jLnhtbFBLBQYA&#10;AAAABgAGAFkBAACJBQAAAAA=&#10;">
                      <v:fill on="f" focussize="0,0"/>
                      <v:stroke weight="1.25pt" color="#000000" joinstyle="round" endarrow="block"/>
                      <v:imagedata o:title=""/>
                      <o:lock v:ext="edit" aspectratio="f"/>
                    </v:line>
                  </w:pict>
                </mc:Fallback>
              </mc:AlternateContent>
            </w:r>
            <w:r>
              <w:rPr>
                <w:color w:val="auto"/>
              </w:rPr>
              <mc:AlternateContent>
                <mc:Choice Requires="wps">
                  <w:drawing>
                    <wp:anchor distT="0" distB="0" distL="114300" distR="114300" simplePos="0" relativeHeight="251666432" behindDoc="0" locked="0" layoutInCell="1" allowOverlap="1">
                      <wp:simplePos x="0" y="0"/>
                      <wp:positionH relativeFrom="column">
                        <wp:posOffset>1377950</wp:posOffset>
                      </wp:positionH>
                      <wp:positionV relativeFrom="paragraph">
                        <wp:posOffset>86360</wp:posOffset>
                      </wp:positionV>
                      <wp:extent cx="333375" cy="635"/>
                      <wp:effectExtent l="0" t="37465" r="9525" b="38100"/>
                      <wp:wrapNone/>
                      <wp:docPr id="19" name="直接连接符 19"/>
                      <wp:cNvGraphicFramePr/>
                      <a:graphic xmlns:a="http://schemas.openxmlformats.org/drawingml/2006/main">
                        <a:graphicData uri="http://schemas.microsoft.com/office/word/2010/wordprocessingShape">
                          <wps:wsp>
                            <wps:cNvCnPr/>
                            <wps:spPr>
                              <a:xfrm>
                                <a:off x="0" y="0"/>
                                <a:ext cx="333375" cy="635"/>
                              </a:xfrm>
                              <a:prstGeom prst="line">
                                <a:avLst/>
                              </a:prstGeom>
                              <a:ln w="15875" cap="flat" cmpd="sng">
                                <a:solidFill>
                                  <a:srgbClr val="000000"/>
                                </a:solidFill>
                                <a:prstDash val="solid"/>
                                <a:headEnd type="none" w="med" len="med"/>
                                <a:tailEnd type="triangle" w="med" len="med"/>
                              </a:ln>
                            </wps:spPr>
                            <wps:bodyPr/>
                          </wps:wsp>
                        </a:graphicData>
                      </a:graphic>
                    </wp:anchor>
                  </w:drawing>
                </mc:Choice>
                <mc:Fallback>
                  <w:pict>
                    <v:line id="_x0000_s1026" o:spid="_x0000_s1026" o:spt="20" style="position:absolute;left:0pt;margin-left:108.5pt;margin-top:6.8pt;height:0.05pt;width:26.25pt;z-index:251666432;mso-width-relative:page;mso-height-relative:page;" filled="f" stroked="t" coordsize="21600,21600" o:gfxdata="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dABlK9cAAAAJAQAADwAAAAAAAAABACAAAAAiAAAAZHJzL2Rvd25yZXYueG1sUEsBAhQA&#10;FAAAAAgAh07iQEf9ZvnzAQAA4AMAAA4AAAAAAAAAAQAgAAAAJgEAAGRycy9lMm9Eb2MueG1sUEsF&#10;BgAAAAAGAAYAWQEAAIsFAAAAAA==&#10;">
                      <v:fill on="f" focussize="0,0"/>
                      <v:stroke weight="1.25pt" color="#000000" joinstyle="round" endarrow="block"/>
                      <v:imagedata o:title=""/>
                      <o:lock v:ext="edit" aspectratio="f"/>
                    </v:line>
                  </w:pict>
                </mc:Fallback>
              </mc:AlternateContent>
            </w:r>
            <w:r>
              <w:rPr>
                <w:color w:val="auto"/>
              </w:rPr>
              <mc:AlternateContent>
                <mc:Choice Requires="wps">
                  <w:drawing>
                    <wp:anchor distT="0" distB="0" distL="114300" distR="114300" simplePos="0" relativeHeight="251665408" behindDoc="0" locked="0" layoutInCell="1" allowOverlap="1">
                      <wp:simplePos x="0" y="0"/>
                      <wp:positionH relativeFrom="column">
                        <wp:posOffset>537210</wp:posOffset>
                      </wp:positionH>
                      <wp:positionV relativeFrom="paragraph">
                        <wp:posOffset>85725</wp:posOffset>
                      </wp:positionV>
                      <wp:extent cx="333375" cy="635"/>
                      <wp:effectExtent l="0" t="37465" r="9525" b="38100"/>
                      <wp:wrapNone/>
                      <wp:docPr id="27" name="直接连接符 27"/>
                      <wp:cNvGraphicFramePr/>
                      <a:graphic xmlns:a="http://schemas.openxmlformats.org/drawingml/2006/main">
                        <a:graphicData uri="http://schemas.microsoft.com/office/word/2010/wordprocessingShape">
                          <wps:wsp>
                            <wps:cNvCnPr/>
                            <wps:spPr>
                              <a:xfrm>
                                <a:off x="0" y="0"/>
                                <a:ext cx="333375" cy="635"/>
                              </a:xfrm>
                              <a:prstGeom prst="line">
                                <a:avLst/>
                              </a:prstGeom>
                              <a:ln w="15875" cap="flat" cmpd="sng">
                                <a:solidFill>
                                  <a:srgbClr val="000000"/>
                                </a:solidFill>
                                <a:prstDash val="solid"/>
                                <a:headEnd type="none" w="med" len="med"/>
                                <a:tailEnd type="triangle" w="med" len="med"/>
                              </a:ln>
                            </wps:spPr>
                            <wps:bodyPr/>
                          </wps:wsp>
                        </a:graphicData>
                      </a:graphic>
                    </wp:anchor>
                  </w:drawing>
                </mc:Choice>
                <mc:Fallback>
                  <w:pict>
                    <v:line id="_x0000_s1026" o:spid="_x0000_s1026" o:spt="20" style="position:absolute;left:0pt;margin-left:42.3pt;margin-top:6.75pt;height:0.05pt;width:26.25pt;z-index:251665408;mso-width-relative:page;mso-height-relative:page;" filled="f" stroked="t" coordsize="21600,21600" o:gfxdata="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DPQjw51gAAAAgBAAAPAAAAAAAAAAEAIAAAACIAAABkcnMvZG93bnJldi54bWxQSwECFAAU&#10;AAAACACHTuJA1kGFUPMBAADgAwAADgAAAAAAAAABACAAAAAlAQAAZHJzL2Uyb0RvYy54bWxQSwUG&#10;AAAAAAYABgBZAQAAigUAAAAA&#10;">
                      <v:fill on="f" focussize="0,0"/>
                      <v:stroke weight="1.25pt" color="#000000" joinstyle="round" endarrow="block"/>
                      <v:imagedata o:title=""/>
                      <o:lock v:ext="edit" aspectratio="f"/>
                    </v:line>
                  </w:pict>
                </mc:Fallback>
              </mc:AlternateContent>
            </w:r>
          </w:p>
          <w:p w14:paraId="1FAEB319">
            <w:pPr>
              <w:spacing w:line="360" w:lineRule="auto"/>
              <w:ind w:firstLine="420" w:firstLineChars="200"/>
              <w:rPr>
                <w:bCs/>
                <w:color w:val="auto"/>
              </w:rPr>
            </w:pPr>
            <w:r>
              <w:rPr>
                <w:color w:val="auto"/>
              </w:rPr>
              <mc:AlternateContent>
                <mc:Choice Requires="wps">
                  <w:drawing>
                    <wp:anchor distT="0" distB="0" distL="114300" distR="114300" simplePos="0" relativeHeight="251675648" behindDoc="0" locked="0" layoutInCell="1" allowOverlap="1">
                      <wp:simplePos x="0" y="0"/>
                      <wp:positionH relativeFrom="column">
                        <wp:posOffset>4638040</wp:posOffset>
                      </wp:positionH>
                      <wp:positionV relativeFrom="paragraph">
                        <wp:posOffset>8890</wp:posOffset>
                      </wp:positionV>
                      <wp:extent cx="635" cy="373380"/>
                      <wp:effectExtent l="37465" t="0" r="38100" b="7620"/>
                      <wp:wrapNone/>
                      <wp:docPr id="17" name="直接连接符 17"/>
                      <wp:cNvGraphicFramePr/>
                      <a:graphic xmlns:a="http://schemas.openxmlformats.org/drawingml/2006/main">
                        <a:graphicData uri="http://schemas.microsoft.com/office/word/2010/wordprocessingShape">
                          <wps:wsp>
                            <wps:cNvCnPr/>
                            <wps:spPr>
                              <a:xfrm>
                                <a:off x="0" y="0"/>
                                <a:ext cx="635" cy="373380"/>
                              </a:xfrm>
                              <a:prstGeom prst="line">
                                <a:avLst/>
                              </a:prstGeom>
                              <a:ln w="15875" cap="flat" cmpd="sng">
                                <a:solidFill>
                                  <a:srgbClr val="000000"/>
                                </a:solidFill>
                                <a:prstDash val="dash"/>
                                <a:headEnd type="none" w="med" len="med"/>
                                <a:tailEnd type="triangle" w="med" len="med"/>
                              </a:ln>
                            </wps:spPr>
                            <wps:bodyPr/>
                          </wps:wsp>
                        </a:graphicData>
                      </a:graphic>
                    </wp:anchor>
                  </w:drawing>
                </mc:Choice>
                <mc:Fallback>
                  <w:pict>
                    <v:line id="_x0000_s1026" o:spid="_x0000_s1026" o:spt="20" style="position:absolute;left:0pt;margin-left:365.2pt;margin-top:0.7pt;height:29.4pt;width:0.05pt;z-index:251675648;mso-width-relative:page;mso-height-relative:page;" filled="f" stroked="t" coordsize="21600,21600" o:gfxdata="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qjRIh1QAAAAgBAAAPAAAAAAAAAAEAIAAAACIAAABkcnMvZG93bnJldi54bWxQSwEC&#10;FAAUAAAACACHTuJAVDSiyfcBAADfAwAADgAAAAAAAAABACAAAAAkAQAAZHJzL2Uyb0RvYy54bWxQ&#10;SwUGAAAAAAYABgBZAQAAjQUAAAAA&#10;">
                      <v:fill on="f" focussize="0,0"/>
                      <v:stroke weight="1.25pt" color="#000000" joinstyle="round" dashstyle="dash" endarrow="block"/>
                      <v:imagedata o:title=""/>
                      <o:lock v:ext="edit" aspectratio="f"/>
                    </v:line>
                  </w:pict>
                </mc:Fallback>
              </mc:AlternateContent>
            </w:r>
            <w:r>
              <w:rPr>
                <w:color w:val="auto"/>
              </w:rPr>
              <mc:AlternateContent>
                <mc:Choice Requires="wps">
                  <w:drawing>
                    <wp:anchor distT="0" distB="0" distL="114300" distR="114300" simplePos="0" relativeHeight="251677696" behindDoc="0" locked="0" layoutInCell="1" allowOverlap="1">
                      <wp:simplePos x="0" y="0"/>
                      <wp:positionH relativeFrom="column">
                        <wp:posOffset>3108325</wp:posOffset>
                      </wp:positionH>
                      <wp:positionV relativeFrom="paragraph">
                        <wp:posOffset>18415</wp:posOffset>
                      </wp:positionV>
                      <wp:extent cx="412750" cy="381635"/>
                      <wp:effectExtent l="0" t="5715" r="6350" b="12700"/>
                      <wp:wrapNone/>
                      <wp:docPr id="18" name="直接连接符 18"/>
                      <wp:cNvGraphicFramePr/>
                      <a:graphic xmlns:a="http://schemas.openxmlformats.org/drawingml/2006/main">
                        <a:graphicData uri="http://schemas.microsoft.com/office/word/2010/wordprocessingShape">
                          <wps:wsp>
                            <wps:cNvCnPr/>
                            <wps:spPr>
                              <a:xfrm flipH="1">
                                <a:off x="0" y="0"/>
                                <a:ext cx="412750" cy="381635"/>
                              </a:xfrm>
                              <a:prstGeom prst="line">
                                <a:avLst/>
                              </a:prstGeom>
                              <a:ln w="15875" cap="flat" cmpd="sng">
                                <a:solidFill>
                                  <a:srgbClr val="000000"/>
                                </a:solidFill>
                                <a:prstDash val="dash"/>
                                <a:headEnd type="none" w="med" len="med"/>
                                <a:tailEnd type="triangle" w="med" len="med"/>
                              </a:ln>
                            </wps:spPr>
                            <wps:bodyPr/>
                          </wps:wsp>
                        </a:graphicData>
                      </a:graphic>
                    </wp:anchor>
                  </w:drawing>
                </mc:Choice>
                <mc:Fallback>
                  <w:pict>
                    <v:line id="_x0000_s1026" o:spid="_x0000_s1026" o:spt="20" style="position:absolute;left:0pt;flip:x;margin-left:244.75pt;margin-top:1.45pt;height:30.05pt;width:32.5pt;z-index:251677696;mso-width-relative:page;mso-height-relative:page;" filled="f" stroked="t" coordsize="21600,21600" o:gfxdata="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Vw35VdYAAAAIAQAADwAAAAAAAAABACAAAAAiAAAAZHJzL2Rvd25y&#10;ZXYueG1sUEsBAhQAFAAAAAgAh07iQEU5hZYAAgAA7AMAAA4AAAAAAAAAAQAgAAAAJQEAAGRycy9l&#10;Mm9Eb2MueG1sUEsFBgAAAAAGAAYAWQEAAJcFAAAAAA==&#10;">
                      <v:fill on="f" focussize="0,0"/>
                      <v:stroke weight="1.25pt" color="#000000" joinstyle="round" dashstyle="dash" endarrow="block"/>
                      <v:imagedata o:title=""/>
                      <o:lock v:ext="edit" aspectratio="f"/>
                    </v:line>
                  </w:pict>
                </mc:Fallback>
              </mc:AlternateContent>
            </w:r>
            <w:r>
              <w:rPr>
                <w:color w:val="auto"/>
              </w:rPr>
              <mc:AlternateContent>
                <mc:Choice Requires="wps">
                  <w:drawing>
                    <wp:anchor distT="0" distB="0" distL="114300" distR="114300" simplePos="0" relativeHeight="251673600" behindDoc="0" locked="0" layoutInCell="1" allowOverlap="1">
                      <wp:simplePos x="0" y="0"/>
                      <wp:positionH relativeFrom="column">
                        <wp:posOffset>2797175</wp:posOffset>
                      </wp:positionH>
                      <wp:positionV relativeFrom="paragraph">
                        <wp:posOffset>26670</wp:posOffset>
                      </wp:positionV>
                      <wp:extent cx="635" cy="373380"/>
                      <wp:effectExtent l="37465" t="0" r="38100" b="7620"/>
                      <wp:wrapNone/>
                      <wp:docPr id="20" name="直接连接符 20"/>
                      <wp:cNvGraphicFramePr/>
                      <a:graphic xmlns:a="http://schemas.openxmlformats.org/drawingml/2006/main">
                        <a:graphicData uri="http://schemas.microsoft.com/office/word/2010/wordprocessingShape">
                          <wps:wsp>
                            <wps:cNvCnPr/>
                            <wps:spPr>
                              <a:xfrm>
                                <a:off x="0" y="0"/>
                                <a:ext cx="635" cy="373380"/>
                              </a:xfrm>
                              <a:prstGeom prst="line">
                                <a:avLst/>
                              </a:prstGeom>
                              <a:ln w="15875" cap="flat" cmpd="sng">
                                <a:solidFill>
                                  <a:srgbClr val="000000"/>
                                </a:solidFill>
                                <a:prstDash val="dash"/>
                                <a:headEnd type="none" w="med" len="med"/>
                                <a:tailEnd type="triangle" w="med" len="med"/>
                              </a:ln>
                            </wps:spPr>
                            <wps:bodyPr/>
                          </wps:wsp>
                        </a:graphicData>
                      </a:graphic>
                    </wp:anchor>
                  </w:drawing>
                </mc:Choice>
                <mc:Fallback>
                  <w:pict>
                    <v:line id="_x0000_s1026" o:spid="_x0000_s1026" o:spt="20" style="position:absolute;left:0pt;margin-left:220.25pt;margin-top:2.1pt;height:29.4pt;width:0.05pt;z-index:251673600;mso-width-relative:page;mso-height-relative:page;" filled="f" stroked="t" coordsize="21600,21600" o:gfxdata="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D/nbD1QAAAAgBAAAPAAAAAAAAAAEAIAAAACIAAABkcnMvZG93bnJldi54bWxQSwEC&#10;FAAUAAAACACHTuJAW73nQvcBAADfAwAADgAAAAAAAAABACAAAAAkAQAAZHJzL2Uyb0RvYy54bWxQ&#10;SwUGAAAAAAYABgBZAQAAjQUAAAAA&#10;">
                      <v:fill on="f" focussize="0,0"/>
                      <v:stroke weight="1.25pt" color="#000000" joinstyle="round" dashstyle="dash" endarrow="block"/>
                      <v:imagedata o:title=""/>
                      <o:lock v:ext="edit" aspectratio="f"/>
                    </v:line>
                  </w:pict>
                </mc:Fallback>
              </mc:AlternateContent>
            </w:r>
            <w:r>
              <w:rPr>
                <w:color w:val="auto"/>
              </w:rPr>
              <mc:AlternateContent>
                <mc:Choice Requires="wps">
                  <w:drawing>
                    <wp:anchor distT="0" distB="0" distL="114300" distR="114300" simplePos="0" relativeHeight="251672576" behindDoc="0" locked="0" layoutInCell="1" allowOverlap="1">
                      <wp:simplePos x="0" y="0"/>
                      <wp:positionH relativeFrom="column">
                        <wp:posOffset>2001520</wp:posOffset>
                      </wp:positionH>
                      <wp:positionV relativeFrom="paragraph">
                        <wp:posOffset>26670</wp:posOffset>
                      </wp:positionV>
                      <wp:extent cx="635" cy="373380"/>
                      <wp:effectExtent l="37465" t="0" r="38100" b="7620"/>
                      <wp:wrapNone/>
                      <wp:docPr id="28" name="直接连接符 28"/>
                      <wp:cNvGraphicFramePr/>
                      <a:graphic xmlns:a="http://schemas.openxmlformats.org/drawingml/2006/main">
                        <a:graphicData uri="http://schemas.microsoft.com/office/word/2010/wordprocessingShape">
                          <wps:wsp>
                            <wps:cNvCnPr/>
                            <wps:spPr>
                              <a:xfrm>
                                <a:off x="0" y="0"/>
                                <a:ext cx="635" cy="373380"/>
                              </a:xfrm>
                              <a:prstGeom prst="line">
                                <a:avLst/>
                              </a:prstGeom>
                              <a:ln w="15875" cap="flat" cmpd="sng">
                                <a:solidFill>
                                  <a:srgbClr val="000000"/>
                                </a:solidFill>
                                <a:prstDash val="dash"/>
                                <a:headEnd type="none" w="med" len="med"/>
                                <a:tailEnd type="triangle" w="med" len="med"/>
                              </a:ln>
                            </wps:spPr>
                            <wps:bodyPr/>
                          </wps:wsp>
                        </a:graphicData>
                      </a:graphic>
                    </wp:anchor>
                  </w:drawing>
                </mc:Choice>
                <mc:Fallback>
                  <w:pict>
                    <v:line id="_x0000_s1026" o:spid="_x0000_s1026" o:spt="20" style="position:absolute;left:0pt;margin-left:157.6pt;margin-top:2.1pt;height:29.4pt;width:0.05pt;z-index:251672576;mso-width-relative:page;mso-height-relative:page;" filled="f" stroked="t" coordsize="21600,21600" o:gfxdata="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DuzUAi1QAAAAgBAAAPAAAAAAAAAAEAIAAAACIAAABkcnMvZG93bnJldi54bWxQSwEC&#10;FAAUAAAACACHTuJArgI9QPcBAADfAwAADgAAAAAAAAABACAAAAAkAQAAZHJzL2Uyb0RvYy54bWxQ&#10;SwUGAAAAAAYABgBZAQAAjQUAAAAA&#10;">
                      <v:fill on="f" focussize="0,0"/>
                      <v:stroke weight="1.25pt" color="#000000" joinstyle="round" dashstyle="dash" endarrow="block"/>
                      <v:imagedata o:title=""/>
                      <o:lock v:ext="edit" aspectratio="f"/>
                    </v:line>
                  </w:pict>
                </mc:Fallback>
              </mc:AlternateContent>
            </w:r>
            <w:r>
              <w:rPr>
                <w:color w:val="auto"/>
              </w:rPr>
              <mc:AlternateContent>
                <mc:Choice Requires="wps">
                  <w:drawing>
                    <wp:anchor distT="0" distB="0" distL="114300" distR="114300" simplePos="0" relativeHeight="251671552" behindDoc="0" locked="0" layoutInCell="1" allowOverlap="1">
                      <wp:simplePos x="0" y="0"/>
                      <wp:positionH relativeFrom="column">
                        <wp:posOffset>1111885</wp:posOffset>
                      </wp:positionH>
                      <wp:positionV relativeFrom="paragraph">
                        <wp:posOffset>26670</wp:posOffset>
                      </wp:positionV>
                      <wp:extent cx="635" cy="373380"/>
                      <wp:effectExtent l="37465" t="0" r="38100" b="7620"/>
                      <wp:wrapNone/>
                      <wp:docPr id="24" name="直接连接符 24"/>
                      <wp:cNvGraphicFramePr/>
                      <a:graphic xmlns:a="http://schemas.openxmlformats.org/drawingml/2006/main">
                        <a:graphicData uri="http://schemas.microsoft.com/office/word/2010/wordprocessingShape">
                          <wps:wsp>
                            <wps:cNvCnPr/>
                            <wps:spPr>
                              <a:xfrm>
                                <a:off x="0" y="0"/>
                                <a:ext cx="635" cy="373380"/>
                              </a:xfrm>
                              <a:prstGeom prst="line">
                                <a:avLst/>
                              </a:prstGeom>
                              <a:ln w="15875" cap="flat" cmpd="sng">
                                <a:solidFill>
                                  <a:srgbClr val="000000"/>
                                </a:solidFill>
                                <a:prstDash val="dash"/>
                                <a:headEnd type="none" w="med" len="med"/>
                                <a:tailEnd type="triangle" w="med" len="med"/>
                              </a:ln>
                            </wps:spPr>
                            <wps:bodyPr/>
                          </wps:wsp>
                        </a:graphicData>
                      </a:graphic>
                    </wp:anchor>
                  </w:drawing>
                </mc:Choice>
                <mc:Fallback>
                  <w:pict>
                    <v:line id="_x0000_s1026" o:spid="_x0000_s1026" o:spt="20" style="position:absolute;left:0pt;margin-left:87.55pt;margin-top:2.1pt;height:29.4pt;width:0.05pt;z-index:251671552;mso-width-relative:page;mso-height-relative:page;" filled="f" stroked="t" coordsize="21600,21600" o:gfxdata="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CcRXezWAAAACAEAAA8AAAAAAAAAAQAgAAAAIgAAAGRycy9kb3ducmV2LnhtbFBL&#10;AQIUABQAAAAIAIdO4kCBYTKu+AEAAN8DAAAOAAAAAAAAAAEAIAAAACUBAABkcnMvZTJvRG9jLnht&#10;bFBLBQYAAAAABgAGAFkBAACPBQAAAAA=&#10;">
                      <v:fill on="f" focussize="0,0"/>
                      <v:stroke weight="1.25pt" color="#000000" joinstyle="round" dashstyle="dash" endarrow="block"/>
                      <v:imagedata o:title=""/>
                      <o:lock v:ext="edit" aspectratio="f"/>
                    </v:line>
                  </w:pict>
                </mc:Fallback>
              </mc:AlternateContent>
            </w:r>
            <w:r>
              <w:rPr>
                <w:color w:val="auto"/>
              </w:rPr>
              <mc:AlternateContent>
                <mc:Choice Requires="wps">
                  <w:drawing>
                    <wp:anchor distT="0" distB="0" distL="114300" distR="114300" simplePos="0" relativeHeight="251670528" behindDoc="0" locked="0" layoutInCell="1" allowOverlap="1">
                      <wp:simplePos x="0" y="0"/>
                      <wp:positionH relativeFrom="column">
                        <wp:posOffset>283845</wp:posOffset>
                      </wp:positionH>
                      <wp:positionV relativeFrom="paragraph">
                        <wp:posOffset>41910</wp:posOffset>
                      </wp:positionV>
                      <wp:extent cx="635" cy="373380"/>
                      <wp:effectExtent l="37465" t="0" r="38100" b="7620"/>
                      <wp:wrapNone/>
                      <wp:docPr id="26" name="直接连接符 26"/>
                      <wp:cNvGraphicFramePr/>
                      <a:graphic xmlns:a="http://schemas.openxmlformats.org/drawingml/2006/main">
                        <a:graphicData uri="http://schemas.microsoft.com/office/word/2010/wordprocessingShape">
                          <wps:wsp>
                            <wps:cNvCnPr/>
                            <wps:spPr>
                              <a:xfrm>
                                <a:off x="0" y="0"/>
                                <a:ext cx="635" cy="373380"/>
                              </a:xfrm>
                              <a:prstGeom prst="line">
                                <a:avLst/>
                              </a:prstGeom>
                              <a:ln w="15875" cap="flat" cmpd="sng">
                                <a:solidFill>
                                  <a:srgbClr val="000000"/>
                                </a:solidFill>
                                <a:prstDash val="dash"/>
                                <a:headEnd type="none" w="med" len="med"/>
                                <a:tailEnd type="triangle" w="med" len="med"/>
                              </a:ln>
                            </wps:spPr>
                            <wps:bodyPr/>
                          </wps:wsp>
                        </a:graphicData>
                      </a:graphic>
                    </wp:anchor>
                  </w:drawing>
                </mc:Choice>
                <mc:Fallback>
                  <w:pict>
                    <v:line id="_x0000_s1026" o:spid="_x0000_s1026" o:spt="20" style="position:absolute;left:0pt;margin-left:22.35pt;margin-top:3.3pt;height:29.4pt;width:0.05pt;z-index:251670528;mso-width-relative:page;mso-height-relative:page;" filled="f" stroked="t" coordsize="21600,21600" o:gfxdata="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PZ7tLTUAAAABgEAAA8AAAAAAAAAAQAgAAAAIgAAAGRycy9kb3ducmV2LnhtbFBLAQIU&#10;ABQAAAAIAIdO4kDsj1jY9wEAAN8DAAAOAAAAAAAAAAEAIAAAACMBAABkcnMvZTJvRG9jLnhtbFBL&#10;BQYAAAAABgAGAFkBAACMBQAAAAA=&#10;">
                      <v:fill on="f" focussize="0,0"/>
                      <v:stroke weight="1.25pt" color="#000000" joinstyle="round" dashstyle="dash" endarrow="block"/>
                      <v:imagedata o:title=""/>
                      <o:lock v:ext="edit" aspectratio="f"/>
                    </v:line>
                  </w:pict>
                </mc:Fallback>
              </mc:AlternateContent>
            </w:r>
          </w:p>
          <w:p w14:paraId="04EDD73A">
            <w:pPr>
              <w:spacing w:line="360" w:lineRule="auto"/>
              <w:ind w:firstLine="420" w:firstLineChars="200"/>
              <w:rPr>
                <w:bCs/>
                <w:color w:val="auto"/>
              </w:rPr>
            </w:pPr>
            <w:r>
              <w:rPr>
                <w:color w:val="auto"/>
              </w:rPr>
              <mc:AlternateContent>
                <mc:Choice Requires="wps">
                  <w:drawing>
                    <wp:anchor distT="0" distB="0" distL="114300" distR="114300" simplePos="0" relativeHeight="251676672" behindDoc="0" locked="0" layoutInCell="1" allowOverlap="1">
                      <wp:simplePos x="0" y="0"/>
                      <wp:positionH relativeFrom="column">
                        <wp:posOffset>4318000</wp:posOffset>
                      </wp:positionH>
                      <wp:positionV relativeFrom="paragraph">
                        <wp:posOffset>179705</wp:posOffset>
                      </wp:positionV>
                      <wp:extent cx="807720" cy="492125"/>
                      <wp:effectExtent l="4445" t="5080" r="6985" b="17145"/>
                      <wp:wrapNone/>
                      <wp:docPr id="23" name="文本框 23"/>
                      <wp:cNvGraphicFramePr/>
                      <a:graphic xmlns:a="http://schemas.openxmlformats.org/drawingml/2006/main">
                        <a:graphicData uri="http://schemas.microsoft.com/office/word/2010/wordprocessingShape">
                          <wps:wsp>
                            <wps:cNvSpPr txBox="1"/>
                            <wps:spPr>
                              <a:xfrm>
                                <a:off x="0" y="0"/>
                                <a:ext cx="807720" cy="492125"/>
                              </a:xfrm>
                              <a:prstGeom prst="rect">
                                <a:avLst/>
                              </a:prstGeom>
                              <a:solidFill>
                                <a:srgbClr val="FFFFFF"/>
                              </a:solidFill>
                              <a:ln w="9525" cap="flat" cmpd="sng">
                                <a:solidFill>
                                  <a:srgbClr val="000000"/>
                                </a:solidFill>
                                <a:prstDash val="dash"/>
                                <a:miter/>
                                <a:headEnd type="none" w="med" len="med"/>
                                <a:tailEnd type="none" w="med" len="med"/>
                              </a:ln>
                            </wps:spPr>
                            <wps:txbx>
                              <w:txbxContent>
                                <w:p w14:paraId="226930E0">
                                  <w:pPr>
                                    <w:jc w:val="center"/>
                                  </w:pPr>
                                  <w:r>
                                    <w:rPr>
                                      <w:rFonts w:hint="eastAsia"/>
                                    </w:rPr>
                                    <w:t>电磁环境可听噪声</w:t>
                                  </w:r>
                                </w:p>
                              </w:txbxContent>
                            </wps:txbx>
                            <wps:bodyPr lIns="91439" tIns="45720" rIns="91439" bIns="45720" upright="1"/>
                          </wps:wsp>
                        </a:graphicData>
                      </a:graphic>
                    </wp:anchor>
                  </w:drawing>
                </mc:Choice>
                <mc:Fallback>
                  <w:pict>
                    <v:shape id="_x0000_s1026" o:spid="_x0000_s1026" o:spt="202" type="#_x0000_t202" style="position:absolute;left:0pt;margin-left:340pt;margin-top:14.15pt;height:38.75pt;width:63.6pt;z-index:251676672;mso-width-relative:page;mso-height-relative:page;" fillcolor="#FFFFFF" filled="t" stroked="t" coordsize="21600,21600" o:gfxdata="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I7kCrtkAAAAKAQAADwAAAAAAAAABACAAAAAiAAAAZHJzL2Rvd25yZXYueG1sUEsBAhQAFAAAAAgA&#10;h07iQIncU2kkAgAAagQAAA4AAAAAAAAAAQAgAAAAKAEAAGRycy9lMm9Eb2MueG1sUEsFBgAAAAAG&#10;AAYAWQEAAL4FAAAAAA==&#10;">
                      <v:fill on="t" focussize="0,0"/>
                      <v:stroke color="#000000" joinstyle="miter" dashstyle="dash"/>
                      <v:imagedata o:title=""/>
                      <o:lock v:ext="edit" aspectratio="f"/>
                      <v:textbox inset="7.19992125984252pt,1.27mm,7.19992125984252pt,1.27mm">
                        <w:txbxContent>
                          <w:p w14:paraId="226930E0">
                            <w:pPr>
                              <w:jc w:val="center"/>
                            </w:pPr>
                            <w:r>
                              <w:rPr>
                                <w:rFonts w:hint="eastAsia"/>
                              </w:rPr>
                              <w:t>电磁环境可听噪声</w:t>
                            </w:r>
                          </w:p>
                        </w:txbxContent>
                      </v:textbox>
                    </v:shape>
                  </w:pict>
                </mc:Fallback>
              </mc:AlternateContent>
            </w:r>
            <w:r>
              <w:rPr>
                <w:color w:val="auto"/>
              </w:rPr>
              <mc:AlternateContent>
                <mc:Choice Requires="wps">
                  <w:drawing>
                    <wp:anchor distT="0" distB="0" distL="114300" distR="114300" simplePos="0" relativeHeight="251674624" behindDoc="0" locked="0" layoutInCell="1" allowOverlap="1">
                      <wp:simplePos x="0" y="0"/>
                      <wp:positionH relativeFrom="column">
                        <wp:posOffset>83820</wp:posOffset>
                      </wp:positionH>
                      <wp:positionV relativeFrom="paragraph">
                        <wp:posOffset>179705</wp:posOffset>
                      </wp:positionV>
                      <wp:extent cx="3024505" cy="431800"/>
                      <wp:effectExtent l="5080" t="4445" r="18415" b="20955"/>
                      <wp:wrapNone/>
                      <wp:docPr id="25" name="文本框 25"/>
                      <wp:cNvGraphicFramePr/>
                      <a:graphic xmlns:a="http://schemas.openxmlformats.org/drawingml/2006/main">
                        <a:graphicData uri="http://schemas.microsoft.com/office/word/2010/wordprocessingShape">
                          <wps:wsp>
                            <wps:cNvSpPr txBox="1"/>
                            <wps:spPr>
                              <a:xfrm>
                                <a:off x="0" y="0"/>
                                <a:ext cx="3024505" cy="431800"/>
                              </a:xfrm>
                              <a:prstGeom prst="rect">
                                <a:avLst/>
                              </a:prstGeom>
                              <a:solidFill>
                                <a:srgbClr val="FFFFFF"/>
                              </a:solidFill>
                              <a:ln w="9525" cap="flat" cmpd="sng">
                                <a:solidFill>
                                  <a:srgbClr val="000000"/>
                                </a:solidFill>
                                <a:prstDash val="dash"/>
                                <a:miter/>
                                <a:headEnd type="none" w="med" len="med"/>
                                <a:tailEnd type="none" w="med" len="med"/>
                              </a:ln>
                            </wps:spPr>
                            <wps:txbx>
                              <w:txbxContent>
                                <w:p w14:paraId="24B73839">
                                  <w:pPr>
                                    <w:jc w:val="center"/>
                                  </w:pPr>
                                  <w:r>
                                    <w:rPr>
                                      <w:rFonts w:hint="eastAsia"/>
                                    </w:rPr>
                                    <w:t>噪声、扬尘、施工机械燃油废气、水土流失、生活污水、生活垃圾</w:t>
                                  </w:r>
                                </w:p>
                              </w:txbxContent>
                            </wps:txbx>
                            <wps:bodyPr lIns="91439" tIns="45720" rIns="91439" bIns="45720" upright="1"/>
                          </wps:wsp>
                        </a:graphicData>
                      </a:graphic>
                    </wp:anchor>
                  </w:drawing>
                </mc:Choice>
                <mc:Fallback>
                  <w:pict>
                    <v:shape id="_x0000_s1026" o:spid="_x0000_s1026" o:spt="202" type="#_x0000_t202" style="position:absolute;left:0pt;margin-left:6.6pt;margin-top:14.15pt;height:34pt;width:238.15pt;z-index:251674624;mso-width-relative:page;mso-height-relative:page;" fillcolor="#FFFFFF" filled="t" stroked="t" coordsize="21600,21600" o:gfxdata="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CHNa8dkAAAAIAQAADwAAAAAAAAABACAAAAAiAAAAZHJzL2Rvd25yZXYueG1sUEsBAhQAFAAA&#10;AAgAh07iQHlOO8YnAgAAawQAAA4AAAAAAAAAAQAgAAAAKAEAAGRycy9lMm9Eb2MueG1sUEsFBgAA&#10;AAAGAAYAWQEAAMEFAAAAAA==&#10;">
                      <v:fill on="t" focussize="0,0"/>
                      <v:stroke color="#000000" joinstyle="miter" dashstyle="dash"/>
                      <v:imagedata o:title=""/>
                      <o:lock v:ext="edit" aspectratio="f"/>
                      <v:textbox inset="7.19992125984252pt,1.27mm,7.19992125984252pt,1.27mm">
                        <w:txbxContent>
                          <w:p w14:paraId="24B73839">
                            <w:pPr>
                              <w:jc w:val="center"/>
                            </w:pPr>
                            <w:r>
                              <w:rPr>
                                <w:rFonts w:hint="eastAsia"/>
                              </w:rPr>
                              <w:t>噪声、扬尘、施工机械燃油废气、水土流失、生活污水、生活垃圾</w:t>
                            </w:r>
                          </w:p>
                        </w:txbxContent>
                      </v:textbox>
                    </v:shape>
                  </w:pict>
                </mc:Fallback>
              </mc:AlternateContent>
            </w:r>
          </w:p>
          <w:p w14:paraId="1D83FB83">
            <w:pPr>
              <w:spacing w:line="360" w:lineRule="auto"/>
              <w:ind w:firstLine="420" w:firstLineChars="200"/>
              <w:rPr>
                <w:bCs/>
                <w:color w:val="auto"/>
              </w:rPr>
            </w:pPr>
          </w:p>
          <w:p w14:paraId="2EA7898A">
            <w:pPr>
              <w:spacing w:line="360" w:lineRule="auto"/>
              <w:ind w:firstLine="420" w:firstLineChars="200"/>
              <w:rPr>
                <w:bCs/>
                <w:color w:val="auto"/>
              </w:rPr>
            </w:pPr>
          </w:p>
          <w:p w14:paraId="1D0FD440">
            <w:pPr>
              <w:snapToGrid w:val="0"/>
              <w:spacing w:line="460" w:lineRule="exact"/>
              <w:jc w:val="center"/>
              <w:rPr>
                <w:bCs/>
                <w:color w:val="auto"/>
                <w:sz w:val="26"/>
                <w:szCs w:val="26"/>
              </w:rPr>
            </w:pPr>
            <w:r>
              <w:rPr>
                <w:rFonts w:hint="eastAsia"/>
                <w:bCs/>
                <w:color w:val="auto"/>
                <w:sz w:val="26"/>
                <w:szCs w:val="26"/>
              </w:rPr>
              <w:t>图2-3  架空段施工工艺流程及产污节点示意图</w:t>
            </w:r>
          </w:p>
          <w:p w14:paraId="3AAD7FE5">
            <w:pPr>
              <w:snapToGrid w:val="0"/>
              <w:jc w:val="center"/>
              <w:rPr>
                <w:bCs/>
                <w:color w:val="auto"/>
                <w:sz w:val="26"/>
                <w:szCs w:val="26"/>
              </w:rPr>
            </w:pPr>
          </w:p>
          <w:p w14:paraId="0870D4AD">
            <w:pPr>
              <w:snapToGrid w:val="0"/>
              <w:spacing w:line="460" w:lineRule="exact"/>
              <w:ind w:firstLine="522" w:firstLineChars="200"/>
              <w:rPr>
                <w:b/>
                <w:bCs/>
                <w:color w:val="auto"/>
                <w:sz w:val="26"/>
                <w:szCs w:val="26"/>
              </w:rPr>
            </w:pPr>
            <w:r>
              <w:rPr>
                <w:rFonts w:hint="eastAsia"/>
                <w:b/>
                <w:bCs/>
                <w:color w:val="auto"/>
                <w:sz w:val="26"/>
                <w:szCs w:val="26"/>
              </w:rPr>
              <w:t xml:space="preserve">2.8.2 </w:t>
            </w:r>
            <w:r>
              <w:rPr>
                <w:rFonts w:hint="eastAsia"/>
                <w:b/>
                <w:color w:val="auto"/>
                <w:sz w:val="26"/>
                <w:szCs w:val="26"/>
              </w:rPr>
              <w:t>220kV铁甲变电站110kV间隔扩建工程</w:t>
            </w:r>
          </w:p>
          <w:p w14:paraId="7AD52782">
            <w:pPr>
              <w:snapToGrid w:val="0"/>
              <w:spacing w:line="460" w:lineRule="exact"/>
              <w:ind w:firstLine="520" w:firstLineChars="200"/>
              <w:rPr>
                <w:color w:val="auto"/>
                <w:sz w:val="26"/>
                <w:szCs w:val="26"/>
              </w:rPr>
            </w:pPr>
            <w:r>
              <w:rPr>
                <w:rFonts w:hint="eastAsia"/>
                <w:color w:val="auto"/>
                <w:sz w:val="26"/>
                <w:szCs w:val="26"/>
              </w:rPr>
              <w:t>根据现场调查及设计资料，铁甲</w:t>
            </w:r>
            <w:r>
              <w:rPr>
                <w:color w:val="auto"/>
                <w:sz w:val="26"/>
                <w:szCs w:val="26"/>
              </w:rPr>
              <w:t>220kV</w:t>
            </w:r>
            <w:r>
              <w:rPr>
                <w:rFonts w:hint="eastAsia"/>
                <w:color w:val="auto"/>
                <w:sz w:val="26"/>
                <w:szCs w:val="26"/>
              </w:rPr>
              <w:t>变电站110kV出线间隔基础已建成，本期仅进行电气安装，无需土建施工，施工方式较简单。</w:t>
            </w:r>
          </w:p>
          <w:p w14:paraId="3EA475E1">
            <w:pPr>
              <w:snapToGrid w:val="0"/>
              <w:spacing w:line="460" w:lineRule="exact"/>
              <w:ind w:firstLine="520" w:firstLineChars="200"/>
              <w:rPr>
                <w:bCs/>
                <w:color w:val="auto"/>
                <w:sz w:val="26"/>
                <w:szCs w:val="26"/>
              </w:rPr>
            </w:pPr>
            <w:r>
              <w:rPr>
                <w:rFonts w:hint="eastAsia"/>
                <w:color w:val="auto"/>
                <w:sz w:val="26"/>
                <w:szCs w:val="26"/>
              </w:rPr>
              <w:t>工艺流程：设备采购</w:t>
            </w:r>
            <w:r>
              <w:rPr>
                <w:color w:val="auto"/>
                <w:sz w:val="26"/>
                <w:szCs w:val="26"/>
              </w:rPr>
              <w:t>→</w:t>
            </w:r>
            <w:r>
              <w:rPr>
                <w:rFonts w:hint="eastAsia"/>
                <w:color w:val="auto"/>
                <w:sz w:val="26"/>
                <w:szCs w:val="26"/>
              </w:rPr>
              <w:t>设备运输</w:t>
            </w:r>
            <w:r>
              <w:rPr>
                <w:color w:val="auto"/>
                <w:sz w:val="26"/>
                <w:szCs w:val="26"/>
              </w:rPr>
              <w:t>→</w:t>
            </w:r>
            <w:r>
              <w:rPr>
                <w:rFonts w:hint="eastAsia"/>
                <w:color w:val="auto"/>
                <w:sz w:val="26"/>
                <w:szCs w:val="26"/>
              </w:rPr>
              <w:t>设备安装</w:t>
            </w:r>
            <w:r>
              <w:rPr>
                <w:color w:val="auto"/>
                <w:sz w:val="26"/>
                <w:szCs w:val="26"/>
              </w:rPr>
              <w:t>→</w:t>
            </w:r>
            <w:r>
              <w:rPr>
                <w:rFonts w:hint="eastAsia"/>
                <w:color w:val="auto"/>
                <w:sz w:val="26"/>
                <w:szCs w:val="26"/>
              </w:rPr>
              <w:t>设备调试</w:t>
            </w:r>
            <w:r>
              <w:rPr>
                <w:color w:val="auto"/>
                <w:sz w:val="26"/>
                <w:szCs w:val="26"/>
              </w:rPr>
              <w:t>→</w:t>
            </w:r>
            <w:r>
              <w:rPr>
                <w:rFonts w:hint="eastAsia"/>
                <w:color w:val="auto"/>
                <w:sz w:val="26"/>
                <w:szCs w:val="26"/>
              </w:rPr>
              <w:t>投入运行。</w:t>
            </w:r>
          </w:p>
        </w:tc>
      </w:tr>
      <w:tr w14:paraId="7386492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21" w:hRule="atLeast"/>
          <w:jc w:val="center"/>
        </w:trPr>
        <w:tc>
          <w:tcPr>
            <w:tcW w:w="778" w:type="dxa"/>
            <w:vAlign w:val="center"/>
          </w:tcPr>
          <w:p w14:paraId="7E6145E5">
            <w:pPr>
              <w:adjustRightInd w:val="0"/>
              <w:snapToGrid w:val="0"/>
              <w:jc w:val="center"/>
              <w:rPr>
                <w:color w:val="auto"/>
                <w:kern w:val="0"/>
                <w:szCs w:val="21"/>
              </w:rPr>
            </w:pPr>
            <w:r>
              <w:rPr>
                <w:rFonts w:hint="eastAsia"/>
                <w:color w:val="auto"/>
                <w:kern w:val="0"/>
                <w:sz w:val="26"/>
                <w:szCs w:val="26"/>
              </w:rPr>
              <w:t>其他</w:t>
            </w:r>
          </w:p>
        </w:tc>
        <w:tc>
          <w:tcPr>
            <w:tcW w:w="8312" w:type="dxa"/>
            <w:vAlign w:val="center"/>
          </w:tcPr>
          <w:p w14:paraId="18CB9A74">
            <w:pPr>
              <w:adjustRightInd w:val="0"/>
              <w:snapToGrid w:val="0"/>
              <w:jc w:val="center"/>
              <w:rPr>
                <w:color w:val="auto"/>
                <w:kern w:val="0"/>
                <w:sz w:val="26"/>
                <w:szCs w:val="26"/>
              </w:rPr>
            </w:pPr>
            <w:r>
              <w:rPr>
                <w:rFonts w:hint="eastAsia"/>
                <w:color w:val="auto"/>
                <w:kern w:val="0"/>
                <w:sz w:val="26"/>
                <w:szCs w:val="26"/>
              </w:rPr>
              <w:t>无</w:t>
            </w:r>
          </w:p>
        </w:tc>
      </w:tr>
    </w:tbl>
    <w:p w14:paraId="596940A1">
      <w:pPr>
        <w:pStyle w:val="21"/>
        <w:jc w:val="center"/>
        <w:outlineLvl w:val="0"/>
        <w:rPr>
          <w:rFonts w:ascii="Times New Roman" w:hAnsi="Times New Roman" w:eastAsia="黑体"/>
          <w:snapToGrid w:val="0"/>
          <w:color w:val="auto"/>
          <w:sz w:val="30"/>
          <w:szCs w:val="30"/>
        </w:rPr>
      </w:pPr>
      <w:r>
        <w:rPr>
          <w:rFonts w:ascii="Times New Roman" w:hAnsi="Times New Roman" w:eastAsia="仿宋_GB2312"/>
          <w:b/>
          <w:bCs/>
          <w:color w:val="auto"/>
        </w:rPr>
        <w:br w:type="page"/>
      </w:r>
      <w:bookmarkStart w:id="4" w:name="_Toc17289"/>
      <w:r>
        <w:rPr>
          <w:rFonts w:ascii="Times New Roman" w:hAnsi="Times New Roman" w:eastAsia="黑体"/>
          <w:snapToGrid w:val="0"/>
          <w:color w:val="auto"/>
          <w:sz w:val="30"/>
          <w:szCs w:val="30"/>
        </w:rPr>
        <w:t>三、生态环境现状、保护目标及评价标准</w:t>
      </w:r>
      <w:bookmarkEnd w:id="4"/>
    </w:p>
    <w:tbl>
      <w:tblPr>
        <w:tblStyle w:val="25"/>
        <w:tblW w:w="915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04"/>
        <w:gridCol w:w="8253"/>
      </w:tblGrid>
      <w:tr w14:paraId="776583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90" w:hRule="atLeast"/>
          <w:jc w:val="center"/>
        </w:trPr>
        <w:tc>
          <w:tcPr>
            <w:tcW w:w="904" w:type="dxa"/>
            <w:vAlign w:val="center"/>
          </w:tcPr>
          <w:p w14:paraId="0482792A">
            <w:pPr>
              <w:adjustRightInd w:val="0"/>
              <w:snapToGrid w:val="0"/>
              <w:spacing w:line="460" w:lineRule="exact"/>
              <w:jc w:val="center"/>
              <w:rPr>
                <w:color w:val="auto"/>
                <w:kern w:val="0"/>
                <w:szCs w:val="21"/>
              </w:rPr>
            </w:pPr>
            <w:r>
              <w:rPr>
                <w:rFonts w:hint="eastAsia"/>
                <w:color w:val="auto"/>
                <w:kern w:val="0"/>
                <w:sz w:val="26"/>
                <w:szCs w:val="26"/>
              </w:rPr>
              <w:t>生态环境现状</w:t>
            </w:r>
          </w:p>
        </w:tc>
        <w:tc>
          <w:tcPr>
            <w:tcW w:w="8253" w:type="dxa"/>
            <w:vAlign w:val="center"/>
          </w:tcPr>
          <w:p w14:paraId="2948FD0F">
            <w:pPr>
              <w:spacing w:line="460" w:lineRule="exact"/>
              <w:rPr>
                <w:b/>
                <w:bCs/>
                <w:color w:val="auto"/>
                <w:sz w:val="26"/>
                <w:szCs w:val="26"/>
              </w:rPr>
            </w:pPr>
            <w:r>
              <w:rPr>
                <w:b/>
                <w:bCs/>
                <w:color w:val="auto"/>
                <w:sz w:val="26"/>
                <w:szCs w:val="26"/>
              </w:rPr>
              <w:t>3</w:t>
            </w:r>
            <w:r>
              <w:rPr>
                <w:rFonts w:hint="eastAsia"/>
                <w:b/>
                <w:bCs/>
                <w:color w:val="auto"/>
                <w:sz w:val="26"/>
                <w:szCs w:val="26"/>
              </w:rPr>
              <w:t>.1生态环境现状</w:t>
            </w:r>
          </w:p>
          <w:p w14:paraId="3278FB25">
            <w:pPr>
              <w:spacing w:line="460" w:lineRule="exact"/>
              <w:ind w:firstLine="522" w:firstLineChars="200"/>
              <w:rPr>
                <w:b/>
                <w:bCs/>
                <w:color w:val="auto"/>
                <w:sz w:val="26"/>
                <w:szCs w:val="26"/>
              </w:rPr>
            </w:pPr>
            <w:r>
              <w:rPr>
                <w:b/>
                <w:bCs/>
                <w:color w:val="auto"/>
                <w:sz w:val="26"/>
                <w:szCs w:val="26"/>
              </w:rPr>
              <w:t>3.1.1</w:t>
            </w:r>
            <w:r>
              <w:rPr>
                <w:rFonts w:hint="eastAsia"/>
                <w:b/>
                <w:bCs/>
                <w:color w:val="auto"/>
                <w:sz w:val="26"/>
                <w:szCs w:val="26"/>
              </w:rPr>
              <w:t>主体功能区划</w:t>
            </w:r>
          </w:p>
          <w:p w14:paraId="2C6F7446">
            <w:pPr>
              <w:spacing w:line="460" w:lineRule="exact"/>
              <w:ind w:firstLine="520" w:firstLineChars="200"/>
              <w:rPr>
                <w:color w:val="auto"/>
                <w:sz w:val="26"/>
                <w:szCs w:val="26"/>
              </w:rPr>
            </w:pPr>
            <w:r>
              <w:rPr>
                <w:rFonts w:hint="eastAsia"/>
                <w:color w:val="auto"/>
                <w:sz w:val="26"/>
                <w:szCs w:val="26"/>
              </w:rPr>
              <w:t>《重庆市主体功能区规划》以尊重自然、因地制宜；明确功能、主次分明；承载许可、适度开发；珍惜资源、适度开发为原则，将全市国土空间合计</w:t>
            </w:r>
            <w:r>
              <w:rPr>
                <w:color w:val="auto"/>
                <w:sz w:val="26"/>
                <w:szCs w:val="26"/>
              </w:rPr>
              <w:t>8.24</w:t>
            </w:r>
            <w:r>
              <w:rPr>
                <w:rFonts w:hint="eastAsia"/>
                <w:color w:val="auto"/>
                <w:sz w:val="26"/>
                <w:szCs w:val="26"/>
              </w:rPr>
              <w:t>万</w:t>
            </w:r>
            <w:r>
              <w:rPr>
                <w:color w:val="auto"/>
                <w:sz w:val="26"/>
                <w:szCs w:val="26"/>
              </w:rPr>
              <w:t>km</w:t>
            </w:r>
            <w:r>
              <w:rPr>
                <w:rFonts w:hint="eastAsia"/>
                <w:color w:val="auto"/>
                <w:sz w:val="26"/>
                <w:szCs w:val="26"/>
                <w:vertAlign w:val="superscript"/>
              </w:rPr>
              <w:t>2</w:t>
            </w:r>
            <w:r>
              <w:rPr>
                <w:rFonts w:hint="eastAsia"/>
                <w:color w:val="auto"/>
                <w:sz w:val="26"/>
                <w:szCs w:val="26"/>
              </w:rPr>
              <w:t>分为重点开发区域、限制开发区域和禁止开发区域。其中重点开发区域包括一小时经济圈的全部区域和其余县的中心城区规划区（不含其中禁止开发区域）；限制开发区域主要包括两翼地区的云阳、彭水等十个县中心城区规划区以外的范围；禁止开发区域是指依法设立的各级各类自然文化资源保护区域以及其他需要特殊保护的区域，包括国家及省级自然保护区、风景名胜区、森林公园、地质公园、世界和自然文化遗产、重要水源保护地以及市政府决定需要禁止开发的其他区域。要依据法律法规和相关的规划实行强制性保护，控制</w:t>
            </w:r>
            <w:r>
              <w:rPr>
                <w:rFonts w:hint="eastAsia"/>
                <w:color w:val="auto"/>
                <w:sz w:val="26"/>
                <w:szCs w:val="26"/>
                <w:lang w:eastAsia="zh-CN"/>
              </w:rPr>
              <w:t>人为因素</w:t>
            </w:r>
            <w:r>
              <w:rPr>
                <w:rFonts w:hint="eastAsia"/>
                <w:color w:val="auto"/>
                <w:sz w:val="26"/>
                <w:szCs w:val="26"/>
              </w:rPr>
              <w:t>对自然生态的干扰，严禁不符合主体功能定位的开发活动。</w:t>
            </w:r>
          </w:p>
          <w:p w14:paraId="1D313573">
            <w:pPr>
              <w:spacing w:line="460" w:lineRule="exact"/>
              <w:ind w:firstLine="520" w:firstLineChars="200"/>
              <w:rPr>
                <w:color w:val="auto"/>
                <w:sz w:val="26"/>
                <w:szCs w:val="26"/>
              </w:rPr>
            </w:pPr>
            <w:r>
              <w:rPr>
                <w:rFonts w:hint="eastAsia"/>
                <w:color w:val="auto"/>
                <w:sz w:val="26"/>
                <w:szCs w:val="26"/>
              </w:rPr>
              <w:t>本项目位于奉节县冯坪乡、新民镇境内，为《重庆市主体功能区规划》中的限制开发区，不涉及禁止开发区。本项目为输电线路，属于城市基础设施建设，在采取严格的生态保护和恢复措施后项目建设对上述生态敏感区影响较小。因此，拟建项目与《重庆市主体功能区规划》基本相符。</w:t>
            </w:r>
          </w:p>
          <w:p w14:paraId="5A8DFCFB">
            <w:pPr>
              <w:spacing w:line="460" w:lineRule="exact"/>
              <w:ind w:firstLine="522" w:firstLineChars="200"/>
              <w:rPr>
                <w:b/>
                <w:bCs/>
                <w:color w:val="auto"/>
                <w:sz w:val="26"/>
                <w:szCs w:val="26"/>
              </w:rPr>
            </w:pPr>
            <w:r>
              <w:rPr>
                <w:b/>
                <w:bCs/>
                <w:color w:val="auto"/>
                <w:sz w:val="26"/>
                <w:szCs w:val="26"/>
              </w:rPr>
              <w:t>3.1.1</w:t>
            </w:r>
            <w:r>
              <w:rPr>
                <w:rFonts w:hint="eastAsia"/>
                <w:b/>
                <w:bCs/>
                <w:color w:val="auto"/>
                <w:sz w:val="26"/>
                <w:szCs w:val="26"/>
              </w:rPr>
              <w:t>生态功能区划</w:t>
            </w:r>
          </w:p>
          <w:p w14:paraId="56D6361D">
            <w:pPr>
              <w:spacing w:line="460" w:lineRule="exact"/>
              <w:ind w:firstLine="520" w:firstLineChars="200"/>
              <w:rPr>
                <w:color w:val="auto"/>
                <w:sz w:val="26"/>
                <w:szCs w:val="26"/>
              </w:rPr>
            </w:pPr>
            <w:r>
              <w:rPr>
                <w:rFonts w:hint="eastAsia"/>
                <w:color w:val="auto"/>
                <w:sz w:val="26"/>
                <w:szCs w:val="26"/>
              </w:rPr>
              <w:t>根据《重庆市生态功能区划（修编）》，拟建项目所在区域属于“</w:t>
            </w:r>
            <w:r>
              <w:rPr>
                <w:rFonts w:hint="eastAsia" w:ascii="宋体" w:hAnsi="宋体" w:cs="宋体"/>
                <w:color w:val="auto"/>
                <w:sz w:val="26"/>
                <w:szCs w:val="26"/>
              </w:rPr>
              <w:t>Ⅱ</w:t>
            </w:r>
            <w:r>
              <w:rPr>
                <w:rFonts w:hint="eastAsia"/>
                <w:color w:val="auto"/>
                <w:sz w:val="26"/>
                <w:szCs w:val="26"/>
                <w:vertAlign w:val="subscript"/>
              </w:rPr>
              <w:t>1-1</w:t>
            </w:r>
            <w:r>
              <w:rPr>
                <w:rFonts w:hint="eastAsia"/>
                <w:color w:val="auto"/>
                <w:sz w:val="26"/>
                <w:szCs w:val="26"/>
              </w:rPr>
              <w:t>巫山-奉节水质保护-水源涵养生态功能区”，本生态功能区位于我市最东部、与湖北省接壤，包括奉节、巫山两县，面积7057.3km</w:t>
            </w:r>
            <w:r>
              <w:rPr>
                <w:rFonts w:hint="eastAsia"/>
                <w:color w:val="auto"/>
                <w:sz w:val="26"/>
                <w:szCs w:val="26"/>
                <w:vertAlign w:val="superscript"/>
              </w:rPr>
              <w:t>2</w:t>
            </w:r>
            <w:r>
              <w:rPr>
                <w:rFonts w:hint="eastAsia"/>
                <w:color w:val="auto"/>
                <w:sz w:val="26"/>
                <w:szCs w:val="26"/>
              </w:rPr>
              <w:t>，占生态亚区面积30.4%、生态区（II）面积26.5%。</w:t>
            </w:r>
          </w:p>
          <w:p w14:paraId="74A5E713">
            <w:pPr>
              <w:spacing w:line="460" w:lineRule="exact"/>
              <w:ind w:firstLine="520" w:firstLineChars="200"/>
              <w:rPr>
                <w:color w:val="auto"/>
                <w:sz w:val="26"/>
                <w:szCs w:val="26"/>
                <w:lang w:val="zh-CN"/>
              </w:rPr>
            </w:pPr>
            <w:r>
              <w:rPr>
                <w:rFonts w:hint="eastAsia"/>
                <w:color w:val="auto"/>
                <w:sz w:val="26"/>
                <w:szCs w:val="26"/>
                <w:lang w:val="zh-CN"/>
              </w:rPr>
              <w:t>（1）主要生态环境问题</w:t>
            </w:r>
          </w:p>
          <w:p w14:paraId="15DDC841">
            <w:pPr>
              <w:spacing w:line="460" w:lineRule="exact"/>
              <w:ind w:firstLine="522" w:firstLineChars="200"/>
              <w:rPr>
                <w:color w:val="auto"/>
                <w:sz w:val="26"/>
                <w:szCs w:val="26"/>
              </w:rPr>
            </w:pPr>
            <w:r>
              <w:rPr>
                <w:rFonts w:hint="eastAsia"/>
                <w:b/>
                <w:bCs/>
                <w:color w:val="auto"/>
                <w:sz w:val="26"/>
                <w:szCs w:val="26"/>
              </w:rPr>
              <w:t>水土流失、石漠化、地质灾害是全市最严重地区</w:t>
            </w:r>
            <w:r>
              <w:rPr>
                <w:rFonts w:hint="eastAsia"/>
                <w:color w:val="auto"/>
                <w:sz w:val="26"/>
                <w:szCs w:val="26"/>
              </w:rPr>
              <w:t>一中度及以上水土流失、石漠化面积占本功能区45%和19.1%。地质灾害点888处，其中滑坡766处、崩塌89处，地质灾害发生频率26%。洪涝灾害频率28%，奉节降雹年均3次、最多年9次。</w:t>
            </w:r>
          </w:p>
          <w:p w14:paraId="12CA951C">
            <w:pPr>
              <w:spacing w:line="460" w:lineRule="exact"/>
              <w:ind w:firstLine="522" w:firstLineChars="200"/>
              <w:rPr>
                <w:color w:val="auto"/>
                <w:sz w:val="26"/>
                <w:szCs w:val="26"/>
              </w:rPr>
            </w:pPr>
            <w:r>
              <w:rPr>
                <w:rFonts w:hint="eastAsia"/>
                <w:b/>
                <w:bCs/>
                <w:color w:val="auto"/>
                <w:sz w:val="26"/>
                <w:szCs w:val="26"/>
              </w:rPr>
              <w:t>次级河流存在一定程度污染</w:t>
            </w:r>
            <w:r>
              <w:rPr>
                <w:rFonts w:hint="eastAsia"/>
                <w:color w:val="auto"/>
                <w:sz w:val="26"/>
                <w:szCs w:val="26"/>
              </w:rPr>
              <w:t>一巫山神女溪个别月份出现V类水断面，抱龙河、大溪河、大宁河、神女溪于春季发生富营养化“水华”河段长2~7km不等。</w:t>
            </w:r>
          </w:p>
          <w:p w14:paraId="201CCD58">
            <w:pPr>
              <w:spacing w:line="460" w:lineRule="exact"/>
              <w:ind w:firstLine="522" w:firstLineChars="200"/>
              <w:rPr>
                <w:color w:val="auto"/>
                <w:sz w:val="26"/>
                <w:szCs w:val="26"/>
              </w:rPr>
            </w:pPr>
            <w:r>
              <w:rPr>
                <w:rFonts w:hint="eastAsia"/>
                <w:b/>
                <w:bCs/>
                <w:color w:val="auto"/>
                <w:sz w:val="26"/>
                <w:szCs w:val="26"/>
              </w:rPr>
              <w:t>三峡水库消落区生态环境问题可能影响危害较严重</w:t>
            </w:r>
            <w:r>
              <w:rPr>
                <w:rFonts w:hint="eastAsia"/>
                <w:color w:val="auto"/>
                <w:sz w:val="26"/>
                <w:szCs w:val="26"/>
              </w:rPr>
              <w:t>一三峡水库175m蓄水后，将出现47.83km</w:t>
            </w:r>
            <w:r>
              <w:rPr>
                <w:rFonts w:hint="eastAsia"/>
                <w:color w:val="auto"/>
                <w:sz w:val="26"/>
                <w:szCs w:val="26"/>
                <w:vertAlign w:val="superscript"/>
              </w:rPr>
              <w:t>2</w:t>
            </w:r>
            <w:r>
              <w:rPr>
                <w:rFonts w:hint="eastAsia"/>
                <w:color w:val="auto"/>
                <w:sz w:val="26"/>
                <w:szCs w:val="26"/>
              </w:rPr>
              <w:t>消落区，占全市三峡水库消落区面积15.6%，其生态环境问题，可能影响危害两移民新城尤其是奉节的生态安全、三峡库区“金三角”旅游生态环境和库岸带人群健康。</w:t>
            </w:r>
          </w:p>
          <w:p w14:paraId="0433E5FD">
            <w:pPr>
              <w:pStyle w:val="74"/>
              <w:numPr>
                <w:ilvl w:val="0"/>
                <w:numId w:val="3"/>
              </w:numPr>
              <w:rPr>
                <w:rFonts w:hAnsi="Times New Roman"/>
                <w:color w:val="auto"/>
                <w:lang w:val="en-US"/>
              </w:rPr>
            </w:pPr>
            <w:r>
              <w:rPr>
                <w:rFonts w:hint="eastAsia" w:hAnsi="Times New Roman"/>
                <w:color w:val="auto"/>
                <w:lang w:val="en-US"/>
              </w:rPr>
              <w:t>生态服务功能定位</w:t>
            </w:r>
          </w:p>
          <w:p w14:paraId="7B6D61A4">
            <w:pPr>
              <w:spacing w:line="460" w:lineRule="exact"/>
              <w:ind w:firstLine="520" w:firstLineChars="200"/>
              <w:rPr>
                <w:color w:val="auto"/>
                <w:sz w:val="26"/>
                <w:szCs w:val="26"/>
              </w:rPr>
            </w:pPr>
            <w:r>
              <w:rPr>
                <w:color w:val="auto"/>
                <w:sz w:val="26"/>
                <w:szCs w:val="26"/>
              </w:rPr>
              <w:t>生态服务功能评价结果，土壤保持、营养物质保持、水源涵养、生物多样性保护中等重要及以上面积</w:t>
            </w:r>
            <w:r>
              <w:rPr>
                <w:rFonts w:hint="eastAsia"/>
                <w:color w:val="auto"/>
                <w:sz w:val="26"/>
                <w:szCs w:val="26"/>
              </w:rPr>
              <w:t>，</w:t>
            </w:r>
            <w:r>
              <w:rPr>
                <w:color w:val="auto"/>
                <w:sz w:val="26"/>
                <w:szCs w:val="26"/>
              </w:rPr>
              <w:t>分别占本功能区面积100%、55.1%、33.9%、4.1%，土壤保持功能极重要，巫山水源涵养和生物多样性保护功能中等重要，其它功能均为较重要。三峡水库横贯功能区中部，两侧次级河溪注入水库，水土流失及带来的营养物质，是导致河溪回水段污染及富营养化主要原因。因此，生态服务功能最重要是保护三峡水库水质，次为土壤保持、水源涵养。</w:t>
            </w:r>
          </w:p>
          <w:p w14:paraId="4724D89F">
            <w:pPr>
              <w:pStyle w:val="74"/>
              <w:rPr>
                <w:rFonts w:hAnsi="Times New Roman"/>
                <w:color w:val="auto"/>
                <w:lang w:val="en-US"/>
              </w:rPr>
            </w:pPr>
            <w:r>
              <w:rPr>
                <w:rFonts w:hint="eastAsia" w:hAnsi="Times New Roman"/>
                <w:color w:val="auto"/>
                <w:lang w:val="en-US"/>
              </w:rPr>
              <w:t>（3）生态环境保护建设方向和重点</w:t>
            </w:r>
          </w:p>
          <w:p w14:paraId="7ECD6693">
            <w:pPr>
              <w:spacing w:line="460" w:lineRule="exact"/>
              <w:ind w:firstLine="520" w:firstLineChars="200"/>
              <w:rPr>
                <w:color w:val="auto"/>
                <w:sz w:val="26"/>
                <w:szCs w:val="26"/>
              </w:rPr>
            </w:pPr>
            <w:r>
              <w:rPr>
                <w:rFonts w:hint="eastAsia"/>
                <w:color w:val="auto"/>
                <w:sz w:val="26"/>
                <w:szCs w:val="26"/>
              </w:rPr>
              <w:t>本功能区属限制开发区，生态环境保护建设优先，重点是农村面源和城镇生活污水、垃圾的污染防治，进一步提高植被覆盖度，保持水土、涵养水源，进行地质灾害、石漠化和三峡水库消落区生态环境综合整治。适度点状开发，发展生态旅游业、绿色农林产品加工业、清洁能源和环保建材产业，形成特色经济。按资源环境承载能力，主要向我市“一小时经济圈”进行人口梯度转移。</w:t>
            </w:r>
          </w:p>
          <w:p w14:paraId="5ED0CFE4">
            <w:pPr>
              <w:spacing w:line="460" w:lineRule="exact"/>
              <w:ind w:firstLine="520" w:firstLineChars="200"/>
              <w:rPr>
                <w:color w:val="auto"/>
                <w:sz w:val="26"/>
                <w:szCs w:val="26"/>
              </w:rPr>
            </w:pPr>
            <w:r>
              <w:rPr>
                <w:rFonts w:hint="eastAsia"/>
                <w:color w:val="auto"/>
                <w:sz w:val="26"/>
                <w:szCs w:val="26"/>
              </w:rPr>
              <w:t>功能区内有国家森林公园1个（巫山小三峡，面积2000hm</w:t>
            </w:r>
            <w:r>
              <w:rPr>
                <w:rFonts w:hint="eastAsia"/>
                <w:color w:val="auto"/>
                <w:sz w:val="26"/>
                <w:szCs w:val="26"/>
                <w:vertAlign w:val="superscript"/>
              </w:rPr>
              <w:t>2</w:t>
            </w:r>
            <w:r>
              <w:rPr>
                <w:rFonts w:hint="eastAsia"/>
                <w:color w:val="auto"/>
                <w:sz w:val="26"/>
                <w:szCs w:val="26"/>
              </w:rPr>
              <w:t>）、市级森林公园1个（巫山梨子坪，面积1333hm</w:t>
            </w:r>
            <w:r>
              <w:rPr>
                <w:rFonts w:hint="eastAsia"/>
                <w:color w:val="auto"/>
                <w:sz w:val="26"/>
                <w:szCs w:val="26"/>
                <w:vertAlign w:val="superscript"/>
              </w:rPr>
              <w:t>2</w:t>
            </w:r>
            <w:r>
              <w:rPr>
                <w:rFonts w:hint="eastAsia"/>
                <w:color w:val="auto"/>
                <w:sz w:val="26"/>
                <w:szCs w:val="26"/>
              </w:rPr>
              <w:t>），国家地质公园2个（长江三峡、奉节天坑地缝），全国重点风景名胜区2个（长江三峡、天坑地缝）、省市级风景名胜区1个（大宁河小三峡），市级自然保护区3个（奉节天坑地缝地质遗址和巫山五里坡、江南常绿阔叶林保护）面积共142361.3hm</w:t>
            </w:r>
            <w:r>
              <w:rPr>
                <w:rFonts w:hint="eastAsia"/>
                <w:color w:val="auto"/>
                <w:sz w:val="26"/>
                <w:szCs w:val="26"/>
                <w:vertAlign w:val="superscript"/>
              </w:rPr>
              <w:t>2</w:t>
            </w:r>
            <w:r>
              <w:rPr>
                <w:rFonts w:hint="eastAsia"/>
                <w:color w:val="auto"/>
                <w:sz w:val="26"/>
                <w:szCs w:val="26"/>
              </w:rPr>
              <w:t>、县级自然保护区2个（奉节天鹅湖，综合类型；巫山梨子坪，常绿阔叶林）面积共2730.4hm</w:t>
            </w:r>
            <w:r>
              <w:rPr>
                <w:rFonts w:hint="eastAsia"/>
                <w:color w:val="auto"/>
                <w:sz w:val="26"/>
                <w:szCs w:val="26"/>
                <w:vertAlign w:val="superscript"/>
              </w:rPr>
              <w:t>2</w:t>
            </w:r>
            <w:r>
              <w:rPr>
                <w:rFonts w:hint="eastAsia"/>
                <w:color w:val="auto"/>
                <w:sz w:val="26"/>
                <w:szCs w:val="26"/>
              </w:rPr>
              <w:t>；有国家一级保护植物水杉、珙桐、光叶珙桐、穗花杉等，二级保护植物长瓣短柱茶、黄杉、香果树、连香树（紫荆叶）、鹅掌楸、篦子三尖杉、麦吊云杉、水青树、红豆树、铁尖杉等，有国家一类保护动物金丝猴，二类保护动物猕猴、黑熊、豺、穿山甲、羚、斑羚、红腹角雉、白冠长尾雉、勺鸡、大鯢，三类保护动物红腹锦鸡；三峡水库消落区有珍稀濒危植物10种左右（前已述）。上述自然保护区、国家森林公园和地质公园、风景名胜区核心区划为禁止开发区，依法保护，严禁开发活动，同时保护和抢救珍稀濒危动植物。</w:t>
            </w:r>
          </w:p>
          <w:p w14:paraId="6F7940FB">
            <w:pPr>
              <w:pStyle w:val="74"/>
              <w:rPr>
                <w:rFonts w:hAnsi="Times New Roman"/>
                <w:color w:val="auto"/>
              </w:rPr>
            </w:pPr>
            <w:r>
              <w:rPr>
                <w:rFonts w:hint="eastAsia" w:hAnsi="Times New Roman"/>
                <w:color w:val="auto"/>
              </w:rPr>
              <w:t>项目与生态功能区位置关系详见图3-1。</w:t>
            </w:r>
          </w:p>
          <w:p w14:paraId="167D2187">
            <w:pPr>
              <w:spacing w:line="460" w:lineRule="exact"/>
              <w:ind w:firstLine="420" w:firstLineChars="200"/>
              <w:rPr>
                <w:color w:val="auto"/>
                <w:sz w:val="26"/>
                <w:szCs w:val="26"/>
              </w:rPr>
            </w:pPr>
            <w:r>
              <w:rPr>
                <w:color w:val="auto"/>
              </w:rPr>
              <w:drawing>
                <wp:anchor distT="0" distB="0" distL="114300" distR="114300" simplePos="0" relativeHeight="251706368" behindDoc="0" locked="0" layoutInCell="1" allowOverlap="1">
                  <wp:simplePos x="0" y="0"/>
                  <wp:positionH relativeFrom="column">
                    <wp:posOffset>-26035</wp:posOffset>
                  </wp:positionH>
                  <wp:positionV relativeFrom="paragraph">
                    <wp:posOffset>78740</wp:posOffset>
                  </wp:positionV>
                  <wp:extent cx="5124450" cy="6346825"/>
                  <wp:effectExtent l="0" t="0" r="0" b="15875"/>
                  <wp:wrapNone/>
                  <wp:docPr id="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
                          <pic:cNvPicPr>
                            <a:picLocks noChangeAspect="1"/>
                          </pic:cNvPicPr>
                        </pic:nvPicPr>
                        <pic:blipFill>
                          <a:blip r:embed="rId16"/>
                          <a:stretch>
                            <a:fillRect/>
                          </a:stretch>
                        </pic:blipFill>
                        <pic:spPr>
                          <a:xfrm>
                            <a:off x="0" y="0"/>
                            <a:ext cx="5124450" cy="6346825"/>
                          </a:xfrm>
                          <a:prstGeom prst="rect">
                            <a:avLst/>
                          </a:prstGeom>
                          <a:noFill/>
                          <a:ln>
                            <a:noFill/>
                          </a:ln>
                        </pic:spPr>
                      </pic:pic>
                    </a:graphicData>
                  </a:graphic>
                </wp:anchor>
              </w:drawing>
            </w:r>
          </w:p>
          <w:p w14:paraId="3E03BFEA">
            <w:pPr>
              <w:spacing w:line="460" w:lineRule="exact"/>
              <w:ind w:firstLine="520" w:firstLineChars="200"/>
              <w:rPr>
                <w:color w:val="auto"/>
                <w:sz w:val="26"/>
                <w:szCs w:val="26"/>
              </w:rPr>
            </w:pPr>
          </w:p>
          <w:p w14:paraId="32917FE2">
            <w:pPr>
              <w:spacing w:line="460" w:lineRule="exact"/>
              <w:ind w:firstLine="520" w:firstLineChars="200"/>
              <w:rPr>
                <w:color w:val="auto"/>
                <w:sz w:val="26"/>
                <w:szCs w:val="26"/>
              </w:rPr>
            </w:pPr>
          </w:p>
          <w:p w14:paraId="304058BC">
            <w:pPr>
              <w:spacing w:line="460" w:lineRule="exact"/>
              <w:ind w:firstLine="520" w:firstLineChars="200"/>
              <w:rPr>
                <w:color w:val="auto"/>
                <w:sz w:val="26"/>
                <w:szCs w:val="26"/>
              </w:rPr>
            </w:pPr>
            <w:r>
              <w:rPr>
                <w:color w:val="auto"/>
                <w:sz w:val="26"/>
              </w:rPr>
              <mc:AlternateContent>
                <mc:Choice Requires="wps">
                  <w:drawing>
                    <wp:anchor distT="0" distB="0" distL="114300" distR="114300" simplePos="0" relativeHeight="251708416" behindDoc="0" locked="0" layoutInCell="1" allowOverlap="1">
                      <wp:simplePos x="0" y="0"/>
                      <wp:positionH relativeFrom="column">
                        <wp:posOffset>1812925</wp:posOffset>
                      </wp:positionH>
                      <wp:positionV relativeFrom="paragraph">
                        <wp:posOffset>38735</wp:posOffset>
                      </wp:positionV>
                      <wp:extent cx="1035685" cy="285750"/>
                      <wp:effectExtent l="4445" t="4445" r="1322070" b="1024255"/>
                      <wp:wrapNone/>
                      <wp:docPr id="29" name="圆角矩形标注 29"/>
                      <wp:cNvGraphicFramePr/>
                      <a:graphic xmlns:a="http://schemas.openxmlformats.org/drawingml/2006/main">
                        <a:graphicData uri="http://schemas.microsoft.com/office/word/2010/wordprocessingShape">
                          <wps:wsp>
                            <wps:cNvSpPr/>
                            <wps:spPr>
                              <a:xfrm>
                                <a:off x="0" y="0"/>
                                <a:ext cx="1035685" cy="285750"/>
                              </a:xfrm>
                              <a:prstGeom prst="wedgeRoundRectCallout">
                                <a:avLst>
                                  <a:gd name="adj1" fmla="val 173765"/>
                                  <a:gd name="adj2" fmla="val 400000"/>
                                  <a:gd name="adj3" fmla="val 16667"/>
                                </a:avLst>
                              </a:prstGeom>
                              <a:noFill/>
                              <a:ln w="9525" cap="flat" cmpd="sng">
                                <a:solidFill>
                                  <a:srgbClr val="000000"/>
                                </a:solidFill>
                                <a:prstDash val="solid"/>
                                <a:miter/>
                                <a:headEnd type="none" w="med" len="med"/>
                                <a:tailEnd type="none" w="med" len="med"/>
                              </a:ln>
                            </wps:spPr>
                            <wps:txbx>
                              <w:txbxContent>
                                <w:p w14:paraId="3F13065C">
                                  <w:r>
                                    <w:rPr>
                                      <w:rFonts w:hint="eastAsia"/>
                                    </w:rPr>
                                    <w:t>拟键项目位置</w:t>
                                  </w:r>
                                </w:p>
                              </w:txbxContent>
                            </wps:txbx>
                            <wps:bodyPr upright="1"/>
                          </wps:wsp>
                        </a:graphicData>
                      </a:graphic>
                    </wp:anchor>
                  </w:drawing>
                </mc:Choice>
                <mc:Fallback>
                  <w:pict>
                    <v:shape id="_x0000_s1026" o:spid="_x0000_s1026" o:spt="62" type="#_x0000_t62" style="position:absolute;left:0pt;margin-left:142.75pt;margin-top:3.05pt;height:22.5pt;width:81.55pt;z-index:251708416;mso-width-relative:page;mso-height-relative:page;" filled="f" stroked="t" coordsize="21600,21600" o:gfxdata="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MgCWJ3ZAAAACAEAAA8AAAAA&#10;AAAAAQAgAAAAIgAAAGRycy9kb3ducmV2LnhtbFBLAQIUABQAAAAIAIdO4kCKSNwlTAIAAJYEAAAO&#10;AAAAAAAAAAEAIAAAACgBAABkcnMvZTJvRG9jLnhtbFBLBQYAAAAABgAGAFkBAADmBQAAAAA=&#10;" adj="48333,97200,14400">
                      <v:fill on="f" focussize="0,0"/>
                      <v:stroke color="#000000" joinstyle="miter"/>
                      <v:imagedata o:title=""/>
                      <o:lock v:ext="edit" aspectratio="f"/>
                      <v:textbox>
                        <w:txbxContent>
                          <w:p w14:paraId="3F13065C">
                            <w:r>
                              <w:rPr>
                                <w:rFonts w:hint="eastAsia"/>
                              </w:rPr>
                              <w:t>拟键项目位置</w:t>
                            </w:r>
                          </w:p>
                        </w:txbxContent>
                      </v:textbox>
                    </v:shape>
                  </w:pict>
                </mc:Fallback>
              </mc:AlternateContent>
            </w:r>
          </w:p>
          <w:p w14:paraId="339B1A18">
            <w:pPr>
              <w:spacing w:line="460" w:lineRule="exact"/>
              <w:ind w:firstLine="520" w:firstLineChars="200"/>
              <w:rPr>
                <w:color w:val="auto"/>
                <w:sz w:val="26"/>
                <w:szCs w:val="26"/>
              </w:rPr>
            </w:pPr>
          </w:p>
          <w:p w14:paraId="118C1783">
            <w:pPr>
              <w:spacing w:line="460" w:lineRule="exact"/>
              <w:ind w:firstLine="520" w:firstLineChars="200"/>
              <w:rPr>
                <w:color w:val="auto"/>
                <w:sz w:val="26"/>
                <w:szCs w:val="26"/>
              </w:rPr>
            </w:pPr>
          </w:p>
          <w:p w14:paraId="309821BA">
            <w:pPr>
              <w:spacing w:line="460" w:lineRule="exact"/>
              <w:ind w:firstLine="520" w:firstLineChars="200"/>
              <w:rPr>
                <w:color w:val="auto"/>
                <w:sz w:val="26"/>
                <w:szCs w:val="26"/>
              </w:rPr>
            </w:pPr>
          </w:p>
          <w:p w14:paraId="51BFD953">
            <w:pPr>
              <w:spacing w:line="460" w:lineRule="exact"/>
              <w:ind w:firstLine="520" w:firstLineChars="200"/>
              <w:rPr>
                <w:color w:val="auto"/>
                <w:sz w:val="26"/>
                <w:szCs w:val="26"/>
              </w:rPr>
            </w:pPr>
            <w:r>
              <w:rPr>
                <w:color w:val="auto"/>
                <w:sz w:val="26"/>
              </w:rPr>
              <mc:AlternateContent>
                <mc:Choice Requires="wps">
                  <w:drawing>
                    <wp:anchor distT="0" distB="0" distL="114300" distR="114300" simplePos="0" relativeHeight="251707392" behindDoc="0" locked="0" layoutInCell="1" allowOverlap="1">
                      <wp:simplePos x="0" y="0"/>
                      <wp:positionH relativeFrom="column">
                        <wp:posOffset>4068445</wp:posOffset>
                      </wp:positionH>
                      <wp:positionV relativeFrom="paragraph">
                        <wp:posOffset>116840</wp:posOffset>
                      </wp:positionV>
                      <wp:extent cx="144145" cy="144145"/>
                      <wp:effectExtent l="13970" t="15875" r="32385" b="30480"/>
                      <wp:wrapNone/>
                      <wp:docPr id="22" name="五角星 22"/>
                      <wp:cNvGraphicFramePr/>
                      <a:graphic xmlns:a="http://schemas.openxmlformats.org/drawingml/2006/main">
                        <a:graphicData uri="http://schemas.microsoft.com/office/word/2010/wordprocessingShape">
                          <wps:wsp>
                            <wps:cNvSpPr/>
                            <wps:spPr>
                              <a:xfrm>
                                <a:off x="0" y="0"/>
                                <a:ext cx="144145" cy="144145"/>
                              </a:xfrm>
                              <a:prstGeom prst="star5">
                                <a:avLst/>
                              </a:prstGeom>
                              <a:solidFill>
                                <a:srgbClr val="FF0000"/>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320.35pt;margin-top:9.2pt;height:11.35pt;width:11.35pt;z-index:251707392;mso-width-relative:page;mso-height-relative:page;" fillcolor="#FF0000" filled="t" stroked="t" coordsize="144145,144145" o:gfxdata="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LfROv/XAAAACQEAAA8AAAAAAAAAAQAgAAAAIgAAAGRycy9kb3du&#10;cmV2LnhtbFBLAQIUABQAAAAIAIdO4kDDLcw1AAIAACMEAAAOAAAAAAAAAAEAIAAAACYBAABkcnMv&#10;ZTJvRG9jLnhtbFBLBQYAAAAABgAGAFkBAACYBQAAAAA=&#10;" path="m0,55058l55058,55058,72072,0,89086,55058,144144,55058,99601,89086,116615,144144,72072,110116,27529,144144,44543,89086xe">
                      <v:path o:connectlocs="72072,0;0,55058;27529,144144;116615,144144;144144,55058" o:connectangles="247,164,82,82,0"/>
                      <v:fill on="t" focussize="0,0"/>
                      <v:stroke color="#000000" joinstyle="miter"/>
                      <v:imagedata o:title=""/>
                      <o:lock v:ext="edit" aspectratio="f"/>
                    </v:shape>
                  </w:pict>
                </mc:Fallback>
              </mc:AlternateContent>
            </w:r>
          </w:p>
          <w:p w14:paraId="05925D56">
            <w:pPr>
              <w:spacing w:line="460" w:lineRule="exact"/>
              <w:ind w:firstLine="520" w:firstLineChars="200"/>
              <w:rPr>
                <w:color w:val="auto"/>
                <w:sz w:val="26"/>
                <w:szCs w:val="26"/>
              </w:rPr>
            </w:pPr>
          </w:p>
          <w:p w14:paraId="209ED70C">
            <w:pPr>
              <w:spacing w:line="460" w:lineRule="exact"/>
              <w:ind w:firstLine="520" w:firstLineChars="200"/>
              <w:rPr>
                <w:color w:val="auto"/>
                <w:sz w:val="26"/>
                <w:szCs w:val="26"/>
              </w:rPr>
            </w:pPr>
          </w:p>
          <w:p w14:paraId="581BB77E">
            <w:pPr>
              <w:spacing w:line="460" w:lineRule="exact"/>
              <w:ind w:firstLine="520" w:firstLineChars="200"/>
              <w:rPr>
                <w:color w:val="auto"/>
                <w:sz w:val="26"/>
                <w:szCs w:val="26"/>
              </w:rPr>
            </w:pPr>
          </w:p>
          <w:p w14:paraId="3B718A12">
            <w:pPr>
              <w:spacing w:line="460" w:lineRule="exact"/>
              <w:ind w:firstLine="520" w:firstLineChars="200"/>
              <w:rPr>
                <w:color w:val="auto"/>
                <w:sz w:val="26"/>
                <w:szCs w:val="26"/>
              </w:rPr>
            </w:pPr>
          </w:p>
          <w:p w14:paraId="6C8BF681">
            <w:pPr>
              <w:spacing w:line="460" w:lineRule="exact"/>
              <w:ind w:firstLine="520" w:firstLineChars="200"/>
              <w:rPr>
                <w:color w:val="auto"/>
                <w:sz w:val="26"/>
                <w:szCs w:val="26"/>
              </w:rPr>
            </w:pPr>
          </w:p>
          <w:p w14:paraId="1A342BB6">
            <w:pPr>
              <w:spacing w:line="460" w:lineRule="exact"/>
              <w:ind w:firstLine="520" w:firstLineChars="200"/>
              <w:rPr>
                <w:color w:val="auto"/>
                <w:sz w:val="26"/>
                <w:szCs w:val="26"/>
              </w:rPr>
            </w:pPr>
          </w:p>
          <w:p w14:paraId="0EEFCA6F">
            <w:pPr>
              <w:spacing w:line="460" w:lineRule="exact"/>
              <w:ind w:firstLine="520" w:firstLineChars="200"/>
              <w:rPr>
                <w:color w:val="auto"/>
                <w:sz w:val="26"/>
                <w:szCs w:val="26"/>
              </w:rPr>
            </w:pPr>
          </w:p>
          <w:p w14:paraId="12A466D8">
            <w:pPr>
              <w:spacing w:line="460" w:lineRule="exact"/>
              <w:ind w:firstLine="520" w:firstLineChars="200"/>
              <w:rPr>
                <w:color w:val="auto"/>
                <w:sz w:val="26"/>
                <w:szCs w:val="26"/>
              </w:rPr>
            </w:pPr>
          </w:p>
          <w:p w14:paraId="7A6FB008">
            <w:pPr>
              <w:spacing w:line="460" w:lineRule="exact"/>
              <w:ind w:firstLine="520" w:firstLineChars="200"/>
              <w:rPr>
                <w:color w:val="auto"/>
                <w:sz w:val="26"/>
                <w:szCs w:val="26"/>
              </w:rPr>
            </w:pPr>
          </w:p>
          <w:p w14:paraId="3D64C828">
            <w:pPr>
              <w:spacing w:line="460" w:lineRule="exact"/>
              <w:ind w:firstLine="520" w:firstLineChars="200"/>
              <w:rPr>
                <w:color w:val="auto"/>
                <w:sz w:val="26"/>
                <w:szCs w:val="26"/>
              </w:rPr>
            </w:pPr>
          </w:p>
          <w:p w14:paraId="69747F70">
            <w:pPr>
              <w:spacing w:line="460" w:lineRule="exact"/>
              <w:ind w:firstLine="520" w:firstLineChars="200"/>
              <w:rPr>
                <w:color w:val="auto"/>
                <w:sz w:val="26"/>
                <w:szCs w:val="26"/>
              </w:rPr>
            </w:pPr>
          </w:p>
          <w:p w14:paraId="0D2AE2B5">
            <w:pPr>
              <w:spacing w:line="460" w:lineRule="exact"/>
              <w:ind w:firstLine="520" w:firstLineChars="200"/>
              <w:rPr>
                <w:color w:val="auto"/>
                <w:sz w:val="26"/>
                <w:szCs w:val="26"/>
              </w:rPr>
            </w:pPr>
          </w:p>
          <w:p w14:paraId="4FB14AB0">
            <w:pPr>
              <w:spacing w:line="460" w:lineRule="exact"/>
              <w:ind w:firstLine="520" w:firstLineChars="200"/>
              <w:rPr>
                <w:color w:val="auto"/>
                <w:sz w:val="26"/>
                <w:szCs w:val="26"/>
              </w:rPr>
            </w:pPr>
          </w:p>
          <w:p w14:paraId="591BD55C">
            <w:pPr>
              <w:spacing w:line="460" w:lineRule="exact"/>
              <w:ind w:firstLine="520" w:firstLineChars="200"/>
              <w:rPr>
                <w:color w:val="auto"/>
                <w:sz w:val="26"/>
                <w:szCs w:val="26"/>
              </w:rPr>
            </w:pPr>
          </w:p>
          <w:p w14:paraId="59D987E4">
            <w:pPr>
              <w:spacing w:line="460" w:lineRule="exact"/>
              <w:jc w:val="center"/>
              <w:rPr>
                <w:color w:val="auto"/>
                <w:sz w:val="26"/>
                <w:szCs w:val="26"/>
              </w:rPr>
            </w:pPr>
            <w:r>
              <w:rPr>
                <w:rFonts w:hint="eastAsia"/>
                <w:color w:val="auto"/>
                <w:sz w:val="26"/>
                <w:szCs w:val="26"/>
              </w:rPr>
              <w:t>图3-1  项目在重庆市生态功能三级区划中的位置</w:t>
            </w:r>
          </w:p>
          <w:p w14:paraId="5CA270B5">
            <w:pPr>
              <w:spacing w:line="460" w:lineRule="exact"/>
              <w:ind w:firstLine="522" w:firstLineChars="200"/>
              <w:rPr>
                <w:b/>
                <w:bCs/>
                <w:color w:val="auto"/>
                <w:sz w:val="26"/>
                <w:szCs w:val="26"/>
              </w:rPr>
            </w:pPr>
            <w:r>
              <w:rPr>
                <w:rFonts w:hint="eastAsia"/>
                <w:b/>
                <w:bCs/>
                <w:color w:val="auto"/>
                <w:sz w:val="26"/>
                <w:szCs w:val="26"/>
              </w:rPr>
              <w:t>3.1.3评价范围生态环境现状</w:t>
            </w:r>
          </w:p>
          <w:p w14:paraId="3AD60410">
            <w:pPr>
              <w:spacing w:line="460" w:lineRule="exact"/>
              <w:ind w:firstLine="520" w:firstLineChars="200"/>
              <w:rPr>
                <w:color w:val="auto"/>
                <w:sz w:val="26"/>
                <w:szCs w:val="26"/>
                <w:highlight w:val="yellow"/>
              </w:rPr>
            </w:pPr>
            <w:r>
              <w:rPr>
                <w:rFonts w:hint="eastAsia"/>
                <w:color w:val="auto"/>
                <w:sz w:val="26"/>
                <w:szCs w:val="26"/>
              </w:rPr>
              <w:t>本评价引用《重庆金凤山风电场扩建（望天坪）110千伏送出工程生态影响专题报告》相关结论。</w:t>
            </w:r>
          </w:p>
          <w:p w14:paraId="791E054D">
            <w:pPr>
              <w:spacing w:line="460" w:lineRule="exact"/>
              <w:ind w:firstLine="522" w:firstLineChars="200"/>
              <w:rPr>
                <w:b/>
                <w:bCs/>
                <w:color w:val="auto"/>
                <w:sz w:val="26"/>
                <w:szCs w:val="26"/>
              </w:rPr>
            </w:pPr>
            <w:bookmarkStart w:id="5" w:name="_Toc11236"/>
            <w:bookmarkStart w:id="6" w:name="_Toc5270"/>
            <w:bookmarkStart w:id="7" w:name="_Toc20910"/>
            <w:r>
              <w:rPr>
                <w:rFonts w:hint="eastAsia"/>
                <w:b/>
                <w:bCs/>
                <w:color w:val="auto"/>
                <w:sz w:val="26"/>
                <w:szCs w:val="26"/>
              </w:rPr>
              <w:t>3.1.3.1陆生植物现状</w:t>
            </w:r>
            <w:bookmarkEnd w:id="5"/>
            <w:bookmarkEnd w:id="6"/>
            <w:bookmarkEnd w:id="7"/>
          </w:p>
          <w:p w14:paraId="229E09D1">
            <w:pPr>
              <w:spacing w:line="460" w:lineRule="exact"/>
              <w:ind w:firstLine="520" w:firstLineChars="200"/>
              <w:rPr>
                <w:color w:val="auto"/>
                <w:sz w:val="26"/>
                <w:szCs w:val="26"/>
                <w:highlight w:val="yellow"/>
              </w:rPr>
            </w:pPr>
            <w:r>
              <w:rPr>
                <w:rFonts w:hint="eastAsia"/>
                <w:color w:val="auto"/>
                <w:sz w:val="26"/>
                <w:szCs w:val="26"/>
              </w:rPr>
              <w:t>本次生态专题评价实地</w:t>
            </w:r>
            <w:r>
              <w:rPr>
                <w:rFonts w:hint="eastAsia"/>
                <w:color w:val="auto"/>
                <w:sz w:val="26"/>
                <w:szCs w:val="26"/>
                <w:lang w:eastAsia="zh-CN"/>
              </w:rPr>
              <w:t>调查</w:t>
            </w:r>
            <w:r>
              <w:rPr>
                <w:rFonts w:hint="eastAsia"/>
                <w:color w:val="auto"/>
                <w:sz w:val="26"/>
                <w:szCs w:val="26"/>
              </w:rPr>
              <w:t>共计</w:t>
            </w:r>
            <w:r>
              <w:rPr>
                <w:rFonts w:hint="eastAsia"/>
                <w:color w:val="auto"/>
                <w:sz w:val="26"/>
                <w:szCs w:val="26"/>
                <w:lang w:eastAsia="zh-CN"/>
              </w:rPr>
              <w:t>设置了</w:t>
            </w:r>
            <w:r>
              <w:rPr>
                <w:rFonts w:hint="eastAsia"/>
                <w:color w:val="auto"/>
                <w:sz w:val="26"/>
                <w:szCs w:val="26"/>
                <w:lang w:val="en-US" w:eastAsia="zh-CN"/>
              </w:rPr>
              <w:t>18</w:t>
            </w:r>
            <w:r>
              <w:rPr>
                <w:rFonts w:hint="eastAsia"/>
                <w:color w:val="auto"/>
                <w:sz w:val="26"/>
                <w:szCs w:val="26"/>
              </w:rPr>
              <w:t>个</w:t>
            </w:r>
            <w:r>
              <w:rPr>
                <w:rFonts w:hint="eastAsia"/>
                <w:color w:val="auto"/>
                <w:sz w:val="26"/>
                <w:szCs w:val="26"/>
                <w:lang w:eastAsia="zh-CN"/>
              </w:rPr>
              <w:t>样地</w:t>
            </w:r>
            <w:r>
              <w:rPr>
                <w:rFonts w:hint="eastAsia"/>
                <w:color w:val="auto"/>
                <w:sz w:val="26"/>
                <w:szCs w:val="26"/>
              </w:rPr>
              <w:t>，</w:t>
            </w:r>
            <w:r>
              <w:rPr>
                <w:rFonts w:hint="eastAsia"/>
                <w:color w:val="auto"/>
                <w:sz w:val="26"/>
                <w:szCs w:val="26"/>
                <w:lang w:eastAsia="zh-CN"/>
              </w:rPr>
              <w:t>并在内选取了有代表性的样方进行了植物调查，</w:t>
            </w:r>
            <w:r>
              <w:rPr>
                <w:rFonts w:hint="eastAsia"/>
                <w:color w:val="auto"/>
                <w:sz w:val="26"/>
                <w:szCs w:val="26"/>
              </w:rPr>
              <w:t>记录样方</w:t>
            </w:r>
            <w:r>
              <w:rPr>
                <w:rFonts w:hint="eastAsia"/>
                <w:color w:val="auto"/>
                <w:sz w:val="26"/>
                <w:szCs w:val="26"/>
                <w:lang w:val="en-US" w:eastAsia="zh-CN"/>
              </w:rPr>
              <w:t>36</w:t>
            </w:r>
            <w:r>
              <w:rPr>
                <w:rFonts w:hint="eastAsia"/>
                <w:color w:val="auto"/>
                <w:sz w:val="26"/>
                <w:szCs w:val="26"/>
              </w:rPr>
              <w:t>个。样方基本概况见表3-1，样方具体分布见生态专题附图8。</w:t>
            </w:r>
          </w:p>
          <w:p w14:paraId="1BFF0E03">
            <w:pPr>
              <w:snapToGrid w:val="0"/>
              <w:jc w:val="center"/>
              <w:rPr>
                <w:b/>
                <w:bCs/>
                <w:color w:val="auto"/>
                <w:kern w:val="0"/>
                <w:szCs w:val="21"/>
              </w:rPr>
            </w:pPr>
          </w:p>
          <w:p w14:paraId="4A1FBEC5">
            <w:pPr>
              <w:snapToGrid w:val="0"/>
              <w:jc w:val="center"/>
              <w:rPr>
                <w:color w:val="auto"/>
                <w:sz w:val="26"/>
                <w:szCs w:val="26"/>
              </w:rPr>
            </w:pPr>
            <w:r>
              <w:rPr>
                <w:rFonts w:hint="eastAsia"/>
                <w:color w:val="auto"/>
                <w:sz w:val="26"/>
                <w:szCs w:val="26"/>
              </w:rPr>
              <w:t>表3-1  评价区植被调查样方设置基本概况</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0"/>
              <w:gridCol w:w="876"/>
              <w:gridCol w:w="1053"/>
              <w:gridCol w:w="1056"/>
              <w:gridCol w:w="867"/>
              <w:gridCol w:w="918"/>
              <w:gridCol w:w="817"/>
              <w:gridCol w:w="665"/>
              <w:gridCol w:w="1135"/>
            </w:tblGrid>
            <w:tr w14:paraId="03D955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99" w:type="pct"/>
                  <w:tcBorders>
                    <w:tl2br w:val="nil"/>
                    <w:tr2bl w:val="nil"/>
                  </w:tcBorders>
                  <w:vAlign w:val="center"/>
                </w:tcPr>
                <w:p w14:paraId="73B83A96">
                  <w:pPr>
                    <w:jc w:val="center"/>
                    <w:rPr>
                      <w:color w:val="auto"/>
                      <w:sz w:val="20"/>
                      <w:szCs w:val="20"/>
                    </w:rPr>
                  </w:pPr>
                  <w:r>
                    <w:rPr>
                      <w:rFonts w:hint="eastAsia"/>
                      <w:color w:val="auto"/>
                      <w:sz w:val="20"/>
                      <w:szCs w:val="20"/>
                    </w:rPr>
                    <w:t>样地</w:t>
                  </w:r>
                  <w:r>
                    <w:rPr>
                      <w:color w:val="auto"/>
                      <w:sz w:val="20"/>
                      <w:szCs w:val="20"/>
                    </w:rPr>
                    <w:t>编号</w:t>
                  </w:r>
                </w:p>
              </w:tc>
              <w:tc>
                <w:tcPr>
                  <w:tcW w:w="545" w:type="pct"/>
                  <w:tcBorders>
                    <w:tl2br w:val="nil"/>
                    <w:tr2bl w:val="nil"/>
                  </w:tcBorders>
                  <w:vAlign w:val="center"/>
                </w:tcPr>
                <w:p w14:paraId="7B498056">
                  <w:pPr>
                    <w:jc w:val="center"/>
                    <w:rPr>
                      <w:color w:val="auto"/>
                      <w:sz w:val="20"/>
                      <w:szCs w:val="20"/>
                    </w:rPr>
                  </w:pPr>
                  <w:r>
                    <w:rPr>
                      <w:color w:val="auto"/>
                      <w:sz w:val="20"/>
                      <w:szCs w:val="20"/>
                    </w:rPr>
                    <w:t>名称</w:t>
                  </w:r>
                </w:p>
              </w:tc>
              <w:tc>
                <w:tcPr>
                  <w:tcW w:w="655" w:type="pct"/>
                  <w:tcBorders>
                    <w:tl2br w:val="nil"/>
                    <w:tr2bl w:val="nil"/>
                  </w:tcBorders>
                  <w:vAlign w:val="center"/>
                </w:tcPr>
                <w:p w14:paraId="067B1366">
                  <w:pPr>
                    <w:jc w:val="center"/>
                    <w:rPr>
                      <w:color w:val="auto"/>
                      <w:sz w:val="20"/>
                      <w:szCs w:val="20"/>
                    </w:rPr>
                  </w:pPr>
                  <w:r>
                    <w:rPr>
                      <w:color w:val="auto"/>
                      <w:sz w:val="20"/>
                      <w:szCs w:val="20"/>
                    </w:rPr>
                    <w:t>包含样方情况</w:t>
                  </w:r>
                </w:p>
              </w:tc>
              <w:tc>
                <w:tcPr>
                  <w:tcW w:w="657" w:type="pct"/>
                  <w:tcBorders>
                    <w:tl2br w:val="nil"/>
                    <w:tr2bl w:val="nil"/>
                  </w:tcBorders>
                  <w:vAlign w:val="center"/>
                </w:tcPr>
                <w:p w14:paraId="07A2AD7D">
                  <w:pPr>
                    <w:jc w:val="center"/>
                    <w:rPr>
                      <w:color w:val="auto"/>
                      <w:sz w:val="20"/>
                      <w:szCs w:val="20"/>
                    </w:rPr>
                  </w:pPr>
                  <w:r>
                    <w:rPr>
                      <w:rFonts w:hint="eastAsia"/>
                      <w:color w:val="auto"/>
                      <w:sz w:val="20"/>
                      <w:szCs w:val="20"/>
                    </w:rPr>
                    <w:t>经度E</w:t>
                  </w:r>
                </w:p>
              </w:tc>
              <w:tc>
                <w:tcPr>
                  <w:tcW w:w="539" w:type="pct"/>
                  <w:tcBorders>
                    <w:tl2br w:val="nil"/>
                    <w:tr2bl w:val="nil"/>
                  </w:tcBorders>
                  <w:vAlign w:val="center"/>
                </w:tcPr>
                <w:p w14:paraId="53857C55">
                  <w:pPr>
                    <w:jc w:val="center"/>
                    <w:rPr>
                      <w:color w:val="auto"/>
                      <w:sz w:val="20"/>
                      <w:szCs w:val="20"/>
                    </w:rPr>
                  </w:pPr>
                  <w:r>
                    <w:rPr>
                      <w:rFonts w:hint="eastAsia"/>
                      <w:color w:val="auto"/>
                      <w:sz w:val="20"/>
                      <w:szCs w:val="20"/>
                    </w:rPr>
                    <w:t>纬度N</w:t>
                  </w:r>
                </w:p>
              </w:tc>
              <w:tc>
                <w:tcPr>
                  <w:tcW w:w="571" w:type="pct"/>
                  <w:tcBorders>
                    <w:tl2br w:val="nil"/>
                    <w:tr2bl w:val="nil"/>
                  </w:tcBorders>
                  <w:vAlign w:val="center"/>
                </w:tcPr>
                <w:p w14:paraId="1BC1F41A">
                  <w:pPr>
                    <w:jc w:val="center"/>
                    <w:rPr>
                      <w:color w:val="auto"/>
                      <w:sz w:val="20"/>
                      <w:szCs w:val="20"/>
                    </w:rPr>
                  </w:pPr>
                  <w:r>
                    <w:rPr>
                      <w:color w:val="auto"/>
                      <w:sz w:val="20"/>
                      <w:szCs w:val="20"/>
                    </w:rPr>
                    <w:t>海拔（m）</w:t>
                  </w:r>
                </w:p>
              </w:tc>
              <w:tc>
                <w:tcPr>
                  <w:tcW w:w="508" w:type="pct"/>
                  <w:tcBorders>
                    <w:tl2br w:val="nil"/>
                    <w:tr2bl w:val="nil"/>
                  </w:tcBorders>
                  <w:vAlign w:val="center"/>
                </w:tcPr>
                <w:p w14:paraId="155D301A">
                  <w:pPr>
                    <w:jc w:val="center"/>
                    <w:rPr>
                      <w:color w:val="auto"/>
                      <w:sz w:val="20"/>
                      <w:szCs w:val="20"/>
                    </w:rPr>
                  </w:pPr>
                  <w:r>
                    <w:rPr>
                      <w:color w:val="auto"/>
                      <w:sz w:val="20"/>
                      <w:szCs w:val="20"/>
                    </w:rPr>
                    <w:t>坡向</w:t>
                  </w:r>
                </w:p>
              </w:tc>
              <w:tc>
                <w:tcPr>
                  <w:tcW w:w="414" w:type="pct"/>
                  <w:tcBorders>
                    <w:tl2br w:val="nil"/>
                    <w:tr2bl w:val="nil"/>
                  </w:tcBorders>
                  <w:vAlign w:val="center"/>
                </w:tcPr>
                <w:p w14:paraId="1A3A9F2E">
                  <w:pPr>
                    <w:jc w:val="center"/>
                    <w:rPr>
                      <w:color w:val="auto"/>
                      <w:sz w:val="20"/>
                      <w:szCs w:val="20"/>
                    </w:rPr>
                  </w:pPr>
                  <w:r>
                    <w:rPr>
                      <w:color w:val="auto"/>
                      <w:sz w:val="20"/>
                      <w:szCs w:val="20"/>
                    </w:rPr>
                    <w:t>坡度（°）</w:t>
                  </w:r>
                </w:p>
              </w:tc>
              <w:tc>
                <w:tcPr>
                  <w:tcW w:w="706" w:type="pct"/>
                  <w:tcBorders>
                    <w:tl2br w:val="nil"/>
                    <w:tr2bl w:val="nil"/>
                  </w:tcBorders>
                  <w:vAlign w:val="center"/>
                </w:tcPr>
                <w:p w14:paraId="6B386B7B">
                  <w:pPr>
                    <w:jc w:val="center"/>
                    <w:rPr>
                      <w:color w:val="auto"/>
                      <w:sz w:val="20"/>
                      <w:szCs w:val="20"/>
                    </w:rPr>
                  </w:pPr>
                  <w:r>
                    <w:rPr>
                      <w:rFonts w:hint="eastAsia"/>
                      <w:color w:val="auto"/>
                      <w:sz w:val="20"/>
                      <w:szCs w:val="20"/>
                    </w:rPr>
                    <w:t>是否位于生态保护红线内</w:t>
                  </w:r>
                </w:p>
              </w:tc>
            </w:tr>
            <w:tr w14:paraId="294580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9" w:type="pct"/>
                  <w:tcBorders>
                    <w:tl2br w:val="nil"/>
                    <w:tr2bl w:val="nil"/>
                  </w:tcBorders>
                  <w:vAlign w:val="center"/>
                </w:tcPr>
                <w:p w14:paraId="1031F058">
                  <w:pPr>
                    <w:jc w:val="center"/>
                    <w:rPr>
                      <w:color w:val="auto"/>
                      <w:sz w:val="20"/>
                      <w:szCs w:val="20"/>
                    </w:rPr>
                  </w:pPr>
                  <w:r>
                    <w:rPr>
                      <w:color w:val="auto"/>
                      <w:sz w:val="20"/>
                      <w:szCs w:val="20"/>
                    </w:rPr>
                    <w:t>S1</w:t>
                  </w:r>
                </w:p>
              </w:tc>
              <w:tc>
                <w:tcPr>
                  <w:tcW w:w="545" w:type="pct"/>
                  <w:tcBorders>
                    <w:tl2br w:val="nil"/>
                    <w:tr2bl w:val="nil"/>
                  </w:tcBorders>
                  <w:vAlign w:val="center"/>
                </w:tcPr>
                <w:p w14:paraId="7038E419">
                  <w:pPr>
                    <w:jc w:val="center"/>
                    <w:rPr>
                      <w:color w:val="auto"/>
                      <w:sz w:val="20"/>
                      <w:szCs w:val="20"/>
                    </w:rPr>
                  </w:pPr>
                  <w:r>
                    <w:rPr>
                      <w:rFonts w:hint="eastAsia"/>
                      <w:color w:val="auto"/>
                      <w:sz w:val="20"/>
                      <w:szCs w:val="20"/>
                    </w:rPr>
                    <w:t>油松</w:t>
                  </w:r>
                </w:p>
              </w:tc>
              <w:tc>
                <w:tcPr>
                  <w:tcW w:w="655" w:type="pct"/>
                  <w:tcBorders>
                    <w:tl2br w:val="nil"/>
                    <w:tr2bl w:val="nil"/>
                  </w:tcBorders>
                  <w:vAlign w:val="center"/>
                </w:tcPr>
                <w:p w14:paraId="478AFA5E">
                  <w:pPr>
                    <w:jc w:val="center"/>
                    <w:rPr>
                      <w:color w:val="auto"/>
                      <w:sz w:val="20"/>
                      <w:szCs w:val="20"/>
                    </w:rPr>
                  </w:pPr>
                  <w:r>
                    <w:rPr>
                      <w:color w:val="auto"/>
                      <w:sz w:val="20"/>
                      <w:szCs w:val="20"/>
                    </w:rPr>
                    <w:t>乔木、灌木、草本</w:t>
                  </w:r>
                </w:p>
              </w:tc>
              <w:tc>
                <w:tcPr>
                  <w:tcW w:w="657" w:type="pct"/>
                  <w:tcBorders>
                    <w:tl2br w:val="nil"/>
                    <w:tr2bl w:val="nil"/>
                  </w:tcBorders>
                  <w:vAlign w:val="center"/>
                </w:tcPr>
                <w:p w14:paraId="6AB1901A">
                  <w:pPr>
                    <w:jc w:val="center"/>
                    <w:rPr>
                      <w:color w:val="auto"/>
                      <w:sz w:val="20"/>
                      <w:szCs w:val="20"/>
                      <w:highlight w:val="yellow"/>
                    </w:rPr>
                  </w:pPr>
                  <w:r>
                    <w:rPr>
                      <w:rFonts w:hint="eastAsia"/>
                      <w:color w:val="auto"/>
                      <w:sz w:val="20"/>
                      <w:szCs w:val="20"/>
                    </w:rPr>
                    <w:t>109.495871623</w:t>
                  </w:r>
                </w:p>
              </w:tc>
              <w:tc>
                <w:tcPr>
                  <w:tcW w:w="539" w:type="pct"/>
                  <w:tcBorders>
                    <w:tl2br w:val="nil"/>
                    <w:tr2bl w:val="nil"/>
                  </w:tcBorders>
                  <w:vAlign w:val="center"/>
                </w:tcPr>
                <w:p w14:paraId="5C4B87D1">
                  <w:pPr>
                    <w:jc w:val="center"/>
                    <w:rPr>
                      <w:color w:val="auto"/>
                      <w:sz w:val="20"/>
                      <w:szCs w:val="20"/>
                    </w:rPr>
                  </w:pPr>
                  <w:r>
                    <w:rPr>
                      <w:rFonts w:hint="eastAsia"/>
                      <w:color w:val="auto"/>
                      <w:sz w:val="20"/>
                      <w:szCs w:val="20"/>
                    </w:rPr>
                    <w:t>30.873366659</w:t>
                  </w:r>
                </w:p>
              </w:tc>
              <w:tc>
                <w:tcPr>
                  <w:tcW w:w="571" w:type="pct"/>
                  <w:tcBorders>
                    <w:tl2br w:val="nil"/>
                    <w:tr2bl w:val="nil"/>
                  </w:tcBorders>
                  <w:vAlign w:val="center"/>
                </w:tcPr>
                <w:p w14:paraId="462DC87A">
                  <w:pPr>
                    <w:jc w:val="center"/>
                    <w:rPr>
                      <w:color w:val="auto"/>
                      <w:sz w:val="20"/>
                      <w:szCs w:val="20"/>
                    </w:rPr>
                  </w:pPr>
                  <w:r>
                    <w:rPr>
                      <w:rFonts w:hint="eastAsia"/>
                      <w:color w:val="auto"/>
                      <w:sz w:val="20"/>
                      <w:szCs w:val="20"/>
                    </w:rPr>
                    <w:t>1112.079</w:t>
                  </w:r>
                </w:p>
              </w:tc>
              <w:tc>
                <w:tcPr>
                  <w:tcW w:w="508" w:type="pct"/>
                  <w:tcBorders>
                    <w:tl2br w:val="nil"/>
                    <w:tr2bl w:val="nil"/>
                  </w:tcBorders>
                  <w:vAlign w:val="center"/>
                </w:tcPr>
                <w:p w14:paraId="3C46DF89">
                  <w:pPr>
                    <w:jc w:val="center"/>
                    <w:rPr>
                      <w:color w:val="auto"/>
                      <w:sz w:val="20"/>
                      <w:szCs w:val="20"/>
                    </w:rPr>
                  </w:pPr>
                  <w:r>
                    <w:rPr>
                      <w:rFonts w:hint="eastAsia"/>
                      <w:color w:val="auto"/>
                      <w:sz w:val="20"/>
                      <w:szCs w:val="20"/>
                    </w:rPr>
                    <w:t>南</w:t>
                  </w:r>
                </w:p>
              </w:tc>
              <w:tc>
                <w:tcPr>
                  <w:tcW w:w="414" w:type="pct"/>
                  <w:tcBorders>
                    <w:tl2br w:val="nil"/>
                    <w:tr2bl w:val="nil"/>
                  </w:tcBorders>
                  <w:vAlign w:val="center"/>
                </w:tcPr>
                <w:p w14:paraId="2E9863BF">
                  <w:pPr>
                    <w:jc w:val="center"/>
                    <w:rPr>
                      <w:color w:val="auto"/>
                      <w:sz w:val="20"/>
                      <w:szCs w:val="20"/>
                    </w:rPr>
                  </w:pPr>
                  <w:r>
                    <w:rPr>
                      <w:rFonts w:hint="eastAsia"/>
                      <w:color w:val="auto"/>
                      <w:sz w:val="20"/>
                      <w:szCs w:val="20"/>
                    </w:rPr>
                    <w:t>30</w:t>
                  </w:r>
                </w:p>
              </w:tc>
              <w:tc>
                <w:tcPr>
                  <w:tcW w:w="706" w:type="pct"/>
                  <w:tcBorders>
                    <w:tl2br w:val="nil"/>
                    <w:tr2bl w:val="nil"/>
                  </w:tcBorders>
                  <w:vAlign w:val="center"/>
                </w:tcPr>
                <w:p w14:paraId="7A452A7F">
                  <w:pPr>
                    <w:jc w:val="center"/>
                    <w:rPr>
                      <w:color w:val="auto"/>
                      <w:sz w:val="20"/>
                      <w:szCs w:val="20"/>
                    </w:rPr>
                  </w:pPr>
                  <w:r>
                    <w:rPr>
                      <w:rFonts w:hint="eastAsia"/>
                      <w:color w:val="auto"/>
                      <w:sz w:val="20"/>
                      <w:szCs w:val="20"/>
                    </w:rPr>
                    <w:t>是</w:t>
                  </w:r>
                </w:p>
              </w:tc>
            </w:tr>
            <w:tr w14:paraId="42A4C6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9" w:type="pct"/>
                  <w:tcBorders>
                    <w:tl2br w:val="nil"/>
                    <w:tr2bl w:val="nil"/>
                  </w:tcBorders>
                  <w:vAlign w:val="center"/>
                </w:tcPr>
                <w:p w14:paraId="04A23634">
                  <w:pPr>
                    <w:jc w:val="center"/>
                    <w:rPr>
                      <w:color w:val="auto"/>
                      <w:sz w:val="20"/>
                      <w:szCs w:val="20"/>
                    </w:rPr>
                  </w:pPr>
                  <w:r>
                    <w:rPr>
                      <w:color w:val="auto"/>
                      <w:sz w:val="20"/>
                      <w:szCs w:val="20"/>
                    </w:rPr>
                    <w:t>S</w:t>
                  </w:r>
                  <w:r>
                    <w:rPr>
                      <w:rFonts w:hint="eastAsia"/>
                      <w:color w:val="auto"/>
                      <w:sz w:val="20"/>
                      <w:szCs w:val="20"/>
                    </w:rPr>
                    <w:t>2</w:t>
                  </w:r>
                </w:p>
              </w:tc>
              <w:tc>
                <w:tcPr>
                  <w:tcW w:w="545" w:type="pct"/>
                  <w:tcBorders>
                    <w:tl2br w:val="nil"/>
                    <w:tr2bl w:val="nil"/>
                  </w:tcBorders>
                  <w:vAlign w:val="center"/>
                </w:tcPr>
                <w:p w14:paraId="0251A150">
                  <w:pPr>
                    <w:jc w:val="center"/>
                    <w:rPr>
                      <w:color w:val="auto"/>
                      <w:sz w:val="20"/>
                      <w:szCs w:val="20"/>
                    </w:rPr>
                  </w:pPr>
                  <w:r>
                    <w:rPr>
                      <w:rFonts w:hint="eastAsia"/>
                      <w:color w:val="auto"/>
                      <w:sz w:val="20"/>
                      <w:szCs w:val="20"/>
                    </w:rPr>
                    <w:t>日本鸢尾</w:t>
                  </w:r>
                </w:p>
              </w:tc>
              <w:tc>
                <w:tcPr>
                  <w:tcW w:w="655" w:type="pct"/>
                  <w:tcBorders>
                    <w:tl2br w:val="nil"/>
                    <w:tr2bl w:val="nil"/>
                  </w:tcBorders>
                  <w:vAlign w:val="center"/>
                </w:tcPr>
                <w:p w14:paraId="5966F8F7">
                  <w:pPr>
                    <w:jc w:val="center"/>
                    <w:rPr>
                      <w:color w:val="auto"/>
                      <w:sz w:val="20"/>
                      <w:szCs w:val="20"/>
                    </w:rPr>
                  </w:pPr>
                  <w:r>
                    <w:rPr>
                      <w:color w:val="auto"/>
                      <w:sz w:val="20"/>
                      <w:szCs w:val="20"/>
                    </w:rPr>
                    <w:t>草本</w:t>
                  </w:r>
                </w:p>
              </w:tc>
              <w:tc>
                <w:tcPr>
                  <w:tcW w:w="657" w:type="pct"/>
                  <w:tcBorders>
                    <w:tl2br w:val="nil"/>
                    <w:tr2bl w:val="nil"/>
                  </w:tcBorders>
                  <w:noWrap/>
                  <w:vAlign w:val="center"/>
                </w:tcPr>
                <w:p w14:paraId="3BD10BC3">
                  <w:pPr>
                    <w:jc w:val="center"/>
                    <w:rPr>
                      <w:color w:val="auto"/>
                      <w:sz w:val="20"/>
                      <w:szCs w:val="20"/>
                      <w:highlight w:val="yellow"/>
                    </w:rPr>
                  </w:pPr>
                  <w:r>
                    <w:rPr>
                      <w:rFonts w:hint="eastAsia"/>
                      <w:color w:val="auto"/>
                      <w:sz w:val="20"/>
                      <w:szCs w:val="20"/>
                    </w:rPr>
                    <w:t>109.493114312</w:t>
                  </w:r>
                </w:p>
              </w:tc>
              <w:tc>
                <w:tcPr>
                  <w:tcW w:w="539" w:type="pct"/>
                  <w:tcBorders>
                    <w:tl2br w:val="nil"/>
                    <w:tr2bl w:val="nil"/>
                  </w:tcBorders>
                  <w:vAlign w:val="center"/>
                </w:tcPr>
                <w:p w14:paraId="4D7E6766">
                  <w:pPr>
                    <w:jc w:val="center"/>
                    <w:rPr>
                      <w:color w:val="auto"/>
                      <w:sz w:val="20"/>
                      <w:szCs w:val="20"/>
                    </w:rPr>
                  </w:pPr>
                  <w:r>
                    <w:rPr>
                      <w:rFonts w:hint="eastAsia"/>
                      <w:color w:val="auto"/>
                      <w:sz w:val="20"/>
                      <w:szCs w:val="20"/>
                    </w:rPr>
                    <w:t>30.866178339</w:t>
                  </w:r>
                </w:p>
              </w:tc>
              <w:tc>
                <w:tcPr>
                  <w:tcW w:w="571" w:type="pct"/>
                  <w:tcBorders>
                    <w:tl2br w:val="nil"/>
                    <w:tr2bl w:val="nil"/>
                  </w:tcBorders>
                  <w:vAlign w:val="center"/>
                </w:tcPr>
                <w:p w14:paraId="7991E3D4">
                  <w:pPr>
                    <w:jc w:val="center"/>
                    <w:rPr>
                      <w:color w:val="auto"/>
                      <w:sz w:val="20"/>
                      <w:szCs w:val="20"/>
                    </w:rPr>
                  </w:pPr>
                  <w:r>
                    <w:rPr>
                      <w:rFonts w:hint="eastAsia"/>
                      <w:color w:val="auto"/>
                      <w:sz w:val="20"/>
                      <w:szCs w:val="20"/>
                    </w:rPr>
                    <w:t>1033.985</w:t>
                  </w:r>
                </w:p>
              </w:tc>
              <w:tc>
                <w:tcPr>
                  <w:tcW w:w="508" w:type="pct"/>
                  <w:tcBorders>
                    <w:tl2br w:val="nil"/>
                    <w:tr2bl w:val="nil"/>
                  </w:tcBorders>
                  <w:vAlign w:val="center"/>
                </w:tcPr>
                <w:p w14:paraId="33F431AC">
                  <w:pPr>
                    <w:jc w:val="center"/>
                    <w:rPr>
                      <w:color w:val="auto"/>
                      <w:sz w:val="20"/>
                      <w:szCs w:val="20"/>
                    </w:rPr>
                  </w:pPr>
                  <w:r>
                    <w:rPr>
                      <w:rFonts w:hint="eastAsia"/>
                      <w:color w:val="auto"/>
                      <w:sz w:val="20"/>
                      <w:szCs w:val="20"/>
                    </w:rPr>
                    <w:t>北</w:t>
                  </w:r>
                </w:p>
              </w:tc>
              <w:tc>
                <w:tcPr>
                  <w:tcW w:w="414" w:type="pct"/>
                  <w:tcBorders>
                    <w:tl2br w:val="nil"/>
                    <w:tr2bl w:val="nil"/>
                  </w:tcBorders>
                  <w:vAlign w:val="center"/>
                </w:tcPr>
                <w:p w14:paraId="4A53F6B1">
                  <w:pPr>
                    <w:jc w:val="center"/>
                    <w:rPr>
                      <w:color w:val="auto"/>
                      <w:sz w:val="20"/>
                      <w:szCs w:val="20"/>
                    </w:rPr>
                  </w:pPr>
                  <w:r>
                    <w:rPr>
                      <w:rFonts w:hint="eastAsia"/>
                      <w:color w:val="auto"/>
                      <w:sz w:val="20"/>
                      <w:szCs w:val="20"/>
                    </w:rPr>
                    <w:t>25</w:t>
                  </w:r>
                </w:p>
              </w:tc>
              <w:tc>
                <w:tcPr>
                  <w:tcW w:w="706" w:type="pct"/>
                  <w:tcBorders>
                    <w:tl2br w:val="nil"/>
                    <w:tr2bl w:val="nil"/>
                  </w:tcBorders>
                  <w:vAlign w:val="center"/>
                </w:tcPr>
                <w:p w14:paraId="2B0A1333">
                  <w:pPr>
                    <w:jc w:val="center"/>
                    <w:rPr>
                      <w:color w:val="auto"/>
                      <w:sz w:val="20"/>
                      <w:szCs w:val="20"/>
                    </w:rPr>
                  </w:pPr>
                  <w:r>
                    <w:rPr>
                      <w:rFonts w:hint="eastAsia"/>
                      <w:color w:val="auto"/>
                      <w:sz w:val="20"/>
                      <w:szCs w:val="20"/>
                    </w:rPr>
                    <w:t>是</w:t>
                  </w:r>
                </w:p>
              </w:tc>
            </w:tr>
            <w:tr w14:paraId="1D0CB2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9" w:type="pct"/>
                  <w:tcBorders>
                    <w:tl2br w:val="nil"/>
                    <w:tr2bl w:val="nil"/>
                  </w:tcBorders>
                  <w:vAlign w:val="center"/>
                </w:tcPr>
                <w:p w14:paraId="173A898A">
                  <w:pPr>
                    <w:jc w:val="center"/>
                    <w:rPr>
                      <w:color w:val="auto"/>
                      <w:sz w:val="20"/>
                      <w:szCs w:val="20"/>
                    </w:rPr>
                  </w:pPr>
                  <w:r>
                    <w:rPr>
                      <w:color w:val="auto"/>
                      <w:sz w:val="20"/>
                      <w:szCs w:val="20"/>
                    </w:rPr>
                    <w:t>S3</w:t>
                  </w:r>
                </w:p>
              </w:tc>
              <w:tc>
                <w:tcPr>
                  <w:tcW w:w="545" w:type="pct"/>
                  <w:tcBorders>
                    <w:tl2br w:val="nil"/>
                    <w:tr2bl w:val="nil"/>
                  </w:tcBorders>
                  <w:vAlign w:val="center"/>
                </w:tcPr>
                <w:p w14:paraId="004726FC">
                  <w:pPr>
                    <w:jc w:val="center"/>
                    <w:rPr>
                      <w:color w:val="auto"/>
                      <w:sz w:val="20"/>
                      <w:szCs w:val="20"/>
                    </w:rPr>
                  </w:pPr>
                  <w:r>
                    <w:rPr>
                      <w:rFonts w:hint="eastAsia"/>
                      <w:color w:val="auto"/>
                      <w:sz w:val="20"/>
                      <w:szCs w:val="20"/>
                    </w:rPr>
                    <w:t>油松</w:t>
                  </w:r>
                </w:p>
              </w:tc>
              <w:tc>
                <w:tcPr>
                  <w:tcW w:w="655" w:type="pct"/>
                  <w:tcBorders>
                    <w:tl2br w:val="nil"/>
                    <w:tr2bl w:val="nil"/>
                  </w:tcBorders>
                  <w:vAlign w:val="center"/>
                </w:tcPr>
                <w:p w14:paraId="5E0FCFA7">
                  <w:pPr>
                    <w:jc w:val="center"/>
                    <w:rPr>
                      <w:color w:val="auto"/>
                      <w:sz w:val="20"/>
                      <w:szCs w:val="20"/>
                    </w:rPr>
                  </w:pPr>
                  <w:r>
                    <w:rPr>
                      <w:color w:val="auto"/>
                      <w:sz w:val="20"/>
                      <w:szCs w:val="20"/>
                    </w:rPr>
                    <w:t>乔木、灌木、草本</w:t>
                  </w:r>
                </w:p>
              </w:tc>
              <w:tc>
                <w:tcPr>
                  <w:tcW w:w="657" w:type="pct"/>
                  <w:tcBorders>
                    <w:tl2br w:val="nil"/>
                    <w:tr2bl w:val="nil"/>
                  </w:tcBorders>
                  <w:noWrap/>
                  <w:vAlign w:val="center"/>
                </w:tcPr>
                <w:p w14:paraId="74735AC3">
                  <w:pPr>
                    <w:jc w:val="center"/>
                    <w:rPr>
                      <w:color w:val="auto"/>
                      <w:sz w:val="20"/>
                      <w:szCs w:val="20"/>
                      <w:highlight w:val="yellow"/>
                    </w:rPr>
                  </w:pPr>
                  <w:r>
                    <w:rPr>
                      <w:rFonts w:hint="eastAsia"/>
                      <w:color w:val="auto"/>
                      <w:sz w:val="20"/>
                      <w:szCs w:val="20"/>
                    </w:rPr>
                    <w:t>109.493334253</w:t>
                  </w:r>
                </w:p>
              </w:tc>
              <w:tc>
                <w:tcPr>
                  <w:tcW w:w="539" w:type="pct"/>
                  <w:tcBorders>
                    <w:tl2br w:val="nil"/>
                    <w:tr2bl w:val="nil"/>
                  </w:tcBorders>
                  <w:vAlign w:val="center"/>
                </w:tcPr>
                <w:p w14:paraId="78D3763B">
                  <w:pPr>
                    <w:jc w:val="center"/>
                    <w:rPr>
                      <w:color w:val="auto"/>
                      <w:sz w:val="20"/>
                      <w:szCs w:val="20"/>
                    </w:rPr>
                  </w:pPr>
                  <w:r>
                    <w:rPr>
                      <w:rFonts w:hint="eastAsia"/>
                      <w:color w:val="auto"/>
                      <w:sz w:val="20"/>
                      <w:szCs w:val="20"/>
                    </w:rPr>
                    <w:t>30.865303939</w:t>
                  </w:r>
                </w:p>
              </w:tc>
              <w:tc>
                <w:tcPr>
                  <w:tcW w:w="571" w:type="pct"/>
                  <w:tcBorders>
                    <w:tl2br w:val="nil"/>
                    <w:tr2bl w:val="nil"/>
                  </w:tcBorders>
                  <w:vAlign w:val="center"/>
                </w:tcPr>
                <w:p w14:paraId="4E302646">
                  <w:pPr>
                    <w:jc w:val="center"/>
                    <w:rPr>
                      <w:color w:val="auto"/>
                      <w:sz w:val="20"/>
                      <w:szCs w:val="20"/>
                    </w:rPr>
                  </w:pPr>
                  <w:r>
                    <w:rPr>
                      <w:rFonts w:hint="eastAsia"/>
                      <w:color w:val="auto"/>
                      <w:sz w:val="20"/>
                      <w:szCs w:val="20"/>
                    </w:rPr>
                    <w:t>1067.781</w:t>
                  </w:r>
                </w:p>
              </w:tc>
              <w:tc>
                <w:tcPr>
                  <w:tcW w:w="508" w:type="pct"/>
                  <w:tcBorders>
                    <w:tl2br w:val="nil"/>
                    <w:tr2bl w:val="nil"/>
                  </w:tcBorders>
                  <w:vAlign w:val="center"/>
                </w:tcPr>
                <w:p w14:paraId="111580A4">
                  <w:pPr>
                    <w:jc w:val="center"/>
                    <w:rPr>
                      <w:color w:val="auto"/>
                      <w:sz w:val="20"/>
                      <w:szCs w:val="20"/>
                    </w:rPr>
                  </w:pPr>
                  <w:r>
                    <w:rPr>
                      <w:rFonts w:hint="eastAsia"/>
                      <w:color w:val="auto"/>
                      <w:sz w:val="20"/>
                      <w:szCs w:val="20"/>
                    </w:rPr>
                    <w:t>东北</w:t>
                  </w:r>
                </w:p>
              </w:tc>
              <w:tc>
                <w:tcPr>
                  <w:tcW w:w="414" w:type="pct"/>
                  <w:tcBorders>
                    <w:tl2br w:val="nil"/>
                    <w:tr2bl w:val="nil"/>
                  </w:tcBorders>
                  <w:vAlign w:val="center"/>
                </w:tcPr>
                <w:p w14:paraId="06030FC7">
                  <w:pPr>
                    <w:jc w:val="center"/>
                    <w:rPr>
                      <w:color w:val="auto"/>
                      <w:sz w:val="20"/>
                      <w:szCs w:val="20"/>
                    </w:rPr>
                  </w:pPr>
                  <w:r>
                    <w:rPr>
                      <w:rFonts w:hint="eastAsia"/>
                      <w:color w:val="auto"/>
                      <w:sz w:val="20"/>
                      <w:szCs w:val="20"/>
                    </w:rPr>
                    <w:t>28</w:t>
                  </w:r>
                </w:p>
              </w:tc>
              <w:tc>
                <w:tcPr>
                  <w:tcW w:w="706" w:type="pct"/>
                  <w:tcBorders>
                    <w:tl2br w:val="nil"/>
                    <w:tr2bl w:val="nil"/>
                  </w:tcBorders>
                  <w:vAlign w:val="center"/>
                </w:tcPr>
                <w:p w14:paraId="51989852">
                  <w:pPr>
                    <w:jc w:val="center"/>
                    <w:rPr>
                      <w:color w:val="auto"/>
                      <w:sz w:val="20"/>
                      <w:szCs w:val="20"/>
                    </w:rPr>
                  </w:pPr>
                  <w:r>
                    <w:rPr>
                      <w:rFonts w:hint="eastAsia"/>
                      <w:color w:val="auto"/>
                      <w:sz w:val="20"/>
                      <w:szCs w:val="20"/>
                    </w:rPr>
                    <w:t>是</w:t>
                  </w:r>
                </w:p>
              </w:tc>
            </w:tr>
            <w:tr w14:paraId="72CA16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9" w:type="pct"/>
                  <w:tcBorders>
                    <w:tl2br w:val="nil"/>
                    <w:tr2bl w:val="nil"/>
                  </w:tcBorders>
                  <w:vAlign w:val="center"/>
                </w:tcPr>
                <w:p w14:paraId="06417446">
                  <w:pPr>
                    <w:jc w:val="center"/>
                    <w:rPr>
                      <w:color w:val="auto"/>
                      <w:sz w:val="20"/>
                      <w:szCs w:val="20"/>
                    </w:rPr>
                  </w:pPr>
                  <w:r>
                    <w:rPr>
                      <w:color w:val="auto"/>
                      <w:sz w:val="20"/>
                      <w:szCs w:val="20"/>
                    </w:rPr>
                    <w:t>S4</w:t>
                  </w:r>
                </w:p>
              </w:tc>
              <w:tc>
                <w:tcPr>
                  <w:tcW w:w="545" w:type="pct"/>
                  <w:tcBorders>
                    <w:tl2br w:val="nil"/>
                    <w:tr2bl w:val="nil"/>
                  </w:tcBorders>
                  <w:vAlign w:val="center"/>
                </w:tcPr>
                <w:p w14:paraId="4BF37A97">
                  <w:pPr>
                    <w:jc w:val="center"/>
                    <w:rPr>
                      <w:color w:val="auto"/>
                      <w:sz w:val="20"/>
                      <w:szCs w:val="20"/>
                    </w:rPr>
                  </w:pPr>
                  <w:r>
                    <w:rPr>
                      <w:rFonts w:hint="eastAsia"/>
                      <w:color w:val="auto"/>
                      <w:sz w:val="20"/>
                      <w:szCs w:val="20"/>
                    </w:rPr>
                    <w:t>火棘</w:t>
                  </w:r>
                </w:p>
              </w:tc>
              <w:tc>
                <w:tcPr>
                  <w:tcW w:w="655" w:type="pct"/>
                  <w:tcBorders>
                    <w:tl2br w:val="nil"/>
                    <w:tr2bl w:val="nil"/>
                  </w:tcBorders>
                  <w:vAlign w:val="center"/>
                </w:tcPr>
                <w:p w14:paraId="4570708D">
                  <w:pPr>
                    <w:jc w:val="center"/>
                    <w:rPr>
                      <w:color w:val="auto"/>
                      <w:sz w:val="20"/>
                      <w:szCs w:val="20"/>
                    </w:rPr>
                  </w:pPr>
                  <w:r>
                    <w:rPr>
                      <w:color w:val="auto"/>
                      <w:sz w:val="20"/>
                      <w:szCs w:val="20"/>
                    </w:rPr>
                    <w:t>灌木、草本</w:t>
                  </w:r>
                </w:p>
              </w:tc>
              <w:tc>
                <w:tcPr>
                  <w:tcW w:w="657" w:type="pct"/>
                  <w:tcBorders>
                    <w:tl2br w:val="nil"/>
                    <w:tr2bl w:val="nil"/>
                  </w:tcBorders>
                  <w:noWrap/>
                  <w:vAlign w:val="center"/>
                </w:tcPr>
                <w:p w14:paraId="026165B1">
                  <w:pPr>
                    <w:jc w:val="center"/>
                    <w:rPr>
                      <w:color w:val="auto"/>
                      <w:sz w:val="20"/>
                      <w:szCs w:val="20"/>
                      <w:highlight w:val="yellow"/>
                    </w:rPr>
                  </w:pPr>
                  <w:r>
                    <w:rPr>
                      <w:rFonts w:hint="eastAsia"/>
                      <w:color w:val="auto"/>
                      <w:sz w:val="20"/>
                      <w:szCs w:val="20"/>
                    </w:rPr>
                    <w:t>109.492762069</w:t>
                  </w:r>
                </w:p>
              </w:tc>
              <w:tc>
                <w:tcPr>
                  <w:tcW w:w="539" w:type="pct"/>
                  <w:tcBorders>
                    <w:tl2br w:val="nil"/>
                    <w:tr2bl w:val="nil"/>
                  </w:tcBorders>
                  <w:vAlign w:val="center"/>
                </w:tcPr>
                <w:p w14:paraId="68CCDFD9">
                  <w:pPr>
                    <w:jc w:val="center"/>
                    <w:rPr>
                      <w:color w:val="auto"/>
                      <w:sz w:val="20"/>
                      <w:szCs w:val="20"/>
                    </w:rPr>
                  </w:pPr>
                  <w:r>
                    <w:rPr>
                      <w:rFonts w:hint="eastAsia"/>
                      <w:color w:val="auto"/>
                      <w:sz w:val="20"/>
                      <w:szCs w:val="20"/>
                    </w:rPr>
                    <w:t>30.851601249</w:t>
                  </w:r>
                </w:p>
              </w:tc>
              <w:tc>
                <w:tcPr>
                  <w:tcW w:w="571" w:type="pct"/>
                  <w:tcBorders>
                    <w:tl2br w:val="nil"/>
                    <w:tr2bl w:val="nil"/>
                  </w:tcBorders>
                  <w:vAlign w:val="center"/>
                </w:tcPr>
                <w:p w14:paraId="4D6E2754">
                  <w:pPr>
                    <w:jc w:val="center"/>
                    <w:rPr>
                      <w:color w:val="auto"/>
                      <w:sz w:val="20"/>
                      <w:szCs w:val="20"/>
                    </w:rPr>
                  </w:pPr>
                  <w:r>
                    <w:rPr>
                      <w:rFonts w:hint="eastAsia"/>
                      <w:color w:val="auto"/>
                      <w:sz w:val="20"/>
                      <w:szCs w:val="20"/>
                    </w:rPr>
                    <w:t>1327.123</w:t>
                  </w:r>
                </w:p>
              </w:tc>
              <w:tc>
                <w:tcPr>
                  <w:tcW w:w="508" w:type="pct"/>
                  <w:tcBorders>
                    <w:tl2br w:val="nil"/>
                    <w:tr2bl w:val="nil"/>
                  </w:tcBorders>
                  <w:vAlign w:val="center"/>
                </w:tcPr>
                <w:p w14:paraId="17069A0A">
                  <w:pPr>
                    <w:jc w:val="center"/>
                    <w:rPr>
                      <w:color w:val="auto"/>
                      <w:sz w:val="20"/>
                      <w:szCs w:val="20"/>
                    </w:rPr>
                  </w:pPr>
                  <w:r>
                    <w:rPr>
                      <w:rFonts w:hint="eastAsia"/>
                      <w:color w:val="auto"/>
                      <w:sz w:val="20"/>
                      <w:szCs w:val="20"/>
                    </w:rPr>
                    <w:t>东</w:t>
                  </w:r>
                </w:p>
              </w:tc>
              <w:tc>
                <w:tcPr>
                  <w:tcW w:w="414" w:type="pct"/>
                  <w:tcBorders>
                    <w:tl2br w:val="nil"/>
                    <w:tr2bl w:val="nil"/>
                  </w:tcBorders>
                  <w:vAlign w:val="center"/>
                </w:tcPr>
                <w:p w14:paraId="782A1FC4">
                  <w:pPr>
                    <w:jc w:val="center"/>
                    <w:rPr>
                      <w:color w:val="auto"/>
                      <w:sz w:val="20"/>
                      <w:szCs w:val="20"/>
                    </w:rPr>
                  </w:pPr>
                  <w:r>
                    <w:rPr>
                      <w:rFonts w:hint="eastAsia"/>
                      <w:color w:val="auto"/>
                      <w:sz w:val="20"/>
                      <w:szCs w:val="20"/>
                    </w:rPr>
                    <w:t>28</w:t>
                  </w:r>
                </w:p>
              </w:tc>
              <w:tc>
                <w:tcPr>
                  <w:tcW w:w="706" w:type="pct"/>
                  <w:tcBorders>
                    <w:tl2br w:val="nil"/>
                    <w:tr2bl w:val="nil"/>
                  </w:tcBorders>
                  <w:vAlign w:val="center"/>
                </w:tcPr>
                <w:p w14:paraId="175977FA">
                  <w:pPr>
                    <w:jc w:val="center"/>
                    <w:rPr>
                      <w:color w:val="auto"/>
                      <w:sz w:val="20"/>
                      <w:szCs w:val="20"/>
                    </w:rPr>
                  </w:pPr>
                  <w:r>
                    <w:rPr>
                      <w:rFonts w:hint="eastAsia"/>
                      <w:color w:val="auto"/>
                      <w:sz w:val="20"/>
                      <w:szCs w:val="20"/>
                    </w:rPr>
                    <w:t>是</w:t>
                  </w:r>
                </w:p>
              </w:tc>
            </w:tr>
            <w:tr w14:paraId="3BD06F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9" w:type="pct"/>
                  <w:tcBorders>
                    <w:tl2br w:val="nil"/>
                    <w:tr2bl w:val="nil"/>
                  </w:tcBorders>
                  <w:vAlign w:val="center"/>
                </w:tcPr>
                <w:p w14:paraId="12966E6E">
                  <w:pPr>
                    <w:jc w:val="center"/>
                    <w:rPr>
                      <w:color w:val="auto"/>
                      <w:sz w:val="20"/>
                      <w:szCs w:val="20"/>
                    </w:rPr>
                  </w:pPr>
                  <w:r>
                    <w:rPr>
                      <w:color w:val="auto"/>
                      <w:sz w:val="20"/>
                      <w:szCs w:val="20"/>
                    </w:rPr>
                    <w:t>S5</w:t>
                  </w:r>
                </w:p>
              </w:tc>
              <w:tc>
                <w:tcPr>
                  <w:tcW w:w="545" w:type="pct"/>
                  <w:tcBorders>
                    <w:tl2br w:val="nil"/>
                    <w:tr2bl w:val="nil"/>
                  </w:tcBorders>
                  <w:vAlign w:val="center"/>
                </w:tcPr>
                <w:p w14:paraId="35AC2987">
                  <w:pPr>
                    <w:jc w:val="center"/>
                    <w:rPr>
                      <w:color w:val="auto"/>
                      <w:sz w:val="20"/>
                      <w:szCs w:val="20"/>
                    </w:rPr>
                  </w:pPr>
                  <w:r>
                    <w:rPr>
                      <w:rFonts w:hint="eastAsia"/>
                      <w:color w:val="auto"/>
                      <w:sz w:val="20"/>
                      <w:szCs w:val="20"/>
                    </w:rPr>
                    <w:t>火棘</w:t>
                  </w:r>
                </w:p>
              </w:tc>
              <w:tc>
                <w:tcPr>
                  <w:tcW w:w="655" w:type="pct"/>
                  <w:tcBorders>
                    <w:tl2br w:val="nil"/>
                    <w:tr2bl w:val="nil"/>
                  </w:tcBorders>
                  <w:vAlign w:val="center"/>
                </w:tcPr>
                <w:p w14:paraId="5B3CB317">
                  <w:pPr>
                    <w:jc w:val="center"/>
                    <w:rPr>
                      <w:color w:val="auto"/>
                      <w:sz w:val="20"/>
                      <w:szCs w:val="20"/>
                    </w:rPr>
                  </w:pPr>
                  <w:r>
                    <w:rPr>
                      <w:color w:val="auto"/>
                      <w:sz w:val="20"/>
                      <w:szCs w:val="20"/>
                    </w:rPr>
                    <w:t>灌木、草本</w:t>
                  </w:r>
                </w:p>
              </w:tc>
              <w:tc>
                <w:tcPr>
                  <w:tcW w:w="657" w:type="pct"/>
                  <w:tcBorders>
                    <w:tl2br w:val="nil"/>
                    <w:tr2bl w:val="nil"/>
                  </w:tcBorders>
                  <w:noWrap/>
                  <w:vAlign w:val="center"/>
                </w:tcPr>
                <w:p w14:paraId="4E756B84">
                  <w:pPr>
                    <w:jc w:val="center"/>
                    <w:rPr>
                      <w:color w:val="auto"/>
                      <w:sz w:val="20"/>
                      <w:szCs w:val="20"/>
                      <w:highlight w:val="yellow"/>
                    </w:rPr>
                  </w:pPr>
                  <w:r>
                    <w:rPr>
                      <w:rFonts w:hint="eastAsia"/>
                      <w:color w:val="auto"/>
                      <w:sz w:val="20"/>
                      <w:szCs w:val="20"/>
                    </w:rPr>
                    <w:t>109.491917173</w:t>
                  </w:r>
                </w:p>
              </w:tc>
              <w:tc>
                <w:tcPr>
                  <w:tcW w:w="539" w:type="pct"/>
                  <w:tcBorders>
                    <w:tl2br w:val="nil"/>
                    <w:tr2bl w:val="nil"/>
                  </w:tcBorders>
                  <w:vAlign w:val="center"/>
                </w:tcPr>
                <w:p w14:paraId="355F1112">
                  <w:pPr>
                    <w:jc w:val="center"/>
                    <w:rPr>
                      <w:color w:val="auto"/>
                      <w:sz w:val="20"/>
                      <w:szCs w:val="20"/>
                    </w:rPr>
                  </w:pPr>
                  <w:r>
                    <w:rPr>
                      <w:rFonts w:hint="eastAsia"/>
                      <w:color w:val="auto"/>
                      <w:sz w:val="20"/>
                      <w:szCs w:val="20"/>
                    </w:rPr>
                    <w:t>30.846553332</w:t>
                  </w:r>
                </w:p>
              </w:tc>
              <w:tc>
                <w:tcPr>
                  <w:tcW w:w="571" w:type="pct"/>
                  <w:tcBorders>
                    <w:tl2br w:val="nil"/>
                    <w:tr2bl w:val="nil"/>
                  </w:tcBorders>
                  <w:vAlign w:val="center"/>
                </w:tcPr>
                <w:p w14:paraId="264BE2CA">
                  <w:pPr>
                    <w:jc w:val="center"/>
                    <w:rPr>
                      <w:color w:val="auto"/>
                      <w:sz w:val="20"/>
                      <w:szCs w:val="20"/>
                    </w:rPr>
                  </w:pPr>
                  <w:r>
                    <w:rPr>
                      <w:rFonts w:hint="eastAsia"/>
                      <w:color w:val="auto"/>
                      <w:sz w:val="20"/>
                      <w:szCs w:val="20"/>
                    </w:rPr>
                    <w:t>1428.303</w:t>
                  </w:r>
                </w:p>
              </w:tc>
              <w:tc>
                <w:tcPr>
                  <w:tcW w:w="508" w:type="pct"/>
                  <w:tcBorders>
                    <w:tl2br w:val="nil"/>
                    <w:tr2bl w:val="nil"/>
                  </w:tcBorders>
                  <w:vAlign w:val="center"/>
                </w:tcPr>
                <w:p w14:paraId="7314967B">
                  <w:pPr>
                    <w:jc w:val="center"/>
                    <w:rPr>
                      <w:color w:val="auto"/>
                      <w:sz w:val="20"/>
                      <w:szCs w:val="20"/>
                    </w:rPr>
                  </w:pPr>
                  <w:r>
                    <w:rPr>
                      <w:rFonts w:hint="eastAsia"/>
                      <w:color w:val="auto"/>
                      <w:sz w:val="20"/>
                      <w:szCs w:val="20"/>
                    </w:rPr>
                    <w:t>东北</w:t>
                  </w:r>
                </w:p>
              </w:tc>
              <w:tc>
                <w:tcPr>
                  <w:tcW w:w="414" w:type="pct"/>
                  <w:tcBorders>
                    <w:tl2br w:val="nil"/>
                    <w:tr2bl w:val="nil"/>
                  </w:tcBorders>
                  <w:vAlign w:val="center"/>
                </w:tcPr>
                <w:p w14:paraId="76C90B64">
                  <w:pPr>
                    <w:jc w:val="center"/>
                    <w:rPr>
                      <w:color w:val="auto"/>
                      <w:sz w:val="20"/>
                      <w:szCs w:val="20"/>
                    </w:rPr>
                  </w:pPr>
                  <w:r>
                    <w:rPr>
                      <w:rFonts w:hint="eastAsia"/>
                      <w:color w:val="auto"/>
                      <w:sz w:val="20"/>
                      <w:szCs w:val="20"/>
                    </w:rPr>
                    <w:t>20</w:t>
                  </w:r>
                </w:p>
              </w:tc>
              <w:tc>
                <w:tcPr>
                  <w:tcW w:w="706" w:type="pct"/>
                  <w:tcBorders>
                    <w:tl2br w:val="nil"/>
                    <w:tr2bl w:val="nil"/>
                  </w:tcBorders>
                  <w:vAlign w:val="center"/>
                </w:tcPr>
                <w:p w14:paraId="09EB99DB">
                  <w:pPr>
                    <w:jc w:val="center"/>
                    <w:rPr>
                      <w:color w:val="auto"/>
                      <w:sz w:val="20"/>
                      <w:szCs w:val="20"/>
                    </w:rPr>
                  </w:pPr>
                  <w:r>
                    <w:rPr>
                      <w:rFonts w:hint="eastAsia"/>
                      <w:color w:val="auto"/>
                      <w:sz w:val="20"/>
                      <w:szCs w:val="20"/>
                    </w:rPr>
                    <w:t>是</w:t>
                  </w:r>
                </w:p>
              </w:tc>
            </w:tr>
            <w:tr w14:paraId="505FBB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9" w:type="pct"/>
                  <w:tcBorders>
                    <w:tl2br w:val="nil"/>
                    <w:tr2bl w:val="nil"/>
                  </w:tcBorders>
                  <w:vAlign w:val="center"/>
                </w:tcPr>
                <w:p w14:paraId="1DB85E3B">
                  <w:pPr>
                    <w:jc w:val="center"/>
                    <w:rPr>
                      <w:color w:val="auto"/>
                      <w:sz w:val="20"/>
                      <w:szCs w:val="20"/>
                    </w:rPr>
                  </w:pPr>
                  <w:r>
                    <w:rPr>
                      <w:color w:val="auto"/>
                      <w:sz w:val="20"/>
                      <w:szCs w:val="20"/>
                    </w:rPr>
                    <w:t>S6</w:t>
                  </w:r>
                </w:p>
              </w:tc>
              <w:tc>
                <w:tcPr>
                  <w:tcW w:w="545" w:type="pct"/>
                  <w:tcBorders>
                    <w:tl2br w:val="nil"/>
                    <w:tr2bl w:val="nil"/>
                  </w:tcBorders>
                  <w:vAlign w:val="center"/>
                </w:tcPr>
                <w:p w14:paraId="38582047">
                  <w:pPr>
                    <w:jc w:val="center"/>
                    <w:rPr>
                      <w:color w:val="auto"/>
                      <w:sz w:val="20"/>
                      <w:szCs w:val="20"/>
                    </w:rPr>
                  </w:pPr>
                  <w:r>
                    <w:rPr>
                      <w:rFonts w:hint="eastAsia"/>
                      <w:color w:val="auto"/>
                      <w:sz w:val="20"/>
                      <w:szCs w:val="20"/>
                    </w:rPr>
                    <w:t>火棘</w:t>
                  </w:r>
                </w:p>
              </w:tc>
              <w:tc>
                <w:tcPr>
                  <w:tcW w:w="655" w:type="pct"/>
                  <w:tcBorders>
                    <w:tl2br w:val="nil"/>
                    <w:tr2bl w:val="nil"/>
                  </w:tcBorders>
                  <w:vAlign w:val="center"/>
                </w:tcPr>
                <w:p w14:paraId="3E5525A8">
                  <w:pPr>
                    <w:jc w:val="center"/>
                    <w:rPr>
                      <w:color w:val="auto"/>
                      <w:sz w:val="20"/>
                      <w:szCs w:val="20"/>
                    </w:rPr>
                  </w:pPr>
                  <w:r>
                    <w:rPr>
                      <w:color w:val="auto"/>
                      <w:sz w:val="20"/>
                      <w:szCs w:val="20"/>
                    </w:rPr>
                    <w:t>灌木、草本</w:t>
                  </w:r>
                </w:p>
              </w:tc>
              <w:tc>
                <w:tcPr>
                  <w:tcW w:w="657" w:type="pct"/>
                  <w:tcBorders>
                    <w:tl2br w:val="nil"/>
                    <w:tr2bl w:val="nil"/>
                  </w:tcBorders>
                  <w:noWrap/>
                  <w:vAlign w:val="center"/>
                </w:tcPr>
                <w:p w14:paraId="7AFC9B43">
                  <w:pPr>
                    <w:jc w:val="center"/>
                    <w:rPr>
                      <w:color w:val="auto"/>
                      <w:sz w:val="20"/>
                      <w:szCs w:val="20"/>
                      <w:highlight w:val="yellow"/>
                    </w:rPr>
                  </w:pPr>
                  <w:r>
                    <w:rPr>
                      <w:rFonts w:hint="eastAsia"/>
                      <w:color w:val="auto"/>
                      <w:sz w:val="20"/>
                      <w:szCs w:val="20"/>
                    </w:rPr>
                    <w:t>109.475974123</w:t>
                  </w:r>
                </w:p>
              </w:tc>
              <w:tc>
                <w:tcPr>
                  <w:tcW w:w="539" w:type="pct"/>
                  <w:tcBorders>
                    <w:tl2br w:val="nil"/>
                    <w:tr2bl w:val="nil"/>
                  </w:tcBorders>
                  <w:vAlign w:val="center"/>
                </w:tcPr>
                <w:p w14:paraId="7F5A40B4">
                  <w:pPr>
                    <w:jc w:val="center"/>
                    <w:rPr>
                      <w:color w:val="auto"/>
                      <w:sz w:val="20"/>
                      <w:szCs w:val="20"/>
                    </w:rPr>
                  </w:pPr>
                  <w:r>
                    <w:rPr>
                      <w:rFonts w:hint="eastAsia"/>
                      <w:color w:val="auto"/>
                      <w:sz w:val="20"/>
                      <w:szCs w:val="20"/>
                    </w:rPr>
                    <w:t>30.840523726</w:t>
                  </w:r>
                </w:p>
              </w:tc>
              <w:tc>
                <w:tcPr>
                  <w:tcW w:w="571" w:type="pct"/>
                  <w:tcBorders>
                    <w:tl2br w:val="nil"/>
                    <w:tr2bl w:val="nil"/>
                  </w:tcBorders>
                  <w:vAlign w:val="center"/>
                </w:tcPr>
                <w:p w14:paraId="7115DD5E">
                  <w:pPr>
                    <w:jc w:val="center"/>
                    <w:rPr>
                      <w:color w:val="auto"/>
                      <w:sz w:val="20"/>
                      <w:szCs w:val="20"/>
                    </w:rPr>
                  </w:pPr>
                  <w:r>
                    <w:rPr>
                      <w:rFonts w:hint="eastAsia"/>
                      <w:color w:val="auto"/>
                      <w:sz w:val="20"/>
                      <w:szCs w:val="20"/>
                    </w:rPr>
                    <w:t>1522.049</w:t>
                  </w:r>
                </w:p>
              </w:tc>
              <w:tc>
                <w:tcPr>
                  <w:tcW w:w="508" w:type="pct"/>
                  <w:tcBorders>
                    <w:tl2br w:val="nil"/>
                    <w:tr2bl w:val="nil"/>
                  </w:tcBorders>
                  <w:vAlign w:val="center"/>
                </w:tcPr>
                <w:p w14:paraId="3D9F339E">
                  <w:pPr>
                    <w:jc w:val="center"/>
                    <w:rPr>
                      <w:color w:val="auto"/>
                      <w:sz w:val="20"/>
                      <w:szCs w:val="20"/>
                    </w:rPr>
                  </w:pPr>
                  <w:r>
                    <w:rPr>
                      <w:rFonts w:hint="eastAsia"/>
                      <w:color w:val="auto"/>
                      <w:sz w:val="20"/>
                      <w:szCs w:val="20"/>
                    </w:rPr>
                    <w:t>南</w:t>
                  </w:r>
                </w:p>
              </w:tc>
              <w:tc>
                <w:tcPr>
                  <w:tcW w:w="414" w:type="pct"/>
                  <w:tcBorders>
                    <w:tl2br w:val="nil"/>
                    <w:tr2bl w:val="nil"/>
                  </w:tcBorders>
                  <w:vAlign w:val="center"/>
                </w:tcPr>
                <w:p w14:paraId="12F66111">
                  <w:pPr>
                    <w:jc w:val="center"/>
                    <w:rPr>
                      <w:color w:val="auto"/>
                      <w:sz w:val="20"/>
                      <w:szCs w:val="20"/>
                    </w:rPr>
                  </w:pPr>
                  <w:r>
                    <w:rPr>
                      <w:rFonts w:hint="eastAsia"/>
                      <w:color w:val="auto"/>
                      <w:sz w:val="20"/>
                      <w:szCs w:val="20"/>
                    </w:rPr>
                    <w:t>25</w:t>
                  </w:r>
                </w:p>
              </w:tc>
              <w:tc>
                <w:tcPr>
                  <w:tcW w:w="706" w:type="pct"/>
                  <w:tcBorders>
                    <w:tl2br w:val="nil"/>
                    <w:tr2bl w:val="nil"/>
                  </w:tcBorders>
                  <w:vAlign w:val="center"/>
                </w:tcPr>
                <w:p w14:paraId="56C8F3AF">
                  <w:pPr>
                    <w:jc w:val="center"/>
                    <w:rPr>
                      <w:color w:val="auto"/>
                      <w:sz w:val="20"/>
                      <w:szCs w:val="20"/>
                    </w:rPr>
                  </w:pPr>
                  <w:r>
                    <w:rPr>
                      <w:rFonts w:hint="eastAsia"/>
                      <w:color w:val="auto"/>
                      <w:sz w:val="20"/>
                      <w:szCs w:val="20"/>
                    </w:rPr>
                    <w:t>是</w:t>
                  </w:r>
                </w:p>
              </w:tc>
            </w:tr>
            <w:tr w14:paraId="18572D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9" w:type="pct"/>
                  <w:tcBorders>
                    <w:tl2br w:val="nil"/>
                    <w:tr2bl w:val="nil"/>
                  </w:tcBorders>
                  <w:vAlign w:val="center"/>
                </w:tcPr>
                <w:p w14:paraId="28ABE216">
                  <w:pPr>
                    <w:jc w:val="center"/>
                    <w:rPr>
                      <w:color w:val="auto"/>
                      <w:sz w:val="20"/>
                      <w:szCs w:val="20"/>
                    </w:rPr>
                  </w:pPr>
                  <w:r>
                    <w:rPr>
                      <w:color w:val="auto"/>
                      <w:sz w:val="20"/>
                      <w:szCs w:val="20"/>
                    </w:rPr>
                    <w:t>S7</w:t>
                  </w:r>
                </w:p>
              </w:tc>
              <w:tc>
                <w:tcPr>
                  <w:tcW w:w="545" w:type="pct"/>
                  <w:tcBorders>
                    <w:tl2br w:val="nil"/>
                    <w:tr2bl w:val="nil"/>
                  </w:tcBorders>
                  <w:vAlign w:val="center"/>
                </w:tcPr>
                <w:p w14:paraId="3BA637CC">
                  <w:pPr>
                    <w:jc w:val="center"/>
                    <w:rPr>
                      <w:color w:val="auto"/>
                      <w:sz w:val="20"/>
                      <w:szCs w:val="20"/>
                    </w:rPr>
                  </w:pPr>
                  <w:r>
                    <w:rPr>
                      <w:rFonts w:hint="eastAsia"/>
                      <w:color w:val="auto"/>
                      <w:sz w:val="20"/>
                      <w:szCs w:val="20"/>
                    </w:rPr>
                    <w:t>油松</w:t>
                  </w:r>
                </w:p>
              </w:tc>
              <w:tc>
                <w:tcPr>
                  <w:tcW w:w="655" w:type="pct"/>
                  <w:tcBorders>
                    <w:tl2br w:val="nil"/>
                    <w:tr2bl w:val="nil"/>
                  </w:tcBorders>
                  <w:vAlign w:val="center"/>
                </w:tcPr>
                <w:p w14:paraId="46B820C3">
                  <w:pPr>
                    <w:jc w:val="center"/>
                    <w:rPr>
                      <w:color w:val="auto"/>
                      <w:sz w:val="20"/>
                      <w:szCs w:val="20"/>
                    </w:rPr>
                  </w:pPr>
                  <w:r>
                    <w:rPr>
                      <w:color w:val="auto"/>
                      <w:sz w:val="20"/>
                      <w:szCs w:val="20"/>
                    </w:rPr>
                    <w:t>乔木、灌木、草本</w:t>
                  </w:r>
                </w:p>
              </w:tc>
              <w:tc>
                <w:tcPr>
                  <w:tcW w:w="657" w:type="pct"/>
                  <w:tcBorders>
                    <w:tl2br w:val="nil"/>
                    <w:tr2bl w:val="nil"/>
                  </w:tcBorders>
                  <w:noWrap/>
                  <w:vAlign w:val="center"/>
                </w:tcPr>
                <w:p w14:paraId="155AE4B6">
                  <w:pPr>
                    <w:jc w:val="center"/>
                    <w:rPr>
                      <w:color w:val="auto"/>
                      <w:sz w:val="20"/>
                      <w:szCs w:val="20"/>
                      <w:highlight w:val="yellow"/>
                    </w:rPr>
                  </w:pPr>
                  <w:r>
                    <w:rPr>
                      <w:rFonts w:hint="eastAsia"/>
                      <w:color w:val="auto"/>
                      <w:sz w:val="20"/>
                      <w:szCs w:val="20"/>
                    </w:rPr>
                    <w:t>109.494400899</w:t>
                  </w:r>
                </w:p>
              </w:tc>
              <w:tc>
                <w:tcPr>
                  <w:tcW w:w="539" w:type="pct"/>
                  <w:tcBorders>
                    <w:tl2br w:val="nil"/>
                    <w:tr2bl w:val="nil"/>
                  </w:tcBorders>
                  <w:vAlign w:val="center"/>
                </w:tcPr>
                <w:p w14:paraId="516F8674">
                  <w:pPr>
                    <w:jc w:val="center"/>
                    <w:rPr>
                      <w:color w:val="auto"/>
                      <w:sz w:val="20"/>
                      <w:szCs w:val="20"/>
                    </w:rPr>
                  </w:pPr>
                  <w:r>
                    <w:rPr>
                      <w:rFonts w:hint="eastAsia"/>
                      <w:color w:val="auto"/>
                      <w:sz w:val="20"/>
                      <w:szCs w:val="20"/>
                    </w:rPr>
                    <w:t>30.850195772</w:t>
                  </w:r>
                </w:p>
              </w:tc>
              <w:tc>
                <w:tcPr>
                  <w:tcW w:w="571" w:type="pct"/>
                  <w:tcBorders>
                    <w:tl2br w:val="nil"/>
                    <w:tr2bl w:val="nil"/>
                  </w:tcBorders>
                  <w:vAlign w:val="center"/>
                </w:tcPr>
                <w:p w14:paraId="06E271D8">
                  <w:pPr>
                    <w:jc w:val="center"/>
                    <w:rPr>
                      <w:color w:val="auto"/>
                      <w:sz w:val="20"/>
                      <w:szCs w:val="20"/>
                    </w:rPr>
                  </w:pPr>
                  <w:r>
                    <w:rPr>
                      <w:rFonts w:hint="eastAsia"/>
                      <w:color w:val="auto"/>
                      <w:sz w:val="20"/>
                      <w:szCs w:val="20"/>
                    </w:rPr>
                    <w:t>1300.398</w:t>
                  </w:r>
                </w:p>
              </w:tc>
              <w:tc>
                <w:tcPr>
                  <w:tcW w:w="508" w:type="pct"/>
                  <w:tcBorders>
                    <w:tl2br w:val="nil"/>
                    <w:tr2bl w:val="nil"/>
                  </w:tcBorders>
                  <w:vAlign w:val="center"/>
                </w:tcPr>
                <w:p w14:paraId="1AB4E5F4">
                  <w:pPr>
                    <w:jc w:val="center"/>
                    <w:rPr>
                      <w:color w:val="auto"/>
                      <w:sz w:val="20"/>
                      <w:szCs w:val="20"/>
                    </w:rPr>
                  </w:pPr>
                  <w:r>
                    <w:rPr>
                      <w:rFonts w:hint="eastAsia"/>
                      <w:color w:val="auto"/>
                      <w:sz w:val="20"/>
                      <w:szCs w:val="20"/>
                    </w:rPr>
                    <w:t>东</w:t>
                  </w:r>
                </w:p>
              </w:tc>
              <w:tc>
                <w:tcPr>
                  <w:tcW w:w="414" w:type="pct"/>
                  <w:tcBorders>
                    <w:tl2br w:val="nil"/>
                    <w:tr2bl w:val="nil"/>
                  </w:tcBorders>
                  <w:vAlign w:val="center"/>
                </w:tcPr>
                <w:p w14:paraId="7DC6D68C">
                  <w:pPr>
                    <w:jc w:val="center"/>
                    <w:rPr>
                      <w:color w:val="auto"/>
                      <w:sz w:val="20"/>
                      <w:szCs w:val="20"/>
                    </w:rPr>
                  </w:pPr>
                  <w:r>
                    <w:rPr>
                      <w:rFonts w:hint="eastAsia"/>
                      <w:color w:val="auto"/>
                      <w:sz w:val="20"/>
                      <w:szCs w:val="20"/>
                    </w:rPr>
                    <w:t>30</w:t>
                  </w:r>
                </w:p>
              </w:tc>
              <w:tc>
                <w:tcPr>
                  <w:tcW w:w="706" w:type="pct"/>
                  <w:tcBorders>
                    <w:tl2br w:val="nil"/>
                    <w:tr2bl w:val="nil"/>
                  </w:tcBorders>
                  <w:vAlign w:val="center"/>
                </w:tcPr>
                <w:p w14:paraId="467ACAE1">
                  <w:pPr>
                    <w:jc w:val="center"/>
                    <w:rPr>
                      <w:color w:val="auto"/>
                      <w:sz w:val="20"/>
                      <w:szCs w:val="20"/>
                    </w:rPr>
                  </w:pPr>
                  <w:r>
                    <w:rPr>
                      <w:rFonts w:hint="eastAsia"/>
                      <w:color w:val="auto"/>
                      <w:sz w:val="20"/>
                      <w:szCs w:val="20"/>
                    </w:rPr>
                    <w:t>是</w:t>
                  </w:r>
                </w:p>
              </w:tc>
            </w:tr>
            <w:tr w14:paraId="6A8B5B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9" w:type="pct"/>
                  <w:tcBorders>
                    <w:tl2br w:val="nil"/>
                    <w:tr2bl w:val="nil"/>
                  </w:tcBorders>
                  <w:vAlign w:val="center"/>
                </w:tcPr>
                <w:p w14:paraId="059CCC90">
                  <w:pPr>
                    <w:jc w:val="center"/>
                    <w:rPr>
                      <w:color w:val="auto"/>
                      <w:sz w:val="20"/>
                      <w:szCs w:val="20"/>
                    </w:rPr>
                  </w:pPr>
                  <w:r>
                    <w:rPr>
                      <w:color w:val="auto"/>
                      <w:sz w:val="20"/>
                      <w:szCs w:val="20"/>
                    </w:rPr>
                    <w:t>S8</w:t>
                  </w:r>
                </w:p>
              </w:tc>
              <w:tc>
                <w:tcPr>
                  <w:tcW w:w="545" w:type="pct"/>
                  <w:tcBorders>
                    <w:tl2br w:val="nil"/>
                    <w:tr2bl w:val="nil"/>
                  </w:tcBorders>
                  <w:vAlign w:val="center"/>
                </w:tcPr>
                <w:p w14:paraId="16AC0FFC">
                  <w:pPr>
                    <w:jc w:val="center"/>
                    <w:rPr>
                      <w:color w:val="auto"/>
                      <w:sz w:val="20"/>
                      <w:szCs w:val="20"/>
                    </w:rPr>
                  </w:pPr>
                  <w:r>
                    <w:rPr>
                      <w:rFonts w:hint="eastAsia"/>
                      <w:color w:val="auto"/>
                      <w:sz w:val="20"/>
                      <w:szCs w:val="20"/>
                    </w:rPr>
                    <w:t>白车轴草</w:t>
                  </w:r>
                </w:p>
              </w:tc>
              <w:tc>
                <w:tcPr>
                  <w:tcW w:w="655" w:type="pct"/>
                  <w:tcBorders>
                    <w:tl2br w:val="nil"/>
                    <w:tr2bl w:val="nil"/>
                  </w:tcBorders>
                  <w:vAlign w:val="center"/>
                </w:tcPr>
                <w:p w14:paraId="12286017">
                  <w:pPr>
                    <w:jc w:val="center"/>
                    <w:rPr>
                      <w:color w:val="auto"/>
                      <w:sz w:val="20"/>
                      <w:szCs w:val="20"/>
                    </w:rPr>
                  </w:pPr>
                  <w:r>
                    <w:rPr>
                      <w:color w:val="auto"/>
                      <w:sz w:val="20"/>
                      <w:szCs w:val="20"/>
                    </w:rPr>
                    <w:t>草本</w:t>
                  </w:r>
                </w:p>
              </w:tc>
              <w:tc>
                <w:tcPr>
                  <w:tcW w:w="657" w:type="pct"/>
                  <w:tcBorders>
                    <w:tl2br w:val="nil"/>
                    <w:tr2bl w:val="nil"/>
                  </w:tcBorders>
                  <w:noWrap/>
                  <w:vAlign w:val="center"/>
                </w:tcPr>
                <w:p w14:paraId="14DF36EA">
                  <w:pPr>
                    <w:jc w:val="center"/>
                    <w:rPr>
                      <w:color w:val="auto"/>
                      <w:sz w:val="20"/>
                      <w:szCs w:val="20"/>
                      <w:highlight w:val="yellow"/>
                    </w:rPr>
                  </w:pPr>
                  <w:r>
                    <w:rPr>
                      <w:rFonts w:hint="eastAsia"/>
                      <w:color w:val="auto"/>
                      <w:sz w:val="20"/>
                      <w:szCs w:val="20"/>
                    </w:rPr>
                    <w:t>109.473061244</w:t>
                  </w:r>
                </w:p>
              </w:tc>
              <w:tc>
                <w:tcPr>
                  <w:tcW w:w="539" w:type="pct"/>
                  <w:tcBorders>
                    <w:tl2br w:val="nil"/>
                    <w:tr2bl w:val="nil"/>
                  </w:tcBorders>
                  <w:vAlign w:val="center"/>
                </w:tcPr>
                <w:p w14:paraId="397EB875">
                  <w:pPr>
                    <w:jc w:val="center"/>
                    <w:rPr>
                      <w:color w:val="auto"/>
                      <w:sz w:val="20"/>
                      <w:szCs w:val="20"/>
                    </w:rPr>
                  </w:pPr>
                  <w:r>
                    <w:rPr>
                      <w:rFonts w:hint="eastAsia"/>
                      <w:color w:val="auto"/>
                      <w:sz w:val="20"/>
                      <w:szCs w:val="20"/>
                    </w:rPr>
                    <w:t>30.838394052</w:t>
                  </w:r>
                </w:p>
              </w:tc>
              <w:tc>
                <w:tcPr>
                  <w:tcW w:w="571" w:type="pct"/>
                  <w:tcBorders>
                    <w:tl2br w:val="nil"/>
                    <w:tr2bl w:val="nil"/>
                  </w:tcBorders>
                  <w:vAlign w:val="center"/>
                </w:tcPr>
                <w:p w14:paraId="70AB280B">
                  <w:pPr>
                    <w:jc w:val="center"/>
                    <w:rPr>
                      <w:color w:val="auto"/>
                      <w:sz w:val="20"/>
                      <w:szCs w:val="20"/>
                    </w:rPr>
                  </w:pPr>
                  <w:r>
                    <w:rPr>
                      <w:rFonts w:hint="eastAsia"/>
                      <w:color w:val="auto"/>
                      <w:sz w:val="20"/>
                      <w:szCs w:val="20"/>
                    </w:rPr>
                    <w:t>1537.444</w:t>
                  </w:r>
                </w:p>
              </w:tc>
              <w:tc>
                <w:tcPr>
                  <w:tcW w:w="508" w:type="pct"/>
                  <w:tcBorders>
                    <w:tl2br w:val="nil"/>
                    <w:tr2bl w:val="nil"/>
                  </w:tcBorders>
                  <w:vAlign w:val="center"/>
                </w:tcPr>
                <w:p w14:paraId="575A8AAB">
                  <w:pPr>
                    <w:jc w:val="center"/>
                    <w:rPr>
                      <w:color w:val="auto"/>
                      <w:sz w:val="20"/>
                      <w:szCs w:val="20"/>
                    </w:rPr>
                  </w:pPr>
                  <w:r>
                    <w:rPr>
                      <w:rFonts w:hint="eastAsia"/>
                      <w:color w:val="auto"/>
                      <w:sz w:val="20"/>
                      <w:szCs w:val="20"/>
                    </w:rPr>
                    <w:t>东</w:t>
                  </w:r>
                </w:p>
              </w:tc>
              <w:tc>
                <w:tcPr>
                  <w:tcW w:w="414" w:type="pct"/>
                  <w:tcBorders>
                    <w:tl2br w:val="nil"/>
                    <w:tr2bl w:val="nil"/>
                  </w:tcBorders>
                  <w:vAlign w:val="center"/>
                </w:tcPr>
                <w:p w14:paraId="72FFC1D7">
                  <w:pPr>
                    <w:jc w:val="center"/>
                    <w:rPr>
                      <w:color w:val="auto"/>
                      <w:sz w:val="20"/>
                      <w:szCs w:val="20"/>
                    </w:rPr>
                  </w:pPr>
                  <w:r>
                    <w:rPr>
                      <w:rFonts w:hint="eastAsia"/>
                      <w:color w:val="auto"/>
                      <w:sz w:val="20"/>
                      <w:szCs w:val="20"/>
                    </w:rPr>
                    <w:t>20</w:t>
                  </w:r>
                </w:p>
              </w:tc>
              <w:tc>
                <w:tcPr>
                  <w:tcW w:w="706" w:type="pct"/>
                  <w:tcBorders>
                    <w:tl2br w:val="nil"/>
                    <w:tr2bl w:val="nil"/>
                  </w:tcBorders>
                  <w:vAlign w:val="center"/>
                </w:tcPr>
                <w:p w14:paraId="6620616B">
                  <w:pPr>
                    <w:jc w:val="center"/>
                    <w:rPr>
                      <w:color w:val="auto"/>
                      <w:sz w:val="20"/>
                      <w:szCs w:val="20"/>
                    </w:rPr>
                  </w:pPr>
                  <w:r>
                    <w:rPr>
                      <w:rFonts w:hint="eastAsia"/>
                      <w:color w:val="auto"/>
                      <w:sz w:val="20"/>
                      <w:szCs w:val="20"/>
                    </w:rPr>
                    <w:t>是</w:t>
                  </w:r>
                </w:p>
              </w:tc>
            </w:tr>
            <w:tr w14:paraId="1E1DEA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9" w:type="pct"/>
                  <w:tcBorders>
                    <w:tl2br w:val="nil"/>
                    <w:tr2bl w:val="nil"/>
                  </w:tcBorders>
                  <w:vAlign w:val="center"/>
                </w:tcPr>
                <w:p w14:paraId="06D9701B">
                  <w:pPr>
                    <w:jc w:val="center"/>
                    <w:rPr>
                      <w:color w:val="auto"/>
                      <w:sz w:val="20"/>
                      <w:szCs w:val="20"/>
                    </w:rPr>
                  </w:pPr>
                  <w:r>
                    <w:rPr>
                      <w:color w:val="auto"/>
                      <w:sz w:val="20"/>
                      <w:szCs w:val="20"/>
                    </w:rPr>
                    <w:t>S9</w:t>
                  </w:r>
                </w:p>
              </w:tc>
              <w:tc>
                <w:tcPr>
                  <w:tcW w:w="545" w:type="pct"/>
                  <w:tcBorders>
                    <w:tl2br w:val="nil"/>
                    <w:tr2bl w:val="nil"/>
                  </w:tcBorders>
                  <w:vAlign w:val="center"/>
                </w:tcPr>
                <w:p w14:paraId="2C8176E8">
                  <w:pPr>
                    <w:jc w:val="center"/>
                    <w:rPr>
                      <w:color w:val="auto"/>
                      <w:sz w:val="20"/>
                      <w:szCs w:val="20"/>
                    </w:rPr>
                  </w:pPr>
                  <w:r>
                    <w:rPr>
                      <w:rFonts w:hint="eastAsia"/>
                      <w:color w:val="auto"/>
                      <w:sz w:val="20"/>
                      <w:szCs w:val="20"/>
                    </w:rPr>
                    <w:t>华山松</w:t>
                  </w:r>
                </w:p>
              </w:tc>
              <w:tc>
                <w:tcPr>
                  <w:tcW w:w="655" w:type="pct"/>
                  <w:tcBorders>
                    <w:tl2br w:val="nil"/>
                    <w:tr2bl w:val="nil"/>
                  </w:tcBorders>
                  <w:vAlign w:val="center"/>
                </w:tcPr>
                <w:p w14:paraId="66DC5371">
                  <w:pPr>
                    <w:jc w:val="center"/>
                    <w:rPr>
                      <w:color w:val="auto"/>
                      <w:sz w:val="20"/>
                      <w:szCs w:val="20"/>
                    </w:rPr>
                  </w:pPr>
                  <w:r>
                    <w:rPr>
                      <w:color w:val="auto"/>
                      <w:sz w:val="20"/>
                      <w:szCs w:val="20"/>
                    </w:rPr>
                    <w:t>乔木、灌木、草本</w:t>
                  </w:r>
                </w:p>
              </w:tc>
              <w:tc>
                <w:tcPr>
                  <w:tcW w:w="657" w:type="pct"/>
                  <w:tcBorders>
                    <w:tl2br w:val="nil"/>
                    <w:tr2bl w:val="nil"/>
                  </w:tcBorders>
                  <w:noWrap/>
                  <w:vAlign w:val="center"/>
                </w:tcPr>
                <w:p w14:paraId="5AF28F52">
                  <w:pPr>
                    <w:jc w:val="center"/>
                    <w:rPr>
                      <w:color w:val="auto"/>
                      <w:sz w:val="20"/>
                      <w:szCs w:val="20"/>
                      <w:highlight w:val="yellow"/>
                    </w:rPr>
                  </w:pPr>
                  <w:r>
                    <w:rPr>
                      <w:rFonts w:hint="eastAsia"/>
                      <w:color w:val="auto"/>
                      <w:sz w:val="20"/>
                      <w:szCs w:val="20"/>
                    </w:rPr>
                    <w:t>109.483849088</w:t>
                  </w:r>
                </w:p>
              </w:tc>
              <w:tc>
                <w:tcPr>
                  <w:tcW w:w="539" w:type="pct"/>
                  <w:tcBorders>
                    <w:tl2br w:val="nil"/>
                    <w:tr2bl w:val="nil"/>
                  </w:tcBorders>
                  <w:vAlign w:val="center"/>
                </w:tcPr>
                <w:p w14:paraId="4CAA7270">
                  <w:pPr>
                    <w:jc w:val="center"/>
                    <w:rPr>
                      <w:color w:val="auto"/>
                      <w:sz w:val="20"/>
                      <w:szCs w:val="20"/>
                    </w:rPr>
                  </w:pPr>
                  <w:r>
                    <w:rPr>
                      <w:rFonts w:hint="eastAsia"/>
                      <w:color w:val="auto"/>
                      <w:sz w:val="20"/>
                      <w:szCs w:val="20"/>
                    </w:rPr>
                    <w:t>30.843656546</w:t>
                  </w:r>
                </w:p>
              </w:tc>
              <w:tc>
                <w:tcPr>
                  <w:tcW w:w="571" w:type="pct"/>
                  <w:tcBorders>
                    <w:tl2br w:val="nil"/>
                    <w:tr2bl w:val="nil"/>
                  </w:tcBorders>
                  <w:vAlign w:val="center"/>
                </w:tcPr>
                <w:p w14:paraId="2E2BF24B">
                  <w:pPr>
                    <w:jc w:val="center"/>
                    <w:rPr>
                      <w:color w:val="auto"/>
                      <w:sz w:val="20"/>
                      <w:szCs w:val="20"/>
                    </w:rPr>
                  </w:pPr>
                  <w:r>
                    <w:rPr>
                      <w:rFonts w:hint="eastAsia"/>
                      <w:color w:val="auto"/>
                      <w:sz w:val="20"/>
                      <w:szCs w:val="20"/>
                    </w:rPr>
                    <w:t>1481.745</w:t>
                  </w:r>
                </w:p>
              </w:tc>
              <w:tc>
                <w:tcPr>
                  <w:tcW w:w="508" w:type="pct"/>
                  <w:tcBorders>
                    <w:tl2br w:val="nil"/>
                    <w:tr2bl w:val="nil"/>
                  </w:tcBorders>
                  <w:vAlign w:val="center"/>
                </w:tcPr>
                <w:p w14:paraId="65472451">
                  <w:pPr>
                    <w:jc w:val="center"/>
                    <w:rPr>
                      <w:color w:val="auto"/>
                      <w:sz w:val="20"/>
                      <w:szCs w:val="20"/>
                    </w:rPr>
                  </w:pPr>
                  <w:r>
                    <w:rPr>
                      <w:rFonts w:hint="eastAsia"/>
                      <w:color w:val="auto"/>
                      <w:sz w:val="20"/>
                      <w:szCs w:val="20"/>
                    </w:rPr>
                    <w:t>南</w:t>
                  </w:r>
                </w:p>
              </w:tc>
              <w:tc>
                <w:tcPr>
                  <w:tcW w:w="414" w:type="pct"/>
                  <w:tcBorders>
                    <w:tl2br w:val="nil"/>
                    <w:tr2bl w:val="nil"/>
                  </w:tcBorders>
                  <w:vAlign w:val="center"/>
                </w:tcPr>
                <w:p w14:paraId="77A7000D">
                  <w:pPr>
                    <w:jc w:val="center"/>
                    <w:rPr>
                      <w:color w:val="auto"/>
                      <w:sz w:val="20"/>
                      <w:szCs w:val="20"/>
                    </w:rPr>
                  </w:pPr>
                  <w:r>
                    <w:rPr>
                      <w:rFonts w:hint="eastAsia"/>
                      <w:color w:val="auto"/>
                      <w:sz w:val="20"/>
                      <w:szCs w:val="20"/>
                    </w:rPr>
                    <w:t>25</w:t>
                  </w:r>
                </w:p>
              </w:tc>
              <w:tc>
                <w:tcPr>
                  <w:tcW w:w="706" w:type="pct"/>
                  <w:tcBorders>
                    <w:tl2br w:val="nil"/>
                    <w:tr2bl w:val="nil"/>
                  </w:tcBorders>
                  <w:vAlign w:val="center"/>
                </w:tcPr>
                <w:p w14:paraId="557EA179">
                  <w:pPr>
                    <w:jc w:val="center"/>
                    <w:rPr>
                      <w:color w:val="auto"/>
                      <w:sz w:val="20"/>
                      <w:szCs w:val="20"/>
                    </w:rPr>
                  </w:pPr>
                  <w:r>
                    <w:rPr>
                      <w:rFonts w:hint="eastAsia"/>
                      <w:color w:val="auto"/>
                      <w:sz w:val="20"/>
                      <w:szCs w:val="20"/>
                    </w:rPr>
                    <w:t>是</w:t>
                  </w:r>
                </w:p>
              </w:tc>
            </w:tr>
            <w:tr w14:paraId="7C61AD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9" w:type="pct"/>
                  <w:tcBorders>
                    <w:tl2br w:val="nil"/>
                    <w:tr2bl w:val="nil"/>
                  </w:tcBorders>
                  <w:vAlign w:val="center"/>
                </w:tcPr>
                <w:p w14:paraId="623C6CF8">
                  <w:pPr>
                    <w:jc w:val="center"/>
                    <w:rPr>
                      <w:color w:val="auto"/>
                      <w:sz w:val="20"/>
                      <w:szCs w:val="20"/>
                    </w:rPr>
                  </w:pPr>
                  <w:r>
                    <w:rPr>
                      <w:color w:val="auto"/>
                      <w:sz w:val="20"/>
                      <w:szCs w:val="20"/>
                    </w:rPr>
                    <w:t>S10</w:t>
                  </w:r>
                </w:p>
              </w:tc>
              <w:tc>
                <w:tcPr>
                  <w:tcW w:w="545" w:type="pct"/>
                  <w:tcBorders>
                    <w:tl2br w:val="nil"/>
                    <w:tr2bl w:val="nil"/>
                  </w:tcBorders>
                  <w:vAlign w:val="center"/>
                </w:tcPr>
                <w:p w14:paraId="4B886FED">
                  <w:pPr>
                    <w:jc w:val="center"/>
                    <w:rPr>
                      <w:color w:val="auto"/>
                      <w:sz w:val="20"/>
                      <w:szCs w:val="20"/>
                    </w:rPr>
                  </w:pPr>
                  <w:r>
                    <w:rPr>
                      <w:rFonts w:hint="eastAsia"/>
                      <w:color w:val="auto"/>
                      <w:sz w:val="20"/>
                      <w:szCs w:val="20"/>
                    </w:rPr>
                    <w:t>华山松</w:t>
                  </w:r>
                </w:p>
              </w:tc>
              <w:tc>
                <w:tcPr>
                  <w:tcW w:w="655" w:type="pct"/>
                  <w:tcBorders>
                    <w:tl2br w:val="nil"/>
                    <w:tr2bl w:val="nil"/>
                  </w:tcBorders>
                  <w:vAlign w:val="center"/>
                </w:tcPr>
                <w:p w14:paraId="34F40678">
                  <w:pPr>
                    <w:jc w:val="center"/>
                    <w:rPr>
                      <w:color w:val="auto"/>
                      <w:sz w:val="20"/>
                      <w:szCs w:val="20"/>
                    </w:rPr>
                  </w:pPr>
                  <w:r>
                    <w:rPr>
                      <w:color w:val="auto"/>
                      <w:sz w:val="20"/>
                      <w:szCs w:val="20"/>
                    </w:rPr>
                    <w:t>乔木、灌木、草本</w:t>
                  </w:r>
                </w:p>
              </w:tc>
              <w:tc>
                <w:tcPr>
                  <w:tcW w:w="657" w:type="pct"/>
                  <w:tcBorders>
                    <w:tl2br w:val="nil"/>
                    <w:tr2bl w:val="nil"/>
                  </w:tcBorders>
                  <w:noWrap/>
                  <w:vAlign w:val="center"/>
                </w:tcPr>
                <w:p w14:paraId="3379A3D6">
                  <w:pPr>
                    <w:jc w:val="center"/>
                    <w:rPr>
                      <w:color w:val="auto"/>
                      <w:sz w:val="20"/>
                      <w:szCs w:val="20"/>
                      <w:highlight w:val="yellow"/>
                    </w:rPr>
                  </w:pPr>
                  <w:r>
                    <w:rPr>
                      <w:rFonts w:hint="eastAsia"/>
                      <w:color w:val="auto"/>
                      <w:sz w:val="20"/>
                      <w:szCs w:val="20"/>
                    </w:rPr>
                    <w:t>109.478937964</w:t>
                  </w:r>
                </w:p>
              </w:tc>
              <w:tc>
                <w:tcPr>
                  <w:tcW w:w="539" w:type="pct"/>
                  <w:tcBorders>
                    <w:tl2br w:val="nil"/>
                    <w:tr2bl w:val="nil"/>
                  </w:tcBorders>
                  <w:vAlign w:val="center"/>
                </w:tcPr>
                <w:p w14:paraId="493A9090">
                  <w:pPr>
                    <w:jc w:val="center"/>
                    <w:rPr>
                      <w:color w:val="auto"/>
                      <w:sz w:val="20"/>
                      <w:szCs w:val="20"/>
                    </w:rPr>
                  </w:pPr>
                  <w:r>
                    <w:rPr>
                      <w:rFonts w:hint="eastAsia"/>
                      <w:color w:val="auto"/>
                      <w:sz w:val="20"/>
                      <w:szCs w:val="20"/>
                    </w:rPr>
                    <w:t>30.841078943</w:t>
                  </w:r>
                </w:p>
              </w:tc>
              <w:tc>
                <w:tcPr>
                  <w:tcW w:w="571" w:type="pct"/>
                  <w:tcBorders>
                    <w:tl2br w:val="nil"/>
                    <w:tr2bl w:val="nil"/>
                  </w:tcBorders>
                  <w:vAlign w:val="center"/>
                </w:tcPr>
                <w:p w14:paraId="33CA8596">
                  <w:pPr>
                    <w:jc w:val="center"/>
                    <w:rPr>
                      <w:color w:val="auto"/>
                      <w:sz w:val="20"/>
                      <w:szCs w:val="20"/>
                    </w:rPr>
                  </w:pPr>
                  <w:r>
                    <w:rPr>
                      <w:rFonts w:hint="eastAsia"/>
                      <w:color w:val="auto"/>
                      <w:sz w:val="20"/>
                      <w:szCs w:val="20"/>
                    </w:rPr>
                    <w:t>1531.438</w:t>
                  </w:r>
                </w:p>
              </w:tc>
              <w:tc>
                <w:tcPr>
                  <w:tcW w:w="508" w:type="pct"/>
                  <w:tcBorders>
                    <w:tl2br w:val="nil"/>
                    <w:tr2bl w:val="nil"/>
                  </w:tcBorders>
                  <w:vAlign w:val="center"/>
                </w:tcPr>
                <w:p w14:paraId="1200579B">
                  <w:pPr>
                    <w:jc w:val="center"/>
                    <w:rPr>
                      <w:color w:val="auto"/>
                      <w:sz w:val="20"/>
                      <w:szCs w:val="20"/>
                    </w:rPr>
                  </w:pPr>
                  <w:r>
                    <w:rPr>
                      <w:rFonts w:hint="eastAsia"/>
                      <w:color w:val="auto"/>
                      <w:sz w:val="20"/>
                      <w:szCs w:val="20"/>
                    </w:rPr>
                    <w:t>南</w:t>
                  </w:r>
                </w:p>
              </w:tc>
              <w:tc>
                <w:tcPr>
                  <w:tcW w:w="414" w:type="pct"/>
                  <w:tcBorders>
                    <w:tl2br w:val="nil"/>
                    <w:tr2bl w:val="nil"/>
                  </w:tcBorders>
                  <w:vAlign w:val="center"/>
                </w:tcPr>
                <w:p w14:paraId="723DDA12">
                  <w:pPr>
                    <w:jc w:val="center"/>
                    <w:rPr>
                      <w:color w:val="auto"/>
                      <w:sz w:val="20"/>
                      <w:szCs w:val="20"/>
                    </w:rPr>
                  </w:pPr>
                  <w:r>
                    <w:rPr>
                      <w:rFonts w:hint="eastAsia"/>
                      <w:color w:val="auto"/>
                      <w:sz w:val="20"/>
                      <w:szCs w:val="20"/>
                    </w:rPr>
                    <w:t>26</w:t>
                  </w:r>
                </w:p>
              </w:tc>
              <w:tc>
                <w:tcPr>
                  <w:tcW w:w="706" w:type="pct"/>
                  <w:tcBorders>
                    <w:tl2br w:val="nil"/>
                    <w:tr2bl w:val="nil"/>
                  </w:tcBorders>
                  <w:vAlign w:val="center"/>
                </w:tcPr>
                <w:p w14:paraId="5C1A6455">
                  <w:pPr>
                    <w:jc w:val="center"/>
                    <w:rPr>
                      <w:color w:val="auto"/>
                      <w:sz w:val="20"/>
                      <w:szCs w:val="20"/>
                    </w:rPr>
                  </w:pPr>
                  <w:r>
                    <w:rPr>
                      <w:rFonts w:hint="eastAsia"/>
                      <w:color w:val="auto"/>
                      <w:sz w:val="20"/>
                      <w:szCs w:val="20"/>
                    </w:rPr>
                    <w:t>是</w:t>
                  </w:r>
                </w:p>
              </w:tc>
            </w:tr>
            <w:tr w14:paraId="782295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7" w:hRule="atLeast"/>
                <w:jc w:val="center"/>
              </w:trPr>
              <w:tc>
                <w:tcPr>
                  <w:tcW w:w="399" w:type="pct"/>
                  <w:tcBorders>
                    <w:tl2br w:val="nil"/>
                    <w:tr2bl w:val="nil"/>
                  </w:tcBorders>
                  <w:vAlign w:val="center"/>
                </w:tcPr>
                <w:p w14:paraId="040D069B">
                  <w:pPr>
                    <w:jc w:val="center"/>
                    <w:rPr>
                      <w:color w:val="auto"/>
                      <w:sz w:val="20"/>
                      <w:szCs w:val="20"/>
                    </w:rPr>
                  </w:pPr>
                  <w:r>
                    <w:rPr>
                      <w:color w:val="auto"/>
                      <w:sz w:val="20"/>
                      <w:szCs w:val="20"/>
                    </w:rPr>
                    <w:t>S11</w:t>
                  </w:r>
                </w:p>
              </w:tc>
              <w:tc>
                <w:tcPr>
                  <w:tcW w:w="545" w:type="pct"/>
                  <w:tcBorders>
                    <w:tl2br w:val="nil"/>
                    <w:tr2bl w:val="nil"/>
                  </w:tcBorders>
                  <w:vAlign w:val="center"/>
                </w:tcPr>
                <w:p w14:paraId="6C13150C">
                  <w:pPr>
                    <w:jc w:val="center"/>
                    <w:rPr>
                      <w:color w:val="auto"/>
                      <w:sz w:val="20"/>
                      <w:szCs w:val="20"/>
                    </w:rPr>
                  </w:pPr>
                  <w:r>
                    <w:rPr>
                      <w:rFonts w:hint="eastAsia"/>
                      <w:color w:val="auto"/>
                      <w:sz w:val="20"/>
                      <w:szCs w:val="20"/>
                    </w:rPr>
                    <w:t>白车轴草</w:t>
                  </w:r>
                </w:p>
              </w:tc>
              <w:tc>
                <w:tcPr>
                  <w:tcW w:w="655" w:type="pct"/>
                  <w:tcBorders>
                    <w:tl2br w:val="nil"/>
                    <w:tr2bl w:val="nil"/>
                  </w:tcBorders>
                  <w:vAlign w:val="center"/>
                </w:tcPr>
                <w:p w14:paraId="3D4263BB">
                  <w:pPr>
                    <w:jc w:val="center"/>
                    <w:rPr>
                      <w:color w:val="auto"/>
                      <w:sz w:val="20"/>
                      <w:szCs w:val="20"/>
                    </w:rPr>
                  </w:pPr>
                  <w:r>
                    <w:rPr>
                      <w:color w:val="auto"/>
                      <w:sz w:val="20"/>
                      <w:szCs w:val="20"/>
                    </w:rPr>
                    <w:t>草本</w:t>
                  </w:r>
                </w:p>
              </w:tc>
              <w:tc>
                <w:tcPr>
                  <w:tcW w:w="657" w:type="pct"/>
                  <w:tcBorders>
                    <w:tl2br w:val="nil"/>
                    <w:tr2bl w:val="nil"/>
                  </w:tcBorders>
                  <w:noWrap/>
                  <w:vAlign w:val="center"/>
                </w:tcPr>
                <w:p w14:paraId="2A506EA7">
                  <w:pPr>
                    <w:jc w:val="center"/>
                    <w:rPr>
                      <w:color w:val="auto"/>
                      <w:sz w:val="20"/>
                      <w:szCs w:val="20"/>
                      <w:highlight w:val="yellow"/>
                    </w:rPr>
                  </w:pPr>
                  <w:r>
                    <w:rPr>
                      <w:rFonts w:hint="eastAsia"/>
                      <w:color w:val="auto"/>
                      <w:sz w:val="20"/>
                      <w:szCs w:val="20"/>
                    </w:rPr>
                    <w:t>109.464014153</w:t>
                  </w:r>
                </w:p>
              </w:tc>
              <w:tc>
                <w:tcPr>
                  <w:tcW w:w="539" w:type="pct"/>
                  <w:tcBorders>
                    <w:tl2br w:val="nil"/>
                    <w:tr2bl w:val="nil"/>
                  </w:tcBorders>
                  <w:vAlign w:val="center"/>
                </w:tcPr>
                <w:p w14:paraId="347B13E8">
                  <w:pPr>
                    <w:jc w:val="center"/>
                    <w:rPr>
                      <w:color w:val="auto"/>
                      <w:sz w:val="20"/>
                      <w:szCs w:val="20"/>
                    </w:rPr>
                  </w:pPr>
                  <w:r>
                    <w:rPr>
                      <w:rFonts w:hint="eastAsia"/>
                      <w:color w:val="auto"/>
                      <w:sz w:val="20"/>
                      <w:szCs w:val="20"/>
                    </w:rPr>
                    <w:t>30.837254113</w:t>
                  </w:r>
                </w:p>
              </w:tc>
              <w:tc>
                <w:tcPr>
                  <w:tcW w:w="571" w:type="pct"/>
                  <w:tcBorders>
                    <w:tl2br w:val="nil"/>
                    <w:tr2bl w:val="nil"/>
                  </w:tcBorders>
                  <w:vAlign w:val="center"/>
                </w:tcPr>
                <w:p w14:paraId="6DDA5EC5">
                  <w:pPr>
                    <w:jc w:val="center"/>
                    <w:rPr>
                      <w:color w:val="auto"/>
                      <w:sz w:val="20"/>
                      <w:szCs w:val="20"/>
                    </w:rPr>
                  </w:pPr>
                  <w:r>
                    <w:rPr>
                      <w:rFonts w:hint="eastAsia"/>
                      <w:color w:val="auto"/>
                      <w:sz w:val="20"/>
                      <w:szCs w:val="20"/>
                    </w:rPr>
                    <w:t>1585.414</w:t>
                  </w:r>
                </w:p>
              </w:tc>
              <w:tc>
                <w:tcPr>
                  <w:tcW w:w="508" w:type="pct"/>
                  <w:tcBorders>
                    <w:tl2br w:val="nil"/>
                    <w:tr2bl w:val="nil"/>
                  </w:tcBorders>
                  <w:vAlign w:val="center"/>
                </w:tcPr>
                <w:p w14:paraId="7804CF13">
                  <w:pPr>
                    <w:jc w:val="center"/>
                    <w:rPr>
                      <w:color w:val="auto"/>
                      <w:sz w:val="20"/>
                      <w:szCs w:val="20"/>
                    </w:rPr>
                  </w:pPr>
                  <w:r>
                    <w:rPr>
                      <w:rFonts w:hint="eastAsia"/>
                      <w:color w:val="auto"/>
                      <w:sz w:val="20"/>
                      <w:szCs w:val="20"/>
                    </w:rPr>
                    <w:t>东</w:t>
                  </w:r>
                </w:p>
              </w:tc>
              <w:tc>
                <w:tcPr>
                  <w:tcW w:w="414" w:type="pct"/>
                  <w:tcBorders>
                    <w:tl2br w:val="nil"/>
                    <w:tr2bl w:val="nil"/>
                  </w:tcBorders>
                  <w:vAlign w:val="center"/>
                </w:tcPr>
                <w:p w14:paraId="2DB85434">
                  <w:pPr>
                    <w:jc w:val="center"/>
                    <w:rPr>
                      <w:color w:val="auto"/>
                      <w:sz w:val="20"/>
                      <w:szCs w:val="20"/>
                    </w:rPr>
                  </w:pPr>
                  <w:r>
                    <w:rPr>
                      <w:rFonts w:hint="eastAsia"/>
                      <w:color w:val="auto"/>
                      <w:sz w:val="20"/>
                      <w:szCs w:val="20"/>
                    </w:rPr>
                    <w:t>10</w:t>
                  </w:r>
                </w:p>
              </w:tc>
              <w:tc>
                <w:tcPr>
                  <w:tcW w:w="706" w:type="pct"/>
                  <w:tcBorders>
                    <w:tl2br w:val="nil"/>
                    <w:tr2bl w:val="nil"/>
                  </w:tcBorders>
                  <w:vAlign w:val="center"/>
                </w:tcPr>
                <w:p w14:paraId="17CD7EC0">
                  <w:pPr>
                    <w:jc w:val="center"/>
                    <w:rPr>
                      <w:color w:val="auto"/>
                      <w:sz w:val="20"/>
                      <w:szCs w:val="20"/>
                    </w:rPr>
                  </w:pPr>
                  <w:r>
                    <w:rPr>
                      <w:rFonts w:hint="eastAsia"/>
                      <w:color w:val="auto"/>
                      <w:sz w:val="20"/>
                      <w:szCs w:val="20"/>
                    </w:rPr>
                    <w:t>是</w:t>
                  </w:r>
                </w:p>
              </w:tc>
            </w:tr>
            <w:tr w14:paraId="6CF5CA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9" w:type="pct"/>
                  <w:tcBorders>
                    <w:tl2br w:val="nil"/>
                    <w:tr2bl w:val="nil"/>
                  </w:tcBorders>
                  <w:vAlign w:val="center"/>
                </w:tcPr>
                <w:p w14:paraId="22348DAA">
                  <w:pPr>
                    <w:jc w:val="center"/>
                    <w:rPr>
                      <w:color w:val="auto"/>
                      <w:sz w:val="20"/>
                      <w:szCs w:val="20"/>
                    </w:rPr>
                  </w:pPr>
                  <w:r>
                    <w:rPr>
                      <w:color w:val="auto"/>
                      <w:sz w:val="20"/>
                      <w:szCs w:val="20"/>
                    </w:rPr>
                    <w:t>S12</w:t>
                  </w:r>
                </w:p>
              </w:tc>
              <w:tc>
                <w:tcPr>
                  <w:tcW w:w="545" w:type="pct"/>
                  <w:tcBorders>
                    <w:tl2br w:val="nil"/>
                    <w:tr2bl w:val="nil"/>
                  </w:tcBorders>
                  <w:vAlign w:val="center"/>
                </w:tcPr>
                <w:p w14:paraId="14C9DE44">
                  <w:pPr>
                    <w:jc w:val="center"/>
                    <w:rPr>
                      <w:color w:val="auto"/>
                      <w:sz w:val="20"/>
                      <w:szCs w:val="20"/>
                    </w:rPr>
                  </w:pPr>
                  <w:r>
                    <w:rPr>
                      <w:rFonts w:hint="eastAsia"/>
                      <w:color w:val="auto"/>
                      <w:sz w:val="20"/>
                      <w:szCs w:val="20"/>
                    </w:rPr>
                    <w:t>白车轴草</w:t>
                  </w:r>
                </w:p>
              </w:tc>
              <w:tc>
                <w:tcPr>
                  <w:tcW w:w="655" w:type="pct"/>
                  <w:tcBorders>
                    <w:tl2br w:val="nil"/>
                    <w:tr2bl w:val="nil"/>
                  </w:tcBorders>
                  <w:vAlign w:val="center"/>
                </w:tcPr>
                <w:p w14:paraId="10F82851">
                  <w:pPr>
                    <w:jc w:val="center"/>
                    <w:rPr>
                      <w:color w:val="auto"/>
                      <w:sz w:val="20"/>
                      <w:szCs w:val="20"/>
                    </w:rPr>
                  </w:pPr>
                  <w:r>
                    <w:rPr>
                      <w:color w:val="auto"/>
                      <w:sz w:val="20"/>
                      <w:szCs w:val="20"/>
                    </w:rPr>
                    <w:t>草本</w:t>
                  </w:r>
                </w:p>
              </w:tc>
              <w:tc>
                <w:tcPr>
                  <w:tcW w:w="657" w:type="pct"/>
                  <w:tcBorders>
                    <w:tl2br w:val="nil"/>
                    <w:tr2bl w:val="nil"/>
                  </w:tcBorders>
                  <w:noWrap/>
                  <w:vAlign w:val="center"/>
                </w:tcPr>
                <w:p w14:paraId="070E4BD0">
                  <w:pPr>
                    <w:jc w:val="center"/>
                    <w:rPr>
                      <w:color w:val="auto"/>
                      <w:sz w:val="20"/>
                      <w:szCs w:val="20"/>
                      <w:highlight w:val="yellow"/>
                    </w:rPr>
                  </w:pPr>
                  <w:r>
                    <w:rPr>
                      <w:rFonts w:hint="eastAsia"/>
                      <w:color w:val="auto"/>
                      <w:sz w:val="20"/>
                      <w:szCs w:val="20"/>
                    </w:rPr>
                    <w:t>109.460323433</w:t>
                  </w:r>
                </w:p>
              </w:tc>
              <w:tc>
                <w:tcPr>
                  <w:tcW w:w="539" w:type="pct"/>
                  <w:tcBorders>
                    <w:tl2br w:val="nil"/>
                    <w:tr2bl w:val="nil"/>
                  </w:tcBorders>
                  <w:vAlign w:val="center"/>
                </w:tcPr>
                <w:p w14:paraId="29B856BF">
                  <w:pPr>
                    <w:jc w:val="center"/>
                    <w:rPr>
                      <w:color w:val="auto"/>
                      <w:sz w:val="20"/>
                      <w:szCs w:val="20"/>
                    </w:rPr>
                  </w:pPr>
                  <w:r>
                    <w:rPr>
                      <w:rFonts w:hint="eastAsia"/>
                      <w:color w:val="auto"/>
                      <w:sz w:val="20"/>
                      <w:szCs w:val="20"/>
                    </w:rPr>
                    <w:t>30.829309410</w:t>
                  </w:r>
                </w:p>
              </w:tc>
              <w:tc>
                <w:tcPr>
                  <w:tcW w:w="571" w:type="pct"/>
                  <w:tcBorders>
                    <w:tl2br w:val="nil"/>
                    <w:tr2bl w:val="nil"/>
                  </w:tcBorders>
                  <w:vAlign w:val="center"/>
                </w:tcPr>
                <w:p w14:paraId="3F819BE3">
                  <w:pPr>
                    <w:jc w:val="center"/>
                    <w:rPr>
                      <w:color w:val="auto"/>
                      <w:sz w:val="20"/>
                      <w:szCs w:val="20"/>
                    </w:rPr>
                  </w:pPr>
                  <w:r>
                    <w:rPr>
                      <w:rFonts w:hint="eastAsia"/>
                      <w:color w:val="auto"/>
                      <w:sz w:val="20"/>
                      <w:szCs w:val="20"/>
                    </w:rPr>
                    <w:t>1592.550</w:t>
                  </w:r>
                </w:p>
              </w:tc>
              <w:tc>
                <w:tcPr>
                  <w:tcW w:w="508" w:type="pct"/>
                  <w:tcBorders>
                    <w:tl2br w:val="nil"/>
                    <w:tr2bl w:val="nil"/>
                  </w:tcBorders>
                  <w:vAlign w:val="center"/>
                </w:tcPr>
                <w:p w14:paraId="588F4DE3">
                  <w:pPr>
                    <w:jc w:val="center"/>
                    <w:rPr>
                      <w:color w:val="auto"/>
                      <w:sz w:val="20"/>
                      <w:szCs w:val="20"/>
                    </w:rPr>
                  </w:pPr>
                  <w:r>
                    <w:rPr>
                      <w:rFonts w:hint="eastAsia"/>
                      <w:color w:val="auto"/>
                      <w:sz w:val="20"/>
                      <w:szCs w:val="20"/>
                    </w:rPr>
                    <w:t>东南</w:t>
                  </w:r>
                </w:p>
              </w:tc>
              <w:tc>
                <w:tcPr>
                  <w:tcW w:w="414" w:type="pct"/>
                  <w:tcBorders>
                    <w:tl2br w:val="nil"/>
                    <w:tr2bl w:val="nil"/>
                  </w:tcBorders>
                  <w:vAlign w:val="center"/>
                </w:tcPr>
                <w:p w14:paraId="5FD9F0A3">
                  <w:pPr>
                    <w:jc w:val="center"/>
                    <w:rPr>
                      <w:color w:val="auto"/>
                      <w:sz w:val="20"/>
                      <w:szCs w:val="20"/>
                    </w:rPr>
                  </w:pPr>
                  <w:r>
                    <w:rPr>
                      <w:rFonts w:hint="eastAsia"/>
                      <w:color w:val="auto"/>
                      <w:sz w:val="20"/>
                      <w:szCs w:val="20"/>
                    </w:rPr>
                    <w:t>10</w:t>
                  </w:r>
                </w:p>
              </w:tc>
              <w:tc>
                <w:tcPr>
                  <w:tcW w:w="706" w:type="pct"/>
                  <w:tcBorders>
                    <w:tl2br w:val="nil"/>
                    <w:tr2bl w:val="nil"/>
                  </w:tcBorders>
                  <w:vAlign w:val="center"/>
                </w:tcPr>
                <w:p w14:paraId="2ED465EA">
                  <w:pPr>
                    <w:jc w:val="center"/>
                    <w:rPr>
                      <w:color w:val="auto"/>
                      <w:sz w:val="20"/>
                      <w:szCs w:val="20"/>
                    </w:rPr>
                  </w:pPr>
                  <w:r>
                    <w:rPr>
                      <w:rFonts w:hint="eastAsia"/>
                      <w:color w:val="auto"/>
                      <w:sz w:val="20"/>
                      <w:szCs w:val="20"/>
                    </w:rPr>
                    <w:t>是</w:t>
                  </w:r>
                </w:p>
              </w:tc>
            </w:tr>
            <w:tr w14:paraId="0CCE37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9" w:type="pct"/>
                  <w:tcBorders>
                    <w:tl2br w:val="nil"/>
                    <w:tr2bl w:val="nil"/>
                  </w:tcBorders>
                  <w:vAlign w:val="center"/>
                </w:tcPr>
                <w:p w14:paraId="529513A7">
                  <w:pPr>
                    <w:jc w:val="center"/>
                    <w:rPr>
                      <w:color w:val="auto"/>
                      <w:sz w:val="20"/>
                      <w:szCs w:val="20"/>
                    </w:rPr>
                  </w:pPr>
                  <w:r>
                    <w:rPr>
                      <w:color w:val="auto"/>
                      <w:sz w:val="20"/>
                      <w:szCs w:val="20"/>
                    </w:rPr>
                    <w:t>S13</w:t>
                  </w:r>
                </w:p>
              </w:tc>
              <w:tc>
                <w:tcPr>
                  <w:tcW w:w="545" w:type="pct"/>
                  <w:tcBorders>
                    <w:tl2br w:val="nil"/>
                    <w:tr2bl w:val="nil"/>
                  </w:tcBorders>
                  <w:vAlign w:val="center"/>
                </w:tcPr>
                <w:p w14:paraId="4B89FA66">
                  <w:pPr>
                    <w:jc w:val="center"/>
                    <w:rPr>
                      <w:color w:val="auto"/>
                      <w:sz w:val="20"/>
                      <w:szCs w:val="20"/>
                    </w:rPr>
                  </w:pPr>
                  <w:r>
                    <w:rPr>
                      <w:rFonts w:hint="eastAsia"/>
                      <w:color w:val="auto"/>
                      <w:sz w:val="20"/>
                      <w:szCs w:val="20"/>
                    </w:rPr>
                    <w:t>华山松</w:t>
                  </w:r>
                </w:p>
              </w:tc>
              <w:tc>
                <w:tcPr>
                  <w:tcW w:w="655" w:type="pct"/>
                  <w:tcBorders>
                    <w:tl2br w:val="nil"/>
                    <w:tr2bl w:val="nil"/>
                  </w:tcBorders>
                  <w:vAlign w:val="center"/>
                </w:tcPr>
                <w:p w14:paraId="51E0DBF0">
                  <w:pPr>
                    <w:jc w:val="center"/>
                    <w:rPr>
                      <w:color w:val="auto"/>
                      <w:sz w:val="20"/>
                      <w:szCs w:val="20"/>
                    </w:rPr>
                  </w:pPr>
                  <w:r>
                    <w:rPr>
                      <w:color w:val="auto"/>
                      <w:sz w:val="20"/>
                      <w:szCs w:val="20"/>
                    </w:rPr>
                    <w:t>乔木、灌木、草本</w:t>
                  </w:r>
                </w:p>
              </w:tc>
              <w:tc>
                <w:tcPr>
                  <w:tcW w:w="657" w:type="pct"/>
                  <w:tcBorders>
                    <w:tl2br w:val="nil"/>
                    <w:tr2bl w:val="nil"/>
                  </w:tcBorders>
                  <w:noWrap/>
                  <w:vAlign w:val="center"/>
                </w:tcPr>
                <w:p w14:paraId="690E0536">
                  <w:pPr>
                    <w:jc w:val="center"/>
                    <w:rPr>
                      <w:color w:val="auto"/>
                      <w:sz w:val="20"/>
                      <w:szCs w:val="20"/>
                    </w:rPr>
                  </w:pPr>
                  <w:r>
                    <w:rPr>
                      <w:rFonts w:hint="eastAsia"/>
                      <w:color w:val="auto"/>
                      <w:sz w:val="20"/>
                      <w:szCs w:val="20"/>
                    </w:rPr>
                    <w:t>109.469383935</w:t>
                  </w:r>
                </w:p>
              </w:tc>
              <w:tc>
                <w:tcPr>
                  <w:tcW w:w="539" w:type="pct"/>
                  <w:tcBorders>
                    <w:tl2br w:val="nil"/>
                    <w:tr2bl w:val="nil"/>
                  </w:tcBorders>
                  <w:vAlign w:val="center"/>
                </w:tcPr>
                <w:p w14:paraId="789C1115">
                  <w:pPr>
                    <w:jc w:val="center"/>
                    <w:rPr>
                      <w:color w:val="auto"/>
                      <w:sz w:val="20"/>
                      <w:szCs w:val="20"/>
                    </w:rPr>
                  </w:pPr>
                  <w:r>
                    <w:rPr>
                      <w:rFonts w:hint="eastAsia"/>
                      <w:color w:val="auto"/>
                      <w:sz w:val="20"/>
                      <w:szCs w:val="20"/>
                    </w:rPr>
                    <w:t>30.836444086</w:t>
                  </w:r>
                </w:p>
              </w:tc>
              <w:tc>
                <w:tcPr>
                  <w:tcW w:w="571" w:type="pct"/>
                  <w:tcBorders>
                    <w:tl2br w:val="nil"/>
                    <w:tr2bl w:val="nil"/>
                  </w:tcBorders>
                  <w:vAlign w:val="center"/>
                </w:tcPr>
                <w:p w14:paraId="25C72A10">
                  <w:pPr>
                    <w:jc w:val="center"/>
                    <w:rPr>
                      <w:color w:val="auto"/>
                      <w:sz w:val="20"/>
                      <w:szCs w:val="20"/>
                    </w:rPr>
                  </w:pPr>
                  <w:r>
                    <w:rPr>
                      <w:rFonts w:hint="eastAsia"/>
                      <w:color w:val="auto"/>
                      <w:sz w:val="20"/>
                      <w:szCs w:val="20"/>
                    </w:rPr>
                    <w:t>1593.658</w:t>
                  </w:r>
                </w:p>
              </w:tc>
              <w:tc>
                <w:tcPr>
                  <w:tcW w:w="508" w:type="pct"/>
                  <w:tcBorders>
                    <w:tl2br w:val="nil"/>
                    <w:tr2bl w:val="nil"/>
                  </w:tcBorders>
                  <w:vAlign w:val="center"/>
                </w:tcPr>
                <w:p w14:paraId="0F67B102">
                  <w:pPr>
                    <w:jc w:val="center"/>
                    <w:rPr>
                      <w:color w:val="auto"/>
                      <w:sz w:val="20"/>
                      <w:szCs w:val="20"/>
                    </w:rPr>
                  </w:pPr>
                  <w:r>
                    <w:rPr>
                      <w:rFonts w:hint="eastAsia"/>
                      <w:color w:val="auto"/>
                      <w:sz w:val="20"/>
                      <w:szCs w:val="20"/>
                    </w:rPr>
                    <w:t>南</w:t>
                  </w:r>
                </w:p>
              </w:tc>
              <w:tc>
                <w:tcPr>
                  <w:tcW w:w="414" w:type="pct"/>
                  <w:tcBorders>
                    <w:tl2br w:val="nil"/>
                    <w:tr2bl w:val="nil"/>
                  </w:tcBorders>
                  <w:vAlign w:val="center"/>
                </w:tcPr>
                <w:p w14:paraId="0C2D5D81">
                  <w:pPr>
                    <w:jc w:val="center"/>
                    <w:rPr>
                      <w:color w:val="auto"/>
                      <w:sz w:val="20"/>
                      <w:szCs w:val="20"/>
                    </w:rPr>
                  </w:pPr>
                  <w:r>
                    <w:rPr>
                      <w:rFonts w:hint="eastAsia"/>
                      <w:color w:val="auto"/>
                      <w:sz w:val="20"/>
                      <w:szCs w:val="20"/>
                    </w:rPr>
                    <w:t>25</w:t>
                  </w:r>
                </w:p>
              </w:tc>
              <w:tc>
                <w:tcPr>
                  <w:tcW w:w="706" w:type="pct"/>
                  <w:tcBorders>
                    <w:tl2br w:val="nil"/>
                    <w:tr2bl w:val="nil"/>
                  </w:tcBorders>
                  <w:vAlign w:val="center"/>
                </w:tcPr>
                <w:p w14:paraId="0F79ADF6">
                  <w:pPr>
                    <w:jc w:val="center"/>
                    <w:rPr>
                      <w:color w:val="auto"/>
                      <w:sz w:val="20"/>
                      <w:szCs w:val="20"/>
                    </w:rPr>
                  </w:pPr>
                  <w:r>
                    <w:rPr>
                      <w:rFonts w:hint="eastAsia"/>
                      <w:color w:val="auto"/>
                      <w:sz w:val="20"/>
                      <w:szCs w:val="20"/>
                    </w:rPr>
                    <w:t>是</w:t>
                  </w:r>
                </w:p>
              </w:tc>
            </w:tr>
            <w:tr w14:paraId="79FAC2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9" w:type="pct"/>
                  <w:tcBorders>
                    <w:tl2br w:val="nil"/>
                    <w:tr2bl w:val="nil"/>
                  </w:tcBorders>
                  <w:vAlign w:val="center"/>
                </w:tcPr>
                <w:p w14:paraId="16824E29">
                  <w:pPr>
                    <w:jc w:val="center"/>
                    <w:rPr>
                      <w:color w:val="auto"/>
                      <w:sz w:val="20"/>
                      <w:szCs w:val="20"/>
                    </w:rPr>
                  </w:pPr>
                  <w:r>
                    <w:rPr>
                      <w:color w:val="auto"/>
                      <w:sz w:val="20"/>
                      <w:szCs w:val="20"/>
                    </w:rPr>
                    <w:t>S14</w:t>
                  </w:r>
                </w:p>
              </w:tc>
              <w:tc>
                <w:tcPr>
                  <w:tcW w:w="545" w:type="pct"/>
                  <w:tcBorders>
                    <w:tl2br w:val="nil"/>
                    <w:tr2bl w:val="nil"/>
                  </w:tcBorders>
                  <w:vAlign w:val="center"/>
                </w:tcPr>
                <w:p w14:paraId="5C220E65">
                  <w:pPr>
                    <w:jc w:val="center"/>
                    <w:rPr>
                      <w:color w:val="auto"/>
                      <w:sz w:val="20"/>
                      <w:szCs w:val="20"/>
                    </w:rPr>
                  </w:pPr>
                  <w:r>
                    <w:rPr>
                      <w:rFonts w:hint="eastAsia"/>
                      <w:color w:val="auto"/>
                      <w:sz w:val="20"/>
                      <w:szCs w:val="20"/>
                      <w:lang w:eastAsia="zh-CN"/>
                    </w:rPr>
                    <w:t>皱叶</w:t>
                  </w:r>
                  <w:r>
                    <w:rPr>
                      <w:rFonts w:hint="eastAsia"/>
                      <w:color w:val="auto"/>
                      <w:sz w:val="20"/>
                      <w:szCs w:val="20"/>
                    </w:rPr>
                    <w:t>荚莱</w:t>
                  </w:r>
                </w:p>
              </w:tc>
              <w:tc>
                <w:tcPr>
                  <w:tcW w:w="655" w:type="pct"/>
                  <w:tcBorders>
                    <w:tl2br w:val="nil"/>
                    <w:tr2bl w:val="nil"/>
                  </w:tcBorders>
                  <w:vAlign w:val="center"/>
                </w:tcPr>
                <w:p w14:paraId="00AFB19E">
                  <w:pPr>
                    <w:jc w:val="center"/>
                    <w:rPr>
                      <w:color w:val="auto"/>
                      <w:sz w:val="20"/>
                      <w:szCs w:val="20"/>
                    </w:rPr>
                  </w:pPr>
                  <w:r>
                    <w:rPr>
                      <w:color w:val="auto"/>
                      <w:sz w:val="20"/>
                      <w:szCs w:val="20"/>
                    </w:rPr>
                    <w:t>灌木、草本</w:t>
                  </w:r>
                </w:p>
              </w:tc>
              <w:tc>
                <w:tcPr>
                  <w:tcW w:w="657" w:type="pct"/>
                  <w:tcBorders>
                    <w:tl2br w:val="nil"/>
                    <w:tr2bl w:val="nil"/>
                  </w:tcBorders>
                  <w:noWrap/>
                  <w:vAlign w:val="center"/>
                </w:tcPr>
                <w:p w14:paraId="0798F943">
                  <w:pPr>
                    <w:jc w:val="center"/>
                    <w:rPr>
                      <w:color w:val="auto"/>
                      <w:sz w:val="20"/>
                      <w:szCs w:val="20"/>
                    </w:rPr>
                  </w:pPr>
                  <w:r>
                    <w:rPr>
                      <w:rFonts w:hint="eastAsia"/>
                      <w:color w:val="auto"/>
                      <w:sz w:val="20"/>
                      <w:szCs w:val="20"/>
                    </w:rPr>
                    <w:t>109.463681559</w:t>
                  </w:r>
                </w:p>
              </w:tc>
              <w:tc>
                <w:tcPr>
                  <w:tcW w:w="539" w:type="pct"/>
                  <w:tcBorders>
                    <w:tl2br w:val="nil"/>
                    <w:tr2bl w:val="nil"/>
                  </w:tcBorders>
                  <w:vAlign w:val="center"/>
                </w:tcPr>
                <w:p w14:paraId="0DDF3D1C">
                  <w:pPr>
                    <w:jc w:val="center"/>
                    <w:rPr>
                      <w:color w:val="auto"/>
                      <w:sz w:val="20"/>
                      <w:szCs w:val="20"/>
                    </w:rPr>
                  </w:pPr>
                  <w:r>
                    <w:rPr>
                      <w:rFonts w:hint="eastAsia"/>
                      <w:color w:val="auto"/>
                      <w:sz w:val="20"/>
                      <w:szCs w:val="20"/>
                    </w:rPr>
                    <w:t>30.834947414</w:t>
                  </w:r>
                </w:p>
              </w:tc>
              <w:tc>
                <w:tcPr>
                  <w:tcW w:w="571" w:type="pct"/>
                  <w:tcBorders>
                    <w:tl2br w:val="nil"/>
                    <w:tr2bl w:val="nil"/>
                  </w:tcBorders>
                  <w:vAlign w:val="center"/>
                </w:tcPr>
                <w:p w14:paraId="103505BD">
                  <w:pPr>
                    <w:jc w:val="center"/>
                    <w:rPr>
                      <w:color w:val="auto"/>
                      <w:sz w:val="20"/>
                      <w:szCs w:val="20"/>
                    </w:rPr>
                  </w:pPr>
                  <w:r>
                    <w:rPr>
                      <w:rFonts w:hint="eastAsia"/>
                      <w:color w:val="auto"/>
                      <w:sz w:val="20"/>
                      <w:szCs w:val="20"/>
                    </w:rPr>
                    <w:t>1593.180</w:t>
                  </w:r>
                </w:p>
              </w:tc>
              <w:tc>
                <w:tcPr>
                  <w:tcW w:w="508" w:type="pct"/>
                  <w:tcBorders>
                    <w:tl2br w:val="nil"/>
                    <w:tr2bl w:val="nil"/>
                  </w:tcBorders>
                  <w:vAlign w:val="center"/>
                </w:tcPr>
                <w:p w14:paraId="43114CC8">
                  <w:pPr>
                    <w:jc w:val="center"/>
                    <w:rPr>
                      <w:color w:val="auto"/>
                      <w:sz w:val="20"/>
                      <w:szCs w:val="20"/>
                    </w:rPr>
                  </w:pPr>
                  <w:r>
                    <w:rPr>
                      <w:rFonts w:hint="eastAsia"/>
                      <w:color w:val="auto"/>
                      <w:sz w:val="20"/>
                      <w:szCs w:val="20"/>
                    </w:rPr>
                    <w:t>东</w:t>
                  </w:r>
                </w:p>
              </w:tc>
              <w:tc>
                <w:tcPr>
                  <w:tcW w:w="414" w:type="pct"/>
                  <w:tcBorders>
                    <w:tl2br w:val="nil"/>
                    <w:tr2bl w:val="nil"/>
                  </w:tcBorders>
                  <w:vAlign w:val="center"/>
                </w:tcPr>
                <w:p w14:paraId="02A7045E">
                  <w:pPr>
                    <w:jc w:val="center"/>
                    <w:rPr>
                      <w:color w:val="auto"/>
                      <w:sz w:val="20"/>
                      <w:szCs w:val="20"/>
                    </w:rPr>
                  </w:pPr>
                  <w:r>
                    <w:rPr>
                      <w:rFonts w:hint="eastAsia"/>
                      <w:color w:val="auto"/>
                      <w:sz w:val="20"/>
                      <w:szCs w:val="20"/>
                    </w:rPr>
                    <w:t>20</w:t>
                  </w:r>
                </w:p>
              </w:tc>
              <w:tc>
                <w:tcPr>
                  <w:tcW w:w="706" w:type="pct"/>
                  <w:tcBorders>
                    <w:tl2br w:val="nil"/>
                    <w:tr2bl w:val="nil"/>
                  </w:tcBorders>
                  <w:vAlign w:val="center"/>
                </w:tcPr>
                <w:p w14:paraId="356B832D">
                  <w:pPr>
                    <w:jc w:val="center"/>
                    <w:rPr>
                      <w:color w:val="auto"/>
                      <w:sz w:val="20"/>
                      <w:szCs w:val="20"/>
                    </w:rPr>
                  </w:pPr>
                  <w:r>
                    <w:rPr>
                      <w:rFonts w:hint="eastAsia"/>
                      <w:color w:val="auto"/>
                      <w:sz w:val="20"/>
                      <w:szCs w:val="20"/>
                    </w:rPr>
                    <w:t>是</w:t>
                  </w:r>
                </w:p>
              </w:tc>
            </w:tr>
            <w:tr w14:paraId="465B57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9" w:type="pct"/>
                  <w:tcBorders>
                    <w:tl2br w:val="nil"/>
                    <w:tr2bl w:val="nil"/>
                  </w:tcBorders>
                  <w:vAlign w:val="center"/>
                </w:tcPr>
                <w:p w14:paraId="3B0F6925">
                  <w:pPr>
                    <w:jc w:val="center"/>
                    <w:rPr>
                      <w:color w:val="auto"/>
                      <w:sz w:val="20"/>
                      <w:szCs w:val="20"/>
                    </w:rPr>
                  </w:pPr>
                  <w:r>
                    <w:rPr>
                      <w:color w:val="auto"/>
                      <w:sz w:val="20"/>
                      <w:szCs w:val="20"/>
                    </w:rPr>
                    <w:t>S15</w:t>
                  </w:r>
                </w:p>
              </w:tc>
              <w:tc>
                <w:tcPr>
                  <w:tcW w:w="545" w:type="pct"/>
                  <w:tcBorders>
                    <w:tl2br w:val="nil"/>
                    <w:tr2bl w:val="nil"/>
                  </w:tcBorders>
                  <w:vAlign w:val="center"/>
                </w:tcPr>
                <w:p w14:paraId="4181483E">
                  <w:pPr>
                    <w:jc w:val="center"/>
                    <w:rPr>
                      <w:color w:val="auto"/>
                      <w:sz w:val="20"/>
                      <w:szCs w:val="20"/>
                    </w:rPr>
                  </w:pPr>
                  <w:r>
                    <w:rPr>
                      <w:rFonts w:hint="eastAsia"/>
                      <w:color w:val="auto"/>
                      <w:sz w:val="20"/>
                      <w:szCs w:val="20"/>
                      <w:lang w:eastAsia="zh-CN"/>
                    </w:rPr>
                    <w:t>皱叶</w:t>
                  </w:r>
                  <w:r>
                    <w:rPr>
                      <w:rFonts w:hint="eastAsia"/>
                      <w:color w:val="auto"/>
                      <w:sz w:val="20"/>
                      <w:szCs w:val="20"/>
                    </w:rPr>
                    <w:t>荚莱</w:t>
                  </w:r>
                </w:p>
              </w:tc>
              <w:tc>
                <w:tcPr>
                  <w:tcW w:w="655" w:type="pct"/>
                  <w:tcBorders>
                    <w:tl2br w:val="nil"/>
                    <w:tr2bl w:val="nil"/>
                  </w:tcBorders>
                  <w:vAlign w:val="center"/>
                </w:tcPr>
                <w:p w14:paraId="2FD750D6">
                  <w:pPr>
                    <w:jc w:val="center"/>
                    <w:rPr>
                      <w:color w:val="auto"/>
                      <w:sz w:val="20"/>
                      <w:szCs w:val="20"/>
                    </w:rPr>
                  </w:pPr>
                  <w:r>
                    <w:rPr>
                      <w:color w:val="auto"/>
                      <w:sz w:val="20"/>
                      <w:szCs w:val="20"/>
                    </w:rPr>
                    <w:t>灌木、草本</w:t>
                  </w:r>
                </w:p>
              </w:tc>
              <w:tc>
                <w:tcPr>
                  <w:tcW w:w="657" w:type="pct"/>
                  <w:tcBorders>
                    <w:tl2br w:val="nil"/>
                    <w:tr2bl w:val="nil"/>
                  </w:tcBorders>
                  <w:noWrap/>
                  <w:vAlign w:val="center"/>
                </w:tcPr>
                <w:p w14:paraId="04CDBE4C">
                  <w:pPr>
                    <w:jc w:val="center"/>
                    <w:rPr>
                      <w:color w:val="auto"/>
                      <w:sz w:val="20"/>
                      <w:szCs w:val="20"/>
                    </w:rPr>
                  </w:pPr>
                  <w:r>
                    <w:rPr>
                      <w:rFonts w:hint="eastAsia"/>
                      <w:color w:val="auto"/>
                      <w:sz w:val="20"/>
                      <w:szCs w:val="20"/>
                    </w:rPr>
                    <w:t>109.473498444</w:t>
                  </w:r>
                </w:p>
              </w:tc>
              <w:tc>
                <w:tcPr>
                  <w:tcW w:w="539" w:type="pct"/>
                  <w:tcBorders>
                    <w:tl2br w:val="nil"/>
                    <w:tr2bl w:val="nil"/>
                  </w:tcBorders>
                  <w:vAlign w:val="center"/>
                </w:tcPr>
                <w:p w14:paraId="2C959572">
                  <w:pPr>
                    <w:jc w:val="center"/>
                    <w:rPr>
                      <w:color w:val="auto"/>
                      <w:sz w:val="20"/>
                      <w:szCs w:val="20"/>
                    </w:rPr>
                  </w:pPr>
                  <w:r>
                    <w:rPr>
                      <w:rFonts w:hint="eastAsia"/>
                      <w:color w:val="auto"/>
                      <w:sz w:val="20"/>
                      <w:szCs w:val="20"/>
                    </w:rPr>
                    <w:t>30.837919301</w:t>
                  </w:r>
                </w:p>
              </w:tc>
              <w:tc>
                <w:tcPr>
                  <w:tcW w:w="571" w:type="pct"/>
                  <w:tcBorders>
                    <w:tl2br w:val="nil"/>
                    <w:tr2bl w:val="nil"/>
                  </w:tcBorders>
                  <w:vAlign w:val="center"/>
                </w:tcPr>
                <w:p w14:paraId="0F3A9805">
                  <w:pPr>
                    <w:jc w:val="center"/>
                    <w:rPr>
                      <w:color w:val="auto"/>
                      <w:sz w:val="20"/>
                      <w:szCs w:val="20"/>
                    </w:rPr>
                  </w:pPr>
                  <w:r>
                    <w:rPr>
                      <w:rFonts w:hint="eastAsia"/>
                      <w:color w:val="auto"/>
                      <w:sz w:val="20"/>
                      <w:szCs w:val="20"/>
                    </w:rPr>
                    <w:t>1522.179</w:t>
                  </w:r>
                </w:p>
              </w:tc>
              <w:tc>
                <w:tcPr>
                  <w:tcW w:w="508" w:type="pct"/>
                  <w:tcBorders>
                    <w:tl2br w:val="nil"/>
                    <w:tr2bl w:val="nil"/>
                  </w:tcBorders>
                  <w:vAlign w:val="center"/>
                </w:tcPr>
                <w:p w14:paraId="63B645B0">
                  <w:pPr>
                    <w:jc w:val="center"/>
                    <w:rPr>
                      <w:color w:val="auto"/>
                      <w:sz w:val="20"/>
                      <w:szCs w:val="20"/>
                    </w:rPr>
                  </w:pPr>
                  <w:r>
                    <w:rPr>
                      <w:rFonts w:hint="eastAsia"/>
                      <w:color w:val="auto"/>
                      <w:sz w:val="20"/>
                      <w:szCs w:val="20"/>
                    </w:rPr>
                    <w:t>东南</w:t>
                  </w:r>
                </w:p>
              </w:tc>
              <w:tc>
                <w:tcPr>
                  <w:tcW w:w="414" w:type="pct"/>
                  <w:tcBorders>
                    <w:tl2br w:val="nil"/>
                    <w:tr2bl w:val="nil"/>
                  </w:tcBorders>
                  <w:vAlign w:val="center"/>
                </w:tcPr>
                <w:p w14:paraId="664BED4A">
                  <w:pPr>
                    <w:jc w:val="center"/>
                    <w:rPr>
                      <w:color w:val="auto"/>
                      <w:sz w:val="20"/>
                      <w:szCs w:val="20"/>
                    </w:rPr>
                  </w:pPr>
                  <w:r>
                    <w:rPr>
                      <w:rFonts w:hint="eastAsia"/>
                      <w:color w:val="auto"/>
                      <w:sz w:val="20"/>
                      <w:szCs w:val="20"/>
                    </w:rPr>
                    <w:t>18</w:t>
                  </w:r>
                </w:p>
              </w:tc>
              <w:tc>
                <w:tcPr>
                  <w:tcW w:w="706" w:type="pct"/>
                  <w:tcBorders>
                    <w:tl2br w:val="nil"/>
                    <w:tr2bl w:val="nil"/>
                  </w:tcBorders>
                  <w:vAlign w:val="center"/>
                </w:tcPr>
                <w:p w14:paraId="0BCAA176">
                  <w:pPr>
                    <w:jc w:val="center"/>
                    <w:rPr>
                      <w:color w:val="auto"/>
                      <w:sz w:val="20"/>
                      <w:szCs w:val="20"/>
                    </w:rPr>
                  </w:pPr>
                  <w:r>
                    <w:rPr>
                      <w:rFonts w:hint="eastAsia"/>
                      <w:color w:val="auto"/>
                      <w:sz w:val="20"/>
                      <w:szCs w:val="20"/>
                    </w:rPr>
                    <w:t>是</w:t>
                  </w:r>
                </w:p>
              </w:tc>
            </w:tr>
            <w:tr w14:paraId="59D19D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9" w:type="pct"/>
                  <w:tcBorders>
                    <w:tl2br w:val="nil"/>
                    <w:tr2bl w:val="nil"/>
                  </w:tcBorders>
                  <w:vAlign w:val="center"/>
                </w:tcPr>
                <w:p w14:paraId="0EB6E0EA">
                  <w:pPr>
                    <w:jc w:val="center"/>
                    <w:rPr>
                      <w:color w:val="auto"/>
                      <w:sz w:val="20"/>
                      <w:szCs w:val="20"/>
                    </w:rPr>
                  </w:pPr>
                  <w:r>
                    <w:rPr>
                      <w:color w:val="auto"/>
                      <w:sz w:val="20"/>
                      <w:szCs w:val="20"/>
                    </w:rPr>
                    <w:t>S16</w:t>
                  </w:r>
                </w:p>
              </w:tc>
              <w:tc>
                <w:tcPr>
                  <w:tcW w:w="545" w:type="pct"/>
                  <w:tcBorders>
                    <w:tl2br w:val="nil"/>
                    <w:tr2bl w:val="nil"/>
                  </w:tcBorders>
                  <w:vAlign w:val="center"/>
                </w:tcPr>
                <w:p w14:paraId="4EBF07FF">
                  <w:pPr>
                    <w:jc w:val="center"/>
                    <w:rPr>
                      <w:color w:val="auto"/>
                      <w:sz w:val="20"/>
                      <w:szCs w:val="20"/>
                    </w:rPr>
                  </w:pPr>
                  <w:r>
                    <w:rPr>
                      <w:rFonts w:hint="eastAsia"/>
                      <w:color w:val="auto"/>
                      <w:sz w:val="20"/>
                      <w:szCs w:val="20"/>
                      <w:lang w:eastAsia="zh-CN"/>
                    </w:rPr>
                    <w:t>皱叶</w:t>
                  </w:r>
                  <w:r>
                    <w:rPr>
                      <w:rFonts w:hint="eastAsia"/>
                      <w:color w:val="auto"/>
                      <w:sz w:val="20"/>
                      <w:szCs w:val="20"/>
                    </w:rPr>
                    <w:t>荚莱</w:t>
                  </w:r>
                </w:p>
              </w:tc>
              <w:tc>
                <w:tcPr>
                  <w:tcW w:w="655" w:type="pct"/>
                  <w:tcBorders>
                    <w:tl2br w:val="nil"/>
                    <w:tr2bl w:val="nil"/>
                  </w:tcBorders>
                  <w:vAlign w:val="center"/>
                </w:tcPr>
                <w:p w14:paraId="2BF69F31">
                  <w:pPr>
                    <w:jc w:val="center"/>
                    <w:rPr>
                      <w:color w:val="auto"/>
                      <w:sz w:val="20"/>
                      <w:szCs w:val="20"/>
                    </w:rPr>
                  </w:pPr>
                  <w:r>
                    <w:rPr>
                      <w:color w:val="auto"/>
                      <w:sz w:val="20"/>
                      <w:szCs w:val="20"/>
                    </w:rPr>
                    <w:t>灌木、草本</w:t>
                  </w:r>
                </w:p>
              </w:tc>
              <w:tc>
                <w:tcPr>
                  <w:tcW w:w="657" w:type="pct"/>
                  <w:tcBorders>
                    <w:tl2br w:val="nil"/>
                    <w:tr2bl w:val="nil"/>
                  </w:tcBorders>
                  <w:noWrap/>
                  <w:vAlign w:val="center"/>
                </w:tcPr>
                <w:p w14:paraId="5F61D68C">
                  <w:pPr>
                    <w:jc w:val="center"/>
                    <w:rPr>
                      <w:color w:val="auto"/>
                      <w:sz w:val="20"/>
                      <w:szCs w:val="20"/>
                    </w:rPr>
                  </w:pPr>
                  <w:r>
                    <w:rPr>
                      <w:rFonts w:hint="eastAsia"/>
                      <w:color w:val="auto"/>
                      <w:sz w:val="20"/>
                      <w:szCs w:val="20"/>
                    </w:rPr>
                    <w:t>109.460677485</w:t>
                  </w:r>
                </w:p>
              </w:tc>
              <w:tc>
                <w:tcPr>
                  <w:tcW w:w="539" w:type="pct"/>
                  <w:tcBorders>
                    <w:tl2br w:val="nil"/>
                    <w:tr2bl w:val="nil"/>
                  </w:tcBorders>
                  <w:vAlign w:val="center"/>
                </w:tcPr>
                <w:p w14:paraId="63568924">
                  <w:pPr>
                    <w:jc w:val="center"/>
                    <w:rPr>
                      <w:color w:val="auto"/>
                      <w:sz w:val="20"/>
                      <w:szCs w:val="20"/>
                    </w:rPr>
                  </w:pPr>
                  <w:r>
                    <w:rPr>
                      <w:rFonts w:hint="eastAsia"/>
                      <w:color w:val="auto"/>
                      <w:sz w:val="20"/>
                      <w:szCs w:val="20"/>
                    </w:rPr>
                    <w:t>30.828295535</w:t>
                  </w:r>
                </w:p>
              </w:tc>
              <w:tc>
                <w:tcPr>
                  <w:tcW w:w="571" w:type="pct"/>
                  <w:tcBorders>
                    <w:tl2br w:val="nil"/>
                    <w:tr2bl w:val="nil"/>
                  </w:tcBorders>
                  <w:vAlign w:val="center"/>
                </w:tcPr>
                <w:p w14:paraId="1F204BAB">
                  <w:pPr>
                    <w:jc w:val="center"/>
                    <w:rPr>
                      <w:color w:val="auto"/>
                      <w:sz w:val="20"/>
                      <w:szCs w:val="20"/>
                    </w:rPr>
                  </w:pPr>
                  <w:r>
                    <w:rPr>
                      <w:rFonts w:hint="eastAsia"/>
                      <w:color w:val="auto"/>
                      <w:sz w:val="20"/>
                      <w:szCs w:val="20"/>
                    </w:rPr>
                    <w:t>1566.980</w:t>
                  </w:r>
                </w:p>
              </w:tc>
              <w:tc>
                <w:tcPr>
                  <w:tcW w:w="508" w:type="pct"/>
                  <w:tcBorders>
                    <w:tl2br w:val="nil"/>
                    <w:tr2bl w:val="nil"/>
                  </w:tcBorders>
                  <w:vAlign w:val="center"/>
                </w:tcPr>
                <w:p w14:paraId="64CAC472">
                  <w:pPr>
                    <w:jc w:val="center"/>
                    <w:rPr>
                      <w:color w:val="auto"/>
                      <w:sz w:val="20"/>
                      <w:szCs w:val="20"/>
                    </w:rPr>
                  </w:pPr>
                  <w:r>
                    <w:rPr>
                      <w:rFonts w:hint="eastAsia"/>
                      <w:color w:val="auto"/>
                      <w:sz w:val="20"/>
                      <w:szCs w:val="20"/>
                    </w:rPr>
                    <w:t>东</w:t>
                  </w:r>
                </w:p>
              </w:tc>
              <w:tc>
                <w:tcPr>
                  <w:tcW w:w="414" w:type="pct"/>
                  <w:tcBorders>
                    <w:tl2br w:val="nil"/>
                    <w:tr2bl w:val="nil"/>
                  </w:tcBorders>
                  <w:vAlign w:val="center"/>
                </w:tcPr>
                <w:p w14:paraId="186B7268">
                  <w:pPr>
                    <w:jc w:val="center"/>
                    <w:rPr>
                      <w:color w:val="auto"/>
                      <w:sz w:val="20"/>
                      <w:szCs w:val="20"/>
                    </w:rPr>
                  </w:pPr>
                  <w:r>
                    <w:rPr>
                      <w:rFonts w:hint="eastAsia"/>
                      <w:color w:val="auto"/>
                      <w:sz w:val="20"/>
                      <w:szCs w:val="20"/>
                    </w:rPr>
                    <w:t>18</w:t>
                  </w:r>
                </w:p>
              </w:tc>
              <w:tc>
                <w:tcPr>
                  <w:tcW w:w="706" w:type="pct"/>
                  <w:tcBorders>
                    <w:tl2br w:val="nil"/>
                    <w:tr2bl w:val="nil"/>
                  </w:tcBorders>
                  <w:vAlign w:val="center"/>
                </w:tcPr>
                <w:p w14:paraId="1761F077">
                  <w:pPr>
                    <w:jc w:val="center"/>
                    <w:rPr>
                      <w:color w:val="auto"/>
                      <w:sz w:val="20"/>
                      <w:szCs w:val="20"/>
                    </w:rPr>
                  </w:pPr>
                  <w:r>
                    <w:rPr>
                      <w:rFonts w:hint="eastAsia"/>
                      <w:color w:val="auto"/>
                      <w:sz w:val="20"/>
                      <w:szCs w:val="20"/>
                    </w:rPr>
                    <w:t>是</w:t>
                  </w:r>
                </w:p>
              </w:tc>
            </w:tr>
            <w:tr w14:paraId="04CE6C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399" w:type="pct"/>
                  <w:tcBorders>
                    <w:tl2br w:val="nil"/>
                    <w:tr2bl w:val="nil"/>
                  </w:tcBorders>
                  <w:vAlign w:val="center"/>
                </w:tcPr>
                <w:p w14:paraId="4AA61D44">
                  <w:pPr>
                    <w:jc w:val="center"/>
                    <w:rPr>
                      <w:color w:val="auto"/>
                      <w:sz w:val="20"/>
                      <w:szCs w:val="20"/>
                    </w:rPr>
                  </w:pPr>
                  <w:r>
                    <w:rPr>
                      <w:color w:val="auto"/>
                      <w:sz w:val="20"/>
                      <w:szCs w:val="20"/>
                    </w:rPr>
                    <w:t>S17</w:t>
                  </w:r>
                </w:p>
              </w:tc>
              <w:tc>
                <w:tcPr>
                  <w:tcW w:w="545" w:type="pct"/>
                  <w:tcBorders>
                    <w:tl2br w:val="nil"/>
                    <w:tr2bl w:val="nil"/>
                  </w:tcBorders>
                  <w:vAlign w:val="center"/>
                </w:tcPr>
                <w:p w14:paraId="59768C8E">
                  <w:pPr>
                    <w:jc w:val="center"/>
                    <w:rPr>
                      <w:color w:val="auto"/>
                      <w:sz w:val="20"/>
                      <w:szCs w:val="20"/>
                    </w:rPr>
                  </w:pPr>
                  <w:r>
                    <w:rPr>
                      <w:rFonts w:hint="eastAsia"/>
                      <w:color w:val="auto"/>
                      <w:sz w:val="20"/>
                      <w:szCs w:val="20"/>
                    </w:rPr>
                    <w:t>日本鸢尾</w:t>
                  </w:r>
                </w:p>
              </w:tc>
              <w:tc>
                <w:tcPr>
                  <w:tcW w:w="655" w:type="pct"/>
                  <w:tcBorders>
                    <w:tl2br w:val="nil"/>
                    <w:tr2bl w:val="nil"/>
                  </w:tcBorders>
                  <w:vAlign w:val="center"/>
                </w:tcPr>
                <w:p w14:paraId="58CB25C6">
                  <w:pPr>
                    <w:jc w:val="center"/>
                    <w:rPr>
                      <w:color w:val="auto"/>
                      <w:sz w:val="20"/>
                      <w:szCs w:val="20"/>
                    </w:rPr>
                  </w:pPr>
                  <w:r>
                    <w:rPr>
                      <w:color w:val="auto"/>
                      <w:sz w:val="20"/>
                      <w:szCs w:val="20"/>
                    </w:rPr>
                    <w:t>草本</w:t>
                  </w:r>
                </w:p>
              </w:tc>
              <w:tc>
                <w:tcPr>
                  <w:tcW w:w="657" w:type="pct"/>
                  <w:tcBorders>
                    <w:tl2br w:val="nil"/>
                    <w:tr2bl w:val="nil"/>
                  </w:tcBorders>
                  <w:noWrap/>
                  <w:vAlign w:val="center"/>
                </w:tcPr>
                <w:p w14:paraId="59DE6D40">
                  <w:pPr>
                    <w:jc w:val="center"/>
                    <w:rPr>
                      <w:color w:val="auto"/>
                      <w:sz w:val="20"/>
                      <w:szCs w:val="20"/>
                    </w:rPr>
                  </w:pPr>
                  <w:r>
                    <w:rPr>
                      <w:rFonts w:hint="eastAsia"/>
                      <w:color w:val="auto"/>
                      <w:sz w:val="20"/>
                      <w:szCs w:val="20"/>
                    </w:rPr>
                    <w:t>109.489403943</w:t>
                  </w:r>
                </w:p>
              </w:tc>
              <w:tc>
                <w:tcPr>
                  <w:tcW w:w="539" w:type="pct"/>
                  <w:tcBorders>
                    <w:tl2br w:val="nil"/>
                    <w:tr2bl w:val="nil"/>
                  </w:tcBorders>
                  <w:vAlign w:val="center"/>
                </w:tcPr>
                <w:p w14:paraId="7C652395">
                  <w:pPr>
                    <w:jc w:val="center"/>
                    <w:rPr>
                      <w:color w:val="auto"/>
                      <w:sz w:val="20"/>
                      <w:szCs w:val="20"/>
                    </w:rPr>
                  </w:pPr>
                  <w:r>
                    <w:rPr>
                      <w:rFonts w:hint="eastAsia"/>
                      <w:color w:val="auto"/>
                      <w:sz w:val="20"/>
                      <w:szCs w:val="20"/>
                    </w:rPr>
                    <w:t>30.872627086</w:t>
                  </w:r>
                </w:p>
              </w:tc>
              <w:tc>
                <w:tcPr>
                  <w:tcW w:w="571" w:type="pct"/>
                  <w:tcBorders>
                    <w:tl2br w:val="nil"/>
                    <w:tr2bl w:val="nil"/>
                  </w:tcBorders>
                  <w:vAlign w:val="center"/>
                </w:tcPr>
                <w:p w14:paraId="26DD0369">
                  <w:pPr>
                    <w:jc w:val="center"/>
                    <w:rPr>
                      <w:color w:val="auto"/>
                      <w:sz w:val="20"/>
                      <w:szCs w:val="20"/>
                    </w:rPr>
                  </w:pPr>
                  <w:r>
                    <w:rPr>
                      <w:rFonts w:hint="eastAsia"/>
                      <w:color w:val="auto"/>
                      <w:sz w:val="20"/>
                      <w:szCs w:val="20"/>
                    </w:rPr>
                    <w:t>869.580</w:t>
                  </w:r>
                </w:p>
              </w:tc>
              <w:tc>
                <w:tcPr>
                  <w:tcW w:w="508" w:type="pct"/>
                  <w:tcBorders>
                    <w:tl2br w:val="nil"/>
                    <w:tr2bl w:val="nil"/>
                  </w:tcBorders>
                  <w:vAlign w:val="center"/>
                </w:tcPr>
                <w:p w14:paraId="3B65DE90">
                  <w:pPr>
                    <w:jc w:val="center"/>
                    <w:rPr>
                      <w:color w:val="auto"/>
                      <w:sz w:val="20"/>
                      <w:szCs w:val="20"/>
                    </w:rPr>
                  </w:pPr>
                  <w:r>
                    <w:rPr>
                      <w:rFonts w:hint="eastAsia"/>
                      <w:color w:val="auto"/>
                      <w:sz w:val="20"/>
                      <w:szCs w:val="20"/>
                    </w:rPr>
                    <w:t>北</w:t>
                  </w:r>
                </w:p>
              </w:tc>
              <w:tc>
                <w:tcPr>
                  <w:tcW w:w="414" w:type="pct"/>
                  <w:tcBorders>
                    <w:tl2br w:val="nil"/>
                    <w:tr2bl w:val="nil"/>
                  </w:tcBorders>
                  <w:vAlign w:val="center"/>
                </w:tcPr>
                <w:p w14:paraId="4148BF32">
                  <w:pPr>
                    <w:jc w:val="center"/>
                    <w:rPr>
                      <w:color w:val="auto"/>
                      <w:sz w:val="20"/>
                      <w:szCs w:val="20"/>
                    </w:rPr>
                  </w:pPr>
                  <w:r>
                    <w:rPr>
                      <w:rFonts w:hint="eastAsia"/>
                      <w:color w:val="auto"/>
                      <w:sz w:val="20"/>
                      <w:szCs w:val="20"/>
                    </w:rPr>
                    <w:t>25</w:t>
                  </w:r>
                </w:p>
              </w:tc>
              <w:tc>
                <w:tcPr>
                  <w:tcW w:w="706" w:type="pct"/>
                  <w:tcBorders>
                    <w:tl2br w:val="nil"/>
                    <w:tr2bl w:val="nil"/>
                  </w:tcBorders>
                  <w:vAlign w:val="center"/>
                </w:tcPr>
                <w:p w14:paraId="23EB70D7">
                  <w:pPr>
                    <w:jc w:val="center"/>
                    <w:rPr>
                      <w:color w:val="auto"/>
                      <w:sz w:val="20"/>
                      <w:szCs w:val="20"/>
                    </w:rPr>
                  </w:pPr>
                  <w:r>
                    <w:rPr>
                      <w:rFonts w:hint="eastAsia"/>
                      <w:color w:val="auto"/>
                      <w:sz w:val="20"/>
                      <w:szCs w:val="20"/>
                    </w:rPr>
                    <w:t>是</w:t>
                  </w:r>
                </w:p>
              </w:tc>
            </w:tr>
            <w:tr w14:paraId="2F1B49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399" w:type="pct"/>
                  <w:tcBorders>
                    <w:tl2br w:val="nil"/>
                    <w:tr2bl w:val="nil"/>
                  </w:tcBorders>
                  <w:vAlign w:val="center"/>
                </w:tcPr>
                <w:p w14:paraId="63353B80">
                  <w:pPr>
                    <w:jc w:val="center"/>
                    <w:rPr>
                      <w:color w:val="auto"/>
                      <w:sz w:val="20"/>
                      <w:szCs w:val="20"/>
                    </w:rPr>
                  </w:pPr>
                  <w:r>
                    <w:rPr>
                      <w:color w:val="auto"/>
                      <w:sz w:val="20"/>
                      <w:szCs w:val="20"/>
                    </w:rPr>
                    <w:t>S18</w:t>
                  </w:r>
                </w:p>
              </w:tc>
              <w:tc>
                <w:tcPr>
                  <w:tcW w:w="545" w:type="pct"/>
                  <w:tcBorders>
                    <w:tl2br w:val="nil"/>
                    <w:tr2bl w:val="nil"/>
                  </w:tcBorders>
                  <w:vAlign w:val="center"/>
                </w:tcPr>
                <w:p w14:paraId="166F7371">
                  <w:pPr>
                    <w:jc w:val="center"/>
                    <w:rPr>
                      <w:color w:val="auto"/>
                      <w:sz w:val="20"/>
                      <w:szCs w:val="20"/>
                    </w:rPr>
                  </w:pPr>
                  <w:r>
                    <w:rPr>
                      <w:rFonts w:hint="eastAsia"/>
                      <w:color w:val="auto"/>
                      <w:sz w:val="20"/>
                      <w:szCs w:val="20"/>
                    </w:rPr>
                    <w:t>日本鸢尾</w:t>
                  </w:r>
                </w:p>
              </w:tc>
              <w:tc>
                <w:tcPr>
                  <w:tcW w:w="655" w:type="pct"/>
                  <w:tcBorders>
                    <w:tl2br w:val="nil"/>
                    <w:tr2bl w:val="nil"/>
                  </w:tcBorders>
                  <w:vAlign w:val="center"/>
                </w:tcPr>
                <w:p w14:paraId="3B8D8D57">
                  <w:pPr>
                    <w:jc w:val="center"/>
                    <w:rPr>
                      <w:color w:val="auto"/>
                      <w:sz w:val="20"/>
                      <w:szCs w:val="20"/>
                    </w:rPr>
                  </w:pPr>
                  <w:r>
                    <w:rPr>
                      <w:color w:val="auto"/>
                      <w:sz w:val="20"/>
                      <w:szCs w:val="20"/>
                    </w:rPr>
                    <w:t>草本</w:t>
                  </w:r>
                </w:p>
              </w:tc>
              <w:tc>
                <w:tcPr>
                  <w:tcW w:w="657" w:type="pct"/>
                  <w:tcBorders>
                    <w:tl2br w:val="nil"/>
                    <w:tr2bl w:val="nil"/>
                  </w:tcBorders>
                  <w:noWrap/>
                  <w:vAlign w:val="center"/>
                </w:tcPr>
                <w:p w14:paraId="6AC062D9">
                  <w:pPr>
                    <w:jc w:val="center"/>
                    <w:rPr>
                      <w:color w:val="auto"/>
                      <w:sz w:val="20"/>
                      <w:szCs w:val="20"/>
                    </w:rPr>
                  </w:pPr>
                  <w:r>
                    <w:rPr>
                      <w:rFonts w:hint="eastAsia"/>
                      <w:color w:val="auto"/>
                      <w:sz w:val="20"/>
                      <w:szCs w:val="20"/>
                    </w:rPr>
                    <w:t>109.493395070</w:t>
                  </w:r>
                </w:p>
              </w:tc>
              <w:tc>
                <w:tcPr>
                  <w:tcW w:w="539" w:type="pct"/>
                  <w:tcBorders>
                    <w:tl2br w:val="nil"/>
                    <w:tr2bl w:val="nil"/>
                  </w:tcBorders>
                  <w:vAlign w:val="center"/>
                </w:tcPr>
                <w:p w14:paraId="07E8D235">
                  <w:pPr>
                    <w:jc w:val="center"/>
                    <w:rPr>
                      <w:color w:val="auto"/>
                      <w:sz w:val="20"/>
                      <w:szCs w:val="20"/>
                    </w:rPr>
                  </w:pPr>
                  <w:r>
                    <w:rPr>
                      <w:rFonts w:hint="eastAsia"/>
                      <w:color w:val="auto"/>
                      <w:sz w:val="20"/>
                      <w:szCs w:val="20"/>
                    </w:rPr>
                    <w:t>30.857703275</w:t>
                  </w:r>
                </w:p>
              </w:tc>
              <w:tc>
                <w:tcPr>
                  <w:tcW w:w="571" w:type="pct"/>
                  <w:tcBorders>
                    <w:tl2br w:val="nil"/>
                    <w:tr2bl w:val="nil"/>
                  </w:tcBorders>
                  <w:vAlign w:val="center"/>
                </w:tcPr>
                <w:p w14:paraId="0BB72C76">
                  <w:pPr>
                    <w:jc w:val="center"/>
                    <w:rPr>
                      <w:color w:val="auto"/>
                      <w:sz w:val="20"/>
                      <w:szCs w:val="20"/>
                    </w:rPr>
                  </w:pPr>
                  <w:r>
                    <w:rPr>
                      <w:rFonts w:hint="eastAsia"/>
                      <w:color w:val="auto"/>
                      <w:sz w:val="20"/>
                      <w:szCs w:val="20"/>
                    </w:rPr>
                    <w:t>1166.354</w:t>
                  </w:r>
                </w:p>
              </w:tc>
              <w:tc>
                <w:tcPr>
                  <w:tcW w:w="508" w:type="pct"/>
                  <w:tcBorders>
                    <w:tl2br w:val="nil"/>
                    <w:tr2bl w:val="nil"/>
                  </w:tcBorders>
                  <w:vAlign w:val="center"/>
                </w:tcPr>
                <w:p w14:paraId="293C9383">
                  <w:pPr>
                    <w:jc w:val="center"/>
                    <w:rPr>
                      <w:color w:val="auto"/>
                      <w:sz w:val="20"/>
                      <w:szCs w:val="20"/>
                    </w:rPr>
                  </w:pPr>
                  <w:r>
                    <w:rPr>
                      <w:rFonts w:hint="eastAsia"/>
                      <w:color w:val="auto"/>
                      <w:sz w:val="20"/>
                      <w:szCs w:val="20"/>
                    </w:rPr>
                    <w:t>北</w:t>
                  </w:r>
                </w:p>
              </w:tc>
              <w:tc>
                <w:tcPr>
                  <w:tcW w:w="414" w:type="pct"/>
                  <w:tcBorders>
                    <w:tl2br w:val="nil"/>
                    <w:tr2bl w:val="nil"/>
                  </w:tcBorders>
                  <w:vAlign w:val="center"/>
                </w:tcPr>
                <w:p w14:paraId="0E0712A6">
                  <w:pPr>
                    <w:jc w:val="center"/>
                    <w:rPr>
                      <w:color w:val="auto"/>
                      <w:sz w:val="20"/>
                      <w:szCs w:val="20"/>
                    </w:rPr>
                  </w:pPr>
                  <w:r>
                    <w:rPr>
                      <w:rFonts w:hint="eastAsia"/>
                      <w:color w:val="auto"/>
                      <w:sz w:val="20"/>
                      <w:szCs w:val="20"/>
                    </w:rPr>
                    <w:t>18</w:t>
                  </w:r>
                </w:p>
              </w:tc>
              <w:tc>
                <w:tcPr>
                  <w:tcW w:w="706" w:type="pct"/>
                  <w:tcBorders>
                    <w:tl2br w:val="nil"/>
                    <w:tr2bl w:val="nil"/>
                  </w:tcBorders>
                  <w:vAlign w:val="center"/>
                </w:tcPr>
                <w:p w14:paraId="4CCB5E21">
                  <w:pPr>
                    <w:jc w:val="center"/>
                    <w:rPr>
                      <w:color w:val="auto"/>
                      <w:sz w:val="20"/>
                      <w:szCs w:val="20"/>
                    </w:rPr>
                  </w:pPr>
                  <w:r>
                    <w:rPr>
                      <w:rFonts w:hint="eastAsia"/>
                      <w:color w:val="auto"/>
                      <w:sz w:val="20"/>
                      <w:szCs w:val="20"/>
                    </w:rPr>
                    <w:t>是</w:t>
                  </w:r>
                </w:p>
              </w:tc>
            </w:tr>
          </w:tbl>
          <w:p w14:paraId="11A16439">
            <w:pPr>
              <w:snapToGrid w:val="0"/>
              <w:ind w:firstLine="520" w:firstLineChars="200"/>
              <w:rPr>
                <w:color w:val="auto"/>
                <w:sz w:val="26"/>
                <w:szCs w:val="26"/>
                <w:highlight w:val="yellow"/>
              </w:rPr>
            </w:pPr>
          </w:p>
          <w:p w14:paraId="3CC6D1B6">
            <w:pPr>
              <w:snapToGrid w:val="0"/>
              <w:spacing w:line="480" w:lineRule="exact"/>
              <w:ind w:firstLine="522" w:firstLineChars="200"/>
              <w:rPr>
                <w:b/>
                <w:bCs/>
                <w:color w:val="auto"/>
                <w:sz w:val="26"/>
                <w:szCs w:val="26"/>
              </w:rPr>
            </w:pPr>
            <w:r>
              <w:rPr>
                <w:rFonts w:hint="eastAsia"/>
                <w:b/>
                <w:bCs/>
                <w:color w:val="auto"/>
                <w:sz w:val="26"/>
                <w:szCs w:val="26"/>
              </w:rPr>
              <w:t>（1）维管植物多样性</w:t>
            </w:r>
          </w:p>
          <w:p w14:paraId="4B0E27CC">
            <w:pPr>
              <w:snapToGrid w:val="0"/>
              <w:spacing w:line="480" w:lineRule="exact"/>
              <w:ind w:firstLine="522" w:firstLineChars="200"/>
              <w:rPr>
                <w:b/>
                <w:bCs/>
                <w:color w:val="auto"/>
                <w:sz w:val="26"/>
                <w:szCs w:val="26"/>
              </w:rPr>
            </w:pPr>
            <w:r>
              <w:rPr>
                <w:rFonts w:hint="eastAsia"/>
                <w:b/>
                <w:bCs/>
                <w:color w:val="auto"/>
                <w:sz w:val="26"/>
                <w:szCs w:val="26"/>
              </w:rPr>
              <w:t>1）陆生维管植物科属种的组成分析</w:t>
            </w:r>
          </w:p>
          <w:p w14:paraId="38A38B69">
            <w:pPr>
              <w:spacing w:line="460" w:lineRule="exact"/>
              <w:ind w:firstLine="520" w:firstLineChars="200"/>
              <w:jc w:val="both"/>
              <w:rPr>
                <w:color w:val="auto"/>
                <w:sz w:val="26"/>
                <w:szCs w:val="26"/>
              </w:rPr>
            </w:pPr>
            <w:r>
              <w:rPr>
                <w:rFonts w:hint="eastAsia"/>
                <w:color w:val="auto"/>
                <w:sz w:val="26"/>
                <w:szCs w:val="26"/>
              </w:rPr>
              <w:t>评价区维管植</w:t>
            </w:r>
            <w:r>
              <w:rPr>
                <w:rFonts w:hint="eastAsia" w:eastAsia="宋体"/>
                <w:color w:val="auto"/>
                <w:sz w:val="26"/>
                <w:szCs w:val="26"/>
              </w:rPr>
              <w:t>物共计</w:t>
            </w:r>
            <w:r>
              <w:rPr>
                <w:rFonts w:hint="eastAsia" w:eastAsia="宋体"/>
                <w:color w:val="auto"/>
                <w:sz w:val="26"/>
                <w:szCs w:val="26"/>
                <w:lang w:val="en-US" w:eastAsia="zh-CN"/>
              </w:rPr>
              <w:t>3门112科518种</w:t>
            </w:r>
            <w:r>
              <w:rPr>
                <w:rFonts w:hint="default" w:eastAsia="宋体"/>
                <w:color w:val="auto"/>
                <w:sz w:val="26"/>
                <w:szCs w:val="26"/>
              </w:rPr>
              <w:t>，其中蕨类植物</w:t>
            </w:r>
            <w:r>
              <w:rPr>
                <w:rFonts w:hint="eastAsia" w:eastAsia="宋体"/>
                <w:color w:val="auto"/>
                <w:sz w:val="26"/>
                <w:szCs w:val="26"/>
                <w:lang w:val="en-US" w:eastAsia="zh-CN"/>
              </w:rPr>
              <w:t>15</w:t>
            </w:r>
            <w:r>
              <w:rPr>
                <w:rFonts w:hint="default" w:eastAsia="宋体"/>
                <w:color w:val="auto"/>
                <w:sz w:val="26"/>
                <w:szCs w:val="26"/>
                <w:lang w:val="en-US" w:eastAsia="zh-CN"/>
              </w:rPr>
              <w:t>科</w:t>
            </w:r>
            <w:r>
              <w:rPr>
                <w:rFonts w:hint="eastAsia" w:eastAsia="宋体"/>
                <w:color w:val="auto"/>
                <w:sz w:val="26"/>
                <w:szCs w:val="26"/>
                <w:lang w:val="en-US" w:eastAsia="zh-CN"/>
              </w:rPr>
              <w:t>28</w:t>
            </w:r>
            <w:r>
              <w:rPr>
                <w:rFonts w:hint="default" w:eastAsia="宋体"/>
                <w:color w:val="auto"/>
                <w:sz w:val="26"/>
                <w:szCs w:val="26"/>
                <w:lang w:val="en-US" w:eastAsia="zh-CN"/>
              </w:rPr>
              <w:t>种</w:t>
            </w:r>
            <w:r>
              <w:rPr>
                <w:rFonts w:hint="default" w:eastAsia="宋体"/>
                <w:color w:val="auto"/>
                <w:sz w:val="26"/>
                <w:szCs w:val="26"/>
              </w:rPr>
              <w:t>，</w:t>
            </w:r>
            <w:r>
              <w:rPr>
                <w:rFonts w:hint="default" w:eastAsia="宋体"/>
                <w:color w:val="auto"/>
                <w:sz w:val="26"/>
                <w:szCs w:val="26"/>
                <w:lang w:eastAsia="zh-CN"/>
              </w:rPr>
              <w:t>裸子植物</w:t>
            </w:r>
            <w:r>
              <w:rPr>
                <w:rFonts w:hint="eastAsia" w:eastAsia="宋体"/>
                <w:color w:val="auto"/>
                <w:sz w:val="26"/>
                <w:szCs w:val="26"/>
                <w:lang w:val="en-US" w:eastAsia="zh-CN"/>
              </w:rPr>
              <w:t>3</w:t>
            </w:r>
            <w:r>
              <w:rPr>
                <w:rFonts w:hint="default" w:eastAsia="宋体"/>
                <w:color w:val="auto"/>
                <w:sz w:val="26"/>
                <w:szCs w:val="26"/>
                <w:lang w:eastAsia="zh-CN"/>
              </w:rPr>
              <w:t>科</w:t>
            </w:r>
            <w:r>
              <w:rPr>
                <w:rFonts w:hint="eastAsia" w:eastAsia="宋体"/>
                <w:color w:val="auto"/>
                <w:sz w:val="26"/>
                <w:szCs w:val="26"/>
                <w:lang w:val="en-US" w:eastAsia="zh-CN"/>
              </w:rPr>
              <w:t>9</w:t>
            </w:r>
            <w:r>
              <w:rPr>
                <w:rFonts w:hint="default" w:eastAsia="宋体"/>
                <w:color w:val="auto"/>
                <w:sz w:val="26"/>
                <w:szCs w:val="26"/>
                <w:lang w:eastAsia="zh-CN"/>
              </w:rPr>
              <w:t>种</w:t>
            </w:r>
            <w:r>
              <w:rPr>
                <w:rFonts w:hint="default" w:eastAsia="宋体"/>
                <w:color w:val="auto"/>
                <w:sz w:val="26"/>
                <w:szCs w:val="26"/>
              </w:rPr>
              <w:t>；被子植物种类数量最多，共有</w:t>
            </w:r>
            <w:r>
              <w:rPr>
                <w:rFonts w:hint="eastAsia" w:eastAsia="宋体"/>
                <w:color w:val="auto"/>
                <w:sz w:val="26"/>
                <w:szCs w:val="26"/>
                <w:lang w:val="en-US" w:eastAsia="zh-CN"/>
              </w:rPr>
              <w:t>94科481种</w:t>
            </w:r>
            <w:r>
              <w:rPr>
                <w:rFonts w:hint="default" w:eastAsia="宋体"/>
                <w:color w:val="auto"/>
                <w:sz w:val="26"/>
                <w:szCs w:val="26"/>
              </w:rPr>
              <w:t>。</w:t>
            </w:r>
          </w:p>
          <w:p w14:paraId="3143961F">
            <w:pPr>
              <w:snapToGrid w:val="0"/>
              <w:spacing w:line="480" w:lineRule="exact"/>
              <w:ind w:firstLine="522" w:firstLineChars="200"/>
              <w:rPr>
                <w:color w:val="auto"/>
                <w:sz w:val="26"/>
                <w:szCs w:val="26"/>
              </w:rPr>
            </w:pPr>
            <w:r>
              <w:rPr>
                <w:rFonts w:hint="eastAsia"/>
                <w:b/>
                <w:bCs/>
                <w:color w:val="auto"/>
                <w:sz w:val="26"/>
                <w:szCs w:val="26"/>
              </w:rPr>
              <w:t>2）重点保护野生植物</w:t>
            </w:r>
          </w:p>
          <w:p w14:paraId="3878D02B">
            <w:pPr>
              <w:snapToGrid w:val="0"/>
              <w:spacing w:line="480" w:lineRule="exact"/>
              <w:ind w:firstLine="520" w:firstLineChars="200"/>
              <w:rPr>
                <w:color w:val="auto"/>
                <w:sz w:val="26"/>
                <w:szCs w:val="26"/>
              </w:rPr>
            </w:pPr>
            <w:r>
              <w:rPr>
                <w:color w:val="auto"/>
                <w:sz w:val="26"/>
                <w:szCs w:val="26"/>
              </w:rPr>
              <w:t>根据相关资料记录和野外调查结果，依据《国家重点保护野生植物名录》（2021年版）、《重庆市重点保护野生植物名录》（渝林规范〔2023〕2号）、《中国生物多样性红色名录—高等植物卷（2020）》确定，本次现场调查到国家二级重点保护野生植物2种（</w:t>
            </w:r>
            <w:r>
              <w:rPr>
                <w:rFonts w:hint="eastAsia"/>
                <w:color w:val="auto"/>
                <w:sz w:val="26"/>
                <w:szCs w:val="26"/>
              </w:rPr>
              <w:t>厚朴、春兰</w:t>
            </w:r>
            <w:r>
              <w:rPr>
                <w:color w:val="auto"/>
                <w:sz w:val="26"/>
                <w:szCs w:val="26"/>
              </w:rPr>
              <w:t>）。</w:t>
            </w:r>
          </w:p>
          <w:p w14:paraId="2056E568">
            <w:pPr>
              <w:snapToGrid w:val="0"/>
              <w:spacing w:line="480" w:lineRule="exact"/>
              <w:ind w:firstLine="522" w:firstLineChars="200"/>
              <w:rPr>
                <w:b/>
                <w:bCs/>
                <w:color w:val="auto"/>
                <w:sz w:val="26"/>
                <w:szCs w:val="26"/>
              </w:rPr>
            </w:pPr>
            <w:r>
              <w:rPr>
                <w:rFonts w:hint="eastAsia"/>
                <w:b/>
                <w:bCs/>
                <w:color w:val="auto"/>
                <w:sz w:val="26"/>
                <w:szCs w:val="26"/>
              </w:rPr>
              <w:t>3）古树名木</w:t>
            </w:r>
          </w:p>
          <w:p w14:paraId="3C40B365">
            <w:pPr>
              <w:snapToGrid w:val="0"/>
              <w:spacing w:line="480" w:lineRule="exact"/>
              <w:ind w:firstLine="520" w:firstLineChars="200"/>
              <w:rPr>
                <w:color w:val="auto"/>
                <w:sz w:val="26"/>
                <w:szCs w:val="26"/>
              </w:rPr>
            </w:pPr>
            <w:r>
              <w:rPr>
                <w:color w:val="auto"/>
                <w:sz w:val="26"/>
                <w:szCs w:val="26"/>
              </w:rPr>
              <w:t>按照全国绿化委员会、国家林业局文件（全绿字</w:t>
            </w:r>
            <w:r>
              <w:rPr>
                <w:rFonts w:hint="eastAsia"/>
                <w:color w:val="auto"/>
                <w:sz w:val="26"/>
                <w:szCs w:val="26"/>
              </w:rPr>
              <w:t>〔</w:t>
            </w:r>
            <w:r>
              <w:rPr>
                <w:color w:val="auto"/>
                <w:sz w:val="26"/>
                <w:szCs w:val="26"/>
              </w:rPr>
              <w:t>2001</w:t>
            </w:r>
            <w:r>
              <w:rPr>
                <w:rFonts w:hint="eastAsia"/>
                <w:color w:val="auto"/>
                <w:sz w:val="26"/>
                <w:szCs w:val="26"/>
              </w:rPr>
              <w:t>〕</w:t>
            </w:r>
            <w:r>
              <w:rPr>
                <w:color w:val="auto"/>
                <w:sz w:val="26"/>
                <w:szCs w:val="26"/>
              </w:rPr>
              <w:t>15号）对古树名木的界定，古树指树龄在100年以上的树木；名木指在历史上或社会上有重大影响的中外历史名人、领袖人物所植或者具有极其重要的历史、文化价值、具有纪念意义的树木。</w:t>
            </w:r>
          </w:p>
          <w:p w14:paraId="65782E76">
            <w:pPr>
              <w:snapToGrid w:val="0"/>
              <w:spacing w:line="480" w:lineRule="exact"/>
              <w:ind w:firstLine="520" w:firstLineChars="200"/>
              <w:rPr>
                <w:color w:val="auto"/>
                <w:sz w:val="26"/>
                <w:szCs w:val="26"/>
              </w:rPr>
            </w:pPr>
            <w:r>
              <w:rPr>
                <w:color w:val="auto"/>
                <w:sz w:val="26"/>
                <w:szCs w:val="26"/>
              </w:rPr>
              <w:t>本次通过收集主管部门已有统计数据及现场调查，在评价范围内发现有</w:t>
            </w:r>
            <w:r>
              <w:rPr>
                <w:rFonts w:hint="eastAsia"/>
                <w:color w:val="auto"/>
                <w:sz w:val="26"/>
                <w:szCs w:val="26"/>
              </w:rPr>
              <w:t>2</w:t>
            </w:r>
            <w:r>
              <w:rPr>
                <w:color w:val="auto"/>
                <w:sz w:val="26"/>
                <w:szCs w:val="26"/>
              </w:rPr>
              <w:t>株古树</w:t>
            </w:r>
            <w:r>
              <w:rPr>
                <w:rFonts w:hint="eastAsia"/>
                <w:color w:val="auto"/>
                <w:sz w:val="26"/>
                <w:szCs w:val="26"/>
              </w:rPr>
              <w:t>（白栎）</w:t>
            </w:r>
            <w:r>
              <w:rPr>
                <w:color w:val="auto"/>
                <w:sz w:val="26"/>
                <w:szCs w:val="26"/>
              </w:rPr>
              <w:t>。</w:t>
            </w:r>
          </w:p>
          <w:p w14:paraId="58F8DB9F">
            <w:pPr>
              <w:snapToGrid w:val="0"/>
              <w:spacing w:line="480" w:lineRule="exact"/>
              <w:ind w:firstLine="522" w:firstLineChars="200"/>
              <w:rPr>
                <w:color w:val="auto"/>
                <w:sz w:val="24"/>
                <w:szCs w:val="28"/>
                <w:highlight w:val="yellow"/>
              </w:rPr>
            </w:pPr>
            <w:r>
              <w:rPr>
                <w:rFonts w:hint="eastAsia"/>
                <w:b/>
                <w:bCs/>
                <w:color w:val="auto"/>
                <w:sz w:val="26"/>
                <w:szCs w:val="26"/>
              </w:rPr>
              <w:t>4）外来植物</w:t>
            </w:r>
          </w:p>
          <w:p w14:paraId="0D89D093">
            <w:pPr>
              <w:snapToGrid w:val="0"/>
              <w:spacing w:line="480" w:lineRule="exact"/>
              <w:ind w:firstLine="520" w:firstLineChars="200"/>
              <w:rPr>
                <w:color w:val="auto"/>
                <w:sz w:val="26"/>
                <w:szCs w:val="26"/>
              </w:rPr>
            </w:pPr>
            <w:r>
              <w:rPr>
                <w:color w:val="auto"/>
                <w:sz w:val="26"/>
                <w:szCs w:val="26"/>
              </w:rPr>
              <w:t>经实地考察，依据《中国外来入侵物种编目》、《中国自然生态系统外来入侵物种名单（第一批</w:t>
            </w:r>
            <w:r>
              <w:rPr>
                <w:rFonts w:hint="eastAsia"/>
                <w:color w:val="auto"/>
                <w:sz w:val="26"/>
                <w:szCs w:val="26"/>
              </w:rPr>
              <w:t>～</w:t>
            </w:r>
            <w:r>
              <w:rPr>
                <w:color w:val="auto"/>
                <w:sz w:val="26"/>
                <w:szCs w:val="26"/>
              </w:rPr>
              <w:t>第四批）》</w:t>
            </w:r>
            <w:r>
              <w:rPr>
                <w:rFonts w:hint="default"/>
                <w:color w:val="auto"/>
                <w:sz w:val="26"/>
                <w:szCs w:val="26"/>
              </w:rPr>
              <w:t>，该评价区内陆生植物种共有入侵植物</w:t>
            </w:r>
            <w:r>
              <w:rPr>
                <w:rFonts w:hint="eastAsia"/>
                <w:color w:val="auto"/>
                <w:sz w:val="26"/>
                <w:szCs w:val="26"/>
                <w:lang w:val="en-US" w:eastAsia="zh-CN"/>
              </w:rPr>
              <w:t>2</w:t>
            </w:r>
            <w:r>
              <w:rPr>
                <w:rFonts w:hint="default"/>
                <w:color w:val="auto"/>
                <w:sz w:val="26"/>
                <w:szCs w:val="26"/>
              </w:rPr>
              <w:t>科</w:t>
            </w:r>
            <w:r>
              <w:rPr>
                <w:rFonts w:hint="eastAsia"/>
                <w:color w:val="auto"/>
                <w:sz w:val="26"/>
                <w:szCs w:val="26"/>
                <w:lang w:val="en-US" w:eastAsia="zh-CN"/>
              </w:rPr>
              <w:t>3</w:t>
            </w:r>
            <w:r>
              <w:rPr>
                <w:rFonts w:hint="default"/>
                <w:color w:val="auto"/>
                <w:sz w:val="26"/>
                <w:szCs w:val="26"/>
              </w:rPr>
              <w:t>种，为</w:t>
            </w:r>
            <w:r>
              <w:rPr>
                <w:rFonts w:hint="eastAsia"/>
                <w:color w:val="auto"/>
                <w:sz w:val="26"/>
                <w:szCs w:val="26"/>
              </w:rPr>
              <w:t>小蓬草</w:t>
            </w:r>
            <w:r>
              <w:rPr>
                <w:rFonts w:hint="eastAsia"/>
                <w:color w:val="auto"/>
                <w:sz w:val="26"/>
                <w:szCs w:val="26"/>
                <w:lang w:eastAsia="zh-CN"/>
              </w:rPr>
              <w:t>、</w:t>
            </w:r>
            <w:r>
              <w:rPr>
                <w:rFonts w:hint="eastAsia"/>
                <w:color w:val="auto"/>
                <w:sz w:val="26"/>
                <w:szCs w:val="26"/>
                <w:lang w:val="en-US" w:eastAsia="zh-CN"/>
              </w:rPr>
              <w:t>小白酒草、</w:t>
            </w:r>
            <w:r>
              <w:rPr>
                <w:rFonts w:hint="eastAsia"/>
                <w:color w:val="auto"/>
                <w:sz w:val="26"/>
                <w:szCs w:val="26"/>
              </w:rPr>
              <w:t>野燕麦</w:t>
            </w:r>
            <w:r>
              <w:rPr>
                <w:color w:val="auto"/>
                <w:sz w:val="26"/>
                <w:szCs w:val="26"/>
              </w:rPr>
              <w:t>。入侵植物主要存在于耕地区域，特别是撂荒耕地区域。</w:t>
            </w:r>
          </w:p>
          <w:p w14:paraId="6891E1C2">
            <w:pPr>
              <w:snapToGrid w:val="0"/>
              <w:spacing w:line="480" w:lineRule="exact"/>
              <w:ind w:firstLine="520" w:firstLineChars="200"/>
              <w:rPr>
                <w:color w:val="auto"/>
                <w:sz w:val="26"/>
                <w:szCs w:val="26"/>
              </w:rPr>
            </w:pPr>
            <w:r>
              <w:rPr>
                <w:rFonts w:hint="eastAsia"/>
                <w:color w:val="auto"/>
                <w:sz w:val="26"/>
                <w:szCs w:val="26"/>
              </w:rPr>
              <w:t>小蓬草原产北美洲，1860年在山东烟台发现，目前在我国广泛分布。小蓬草蔓延极快，对秋收作物、果园和茶园危害严重，为一种常见杂草，通过分泌化感物质抑制邻近其他植物的生长。小蓬草是棉铃虫的中间宿主。</w:t>
            </w:r>
          </w:p>
          <w:p w14:paraId="6B332DEA">
            <w:pPr>
              <w:snapToGrid w:val="0"/>
              <w:spacing w:line="480" w:lineRule="exact"/>
              <w:ind w:firstLine="520" w:firstLineChars="200"/>
              <w:rPr>
                <w:rFonts w:hint="eastAsia"/>
                <w:color w:val="auto"/>
                <w:sz w:val="26"/>
                <w:szCs w:val="26"/>
              </w:rPr>
            </w:pPr>
            <w:r>
              <w:rPr>
                <w:rFonts w:hint="eastAsia"/>
                <w:color w:val="auto"/>
                <w:sz w:val="26"/>
                <w:szCs w:val="26"/>
              </w:rPr>
              <w:t>小白酒草可产生大量瘦果，蔓延极快，对秋收作物、果园和茶园危害严重，为一种常见杂草，通过分泌化感物质抑制邻近其他植物的生长。该植物是棉铃虫和棉蝽象的中间宿主，其叶汁和捣碎的叶对皮肤有刺激作用。</w:t>
            </w:r>
          </w:p>
          <w:p w14:paraId="0C2D49F1">
            <w:pPr>
              <w:snapToGrid w:val="0"/>
              <w:spacing w:line="480" w:lineRule="exact"/>
              <w:ind w:firstLine="520" w:firstLineChars="200"/>
              <w:rPr>
                <w:color w:val="auto"/>
                <w:sz w:val="26"/>
                <w:szCs w:val="26"/>
              </w:rPr>
            </w:pPr>
            <w:r>
              <w:rPr>
                <w:rFonts w:hint="eastAsia"/>
                <w:color w:val="auto"/>
                <w:sz w:val="26"/>
                <w:szCs w:val="26"/>
              </w:rPr>
              <w:t>野燕麦原产欧洲南部及地中海沿岸，是一种常见世界性的恶性农田杂草，现广泛分布于我国华东、中南、西南及黄河流域部分地区，尤其在长江中下游地区危害严重，在小麦、油菜、玉米、高粱等作物田中都有危害。野燕麦能传播小麦条锈病、叶锈病，同时是小麦黄矮病等病毒病和多种害虫的中间寄主。</w:t>
            </w:r>
          </w:p>
          <w:p w14:paraId="7A9BBE65">
            <w:pPr>
              <w:spacing w:line="460" w:lineRule="exact"/>
              <w:ind w:firstLine="522" w:firstLineChars="200"/>
              <w:rPr>
                <w:b/>
                <w:bCs/>
                <w:color w:val="auto"/>
                <w:sz w:val="26"/>
                <w:szCs w:val="26"/>
              </w:rPr>
            </w:pPr>
            <w:r>
              <w:rPr>
                <w:rFonts w:hint="eastAsia"/>
                <w:b/>
                <w:bCs/>
                <w:color w:val="auto"/>
                <w:sz w:val="26"/>
                <w:szCs w:val="26"/>
              </w:rPr>
              <w:t>3.1.3.2 陆生动物现状</w:t>
            </w:r>
          </w:p>
          <w:p w14:paraId="26AE7A32">
            <w:pPr>
              <w:snapToGrid w:val="0"/>
              <w:spacing w:line="480" w:lineRule="exact"/>
              <w:ind w:firstLine="520" w:firstLineChars="200"/>
              <w:rPr>
                <w:color w:val="auto"/>
                <w:sz w:val="26"/>
                <w:szCs w:val="26"/>
              </w:rPr>
            </w:pPr>
            <w:r>
              <w:rPr>
                <w:rFonts w:hint="eastAsia"/>
                <w:color w:val="auto"/>
                <w:sz w:val="26"/>
                <w:szCs w:val="26"/>
              </w:rPr>
              <w:t>由评价区动物样线设置情况表可以看出，</w:t>
            </w:r>
            <w:r>
              <w:rPr>
                <w:rFonts w:hint="default" w:ascii="Times New Roman" w:hAnsi="Times New Roman" w:cs="Times New Roman"/>
                <w:color w:val="auto"/>
                <w:kern w:val="2"/>
                <w:sz w:val="26"/>
                <w:szCs w:val="26"/>
                <w:highlight w:val="none"/>
              </w:rPr>
              <w:t>每种生境类型不少于</w:t>
            </w:r>
            <w:r>
              <w:rPr>
                <w:rFonts w:hint="eastAsia" w:cs="Times New Roman"/>
                <w:color w:val="auto"/>
                <w:kern w:val="2"/>
                <w:sz w:val="26"/>
                <w:szCs w:val="26"/>
                <w:highlight w:val="none"/>
                <w:lang w:val="en-US" w:eastAsia="zh-CN"/>
              </w:rPr>
              <w:t>3</w:t>
            </w:r>
            <w:r>
              <w:rPr>
                <w:rFonts w:hint="default" w:ascii="Times New Roman" w:hAnsi="Times New Roman" w:cs="Times New Roman"/>
                <w:color w:val="auto"/>
                <w:kern w:val="2"/>
                <w:sz w:val="26"/>
                <w:szCs w:val="26"/>
                <w:highlight w:val="none"/>
              </w:rPr>
              <w:t>个样线</w:t>
            </w:r>
            <w:r>
              <w:rPr>
                <w:rFonts w:hint="default" w:ascii="Times New Roman" w:hAnsi="Times New Roman" w:cs="Times New Roman"/>
                <w:color w:val="auto"/>
                <w:kern w:val="2"/>
                <w:sz w:val="26"/>
                <w:szCs w:val="26"/>
                <w:highlight w:val="none"/>
                <w:lang w:eastAsia="zh-CN"/>
              </w:rPr>
              <w:t>（其中</w:t>
            </w:r>
            <w:r>
              <w:rPr>
                <w:rFonts w:hint="eastAsia" w:cs="Times New Roman"/>
                <w:color w:val="auto"/>
                <w:kern w:val="2"/>
                <w:sz w:val="26"/>
                <w:szCs w:val="26"/>
                <w:highlight w:val="none"/>
                <w:lang w:val="en-US" w:eastAsia="zh-CN"/>
              </w:rPr>
              <w:t>8</w:t>
            </w:r>
            <w:r>
              <w:rPr>
                <w:rFonts w:hint="default" w:ascii="Times New Roman" w:hAnsi="Times New Roman" w:cs="Times New Roman"/>
                <w:color w:val="auto"/>
                <w:kern w:val="2"/>
                <w:sz w:val="26"/>
                <w:szCs w:val="26"/>
                <w:highlight w:val="none"/>
                <w:lang w:val="en-US" w:eastAsia="zh-CN"/>
              </w:rPr>
              <w:t>个样线</w:t>
            </w:r>
            <w:r>
              <w:rPr>
                <w:rFonts w:hint="eastAsia" w:cs="Times New Roman"/>
                <w:color w:val="auto"/>
                <w:kern w:val="2"/>
                <w:sz w:val="26"/>
                <w:szCs w:val="26"/>
                <w:highlight w:val="none"/>
                <w:lang w:val="en-US" w:eastAsia="zh-CN"/>
              </w:rPr>
              <w:t>有</w:t>
            </w:r>
            <w:r>
              <w:rPr>
                <w:rFonts w:hint="default" w:ascii="Times New Roman" w:hAnsi="Times New Roman" w:cs="Times New Roman"/>
                <w:color w:val="auto"/>
                <w:kern w:val="2"/>
                <w:sz w:val="26"/>
                <w:szCs w:val="26"/>
                <w:highlight w:val="none"/>
                <w:lang w:val="en-US" w:eastAsia="zh-CN"/>
              </w:rPr>
              <w:t>乔木林生境，</w:t>
            </w:r>
            <w:r>
              <w:rPr>
                <w:rFonts w:hint="eastAsia" w:ascii="Times New Roman" w:hAnsi="Times New Roman" w:cs="Times New Roman"/>
                <w:color w:val="auto"/>
                <w:kern w:val="2"/>
                <w:sz w:val="26"/>
                <w:szCs w:val="26"/>
                <w:highlight w:val="none"/>
                <w:lang w:val="en-US" w:eastAsia="zh-CN"/>
              </w:rPr>
              <w:t>9</w:t>
            </w:r>
            <w:r>
              <w:rPr>
                <w:rFonts w:hint="default" w:ascii="Times New Roman" w:hAnsi="Times New Roman" w:cs="Times New Roman"/>
                <w:color w:val="auto"/>
                <w:kern w:val="2"/>
                <w:sz w:val="26"/>
                <w:szCs w:val="26"/>
                <w:highlight w:val="none"/>
                <w:lang w:val="en-US" w:eastAsia="zh-CN"/>
              </w:rPr>
              <w:t>个样线</w:t>
            </w:r>
            <w:r>
              <w:rPr>
                <w:rFonts w:hint="eastAsia" w:cs="Times New Roman"/>
                <w:color w:val="auto"/>
                <w:kern w:val="2"/>
                <w:sz w:val="26"/>
                <w:szCs w:val="26"/>
                <w:highlight w:val="none"/>
                <w:lang w:val="en-US" w:eastAsia="zh-CN"/>
              </w:rPr>
              <w:t>有</w:t>
            </w:r>
            <w:r>
              <w:rPr>
                <w:rFonts w:hint="default" w:ascii="Times New Roman" w:hAnsi="Times New Roman" w:cs="Times New Roman"/>
                <w:color w:val="auto"/>
                <w:kern w:val="2"/>
                <w:sz w:val="26"/>
                <w:szCs w:val="26"/>
                <w:highlight w:val="none"/>
                <w:lang w:val="en-US" w:eastAsia="zh-CN"/>
              </w:rPr>
              <w:t>灌木林</w:t>
            </w:r>
            <w:r>
              <w:rPr>
                <w:rFonts w:hint="eastAsia" w:ascii="Times New Roman" w:hAnsi="Times New Roman" w:cs="Times New Roman"/>
                <w:color w:val="auto"/>
                <w:kern w:val="2"/>
                <w:sz w:val="26"/>
                <w:szCs w:val="26"/>
                <w:highlight w:val="none"/>
                <w:lang w:val="en-US" w:eastAsia="zh-CN"/>
              </w:rPr>
              <w:t>及</w:t>
            </w:r>
            <w:r>
              <w:rPr>
                <w:rFonts w:hint="default" w:ascii="Times New Roman" w:hAnsi="Times New Roman" w:cs="Times New Roman"/>
                <w:color w:val="auto"/>
                <w:kern w:val="2"/>
                <w:sz w:val="26"/>
                <w:szCs w:val="26"/>
                <w:highlight w:val="none"/>
                <w:lang w:val="en-US" w:eastAsia="zh-CN"/>
              </w:rPr>
              <w:t>采伐迹地生境，</w:t>
            </w:r>
            <w:r>
              <w:rPr>
                <w:rFonts w:hint="eastAsia" w:cs="Times New Roman"/>
                <w:color w:val="auto"/>
                <w:kern w:val="2"/>
                <w:sz w:val="26"/>
                <w:szCs w:val="26"/>
                <w:highlight w:val="none"/>
                <w:lang w:val="en-US" w:eastAsia="zh-CN"/>
              </w:rPr>
              <w:t>6个样线有</w:t>
            </w:r>
            <w:r>
              <w:rPr>
                <w:rFonts w:hint="default" w:ascii="Times New Roman" w:hAnsi="Times New Roman" w:cs="Times New Roman"/>
                <w:color w:val="auto"/>
                <w:kern w:val="2"/>
                <w:sz w:val="26"/>
                <w:szCs w:val="26"/>
                <w:highlight w:val="none"/>
                <w:lang w:val="en-US" w:eastAsia="zh-CN"/>
              </w:rPr>
              <w:t>农田生境，</w:t>
            </w:r>
            <w:r>
              <w:rPr>
                <w:rFonts w:hint="eastAsia" w:cs="Times New Roman"/>
                <w:color w:val="auto"/>
                <w:kern w:val="2"/>
                <w:sz w:val="26"/>
                <w:szCs w:val="26"/>
                <w:highlight w:val="none"/>
                <w:lang w:val="en-US" w:eastAsia="zh-CN"/>
              </w:rPr>
              <w:t>4个样线有</w:t>
            </w:r>
            <w:r>
              <w:rPr>
                <w:rFonts w:hint="default" w:ascii="Times New Roman" w:hAnsi="Times New Roman" w:cs="Times New Roman"/>
                <w:color w:val="auto"/>
                <w:kern w:val="2"/>
                <w:sz w:val="26"/>
                <w:szCs w:val="26"/>
                <w:highlight w:val="none"/>
                <w:lang w:val="en-US" w:eastAsia="zh-CN"/>
              </w:rPr>
              <w:t>居住点生境</w:t>
            </w:r>
            <w:r>
              <w:rPr>
                <w:rFonts w:hint="default" w:ascii="Times New Roman" w:hAnsi="Times New Roman" w:cs="Times New Roman"/>
                <w:color w:val="auto"/>
                <w:kern w:val="2"/>
                <w:sz w:val="26"/>
                <w:szCs w:val="26"/>
                <w:highlight w:val="none"/>
                <w:lang w:eastAsia="zh-CN"/>
              </w:rPr>
              <w:t>）</w:t>
            </w:r>
            <w:r>
              <w:rPr>
                <w:rFonts w:hint="eastAsia"/>
                <w:color w:val="auto"/>
                <w:sz w:val="26"/>
                <w:szCs w:val="26"/>
              </w:rPr>
              <w:t>，满足《环境影响评价技术导则 生态影响》（HJ19-2022）要求。</w:t>
            </w:r>
          </w:p>
          <w:p w14:paraId="77B1CCD4">
            <w:pPr>
              <w:snapToGrid w:val="0"/>
              <w:spacing w:line="480" w:lineRule="exact"/>
              <w:ind w:firstLine="522" w:firstLineChars="200"/>
              <w:rPr>
                <w:b/>
                <w:bCs/>
                <w:color w:val="auto"/>
                <w:sz w:val="26"/>
                <w:szCs w:val="26"/>
              </w:rPr>
            </w:pPr>
            <w:r>
              <w:rPr>
                <w:rFonts w:hint="eastAsia"/>
                <w:b/>
                <w:bCs/>
                <w:color w:val="auto"/>
                <w:sz w:val="26"/>
                <w:szCs w:val="26"/>
              </w:rPr>
              <w:t>1）野生动物调查结果</w:t>
            </w:r>
          </w:p>
          <w:p w14:paraId="2C68DCBB">
            <w:pPr>
              <w:snapToGrid w:val="0"/>
              <w:spacing w:line="480" w:lineRule="exact"/>
              <w:ind w:firstLine="520" w:firstLineChars="200"/>
              <w:rPr>
                <w:rFonts w:hint="eastAsia" w:eastAsia="宋体"/>
                <w:color w:val="auto"/>
                <w:sz w:val="26"/>
                <w:szCs w:val="26"/>
              </w:rPr>
            </w:pPr>
            <w:r>
              <w:rPr>
                <w:rFonts w:hint="eastAsia" w:eastAsia="宋体"/>
                <w:color w:val="auto"/>
                <w:sz w:val="26"/>
                <w:szCs w:val="26"/>
              </w:rPr>
              <w:t>评价区域在中国动物地理区划中隶属东洋界中印亚界华中区西部山地高原亚区四川盆地省，农田、亚热带林灌动物群，生态地理动物属于亚热带森林、林灌、草地动物群落。</w:t>
            </w:r>
            <w:r>
              <w:rPr>
                <w:rFonts w:hint="eastAsia"/>
                <w:color w:val="auto"/>
                <w:sz w:val="26"/>
                <w:szCs w:val="26"/>
                <w:lang w:eastAsia="zh-CN"/>
              </w:rPr>
              <w:t>本次评价参考</w:t>
            </w:r>
            <w:bookmarkStart w:id="8" w:name="_Hlk141860500"/>
            <w:r>
              <w:rPr>
                <w:rFonts w:hint="eastAsia" w:eastAsia="宋体"/>
                <w:color w:val="auto"/>
                <w:sz w:val="26"/>
                <w:szCs w:val="26"/>
              </w:rPr>
              <w:t>《重庆市哺乳动物名录及其生态地理分布》（彭杰等，2018年）、《重庆鸟类名录（7.0版）》（2022年）、《重庆市两栖爬行动物分类分布名录》（罗键等，2012年）、《2022年中国两栖、爬行动物分类变动汇总》</w:t>
            </w:r>
            <w:bookmarkEnd w:id="8"/>
            <w:r>
              <w:rPr>
                <w:rFonts w:hint="eastAsia" w:eastAsia="宋体"/>
                <w:color w:val="auto"/>
                <w:sz w:val="26"/>
                <w:szCs w:val="26"/>
              </w:rPr>
              <w:t>等历史资料，</w:t>
            </w:r>
            <w:r>
              <w:rPr>
                <w:rFonts w:hint="eastAsia" w:eastAsia="宋体"/>
                <w:color w:val="auto"/>
                <w:sz w:val="26"/>
                <w:szCs w:val="26"/>
                <w:lang w:val="en-US" w:eastAsia="zh-CN"/>
              </w:rPr>
              <w:t>并</w:t>
            </w:r>
            <w:r>
              <w:rPr>
                <w:rFonts w:hint="eastAsia" w:eastAsia="宋体"/>
                <w:color w:val="auto"/>
                <w:sz w:val="26"/>
                <w:szCs w:val="26"/>
              </w:rPr>
              <w:t>基于文献资料查阅、生境判断、现场调查访问得出评价区内有鸟类43种，分属7目、20科；两栖动物</w:t>
            </w:r>
            <w:r>
              <w:rPr>
                <w:rFonts w:hint="eastAsia" w:eastAsia="宋体"/>
                <w:color w:val="auto"/>
                <w:sz w:val="26"/>
                <w:szCs w:val="26"/>
                <w:lang w:val="en-US" w:eastAsia="zh-CN"/>
              </w:rPr>
              <w:t>11</w:t>
            </w:r>
            <w:r>
              <w:rPr>
                <w:rFonts w:hint="eastAsia" w:eastAsia="宋体"/>
                <w:color w:val="auto"/>
                <w:sz w:val="26"/>
                <w:szCs w:val="26"/>
              </w:rPr>
              <w:t>种，隶属2目6科；爬行动物</w:t>
            </w:r>
            <w:r>
              <w:rPr>
                <w:rFonts w:hint="eastAsia" w:eastAsia="宋体"/>
                <w:color w:val="auto"/>
                <w:sz w:val="26"/>
                <w:szCs w:val="26"/>
                <w:lang w:val="en-US" w:eastAsia="zh-CN"/>
              </w:rPr>
              <w:t>12</w:t>
            </w:r>
            <w:r>
              <w:rPr>
                <w:rFonts w:hint="eastAsia" w:eastAsia="宋体"/>
                <w:color w:val="auto"/>
                <w:sz w:val="26"/>
                <w:szCs w:val="26"/>
              </w:rPr>
              <w:t>种，隶属1目</w:t>
            </w:r>
            <w:r>
              <w:rPr>
                <w:rFonts w:hint="eastAsia" w:eastAsia="宋体"/>
                <w:color w:val="auto"/>
                <w:sz w:val="26"/>
                <w:szCs w:val="26"/>
                <w:lang w:val="en-US" w:eastAsia="zh-CN"/>
              </w:rPr>
              <w:t>6</w:t>
            </w:r>
            <w:r>
              <w:rPr>
                <w:rFonts w:hint="eastAsia" w:eastAsia="宋体"/>
                <w:color w:val="auto"/>
                <w:sz w:val="26"/>
                <w:szCs w:val="26"/>
              </w:rPr>
              <w:t>科；哺乳动物</w:t>
            </w:r>
            <w:r>
              <w:rPr>
                <w:rFonts w:hint="eastAsia" w:eastAsia="宋体"/>
                <w:color w:val="auto"/>
                <w:sz w:val="26"/>
                <w:szCs w:val="26"/>
                <w:lang w:val="en-US" w:eastAsia="zh-CN"/>
              </w:rPr>
              <w:t>17</w:t>
            </w:r>
            <w:r>
              <w:rPr>
                <w:rFonts w:hint="eastAsia" w:eastAsia="宋体"/>
                <w:color w:val="auto"/>
                <w:sz w:val="26"/>
                <w:szCs w:val="26"/>
              </w:rPr>
              <w:t>种，隶属6目9科。评价区域动物共有4纲16目4</w:t>
            </w:r>
            <w:r>
              <w:rPr>
                <w:rFonts w:hint="eastAsia" w:eastAsia="宋体"/>
                <w:color w:val="auto"/>
                <w:sz w:val="26"/>
                <w:szCs w:val="26"/>
                <w:lang w:val="en-US" w:eastAsia="zh-CN"/>
              </w:rPr>
              <w:t>1</w:t>
            </w:r>
            <w:r>
              <w:rPr>
                <w:rFonts w:hint="eastAsia" w:eastAsia="宋体"/>
                <w:color w:val="auto"/>
                <w:sz w:val="26"/>
                <w:szCs w:val="26"/>
              </w:rPr>
              <w:t>科</w:t>
            </w:r>
            <w:r>
              <w:rPr>
                <w:rFonts w:hint="eastAsia" w:eastAsia="宋体"/>
                <w:color w:val="auto"/>
                <w:sz w:val="26"/>
                <w:szCs w:val="26"/>
                <w:lang w:val="en-US" w:eastAsia="zh-CN"/>
              </w:rPr>
              <w:t>83</w:t>
            </w:r>
            <w:r>
              <w:rPr>
                <w:rFonts w:hint="eastAsia" w:eastAsia="宋体"/>
                <w:color w:val="auto"/>
                <w:sz w:val="26"/>
                <w:szCs w:val="26"/>
              </w:rPr>
              <w:t>种。</w:t>
            </w:r>
          </w:p>
          <w:p w14:paraId="172938ED">
            <w:pPr>
              <w:snapToGrid w:val="0"/>
              <w:spacing w:line="480" w:lineRule="exact"/>
              <w:ind w:firstLine="522" w:firstLineChars="200"/>
              <w:rPr>
                <w:b/>
                <w:bCs/>
                <w:color w:val="auto"/>
                <w:sz w:val="26"/>
                <w:szCs w:val="26"/>
              </w:rPr>
            </w:pPr>
            <w:r>
              <w:rPr>
                <w:rFonts w:hint="eastAsia"/>
                <w:b/>
                <w:bCs/>
                <w:color w:val="auto"/>
                <w:sz w:val="26"/>
                <w:szCs w:val="26"/>
              </w:rPr>
              <w:t>2）重点野生保护动物</w:t>
            </w:r>
          </w:p>
          <w:p w14:paraId="6C656AC0">
            <w:pPr>
              <w:snapToGrid w:val="0"/>
              <w:spacing w:line="480" w:lineRule="exact"/>
              <w:ind w:firstLine="520" w:firstLineChars="200"/>
              <w:rPr>
                <w:color w:val="auto"/>
                <w:sz w:val="26"/>
                <w:szCs w:val="26"/>
              </w:rPr>
            </w:pPr>
            <w:r>
              <w:rPr>
                <w:color w:val="auto"/>
                <w:sz w:val="26"/>
                <w:szCs w:val="26"/>
              </w:rPr>
              <w:t>按照《国家重点保护野生动物名录（2021年版）》，</w:t>
            </w:r>
            <w:r>
              <w:rPr>
                <w:rFonts w:hint="eastAsia"/>
                <w:color w:val="auto"/>
                <w:sz w:val="26"/>
                <w:szCs w:val="26"/>
              </w:rPr>
              <w:t>国家重点保护野生动物</w:t>
            </w:r>
            <w:r>
              <w:rPr>
                <w:color w:val="auto"/>
                <w:sz w:val="26"/>
                <w:szCs w:val="26"/>
              </w:rPr>
              <w:t>分为一、二级两个级别；</w:t>
            </w:r>
            <w:r>
              <w:rPr>
                <w:rFonts w:hint="eastAsia"/>
                <w:color w:val="auto"/>
                <w:sz w:val="26"/>
                <w:szCs w:val="26"/>
              </w:rPr>
              <w:t>对照</w:t>
            </w:r>
            <w:r>
              <w:rPr>
                <w:color w:val="auto"/>
                <w:sz w:val="26"/>
                <w:szCs w:val="26"/>
              </w:rPr>
              <w:t>《国家重点保护野生动物名录（2021年版）》</w:t>
            </w:r>
            <w:r>
              <w:rPr>
                <w:rFonts w:hint="eastAsia"/>
                <w:color w:val="auto"/>
                <w:sz w:val="26"/>
                <w:szCs w:val="26"/>
              </w:rPr>
              <w:t>和《</w:t>
            </w:r>
            <w:r>
              <w:rPr>
                <w:color w:val="auto"/>
                <w:sz w:val="26"/>
                <w:szCs w:val="26"/>
              </w:rPr>
              <w:t>重庆市重点保护野生动物名录</w:t>
            </w:r>
            <w:r>
              <w:rPr>
                <w:rFonts w:hint="eastAsia"/>
                <w:color w:val="auto"/>
                <w:sz w:val="26"/>
                <w:szCs w:val="26"/>
              </w:rPr>
              <w:t>》（渝林规范〔2023〕2号）</w:t>
            </w:r>
            <w:r>
              <w:rPr>
                <w:color w:val="auto"/>
                <w:sz w:val="26"/>
                <w:szCs w:val="26"/>
              </w:rPr>
              <w:t>，</w:t>
            </w:r>
            <w:r>
              <w:rPr>
                <w:rFonts w:hint="eastAsia"/>
                <w:color w:val="auto"/>
                <w:sz w:val="26"/>
                <w:szCs w:val="26"/>
              </w:rPr>
              <w:t>评价区域内有重庆市重点保护野生动物</w:t>
            </w:r>
            <w:r>
              <w:rPr>
                <w:rFonts w:hint="eastAsia"/>
                <w:color w:val="auto"/>
                <w:sz w:val="26"/>
                <w:szCs w:val="26"/>
                <w:lang w:val="en-US" w:eastAsia="zh-CN"/>
              </w:rPr>
              <w:t>6</w:t>
            </w:r>
            <w:r>
              <w:rPr>
                <w:rFonts w:hint="eastAsia"/>
                <w:color w:val="auto"/>
                <w:sz w:val="26"/>
                <w:szCs w:val="26"/>
              </w:rPr>
              <w:t>种，分别为灰胸竹鸡、四声杜鹃、</w:t>
            </w:r>
            <w:r>
              <w:rPr>
                <w:rFonts w:hint="eastAsia"/>
                <w:color w:val="auto"/>
                <w:sz w:val="26"/>
                <w:szCs w:val="26"/>
                <w:lang w:val="en-US" w:eastAsia="zh-CN"/>
              </w:rPr>
              <w:t>福建</w:t>
            </w:r>
            <w:r>
              <w:rPr>
                <w:rFonts w:hint="eastAsia"/>
                <w:color w:val="auto"/>
                <w:sz w:val="26"/>
                <w:szCs w:val="26"/>
              </w:rPr>
              <w:t>竹叶青蛇、黄鼬</w:t>
            </w:r>
            <w:r>
              <w:rPr>
                <w:rFonts w:hint="eastAsia"/>
                <w:color w:val="auto"/>
                <w:sz w:val="26"/>
                <w:szCs w:val="26"/>
                <w:lang w:eastAsia="zh-CN"/>
              </w:rPr>
              <w:t>、</w:t>
            </w:r>
            <w:r>
              <w:rPr>
                <w:rFonts w:hint="eastAsia"/>
                <w:color w:val="auto"/>
                <w:sz w:val="26"/>
                <w:szCs w:val="26"/>
                <w:lang w:val="en-US" w:eastAsia="zh-CN"/>
              </w:rPr>
              <w:t>乌梢蛇、王锦蛇</w:t>
            </w:r>
            <w:r>
              <w:rPr>
                <w:rFonts w:hint="eastAsia"/>
                <w:color w:val="auto"/>
                <w:sz w:val="26"/>
                <w:szCs w:val="26"/>
              </w:rPr>
              <w:t>。评价区域内重点保护动物的主要分布范围见表3-2。</w:t>
            </w:r>
          </w:p>
          <w:p w14:paraId="3E2A5A08">
            <w:pPr>
              <w:snapToGrid w:val="0"/>
              <w:jc w:val="center"/>
              <w:rPr>
                <w:color w:val="auto"/>
                <w:sz w:val="26"/>
                <w:szCs w:val="26"/>
              </w:rPr>
            </w:pPr>
          </w:p>
          <w:p w14:paraId="223913D8">
            <w:pPr>
              <w:snapToGrid w:val="0"/>
              <w:jc w:val="center"/>
              <w:rPr>
                <w:color w:val="auto"/>
                <w:sz w:val="26"/>
                <w:szCs w:val="26"/>
              </w:rPr>
            </w:pPr>
            <w:r>
              <w:rPr>
                <w:rFonts w:hint="eastAsia"/>
                <w:color w:val="auto"/>
                <w:sz w:val="26"/>
                <w:szCs w:val="26"/>
              </w:rPr>
              <w:t>表3-2  重点保护动物在评价区域内的主要分布范围</w:t>
            </w:r>
          </w:p>
          <w:tbl>
            <w:tblPr>
              <w:tblStyle w:val="25"/>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925"/>
              <w:gridCol w:w="1150"/>
              <w:gridCol w:w="784"/>
              <w:gridCol w:w="1770"/>
              <w:gridCol w:w="1070"/>
              <w:gridCol w:w="967"/>
            </w:tblGrid>
            <w:tr w14:paraId="48A350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4" w:type="pct"/>
                  <w:tcBorders>
                    <w:top w:val="single" w:color="auto" w:sz="4" w:space="0"/>
                    <w:left w:val="single" w:color="auto" w:sz="4" w:space="0"/>
                    <w:bottom w:val="single" w:color="auto" w:sz="4" w:space="0"/>
                    <w:right w:val="single" w:color="auto" w:sz="4" w:space="0"/>
                  </w:tcBorders>
                  <w:vAlign w:val="center"/>
                </w:tcPr>
                <w:p w14:paraId="2C4D4417">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bCs/>
                      <w:color w:val="auto"/>
                      <w:sz w:val="22"/>
                      <w:szCs w:val="22"/>
                    </w:rPr>
                  </w:pPr>
                  <w:r>
                    <w:rPr>
                      <w:rFonts w:hint="default" w:ascii="Times New Roman" w:hAnsi="Times New Roman" w:cs="Times New Roman"/>
                      <w:bCs/>
                      <w:color w:val="auto"/>
                      <w:sz w:val="22"/>
                      <w:szCs w:val="22"/>
                    </w:rPr>
                    <w:t>种名</w:t>
                  </w:r>
                </w:p>
              </w:tc>
              <w:tc>
                <w:tcPr>
                  <w:tcW w:w="576" w:type="pct"/>
                  <w:tcBorders>
                    <w:top w:val="single" w:color="auto" w:sz="4" w:space="0"/>
                    <w:left w:val="single" w:color="auto" w:sz="4" w:space="0"/>
                    <w:bottom w:val="single" w:color="auto" w:sz="4" w:space="0"/>
                    <w:right w:val="single" w:color="auto" w:sz="4" w:space="0"/>
                  </w:tcBorders>
                  <w:vAlign w:val="center"/>
                </w:tcPr>
                <w:p w14:paraId="73284243">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bCs/>
                      <w:color w:val="auto"/>
                      <w:sz w:val="22"/>
                      <w:szCs w:val="22"/>
                    </w:rPr>
                  </w:pPr>
                  <w:r>
                    <w:rPr>
                      <w:rFonts w:hint="default" w:ascii="Times New Roman" w:hAnsi="Times New Roman" w:cs="Times New Roman"/>
                      <w:bCs/>
                      <w:color w:val="auto"/>
                      <w:sz w:val="22"/>
                      <w:szCs w:val="22"/>
                    </w:rPr>
                    <w:t>保护级别</w:t>
                  </w:r>
                </w:p>
              </w:tc>
              <w:tc>
                <w:tcPr>
                  <w:tcW w:w="716" w:type="pct"/>
                  <w:tcBorders>
                    <w:top w:val="single" w:color="auto" w:sz="4" w:space="0"/>
                    <w:left w:val="single" w:color="auto" w:sz="4" w:space="0"/>
                    <w:bottom w:val="single" w:color="auto" w:sz="4" w:space="0"/>
                    <w:right w:val="single" w:color="auto" w:sz="4" w:space="0"/>
                  </w:tcBorders>
                  <w:vAlign w:val="center"/>
                </w:tcPr>
                <w:p w14:paraId="1E77E6EA">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bCs/>
                      <w:color w:val="auto"/>
                      <w:sz w:val="22"/>
                      <w:szCs w:val="22"/>
                    </w:rPr>
                  </w:pPr>
                  <w:r>
                    <w:rPr>
                      <w:rFonts w:hint="default" w:ascii="Times New Roman" w:hAnsi="Times New Roman" w:cs="Times New Roman"/>
                      <w:bCs/>
                      <w:color w:val="auto"/>
                      <w:sz w:val="22"/>
                      <w:szCs w:val="22"/>
                    </w:rPr>
                    <w:t>濒危等级</w:t>
                  </w:r>
                </w:p>
              </w:tc>
              <w:tc>
                <w:tcPr>
                  <w:tcW w:w="488" w:type="pct"/>
                  <w:tcBorders>
                    <w:top w:val="single" w:color="auto" w:sz="4" w:space="0"/>
                    <w:left w:val="single" w:color="auto" w:sz="4" w:space="0"/>
                    <w:bottom w:val="single" w:color="auto" w:sz="4" w:space="0"/>
                    <w:right w:val="single" w:color="auto" w:sz="4" w:space="0"/>
                  </w:tcBorders>
                  <w:vAlign w:val="center"/>
                </w:tcPr>
                <w:p w14:paraId="0AE5F3CC">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bCs/>
                      <w:color w:val="auto"/>
                      <w:sz w:val="22"/>
                      <w:szCs w:val="22"/>
                    </w:rPr>
                  </w:pPr>
                  <w:r>
                    <w:rPr>
                      <w:rFonts w:hint="default" w:ascii="Times New Roman" w:hAnsi="Times New Roman" w:cs="Times New Roman"/>
                      <w:bCs/>
                      <w:color w:val="auto"/>
                      <w:sz w:val="22"/>
                      <w:szCs w:val="22"/>
                    </w:rPr>
                    <w:t>特有种</w:t>
                  </w:r>
                </w:p>
              </w:tc>
              <w:tc>
                <w:tcPr>
                  <w:tcW w:w="1103" w:type="pct"/>
                  <w:tcBorders>
                    <w:top w:val="single" w:color="auto" w:sz="4" w:space="0"/>
                    <w:left w:val="single" w:color="auto" w:sz="4" w:space="0"/>
                    <w:bottom w:val="single" w:color="auto" w:sz="4" w:space="0"/>
                    <w:right w:val="single" w:color="auto" w:sz="4" w:space="0"/>
                  </w:tcBorders>
                  <w:vAlign w:val="center"/>
                </w:tcPr>
                <w:p w14:paraId="2FF91D98">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bCs/>
                      <w:color w:val="auto"/>
                      <w:sz w:val="22"/>
                      <w:szCs w:val="22"/>
                    </w:rPr>
                  </w:pPr>
                  <w:r>
                    <w:rPr>
                      <w:rFonts w:hint="default" w:ascii="Times New Roman" w:hAnsi="Times New Roman" w:cs="Times New Roman"/>
                      <w:color w:val="auto"/>
                      <w:sz w:val="22"/>
                      <w:szCs w:val="22"/>
                    </w:rPr>
                    <w:t>分布区域</w:t>
                  </w:r>
                </w:p>
              </w:tc>
              <w:tc>
                <w:tcPr>
                  <w:tcW w:w="666" w:type="pct"/>
                  <w:tcBorders>
                    <w:top w:val="single" w:color="auto" w:sz="4" w:space="0"/>
                    <w:left w:val="single" w:color="auto" w:sz="4" w:space="0"/>
                    <w:bottom w:val="single" w:color="auto" w:sz="4" w:space="0"/>
                    <w:right w:val="single" w:color="auto" w:sz="4" w:space="0"/>
                  </w:tcBorders>
                  <w:vAlign w:val="center"/>
                </w:tcPr>
                <w:p w14:paraId="62C012B9">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color w:val="auto"/>
                      <w:sz w:val="22"/>
                      <w:szCs w:val="22"/>
                      <w:highlight w:val="yellow"/>
                    </w:rPr>
                  </w:pPr>
                  <w:r>
                    <w:rPr>
                      <w:rFonts w:hint="default" w:ascii="Times New Roman" w:hAnsi="Times New Roman" w:cs="Times New Roman"/>
                      <w:color w:val="auto"/>
                      <w:sz w:val="22"/>
                      <w:szCs w:val="22"/>
                    </w:rPr>
                    <w:t>资料来源</w:t>
                  </w:r>
                </w:p>
              </w:tc>
              <w:tc>
                <w:tcPr>
                  <w:tcW w:w="602" w:type="pct"/>
                  <w:tcBorders>
                    <w:top w:val="single" w:color="auto" w:sz="4" w:space="0"/>
                    <w:left w:val="single" w:color="auto" w:sz="4" w:space="0"/>
                    <w:bottom w:val="single" w:color="auto" w:sz="4" w:space="0"/>
                    <w:right w:val="single" w:color="auto" w:sz="4" w:space="0"/>
                  </w:tcBorders>
                  <w:vAlign w:val="center"/>
                </w:tcPr>
                <w:p w14:paraId="512EE06D">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color w:val="auto"/>
                      <w:sz w:val="22"/>
                      <w:szCs w:val="22"/>
                    </w:rPr>
                  </w:pPr>
                  <w:r>
                    <w:rPr>
                      <w:rFonts w:hint="default" w:ascii="Times New Roman" w:hAnsi="Times New Roman" w:cs="Times New Roman"/>
                      <w:color w:val="auto"/>
                      <w:sz w:val="22"/>
                      <w:szCs w:val="22"/>
                    </w:rPr>
                    <w:t>工程占用情况</w:t>
                  </w:r>
                </w:p>
              </w:tc>
            </w:tr>
            <w:tr w14:paraId="06E380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4" w:type="pct"/>
                  <w:tcBorders>
                    <w:top w:val="single" w:color="auto" w:sz="4" w:space="0"/>
                    <w:left w:val="single" w:color="auto" w:sz="4" w:space="0"/>
                    <w:bottom w:val="single" w:color="auto" w:sz="4" w:space="0"/>
                    <w:right w:val="single" w:color="auto" w:sz="4" w:space="0"/>
                  </w:tcBorders>
                  <w:vAlign w:val="center"/>
                </w:tcPr>
                <w:p w14:paraId="0F929C6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bCs/>
                      <w:color w:val="auto"/>
                      <w:sz w:val="22"/>
                      <w:szCs w:val="22"/>
                    </w:rPr>
                  </w:pPr>
                  <w:r>
                    <w:rPr>
                      <w:rFonts w:hint="default" w:ascii="Times New Roman" w:hAnsi="Times New Roman" w:cs="Times New Roman"/>
                      <w:color w:val="auto"/>
                      <w:sz w:val="21"/>
                      <w:szCs w:val="21"/>
                      <w:highlight w:val="none"/>
                      <w:lang w:bidi="ar"/>
                    </w:rPr>
                    <w:t>灰胸竹鸡</w:t>
                  </w:r>
                </w:p>
              </w:tc>
              <w:tc>
                <w:tcPr>
                  <w:tcW w:w="576" w:type="pct"/>
                  <w:tcBorders>
                    <w:top w:val="single" w:color="auto" w:sz="4" w:space="0"/>
                    <w:left w:val="single" w:color="auto" w:sz="4" w:space="0"/>
                    <w:bottom w:val="single" w:color="auto" w:sz="4" w:space="0"/>
                    <w:right w:val="single" w:color="auto" w:sz="4" w:space="0"/>
                  </w:tcBorders>
                  <w:vAlign w:val="center"/>
                </w:tcPr>
                <w:p w14:paraId="24ECD32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bCs/>
                      <w:color w:val="auto"/>
                      <w:sz w:val="22"/>
                      <w:szCs w:val="22"/>
                    </w:rPr>
                  </w:pPr>
                  <w:r>
                    <w:rPr>
                      <w:rFonts w:hint="default" w:ascii="Times New Roman" w:hAnsi="Times New Roman" w:cs="Times New Roman"/>
                      <w:bCs/>
                      <w:color w:val="auto"/>
                      <w:sz w:val="21"/>
                      <w:szCs w:val="21"/>
                      <w:highlight w:val="none"/>
                      <w:lang w:bidi="ar"/>
                    </w:rPr>
                    <w:t>★</w:t>
                  </w:r>
                </w:p>
              </w:tc>
              <w:tc>
                <w:tcPr>
                  <w:tcW w:w="716" w:type="pct"/>
                  <w:tcBorders>
                    <w:top w:val="single" w:color="auto" w:sz="4" w:space="0"/>
                    <w:left w:val="single" w:color="auto" w:sz="4" w:space="0"/>
                    <w:bottom w:val="single" w:color="auto" w:sz="4" w:space="0"/>
                    <w:right w:val="single" w:color="auto" w:sz="4" w:space="0"/>
                  </w:tcBorders>
                  <w:vAlign w:val="center"/>
                </w:tcPr>
                <w:p w14:paraId="0289965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bCs/>
                      <w:color w:val="auto"/>
                      <w:sz w:val="22"/>
                      <w:szCs w:val="22"/>
                    </w:rPr>
                  </w:pPr>
                  <w:r>
                    <w:rPr>
                      <w:rFonts w:hint="default" w:ascii="Times New Roman" w:hAnsi="Times New Roman" w:cs="Times New Roman"/>
                      <w:bCs/>
                      <w:color w:val="auto"/>
                      <w:sz w:val="21"/>
                      <w:szCs w:val="21"/>
                      <w:highlight w:val="none"/>
                      <w:lang w:bidi="ar"/>
                    </w:rPr>
                    <w:t>无危（LC）</w:t>
                  </w:r>
                </w:p>
              </w:tc>
              <w:tc>
                <w:tcPr>
                  <w:tcW w:w="488" w:type="pct"/>
                  <w:tcBorders>
                    <w:top w:val="single" w:color="auto" w:sz="4" w:space="0"/>
                    <w:left w:val="single" w:color="auto" w:sz="4" w:space="0"/>
                    <w:bottom w:val="single" w:color="auto" w:sz="4" w:space="0"/>
                    <w:right w:val="single" w:color="auto" w:sz="4" w:space="0"/>
                  </w:tcBorders>
                  <w:vAlign w:val="center"/>
                </w:tcPr>
                <w:p w14:paraId="1E52DF8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bCs/>
                      <w:color w:val="auto"/>
                      <w:sz w:val="22"/>
                      <w:szCs w:val="22"/>
                    </w:rPr>
                  </w:pPr>
                  <w:r>
                    <w:rPr>
                      <w:rFonts w:hint="default" w:ascii="Times New Roman" w:hAnsi="Times New Roman" w:cs="Times New Roman"/>
                      <w:bCs/>
                      <w:color w:val="auto"/>
                      <w:sz w:val="21"/>
                      <w:szCs w:val="21"/>
                      <w:highlight w:val="none"/>
                      <w:lang w:bidi="ar"/>
                    </w:rPr>
                    <w:t>是</w:t>
                  </w:r>
                </w:p>
              </w:tc>
              <w:tc>
                <w:tcPr>
                  <w:tcW w:w="1103" w:type="pct"/>
                  <w:tcBorders>
                    <w:top w:val="single" w:color="auto" w:sz="4" w:space="0"/>
                    <w:left w:val="single" w:color="auto" w:sz="4" w:space="0"/>
                    <w:bottom w:val="single" w:color="auto" w:sz="4" w:space="0"/>
                    <w:right w:val="single" w:color="auto" w:sz="4" w:space="0"/>
                  </w:tcBorders>
                  <w:vAlign w:val="center"/>
                </w:tcPr>
                <w:p w14:paraId="65BB818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bCs/>
                      <w:color w:val="auto"/>
                      <w:sz w:val="22"/>
                      <w:szCs w:val="22"/>
                    </w:rPr>
                  </w:pPr>
                  <w:r>
                    <w:rPr>
                      <w:rFonts w:hint="default" w:ascii="Times New Roman" w:hAnsi="Times New Roman" w:cs="Times New Roman"/>
                      <w:bCs/>
                      <w:color w:val="auto"/>
                      <w:sz w:val="21"/>
                      <w:szCs w:val="21"/>
                      <w:highlight w:val="none"/>
                      <w:lang w:bidi="ar"/>
                    </w:rPr>
                    <w:t>乔木林、灌木林及采伐迹地、草丛、农田、居民点</w:t>
                  </w:r>
                </w:p>
              </w:tc>
              <w:tc>
                <w:tcPr>
                  <w:tcW w:w="666" w:type="pct"/>
                  <w:tcBorders>
                    <w:top w:val="single" w:color="auto" w:sz="4" w:space="0"/>
                    <w:left w:val="single" w:color="auto" w:sz="4" w:space="0"/>
                    <w:bottom w:val="single" w:color="auto" w:sz="4" w:space="0"/>
                    <w:right w:val="single" w:color="auto" w:sz="4" w:space="0"/>
                  </w:tcBorders>
                  <w:vAlign w:val="center"/>
                </w:tcPr>
                <w:p w14:paraId="6BE4575F">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cs="Times New Roman"/>
                      <w:bCs/>
                      <w:color w:val="auto"/>
                      <w:sz w:val="22"/>
                      <w:szCs w:val="22"/>
                    </w:rPr>
                  </w:pPr>
                  <w:r>
                    <w:rPr>
                      <w:rFonts w:hint="default" w:ascii="Times New Roman" w:hAnsi="Times New Roman" w:cs="Times New Roman"/>
                      <w:color w:val="auto"/>
                      <w:sz w:val="21"/>
                      <w:szCs w:val="21"/>
                      <w:highlight w:val="none"/>
                      <w:lang w:bidi="ar"/>
                    </w:rPr>
                    <w:t>访问</w:t>
                  </w:r>
                  <w:r>
                    <w:rPr>
                      <w:rFonts w:hint="default" w:ascii="Times New Roman" w:hAnsi="Times New Roman" w:cs="Times New Roman"/>
                      <w:color w:val="auto"/>
                      <w:sz w:val="21"/>
                      <w:szCs w:val="21"/>
                      <w:highlight w:val="none"/>
                      <w:lang w:eastAsia="zh-CN" w:bidi="ar"/>
                    </w:rPr>
                    <w:t>、</w:t>
                  </w:r>
                  <w:r>
                    <w:rPr>
                      <w:rFonts w:hint="default" w:ascii="Times New Roman" w:hAnsi="Times New Roman" w:cs="Times New Roman"/>
                      <w:color w:val="auto"/>
                      <w:sz w:val="21"/>
                      <w:szCs w:val="21"/>
                      <w:highlight w:val="none"/>
                      <w:lang w:val="en-US" w:eastAsia="zh-CN" w:bidi="ar"/>
                    </w:rPr>
                    <w:t>文献</w:t>
                  </w:r>
                </w:p>
              </w:tc>
              <w:tc>
                <w:tcPr>
                  <w:tcW w:w="602" w:type="pct"/>
                  <w:tcBorders>
                    <w:top w:val="single" w:color="auto" w:sz="4" w:space="0"/>
                    <w:left w:val="single" w:color="auto" w:sz="4" w:space="0"/>
                    <w:bottom w:val="single" w:color="auto" w:sz="4" w:space="0"/>
                    <w:right w:val="single" w:color="auto" w:sz="4" w:space="0"/>
                  </w:tcBorders>
                  <w:vAlign w:val="center"/>
                </w:tcPr>
                <w:p w14:paraId="3432988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bCs/>
                      <w:color w:val="auto"/>
                      <w:sz w:val="22"/>
                      <w:szCs w:val="22"/>
                    </w:rPr>
                  </w:pPr>
                  <w:r>
                    <w:rPr>
                      <w:rFonts w:hint="default" w:ascii="Times New Roman" w:hAnsi="Times New Roman" w:cs="Times New Roman"/>
                      <w:color w:val="auto"/>
                      <w:sz w:val="21"/>
                      <w:szCs w:val="21"/>
                      <w:highlight w:val="none"/>
                      <w:lang w:bidi="ar"/>
                    </w:rPr>
                    <w:t>否，未发现营巢地</w:t>
                  </w:r>
                </w:p>
              </w:tc>
            </w:tr>
            <w:tr w14:paraId="0C627A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4" w:type="pct"/>
                  <w:tcBorders>
                    <w:top w:val="single" w:color="auto" w:sz="4" w:space="0"/>
                    <w:left w:val="single" w:color="auto" w:sz="4" w:space="0"/>
                    <w:bottom w:val="single" w:color="auto" w:sz="4" w:space="0"/>
                    <w:right w:val="single" w:color="auto" w:sz="4" w:space="0"/>
                  </w:tcBorders>
                  <w:vAlign w:val="center"/>
                </w:tcPr>
                <w:p w14:paraId="256266A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bCs/>
                      <w:color w:val="auto"/>
                      <w:sz w:val="22"/>
                      <w:szCs w:val="22"/>
                    </w:rPr>
                  </w:pPr>
                  <w:r>
                    <w:rPr>
                      <w:rFonts w:hint="default" w:ascii="Times New Roman" w:hAnsi="Times New Roman" w:eastAsia="宋体" w:cs="Times New Roman"/>
                      <w:color w:val="auto"/>
                      <w:sz w:val="21"/>
                      <w:szCs w:val="21"/>
                      <w:highlight w:val="none"/>
                      <w:lang w:val="en-US" w:eastAsia="zh-CN"/>
                    </w:rPr>
                    <w:t>四声杜鹃</w:t>
                  </w:r>
                </w:p>
              </w:tc>
              <w:tc>
                <w:tcPr>
                  <w:tcW w:w="576" w:type="pct"/>
                  <w:tcBorders>
                    <w:top w:val="single" w:color="auto" w:sz="4" w:space="0"/>
                    <w:left w:val="single" w:color="auto" w:sz="4" w:space="0"/>
                    <w:bottom w:val="single" w:color="auto" w:sz="4" w:space="0"/>
                    <w:right w:val="single" w:color="auto" w:sz="4" w:space="0"/>
                  </w:tcBorders>
                  <w:vAlign w:val="center"/>
                </w:tcPr>
                <w:p w14:paraId="607D1F3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bCs/>
                      <w:color w:val="auto"/>
                      <w:sz w:val="22"/>
                      <w:szCs w:val="22"/>
                    </w:rPr>
                  </w:pPr>
                  <w:r>
                    <w:rPr>
                      <w:rFonts w:hint="default" w:ascii="Times New Roman" w:hAnsi="Times New Roman" w:cs="Times New Roman"/>
                      <w:bCs/>
                      <w:color w:val="auto"/>
                      <w:sz w:val="21"/>
                      <w:szCs w:val="21"/>
                      <w:highlight w:val="none"/>
                      <w:lang w:bidi="ar"/>
                    </w:rPr>
                    <w:t>★</w:t>
                  </w:r>
                </w:p>
              </w:tc>
              <w:tc>
                <w:tcPr>
                  <w:tcW w:w="716" w:type="pct"/>
                  <w:tcBorders>
                    <w:top w:val="single" w:color="auto" w:sz="4" w:space="0"/>
                    <w:left w:val="single" w:color="auto" w:sz="4" w:space="0"/>
                    <w:bottom w:val="single" w:color="auto" w:sz="4" w:space="0"/>
                    <w:right w:val="single" w:color="auto" w:sz="4" w:space="0"/>
                  </w:tcBorders>
                  <w:vAlign w:val="center"/>
                </w:tcPr>
                <w:p w14:paraId="2D4F02A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bCs/>
                      <w:color w:val="auto"/>
                      <w:sz w:val="22"/>
                      <w:szCs w:val="22"/>
                    </w:rPr>
                  </w:pPr>
                  <w:r>
                    <w:rPr>
                      <w:rFonts w:hint="default" w:ascii="Times New Roman" w:hAnsi="Times New Roman" w:cs="Times New Roman"/>
                      <w:bCs/>
                      <w:color w:val="auto"/>
                      <w:sz w:val="21"/>
                      <w:szCs w:val="21"/>
                      <w:highlight w:val="none"/>
                      <w:lang w:bidi="ar"/>
                    </w:rPr>
                    <w:t>无危（LC）</w:t>
                  </w:r>
                </w:p>
              </w:tc>
              <w:tc>
                <w:tcPr>
                  <w:tcW w:w="488" w:type="pct"/>
                  <w:tcBorders>
                    <w:top w:val="single" w:color="auto" w:sz="4" w:space="0"/>
                    <w:left w:val="single" w:color="auto" w:sz="4" w:space="0"/>
                    <w:bottom w:val="single" w:color="auto" w:sz="4" w:space="0"/>
                    <w:right w:val="single" w:color="auto" w:sz="4" w:space="0"/>
                  </w:tcBorders>
                  <w:vAlign w:val="center"/>
                </w:tcPr>
                <w:p w14:paraId="28E8629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bCs/>
                      <w:color w:val="auto"/>
                      <w:sz w:val="22"/>
                      <w:szCs w:val="22"/>
                    </w:rPr>
                  </w:pPr>
                  <w:r>
                    <w:rPr>
                      <w:rFonts w:hint="default" w:ascii="Times New Roman" w:hAnsi="Times New Roman" w:cs="Times New Roman"/>
                      <w:bCs/>
                      <w:color w:val="auto"/>
                      <w:sz w:val="21"/>
                      <w:szCs w:val="21"/>
                      <w:highlight w:val="none"/>
                      <w:lang w:val="en-US" w:eastAsia="zh-CN" w:bidi="ar"/>
                    </w:rPr>
                    <w:t>否</w:t>
                  </w:r>
                </w:p>
              </w:tc>
              <w:tc>
                <w:tcPr>
                  <w:tcW w:w="1103" w:type="pct"/>
                  <w:tcBorders>
                    <w:top w:val="single" w:color="auto" w:sz="4" w:space="0"/>
                    <w:left w:val="single" w:color="auto" w:sz="4" w:space="0"/>
                    <w:bottom w:val="single" w:color="auto" w:sz="4" w:space="0"/>
                    <w:right w:val="single" w:color="auto" w:sz="4" w:space="0"/>
                  </w:tcBorders>
                  <w:vAlign w:val="center"/>
                </w:tcPr>
                <w:p w14:paraId="48E58F5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bCs/>
                      <w:color w:val="auto"/>
                      <w:sz w:val="22"/>
                      <w:szCs w:val="22"/>
                    </w:rPr>
                  </w:pPr>
                  <w:r>
                    <w:rPr>
                      <w:rFonts w:hint="default" w:ascii="Times New Roman" w:hAnsi="Times New Roman" w:cs="Times New Roman"/>
                      <w:bCs/>
                      <w:color w:val="auto"/>
                      <w:sz w:val="21"/>
                      <w:szCs w:val="21"/>
                      <w:highlight w:val="none"/>
                      <w:lang w:bidi="ar"/>
                    </w:rPr>
                    <w:t>灌木林及采伐迹地、草丛、农田、居民点</w:t>
                  </w:r>
                </w:p>
              </w:tc>
              <w:tc>
                <w:tcPr>
                  <w:tcW w:w="666" w:type="pct"/>
                  <w:tcBorders>
                    <w:top w:val="single" w:color="auto" w:sz="4" w:space="0"/>
                    <w:left w:val="single" w:color="auto" w:sz="4" w:space="0"/>
                    <w:bottom w:val="single" w:color="auto" w:sz="4" w:space="0"/>
                    <w:right w:val="single" w:color="auto" w:sz="4" w:space="0"/>
                  </w:tcBorders>
                  <w:vAlign w:val="center"/>
                </w:tcPr>
                <w:p w14:paraId="79A1F191">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cs="Times New Roman"/>
                      <w:bCs/>
                      <w:color w:val="auto"/>
                      <w:sz w:val="22"/>
                      <w:szCs w:val="22"/>
                    </w:rPr>
                  </w:pPr>
                  <w:r>
                    <w:rPr>
                      <w:rFonts w:hint="default" w:ascii="Times New Roman" w:hAnsi="Times New Roman" w:cs="Times New Roman"/>
                      <w:color w:val="auto"/>
                      <w:sz w:val="21"/>
                      <w:szCs w:val="21"/>
                      <w:highlight w:val="none"/>
                      <w:lang w:bidi="ar"/>
                    </w:rPr>
                    <w:t>访问</w:t>
                  </w:r>
                  <w:r>
                    <w:rPr>
                      <w:rFonts w:hint="default" w:ascii="Times New Roman" w:hAnsi="Times New Roman" w:cs="Times New Roman"/>
                      <w:color w:val="auto"/>
                      <w:sz w:val="21"/>
                      <w:szCs w:val="21"/>
                      <w:highlight w:val="none"/>
                      <w:lang w:eastAsia="zh-CN" w:bidi="ar"/>
                    </w:rPr>
                    <w:t>、</w:t>
                  </w:r>
                  <w:r>
                    <w:rPr>
                      <w:rFonts w:hint="default" w:ascii="Times New Roman" w:hAnsi="Times New Roman" w:cs="Times New Roman"/>
                      <w:color w:val="auto"/>
                      <w:sz w:val="21"/>
                      <w:szCs w:val="21"/>
                      <w:highlight w:val="none"/>
                      <w:lang w:val="en-US" w:eastAsia="zh-CN" w:bidi="ar"/>
                    </w:rPr>
                    <w:t>文献</w:t>
                  </w:r>
                </w:p>
              </w:tc>
              <w:tc>
                <w:tcPr>
                  <w:tcW w:w="602" w:type="pct"/>
                  <w:tcBorders>
                    <w:top w:val="single" w:color="auto" w:sz="4" w:space="0"/>
                    <w:left w:val="single" w:color="auto" w:sz="4" w:space="0"/>
                    <w:bottom w:val="single" w:color="auto" w:sz="4" w:space="0"/>
                    <w:right w:val="single" w:color="auto" w:sz="4" w:space="0"/>
                  </w:tcBorders>
                  <w:vAlign w:val="center"/>
                </w:tcPr>
                <w:p w14:paraId="022042C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bCs/>
                      <w:color w:val="auto"/>
                      <w:sz w:val="22"/>
                      <w:szCs w:val="22"/>
                    </w:rPr>
                  </w:pPr>
                  <w:r>
                    <w:rPr>
                      <w:rFonts w:hint="default" w:ascii="Times New Roman" w:hAnsi="Times New Roman" w:cs="Times New Roman"/>
                      <w:color w:val="auto"/>
                      <w:sz w:val="21"/>
                      <w:szCs w:val="21"/>
                      <w:highlight w:val="none"/>
                      <w:lang w:bidi="ar"/>
                    </w:rPr>
                    <w:t>否，未发现营巢地</w:t>
                  </w:r>
                </w:p>
              </w:tc>
            </w:tr>
            <w:tr w14:paraId="53C90E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4" w:type="pct"/>
                  <w:tcBorders>
                    <w:top w:val="single" w:color="auto" w:sz="4" w:space="0"/>
                    <w:left w:val="single" w:color="auto" w:sz="4" w:space="0"/>
                    <w:bottom w:val="single" w:color="auto" w:sz="4" w:space="0"/>
                    <w:right w:val="single" w:color="auto" w:sz="4" w:space="0"/>
                  </w:tcBorders>
                  <w:vAlign w:val="center"/>
                </w:tcPr>
                <w:p w14:paraId="7B76D7C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bCs/>
                      <w:color w:val="auto"/>
                      <w:sz w:val="22"/>
                      <w:szCs w:val="22"/>
                    </w:rPr>
                  </w:pPr>
                  <w:r>
                    <w:rPr>
                      <w:rFonts w:hint="default" w:ascii="Times New Roman" w:hAnsi="Times New Roman" w:cs="Times New Roman"/>
                      <w:color w:val="auto"/>
                      <w:sz w:val="21"/>
                      <w:szCs w:val="21"/>
                      <w:highlight w:val="none"/>
                      <w:lang w:val="en-US" w:eastAsia="zh-CN"/>
                    </w:rPr>
                    <w:t>福建</w:t>
                  </w:r>
                  <w:r>
                    <w:rPr>
                      <w:rFonts w:hint="default" w:ascii="Times New Roman" w:hAnsi="Times New Roman" w:eastAsia="宋体" w:cs="Times New Roman"/>
                      <w:color w:val="auto"/>
                      <w:sz w:val="21"/>
                      <w:szCs w:val="21"/>
                      <w:highlight w:val="none"/>
                      <w:lang w:val="en-US" w:eastAsia="zh-CN"/>
                    </w:rPr>
                    <w:t>竹叶青蛇</w:t>
                  </w:r>
                </w:p>
              </w:tc>
              <w:tc>
                <w:tcPr>
                  <w:tcW w:w="576" w:type="pct"/>
                  <w:tcBorders>
                    <w:top w:val="single" w:color="auto" w:sz="4" w:space="0"/>
                    <w:left w:val="single" w:color="auto" w:sz="4" w:space="0"/>
                    <w:bottom w:val="single" w:color="auto" w:sz="4" w:space="0"/>
                    <w:right w:val="single" w:color="auto" w:sz="4" w:space="0"/>
                  </w:tcBorders>
                  <w:vAlign w:val="center"/>
                </w:tcPr>
                <w:p w14:paraId="2D5717A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bCs/>
                      <w:color w:val="auto"/>
                      <w:sz w:val="22"/>
                      <w:szCs w:val="22"/>
                    </w:rPr>
                  </w:pPr>
                  <w:r>
                    <w:rPr>
                      <w:rFonts w:hint="default" w:ascii="Times New Roman" w:hAnsi="Times New Roman" w:cs="Times New Roman"/>
                      <w:bCs/>
                      <w:color w:val="auto"/>
                      <w:sz w:val="21"/>
                      <w:szCs w:val="21"/>
                      <w:highlight w:val="none"/>
                      <w:lang w:bidi="ar"/>
                    </w:rPr>
                    <w:t>★</w:t>
                  </w:r>
                </w:p>
              </w:tc>
              <w:tc>
                <w:tcPr>
                  <w:tcW w:w="716" w:type="pct"/>
                  <w:tcBorders>
                    <w:top w:val="single" w:color="auto" w:sz="4" w:space="0"/>
                    <w:left w:val="single" w:color="auto" w:sz="4" w:space="0"/>
                    <w:bottom w:val="single" w:color="auto" w:sz="4" w:space="0"/>
                    <w:right w:val="single" w:color="auto" w:sz="4" w:space="0"/>
                  </w:tcBorders>
                  <w:vAlign w:val="center"/>
                </w:tcPr>
                <w:p w14:paraId="37B963E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bCs/>
                      <w:color w:val="auto"/>
                      <w:sz w:val="22"/>
                      <w:szCs w:val="22"/>
                    </w:rPr>
                  </w:pPr>
                  <w:r>
                    <w:rPr>
                      <w:rFonts w:hint="default" w:ascii="Times New Roman" w:hAnsi="Times New Roman" w:cs="Times New Roman"/>
                      <w:bCs/>
                      <w:color w:val="auto"/>
                      <w:sz w:val="21"/>
                      <w:szCs w:val="21"/>
                      <w:highlight w:val="none"/>
                      <w:lang w:bidi="ar"/>
                    </w:rPr>
                    <w:t>无危（LC）</w:t>
                  </w:r>
                </w:p>
              </w:tc>
              <w:tc>
                <w:tcPr>
                  <w:tcW w:w="488" w:type="pct"/>
                  <w:tcBorders>
                    <w:top w:val="single" w:color="auto" w:sz="4" w:space="0"/>
                    <w:left w:val="single" w:color="auto" w:sz="4" w:space="0"/>
                    <w:bottom w:val="single" w:color="auto" w:sz="4" w:space="0"/>
                    <w:right w:val="single" w:color="auto" w:sz="4" w:space="0"/>
                  </w:tcBorders>
                  <w:vAlign w:val="center"/>
                </w:tcPr>
                <w:p w14:paraId="4B95436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bCs/>
                      <w:color w:val="auto"/>
                      <w:sz w:val="22"/>
                      <w:szCs w:val="22"/>
                    </w:rPr>
                  </w:pPr>
                  <w:r>
                    <w:rPr>
                      <w:rFonts w:hint="default" w:ascii="Times New Roman" w:hAnsi="Times New Roman" w:cs="Times New Roman"/>
                      <w:bCs/>
                      <w:color w:val="auto"/>
                      <w:sz w:val="21"/>
                      <w:szCs w:val="21"/>
                      <w:highlight w:val="none"/>
                      <w:lang w:val="en-US" w:eastAsia="zh-CN" w:bidi="ar"/>
                    </w:rPr>
                    <w:t>否</w:t>
                  </w:r>
                </w:p>
              </w:tc>
              <w:tc>
                <w:tcPr>
                  <w:tcW w:w="1103" w:type="pct"/>
                  <w:tcBorders>
                    <w:top w:val="single" w:color="auto" w:sz="4" w:space="0"/>
                    <w:left w:val="single" w:color="auto" w:sz="4" w:space="0"/>
                    <w:bottom w:val="single" w:color="auto" w:sz="4" w:space="0"/>
                    <w:right w:val="single" w:color="auto" w:sz="4" w:space="0"/>
                  </w:tcBorders>
                  <w:vAlign w:val="center"/>
                </w:tcPr>
                <w:p w14:paraId="2FE5D72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bCs/>
                      <w:color w:val="auto"/>
                      <w:sz w:val="22"/>
                      <w:szCs w:val="22"/>
                    </w:rPr>
                  </w:pPr>
                  <w:r>
                    <w:rPr>
                      <w:rFonts w:hint="default" w:ascii="Times New Roman" w:hAnsi="Times New Roman" w:cs="Times New Roman"/>
                      <w:bCs/>
                      <w:color w:val="auto"/>
                      <w:sz w:val="21"/>
                      <w:szCs w:val="21"/>
                      <w:highlight w:val="none"/>
                      <w:lang w:bidi="ar"/>
                    </w:rPr>
                    <w:t>草丛、农田、居民点</w:t>
                  </w:r>
                </w:p>
              </w:tc>
              <w:tc>
                <w:tcPr>
                  <w:tcW w:w="666" w:type="pct"/>
                  <w:tcBorders>
                    <w:top w:val="single" w:color="auto" w:sz="4" w:space="0"/>
                    <w:left w:val="single" w:color="auto" w:sz="4" w:space="0"/>
                    <w:bottom w:val="single" w:color="auto" w:sz="4" w:space="0"/>
                    <w:right w:val="single" w:color="auto" w:sz="4" w:space="0"/>
                  </w:tcBorders>
                  <w:vAlign w:val="center"/>
                </w:tcPr>
                <w:p w14:paraId="6D5B53FC">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cs="Times New Roman"/>
                      <w:bCs/>
                      <w:color w:val="auto"/>
                      <w:sz w:val="22"/>
                      <w:szCs w:val="22"/>
                    </w:rPr>
                  </w:pPr>
                  <w:r>
                    <w:rPr>
                      <w:rFonts w:hint="default" w:ascii="Times New Roman" w:hAnsi="Times New Roman" w:cs="Times New Roman"/>
                      <w:color w:val="auto"/>
                      <w:sz w:val="21"/>
                      <w:szCs w:val="21"/>
                      <w:highlight w:val="none"/>
                      <w:lang w:bidi="ar"/>
                    </w:rPr>
                    <w:t>访问</w:t>
                  </w:r>
                  <w:r>
                    <w:rPr>
                      <w:rFonts w:hint="default" w:ascii="Times New Roman" w:hAnsi="Times New Roman" w:cs="Times New Roman"/>
                      <w:color w:val="auto"/>
                      <w:sz w:val="21"/>
                      <w:szCs w:val="21"/>
                      <w:highlight w:val="none"/>
                      <w:lang w:eastAsia="zh-CN" w:bidi="ar"/>
                    </w:rPr>
                    <w:t>、</w:t>
                  </w:r>
                  <w:r>
                    <w:rPr>
                      <w:rFonts w:hint="default" w:ascii="Times New Roman" w:hAnsi="Times New Roman" w:cs="Times New Roman"/>
                      <w:color w:val="auto"/>
                      <w:sz w:val="21"/>
                      <w:szCs w:val="21"/>
                      <w:highlight w:val="none"/>
                      <w:lang w:val="en-US" w:eastAsia="zh-CN" w:bidi="ar"/>
                    </w:rPr>
                    <w:t>文献</w:t>
                  </w:r>
                </w:p>
              </w:tc>
              <w:tc>
                <w:tcPr>
                  <w:tcW w:w="602" w:type="pct"/>
                  <w:tcBorders>
                    <w:top w:val="single" w:color="auto" w:sz="4" w:space="0"/>
                    <w:left w:val="single" w:color="auto" w:sz="4" w:space="0"/>
                    <w:bottom w:val="single" w:color="auto" w:sz="4" w:space="0"/>
                    <w:right w:val="single" w:color="auto" w:sz="4" w:space="0"/>
                  </w:tcBorders>
                  <w:vAlign w:val="center"/>
                </w:tcPr>
                <w:p w14:paraId="6C5B20C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bCs/>
                      <w:color w:val="auto"/>
                      <w:sz w:val="22"/>
                      <w:szCs w:val="22"/>
                    </w:rPr>
                  </w:pPr>
                  <w:r>
                    <w:rPr>
                      <w:rFonts w:hint="default" w:ascii="Times New Roman" w:hAnsi="Times New Roman" w:cs="Times New Roman"/>
                      <w:color w:val="auto"/>
                      <w:sz w:val="21"/>
                      <w:szCs w:val="21"/>
                      <w:highlight w:val="none"/>
                      <w:lang w:bidi="ar"/>
                    </w:rPr>
                    <w:t>否，未发现营巢地</w:t>
                  </w:r>
                </w:p>
              </w:tc>
            </w:tr>
            <w:tr w14:paraId="6B66E1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4" w:type="pct"/>
                  <w:tcBorders>
                    <w:top w:val="single" w:color="auto" w:sz="4" w:space="0"/>
                    <w:left w:val="single" w:color="auto" w:sz="4" w:space="0"/>
                    <w:bottom w:val="single" w:color="auto" w:sz="4" w:space="0"/>
                    <w:right w:val="single" w:color="auto" w:sz="4" w:space="0"/>
                  </w:tcBorders>
                  <w:vAlign w:val="center"/>
                </w:tcPr>
                <w:p w14:paraId="6C13522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bCs/>
                      <w:color w:val="auto"/>
                      <w:sz w:val="22"/>
                      <w:szCs w:val="22"/>
                    </w:rPr>
                  </w:pPr>
                  <w:r>
                    <w:rPr>
                      <w:rFonts w:hint="default" w:ascii="Times New Roman" w:hAnsi="Times New Roman" w:eastAsia="宋体" w:cs="Times New Roman"/>
                      <w:color w:val="auto"/>
                      <w:sz w:val="21"/>
                      <w:szCs w:val="21"/>
                      <w:highlight w:val="none"/>
                      <w:lang w:val="en-US" w:eastAsia="zh-CN"/>
                    </w:rPr>
                    <w:t>黄鼬</w:t>
                  </w:r>
                </w:p>
              </w:tc>
              <w:tc>
                <w:tcPr>
                  <w:tcW w:w="576" w:type="pct"/>
                  <w:tcBorders>
                    <w:top w:val="single" w:color="auto" w:sz="4" w:space="0"/>
                    <w:left w:val="single" w:color="auto" w:sz="4" w:space="0"/>
                    <w:bottom w:val="single" w:color="auto" w:sz="4" w:space="0"/>
                    <w:right w:val="single" w:color="auto" w:sz="4" w:space="0"/>
                  </w:tcBorders>
                  <w:vAlign w:val="center"/>
                </w:tcPr>
                <w:p w14:paraId="3D2FB24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bCs/>
                      <w:color w:val="auto"/>
                      <w:sz w:val="22"/>
                      <w:szCs w:val="22"/>
                    </w:rPr>
                  </w:pPr>
                  <w:r>
                    <w:rPr>
                      <w:rFonts w:hint="default" w:ascii="Times New Roman" w:hAnsi="Times New Roman" w:cs="Times New Roman"/>
                      <w:bCs/>
                      <w:color w:val="auto"/>
                      <w:sz w:val="21"/>
                      <w:szCs w:val="21"/>
                      <w:highlight w:val="none"/>
                      <w:lang w:bidi="ar"/>
                    </w:rPr>
                    <w:t>★</w:t>
                  </w:r>
                </w:p>
              </w:tc>
              <w:tc>
                <w:tcPr>
                  <w:tcW w:w="716" w:type="pct"/>
                  <w:tcBorders>
                    <w:top w:val="single" w:color="auto" w:sz="4" w:space="0"/>
                    <w:left w:val="single" w:color="auto" w:sz="4" w:space="0"/>
                    <w:bottom w:val="single" w:color="auto" w:sz="4" w:space="0"/>
                    <w:right w:val="single" w:color="auto" w:sz="4" w:space="0"/>
                  </w:tcBorders>
                  <w:vAlign w:val="center"/>
                </w:tcPr>
                <w:p w14:paraId="7402ABC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bCs/>
                      <w:color w:val="auto"/>
                      <w:sz w:val="22"/>
                      <w:szCs w:val="22"/>
                    </w:rPr>
                  </w:pPr>
                  <w:r>
                    <w:rPr>
                      <w:rFonts w:hint="default" w:ascii="Times New Roman" w:hAnsi="Times New Roman" w:cs="Times New Roman"/>
                      <w:bCs/>
                      <w:color w:val="auto"/>
                      <w:sz w:val="21"/>
                      <w:szCs w:val="21"/>
                      <w:highlight w:val="none"/>
                      <w:lang w:bidi="ar"/>
                    </w:rPr>
                    <w:t>无危（LC）</w:t>
                  </w:r>
                </w:p>
              </w:tc>
              <w:tc>
                <w:tcPr>
                  <w:tcW w:w="488" w:type="pct"/>
                  <w:tcBorders>
                    <w:top w:val="single" w:color="auto" w:sz="4" w:space="0"/>
                    <w:left w:val="single" w:color="auto" w:sz="4" w:space="0"/>
                    <w:bottom w:val="single" w:color="auto" w:sz="4" w:space="0"/>
                    <w:right w:val="single" w:color="auto" w:sz="4" w:space="0"/>
                  </w:tcBorders>
                  <w:vAlign w:val="center"/>
                </w:tcPr>
                <w:p w14:paraId="5195968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bCs/>
                      <w:color w:val="auto"/>
                      <w:sz w:val="22"/>
                      <w:szCs w:val="22"/>
                    </w:rPr>
                  </w:pPr>
                  <w:r>
                    <w:rPr>
                      <w:rFonts w:hint="default" w:ascii="Times New Roman" w:hAnsi="Times New Roman" w:cs="Times New Roman"/>
                      <w:bCs/>
                      <w:color w:val="auto"/>
                      <w:sz w:val="21"/>
                      <w:szCs w:val="21"/>
                      <w:highlight w:val="none"/>
                      <w:lang w:bidi="ar"/>
                    </w:rPr>
                    <w:t>否</w:t>
                  </w:r>
                </w:p>
              </w:tc>
              <w:tc>
                <w:tcPr>
                  <w:tcW w:w="1103" w:type="pct"/>
                  <w:tcBorders>
                    <w:top w:val="single" w:color="auto" w:sz="4" w:space="0"/>
                    <w:left w:val="single" w:color="auto" w:sz="4" w:space="0"/>
                    <w:bottom w:val="single" w:color="auto" w:sz="4" w:space="0"/>
                    <w:right w:val="single" w:color="auto" w:sz="4" w:space="0"/>
                  </w:tcBorders>
                  <w:vAlign w:val="center"/>
                </w:tcPr>
                <w:p w14:paraId="2509FDE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bCs/>
                      <w:color w:val="auto"/>
                      <w:sz w:val="22"/>
                      <w:szCs w:val="22"/>
                    </w:rPr>
                  </w:pPr>
                  <w:r>
                    <w:rPr>
                      <w:rFonts w:hint="default" w:ascii="Times New Roman" w:hAnsi="Times New Roman" w:cs="Times New Roman"/>
                      <w:bCs/>
                      <w:color w:val="auto"/>
                      <w:sz w:val="21"/>
                      <w:szCs w:val="21"/>
                      <w:highlight w:val="none"/>
                      <w:lang w:bidi="ar"/>
                    </w:rPr>
                    <w:t>乔木林、草丛、农田、</w:t>
                  </w:r>
                </w:p>
              </w:tc>
              <w:tc>
                <w:tcPr>
                  <w:tcW w:w="666" w:type="pct"/>
                  <w:tcBorders>
                    <w:top w:val="single" w:color="auto" w:sz="4" w:space="0"/>
                    <w:left w:val="single" w:color="auto" w:sz="4" w:space="0"/>
                    <w:bottom w:val="single" w:color="auto" w:sz="4" w:space="0"/>
                    <w:right w:val="single" w:color="auto" w:sz="4" w:space="0"/>
                  </w:tcBorders>
                  <w:vAlign w:val="center"/>
                </w:tcPr>
                <w:p w14:paraId="25EEFD74">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cs="Times New Roman"/>
                      <w:bCs/>
                      <w:color w:val="auto"/>
                      <w:sz w:val="22"/>
                      <w:szCs w:val="22"/>
                    </w:rPr>
                  </w:pPr>
                  <w:r>
                    <w:rPr>
                      <w:rFonts w:hint="default" w:ascii="Times New Roman" w:hAnsi="Times New Roman" w:cs="Times New Roman"/>
                      <w:color w:val="auto"/>
                      <w:sz w:val="21"/>
                      <w:szCs w:val="21"/>
                      <w:highlight w:val="none"/>
                      <w:lang w:bidi="ar"/>
                    </w:rPr>
                    <w:t>访问</w:t>
                  </w:r>
                  <w:r>
                    <w:rPr>
                      <w:rFonts w:hint="default" w:ascii="Times New Roman" w:hAnsi="Times New Roman" w:cs="Times New Roman"/>
                      <w:color w:val="auto"/>
                      <w:sz w:val="21"/>
                      <w:szCs w:val="21"/>
                      <w:highlight w:val="none"/>
                      <w:lang w:eastAsia="zh-CN" w:bidi="ar"/>
                    </w:rPr>
                    <w:t>、</w:t>
                  </w:r>
                  <w:r>
                    <w:rPr>
                      <w:rFonts w:hint="default" w:ascii="Times New Roman" w:hAnsi="Times New Roman" w:cs="Times New Roman"/>
                      <w:color w:val="auto"/>
                      <w:sz w:val="21"/>
                      <w:szCs w:val="21"/>
                      <w:highlight w:val="none"/>
                      <w:lang w:val="en-US" w:eastAsia="zh-CN" w:bidi="ar"/>
                    </w:rPr>
                    <w:t>文献</w:t>
                  </w:r>
                </w:p>
              </w:tc>
              <w:tc>
                <w:tcPr>
                  <w:tcW w:w="602" w:type="pct"/>
                  <w:tcBorders>
                    <w:top w:val="single" w:color="auto" w:sz="4" w:space="0"/>
                    <w:left w:val="single" w:color="auto" w:sz="4" w:space="0"/>
                    <w:bottom w:val="single" w:color="auto" w:sz="4" w:space="0"/>
                    <w:right w:val="single" w:color="auto" w:sz="4" w:space="0"/>
                  </w:tcBorders>
                  <w:vAlign w:val="center"/>
                </w:tcPr>
                <w:p w14:paraId="0F1F2E2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bCs/>
                      <w:color w:val="auto"/>
                      <w:sz w:val="22"/>
                      <w:szCs w:val="22"/>
                    </w:rPr>
                  </w:pPr>
                  <w:r>
                    <w:rPr>
                      <w:rFonts w:hint="default" w:ascii="Times New Roman" w:hAnsi="Times New Roman" w:cs="Times New Roman"/>
                      <w:color w:val="auto"/>
                      <w:sz w:val="21"/>
                      <w:szCs w:val="21"/>
                      <w:highlight w:val="none"/>
                      <w:lang w:bidi="ar"/>
                    </w:rPr>
                    <w:t>否，未发现营巢地</w:t>
                  </w:r>
                </w:p>
              </w:tc>
            </w:tr>
            <w:tr w14:paraId="217713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4" w:type="pct"/>
                  <w:tcBorders>
                    <w:top w:val="single" w:color="auto" w:sz="4" w:space="0"/>
                    <w:left w:val="single" w:color="auto" w:sz="4" w:space="0"/>
                    <w:bottom w:val="single" w:color="auto" w:sz="4" w:space="0"/>
                    <w:right w:val="single" w:color="auto" w:sz="4" w:space="0"/>
                  </w:tcBorders>
                  <w:vAlign w:val="center"/>
                </w:tcPr>
                <w:p w14:paraId="1C1D32D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Cs/>
                      <w:color w:val="auto"/>
                      <w:sz w:val="22"/>
                      <w:szCs w:val="22"/>
                    </w:rPr>
                  </w:pPr>
                  <w:r>
                    <w:rPr>
                      <w:rFonts w:hint="default" w:ascii="Times New Roman" w:hAnsi="Times New Roman" w:eastAsia="宋体" w:cs="Times New Roman"/>
                      <w:color w:val="auto"/>
                      <w:sz w:val="21"/>
                      <w:szCs w:val="21"/>
                      <w:highlight w:val="none"/>
                      <w:lang w:val="en-US" w:eastAsia="zh-CN"/>
                    </w:rPr>
                    <w:t>乌梢蛇</w:t>
                  </w:r>
                </w:p>
              </w:tc>
              <w:tc>
                <w:tcPr>
                  <w:tcW w:w="576" w:type="pct"/>
                  <w:tcBorders>
                    <w:top w:val="single" w:color="auto" w:sz="4" w:space="0"/>
                    <w:left w:val="single" w:color="auto" w:sz="4" w:space="0"/>
                    <w:bottom w:val="single" w:color="auto" w:sz="4" w:space="0"/>
                    <w:right w:val="single" w:color="auto" w:sz="4" w:space="0"/>
                  </w:tcBorders>
                  <w:vAlign w:val="center"/>
                </w:tcPr>
                <w:p w14:paraId="4D89977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Cs/>
                      <w:color w:val="auto"/>
                      <w:sz w:val="22"/>
                      <w:szCs w:val="22"/>
                    </w:rPr>
                  </w:pPr>
                  <w:r>
                    <w:rPr>
                      <w:rFonts w:hint="default" w:ascii="Times New Roman" w:hAnsi="Times New Roman" w:cs="Times New Roman"/>
                      <w:bCs/>
                      <w:color w:val="auto"/>
                      <w:sz w:val="21"/>
                      <w:szCs w:val="21"/>
                    </w:rPr>
                    <w:t>★</w:t>
                  </w:r>
                </w:p>
              </w:tc>
              <w:tc>
                <w:tcPr>
                  <w:tcW w:w="716" w:type="pct"/>
                  <w:tcBorders>
                    <w:top w:val="single" w:color="auto" w:sz="4" w:space="0"/>
                    <w:left w:val="single" w:color="auto" w:sz="4" w:space="0"/>
                    <w:bottom w:val="single" w:color="auto" w:sz="4" w:space="0"/>
                    <w:right w:val="single" w:color="auto" w:sz="4" w:space="0"/>
                  </w:tcBorders>
                  <w:vAlign w:val="center"/>
                </w:tcPr>
                <w:p w14:paraId="1902A0F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Cs/>
                      <w:color w:val="auto"/>
                      <w:sz w:val="22"/>
                      <w:szCs w:val="22"/>
                    </w:rPr>
                  </w:pPr>
                  <w:r>
                    <w:rPr>
                      <w:rFonts w:hint="default" w:ascii="Times New Roman" w:hAnsi="Times New Roman" w:cs="Times New Roman"/>
                      <w:color w:val="auto"/>
                      <w:sz w:val="21"/>
                      <w:szCs w:val="21"/>
                      <w:lang w:bidi="ar"/>
                    </w:rPr>
                    <w:t>易危</w:t>
                  </w:r>
                  <w:r>
                    <w:rPr>
                      <w:rFonts w:hint="default" w:ascii="Times New Roman" w:hAnsi="Times New Roman" w:cs="Times New Roman"/>
                      <w:bCs/>
                      <w:color w:val="auto"/>
                      <w:sz w:val="21"/>
                      <w:szCs w:val="21"/>
                    </w:rPr>
                    <w:t>（VU）</w:t>
                  </w:r>
                </w:p>
              </w:tc>
              <w:tc>
                <w:tcPr>
                  <w:tcW w:w="488" w:type="pct"/>
                  <w:tcBorders>
                    <w:top w:val="single" w:color="auto" w:sz="4" w:space="0"/>
                    <w:left w:val="single" w:color="auto" w:sz="4" w:space="0"/>
                    <w:bottom w:val="single" w:color="auto" w:sz="4" w:space="0"/>
                    <w:right w:val="single" w:color="auto" w:sz="4" w:space="0"/>
                  </w:tcBorders>
                  <w:vAlign w:val="center"/>
                </w:tcPr>
                <w:p w14:paraId="090510B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Cs/>
                      <w:color w:val="auto"/>
                      <w:sz w:val="22"/>
                      <w:szCs w:val="22"/>
                    </w:rPr>
                  </w:pPr>
                  <w:r>
                    <w:rPr>
                      <w:rFonts w:hint="default" w:ascii="Times New Roman" w:hAnsi="Times New Roman" w:cs="Times New Roman"/>
                      <w:bCs/>
                      <w:color w:val="auto"/>
                      <w:sz w:val="21"/>
                      <w:szCs w:val="21"/>
                    </w:rPr>
                    <w:t>否</w:t>
                  </w:r>
                </w:p>
              </w:tc>
              <w:tc>
                <w:tcPr>
                  <w:tcW w:w="1103" w:type="pct"/>
                  <w:tcBorders>
                    <w:top w:val="single" w:color="auto" w:sz="4" w:space="0"/>
                    <w:left w:val="single" w:color="auto" w:sz="4" w:space="0"/>
                    <w:bottom w:val="single" w:color="auto" w:sz="4" w:space="0"/>
                    <w:right w:val="single" w:color="auto" w:sz="4" w:space="0"/>
                  </w:tcBorders>
                  <w:vAlign w:val="center"/>
                </w:tcPr>
                <w:p w14:paraId="0FAE0F9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Cs/>
                      <w:color w:val="auto"/>
                      <w:sz w:val="22"/>
                      <w:szCs w:val="22"/>
                    </w:rPr>
                  </w:pPr>
                  <w:r>
                    <w:rPr>
                      <w:rFonts w:hint="default" w:ascii="Times New Roman" w:hAnsi="Times New Roman" w:cs="Times New Roman"/>
                      <w:bCs/>
                      <w:color w:val="auto"/>
                      <w:sz w:val="21"/>
                      <w:szCs w:val="21"/>
                    </w:rPr>
                    <w:t>广布于林灌生境</w:t>
                  </w:r>
                </w:p>
              </w:tc>
              <w:tc>
                <w:tcPr>
                  <w:tcW w:w="666" w:type="pct"/>
                  <w:tcBorders>
                    <w:top w:val="single" w:color="auto" w:sz="4" w:space="0"/>
                    <w:left w:val="single" w:color="auto" w:sz="4" w:space="0"/>
                    <w:bottom w:val="single" w:color="auto" w:sz="4" w:space="0"/>
                    <w:right w:val="single" w:color="auto" w:sz="4" w:space="0"/>
                  </w:tcBorders>
                  <w:vAlign w:val="center"/>
                </w:tcPr>
                <w:p w14:paraId="0CD3C30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Cs/>
                      <w:color w:val="auto"/>
                      <w:sz w:val="22"/>
                      <w:szCs w:val="22"/>
                    </w:rPr>
                  </w:pPr>
                  <w:r>
                    <w:rPr>
                      <w:rFonts w:hint="default" w:ascii="Times New Roman" w:hAnsi="Times New Roman" w:cs="Times New Roman"/>
                      <w:bCs/>
                      <w:color w:val="auto"/>
                      <w:sz w:val="21"/>
                      <w:szCs w:val="21"/>
                    </w:rPr>
                    <w:t>居民</w:t>
                  </w:r>
                  <w:r>
                    <w:rPr>
                      <w:rFonts w:hint="default" w:ascii="Times New Roman" w:hAnsi="Times New Roman" w:cs="Times New Roman"/>
                      <w:bCs/>
                      <w:color w:val="auto"/>
                      <w:sz w:val="21"/>
                      <w:szCs w:val="21"/>
                      <w:lang w:val="en-US" w:eastAsia="zh-CN"/>
                    </w:rPr>
                    <w:t>访问、文献</w:t>
                  </w:r>
                </w:p>
              </w:tc>
              <w:tc>
                <w:tcPr>
                  <w:tcW w:w="602" w:type="pct"/>
                  <w:tcBorders>
                    <w:top w:val="single" w:color="auto" w:sz="4" w:space="0"/>
                    <w:left w:val="single" w:color="auto" w:sz="4" w:space="0"/>
                    <w:bottom w:val="single" w:color="auto" w:sz="4" w:space="0"/>
                    <w:right w:val="single" w:color="auto" w:sz="4" w:space="0"/>
                  </w:tcBorders>
                  <w:vAlign w:val="center"/>
                </w:tcPr>
                <w:p w14:paraId="2F49C1D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Cs/>
                      <w:color w:val="auto"/>
                      <w:sz w:val="22"/>
                      <w:szCs w:val="22"/>
                    </w:rPr>
                  </w:pPr>
                  <w:r>
                    <w:rPr>
                      <w:rFonts w:hint="default" w:ascii="Times New Roman" w:hAnsi="Times New Roman" w:cs="Times New Roman"/>
                      <w:bCs/>
                      <w:color w:val="auto"/>
                      <w:sz w:val="21"/>
                      <w:szCs w:val="21"/>
                    </w:rPr>
                    <w:t>未发现营巢地</w:t>
                  </w:r>
                </w:p>
              </w:tc>
            </w:tr>
            <w:tr w14:paraId="5264DF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4" w:type="pct"/>
                  <w:tcBorders>
                    <w:top w:val="single" w:color="auto" w:sz="4" w:space="0"/>
                    <w:left w:val="single" w:color="auto" w:sz="4" w:space="0"/>
                    <w:bottom w:val="single" w:color="auto" w:sz="4" w:space="0"/>
                    <w:right w:val="single" w:color="auto" w:sz="4" w:space="0"/>
                  </w:tcBorders>
                  <w:vAlign w:val="center"/>
                </w:tcPr>
                <w:p w14:paraId="0769B4D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Cs/>
                      <w:color w:val="auto"/>
                      <w:sz w:val="22"/>
                      <w:szCs w:val="22"/>
                    </w:rPr>
                  </w:pPr>
                  <w:r>
                    <w:rPr>
                      <w:rFonts w:hint="default" w:ascii="Times New Roman" w:hAnsi="Times New Roman" w:eastAsia="宋体" w:cs="Times New Roman"/>
                      <w:color w:val="auto"/>
                      <w:sz w:val="21"/>
                      <w:szCs w:val="21"/>
                      <w:highlight w:val="none"/>
                      <w:lang w:val="en-US" w:eastAsia="zh-CN"/>
                    </w:rPr>
                    <w:t>王锦蛇</w:t>
                  </w:r>
                </w:p>
              </w:tc>
              <w:tc>
                <w:tcPr>
                  <w:tcW w:w="576" w:type="pct"/>
                  <w:tcBorders>
                    <w:top w:val="single" w:color="auto" w:sz="4" w:space="0"/>
                    <w:left w:val="single" w:color="auto" w:sz="4" w:space="0"/>
                    <w:bottom w:val="single" w:color="auto" w:sz="4" w:space="0"/>
                    <w:right w:val="single" w:color="auto" w:sz="4" w:space="0"/>
                  </w:tcBorders>
                  <w:vAlign w:val="center"/>
                </w:tcPr>
                <w:p w14:paraId="16070EC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Cs/>
                      <w:color w:val="auto"/>
                      <w:sz w:val="22"/>
                      <w:szCs w:val="22"/>
                    </w:rPr>
                  </w:pPr>
                  <w:r>
                    <w:rPr>
                      <w:rFonts w:hint="default" w:ascii="Times New Roman" w:hAnsi="Times New Roman" w:cs="Times New Roman"/>
                      <w:bCs/>
                      <w:color w:val="auto"/>
                      <w:sz w:val="21"/>
                      <w:szCs w:val="21"/>
                    </w:rPr>
                    <w:t>★</w:t>
                  </w:r>
                </w:p>
              </w:tc>
              <w:tc>
                <w:tcPr>
                  <w:tcW w:w="716" w:type="pct"/>
                  <w:tcBorders>
                    <w:top w:val="single" w:color="auto" w:sz="4" w:space="0"/>
                    <w:left w:val="single" w:color="auto" w:sz="4" w:space="0"/>
                    <w:bottom w:val="single" w:color="auto" w:sz="4" w:space="0"/>
                    <w:right w:val="single" w:color="auto" w:sz="4" w:space="0"/>
                  </w:tcBorders>
                  <w:vAlign w:val="center"/>
                </w:tcPr>
                <w:p w14:paraId="4165141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Cs/>
                      <w:color w:val="auto"/>
                      <w:sz w:val="22"/>
                      <w:szCs w:val="22"/>
                    </w:rPr>
                  </w:pPr>
                  <w:r>
                    <w:rPr>
                      <w:rFonts w:hint="default" w:ascii="Times New Roman" w:hAnsi="Times New Roman" w:cs="Times New Roman"/>
                      <w:color w:val="auto"/>
                      <w:sz w:val="21"/>
                      <w:szCs w:val="21"/>
                      <w:lang w:bidi="ar"/>
                    </w:rPr>
                    <w:t>易危</w:t>
                  </w:r>
                  <w:r>
                    <w:rPr>
                      <w:rFonts w:hint="default" w:ascii="Times New Roman" w:hAnsi="Times New Roman" w:cs="Times New Roman"/>
                      <w:bCs/>
                      <w:color w:val="auto"/>
                      <w:sz w:val="21"/>
                      <w:szCs w:val="21"/>
                    </w:rPr>
                    <w:t>（VU）</w:t>
                  </w:r>
                </w:p>
              </w:tc>
              <w:tc>
                <w:tcPr>
                  <w:tcW w:w="488" w:type="pct"/>
                  <w:tcBorders>
                    <w:top w:val="single" w:color="auto" w:sz="4" w:space="0"/>
                    <w:left w:val="single" w:color="auto" w:sz="4" w:space="0"/>
                    <w:bottom w:val="single" w:color="auto" w:sz="4" w:space="0"/>
                    <w:right w:val="single" w:color="auto" w:sz="4" w:space="0"/>
                  </w:tcBorders>
                  <w:vAlign w:val="center"/>
                </w:tcPr>
                <w:p w14:paraId="17657D5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Cs/>
                      <w:color w:val="auto"/>
                      <w:sz w:val="22"/>
                      <w:szCs w:val="22"/>
                    </w:rPr>
                  </w:pPr>
                  <w:r>
                    <w:rPr>
                      <w:rFonts w:hint="default" w:ascii="Times New Roman" w:hAnsi="Times New Roman" w:cs="Times New Roman"/>
                      <w:bCs/>
                      <w:color w:val="auto"/>
                      <w:sz w:val="21"/>
                      <w:szCs w:val="21"/>
                    </w:rPr>
                    <w:t>否</w:t>
                  </w:r>
                </w:p>
              </w:tc>
              <w:tc>
                <w:tcPr>
                  <w:tcW w:w="1103" w:type="pct"/>
                  <w:tcBorders>
                    <w:top w:val="single" w:color="auto" w:sz="4" w:space="0"/>
                    <w:left w:val="single" w:color="auto" w:sz="4" w:space="0"/>
                    <w:bottom w:val="single" w:color="auto" w:sz="4" w:space="0"/>
                    <w:right w:val="single" w:color="auto" w:sz="4" w:space="0"/>
                  </w:tcBorders>
                  <w:vAlign w:val="center"/>
                </w:tcPr>
                <w:p w14:paraId="54D2B4E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Cs/>
                      <w:color w:val="auto"/>
                      <w:sz w:val="22"/>
                      <w:szCs w:val="22"/>
                    </w:rPr>
                  </w:pPr>
                  <w:r>
                    <w:rPr>
                      <w:rFonts w:hint="default" w:ascii="Times New Roman" w:hAnsi="Times New Roman" w:cs="Times New Roman"/>
                      <w:bCs/>
                      <w:color w:val="auto"/>
                      <w:sz w:val="21"/>
                      <w:szCs w:val="21"/>
                    </w:rPr>
                    <w:t>广布于林灌生境</w:t>
                  </w:r>
                </w:p>
              </w:tc>
              <w:tc>
                <w:tcPr>
                  <w:tcW w:w="666" w:type="pct"/>
                  <w:tcBorders>
                    <w:top w:val="single" w:color="auto" w:sz="4" w:space="0"/>
                    <w:left w:val="single" w:color="auto" w:sz="4" w:space="0"/>
                    <w:bottom w:val="single" w:color="auto" w:sz="4" w:space="0"/>
                    <w:right w:val="single" w:color="auto" w:sz="4" w:space="0"/>
                  </w:tcBorders>
                  <w:vAlign w:val="center"/>
                </w:tcPr>
                <w:p w14:paraId="6DCF14F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Cs/>
                      <w:color w:val="auto"/>
                      <w:sz w:val="22"/>
                      <w:szCs w:val="22"/>
                    </w:rPr>
                  </w:pPr>
                  <w:r>
                    <w:rPr>
                      <w:rFonts w:hint="default" w:ascii="Times New Roman" w:hAnsi="Times New Roman" w:cs="Times New Roman"/>
                      <w:bCs/>
                      <w:color w:val="auto"/>
                      <w:sz w:val="21"/>
                      <w:szCs w:val="21"/>
                    </w:rPr>
                    <w:t>居民</w:t>
                  </w:r>
                  <w:r>
                    <w:rPr>
                      <w:rFonts w:hint="default" w:ascii="Times New Roman" w:hAnsi="Times New Roman" w:cs="Times New Roman"/>
                      <w:bCs/>
                      <w:color w:val="auto"/>
                      <w:sz w:val="21"/>
                      <w:szCs w:val="21"/>
                      <w:lang w:val="en-US" w:eastAsia="zh-CN"/>
                    </w:rPr>
                    <w:t>访问、文献</w:t>
                  </w:r>
                </w:p>
              </w:tc>
              <w:tc>
                <w:tcPr>
                  <w:tcW w:w="602" w:type="pct"/>
                  <w:tcBorders>
                    <w:top w:val="single" w:color="auto" w:sz="4" w:space="0"/>
                    <w:left w:val="single" w:color="auto" w:sz="4" w:space="0"/>
                    <w:bottom w:val="single" w:color="auto" w:sz="4" w:space="0"/>
                    <w:right w:val="single" w:color="auto" w:sz="4" w:space="0"/>
                  </w:tcBorders>
                  <w:vAlign w:val="center"/>
                </w:tcPr>
                <w:p w14:paraId="5C2205B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Cs/>
                      <w:color w:val="auto"/>
                      <w:sz w:val="22"/>
                      <w:szCs w:val="22"/>
                    </w:rPr>
                  </w:pPr>
                  <w:r>
                    <w:rPr>
                      <w:rFonts w:hint="default" w:ascii="Times New Roman" w:hAnsi="Times New Roman" w:cs="Times New Roman"/>
                      <w:bCs/>
                      <w:color w:val="auto"/>
                      <w:sz w:val="21"/>
                      <w:szCs w:val="21"/>
                    </w:rPr>
                    <w:t>未发现营巢地</w:t>
                  </w:r>
                </w:p>
              </w:tc>
            </w:tr>
            <w:tr w14:paraId="337CB7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4" w:type="pct"/>
                  <w:tcBorders>
                    <w:top w:val="single" w:color="auto" w:sz="4" w:space="0"/>
                    <w:left w:val="single" w:color="auto" w:sz="4" w:space="0"/>
                    <w:bottom w:val="single" w:color="auto" w:sz="4" w:space="0"/>
                    <w:right w:val="single" w:color="auto" w:sz="4" w:space="0"/>
                  </w:tcBorders>
                  <w:vAlign w:val="center"/>
                </w:tcPr>
                <w:p w14:paraId="21B40CF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2"/>
                      <w:szCs w:val="22"/>
                    </w:rPr>
                  </w:pPr>
                  <w:r>
                    <w:rPr>
                      <w:rFonts w:hint="default" w:ascii="Times New Roman" w:hAnsi="Times New Roman" w:eastAsia="宋体" w:cs="Times New Roman"/>
                      <w:color w:val="auto"/>
                      <w:sz w:val="21"/>
                      <w:szCs w:val="21"/>
                    </w:rPr>
                    <w:t>文县</w:t>
                  </w:r>
                  <w:r>
                    <w:rPr>
                      <w:rFonts w:hint="default" w:ascii="Times New Roman" w:hAnsi="Times New Roman" w:cs="Times New Roman"/>
                      <w:color w:val="auto"/>
                      <w:sz w:val="21"/>
                      <w:szCs w:val="21"/>
                    </w:rPr>
                    <w:t>瑶</w:t>
                  </w:r>
                  <w:r>
                    <w:rPr>
                      <w:rFonts w:hint="default" w:ascii="Times New Roman" w:hAnsi="Times New Roman" w:eastAsia="宋体" w:cs="Times New Roman"/>
                      <w:color w:val="auto"/>
                      <w:sz w:val="21"/>
                      <w:szCs w:val="21"/>
                    </w:rPr>
                    <w:t>螈</w:t>
                  </w:r>
                </w:p>
              </w:tc>
              <w:tc>
                <w:tcPr>
                  <w:tcW w:w="576" w:type="pct"/>
                  <w:tcBorders>
                    <w:top w:val="single" w:color="auto" w:sz="4" w:space="0"/>
                    <w:left w:val="single" w:color="auto" w:sz="4" w:space="0"/>
                    <w:bottom w:val="single" w:color="auto" w:sz="4" w:space="0"/>
                    <w:right w:val="single" w:color="auto" w:sz="4" w:space="0"/>
                  </w:tcBorders>
                  <w:vAlign w:val="center"/>
                </w:tcPr>
                <w:p w14:paraId="67F1599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Cs/>
                      <w:color w:val="auto"/>
                      <w:sz w:val="22"/>
                      <w:szCs w:val="22"/>
                    </w:rPr>
                  </w:pPr>
                  <w:r>
                    <w:rPr>
                      <w:rFonts w:hint="default" w:ascii="Times New Roman" w:hAnsi="Times New Roman" w:cs="Times New Roman"/>
                      <w:bCs/>
                      <w:color w:val="auto"/>
                      <w:sz w:val="21"/>
                      <w:szCs w:val="21"/>
                      <w:lang w:val="en-US" w:eastAsia="zh-CN"/>
                    </w:rPr>
                    <w:t>/</w:t>
                  </w:r>
                </w:p>
              </w:tc>
              <w:tc>
                <w:tcPr>
                  <w:tcW w:w="716" w:type="pct"/>
                  <w:tcBorders>
                    <w:top w:val="single" w:color="auto" w:sz="4" w:space="0"/>
                    <w:left w:val="single" w:color="auto" w:sz="4" w:space="0"/>
                    <w:bottom w:val="single" w:color="auto" w:sz="4" w:space="0"/>
                    <w:right w:val="single" w:color="auto" w:sz="4" w:space="0"/>
                  </w:tcBorders>
                  <w:vAlign w:val="center"/>
                </w:tcPr>
                <w:p w14:paraId="03B11B3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Cs/>
                      <w:color w:val="auto"/>
                      <w:sz w:val="22"/>
                      <w:szCs w:val="22"/>
                    </w:rPr>
                  </w:pPr>
                  <w:r>
                    <w:rPr>
                      <w:rFonts w:hint="default" w:ascii="Times New Roman" w:hAnsi="Times New Roman" w:cs="Times New Roman"/>
                      <w:color w:val="auto"/>
                      <w:sz w:val="21"/>
                      <w:szCs w:val="21"/>
                      <w:lang w:bidi="ar"/>
                    </w:rPr>
                    <w:t>易危</w:t>
                  </w:r>
                  <w:r>
                    <w:rPr>
                      <w:rFonts w:hint="default" w:ascii="Times New Roman" w:hAnsi="Times New Roman" w:cs="Times New Roman"/>
                      <w:bCs/>
                      <w:color w:val="auto"/>
                      <w:sz w:val="21"/>
                      <w:szCs w:val="21"/>
                    </w:rPr>
                    <w:t>（VU）</w:t>
                  </w:r>
                </w:p>
              </w:tc>
              <w:tc>
                <w:tcPr>
                  <w:tcW w:w="488" w:type="pct"/>
                  <w:tcBorders>
                    <w:top w:val="single" w:color="auto" w:sz="4" w:space="0"/>
                    <w:left w:val="single" w:color="auto" w:sz="4" w:space="0"/>
                    <w:bottom w:val="single" w:color="auto" w:sz="4" w:space="0"/>
                    <w:right w:val="single" w:color="auto" w:sz="4" w:space="0"/>
                  </w:tcBorders>
                  <w:vAlign w:val="center"/>
                </w:tcPr>
                <w:p w14:paraId="75D1BC0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Cs/>
                      <w:color w:val="auto"/>
                      <w:sz w:val="22"/>
                      <w:szCs w:val="22"/>
                    </w:rPr>
                  </w:pPr>
                  <w:r>
                    <w:rPr>
                      <w:rFonts w:hint="default" w:ascii="Times New Roman" w:hAnsi="Times New Roman" w:cs="Times New Roman"/>
                      <w:bCs/>
                      <w:color w:val="auto"/>
                      <w:sz w:val="21"/>
                      <w:szCs w:val="21"/>
                    </w:rPr>
                    <w:t>是</w:t>
                  </w:r>
                </w:p>
              </w:tc>
              <w:tc>
                <w:tcPr>
                  <w:tcW w:w="1103" w:type="pct"/>
                  <w:tcBorders>
                    <w:top w:val="single" w:color="auto" w:sz="4" w:space="0"/>
                    <w:left w:val="single" w:color="auto" w:sz="4" w:space="0"/>
                    <w:bottom w:val="single" w:color="auto" w:sz="4" w:space="0"/>
                    <w:right w:val="single" w:color="auto" w:sz="4" w:space="0"/>
                  </w:tcBorders>
                  <w:vAlign w:val="center"/>
                </w:tcPr>
                <w:p w14:paraId="5A87F3B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Cs/>
                      <w:color w:val="auto"/>
                      <w:sz w:val="22"/>
                      <w:szCs w:val="22"/>
                    </w:rPr>
                  </w:pPr>
                  <w:r>
                    <w:rPr>
                      <w:rFonts w:hint="default" w:ascii="Times New Roman" w:hAnsi="Times New Roman" w:cs="Times New Roman"/>
                      <w:bCs/>
                      <w:color w:val="auto"/>
                      <w:sz w:val="21"/>
                      <w:szCs w:val="21"/>
                    </w:rPr>
                    <w:t>广布于林灌生境</w:t>
                  </w:r>
                </w:p>
              </w:tc>
              <w:tc>
                <w:tcPr>
                  <w:tcW w:w="666" w:type="pct"/>
                  <w:tcBorders>
                    <w:top w:val="single" w:color="auto" w:sz="4" w:space="0"/>
                    <w:left w:val="single" w:color="auto" w:sz="4" w:space="0"/>
                    <w:bottom w:val="single" w:color="auto" w:sz="4" w:space="0"/>
                    <w:right w:val="single" w:color="auto" w:sz="4" w:space="0"/>
                  </w:tcBorders>
                  <w:vAlign w:val="center"/>
                </w:tcPr>
                <w:p w14:paraId="3FA846C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Cs/>
                      <w:color w:val="auto"/>
                      <w:sz w:val="22"/>
                      <w:szCs w:val="22"/>
                    </w:rPr>
                  </w:pPr>
                  <w:r>
                    <w:rPr>
                      <w:rFonts w:hint="default" w:ascii="Times New Roman" w:hAnsi="Times New Roman" w:cs="Times New Roman"/>
                      <w:bCs/>
                      <w:color w:val="auto"/>
                      <w:sz w:val="21"/>
                      <w:szCs w:val="21"/>
                    </w:rPr>
                    <w:t>居民</w:t>
                  </w:r>
                  <w:r>
                    <w:rPr>
                      <w:rFonts w:hint="default" w:ascii="Times New Roman" w:hAnsi="Times New Roman" w:cs="Times New Roman"/>
                      <w:bCs/>
                      <w:color w:val="auto"/>
                      <w:sz w:val="21"/>
                      <w:szCs w:val="21"/>
                      <w:lang w:val="en-US" w:eastAsia="zh-CN"/>
                    </w:rPr>
                    <w:t>访问、文献</w:t>
                  </w:r>
                </w:p>
              </w:tc>
              <w:tc>
                <w:tcPr>
                  <w:tcW w:w="602" w:type="pct"/>
                  <w:tcBorders>
                    <w:top w:val="single" w:color="auto" w:sz="4" w:space="0"/>
                    <w:left w:val="single" w:color="auto" w:sz="4" w:space="0"/>
                    <w:bottom w:val="single" w:color="auto" w:sz="4" w:space="0"/>
                    <w:right w:val="single" w:color="auto" w:sz="4" w:space="0"/>
                  </w:tcBorders>
                  <w:vAlign w:val="center"/>
                </w:tcPr>
                <w:p w14:paraId="3CABA8E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Cs/>
                      <w:color w:val="auto"/>
                      <w:sz w:val="22"/>
                      <w:szCs w:val="22"/>
                    </w:rPr>
                  </w:pPr>
                  <w:r>
                    <w:rPr>
                      <w:rFonts w:hint="default" w:ascii="Times New Roman" w:hAnsi="Times New Roman" w:cs="Times New Roman"/>
                      <w:bCs/>
                      <w:color w:val="auto"/>
                      <w:sz w:val="21"/>
                      <w:szCs w:val="21"/>
                    </w:rPr>
                    <w:t>未发现营巢地</w:t>
                  </w:r>
                </w:p>
              </w:tc>
            </w:tr>
            <w:tr w14:paraId="376629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4" w:type="pct"/>
                  <w:tcBorders>
                    <w:top w:val="single" w:color="auto" w:sz="4" w:space="0"/>
                    <w:left w:val="single" w:color="auto" w:sz="4" w:space="0"/>
                    <w:bottom w:val="single" w:color="auto" w:sz="4" w:space="0"/>
                    <w:right w:val="single" w:color="auto" w:sz="4" w:space="0"/>
                  </w:tcBorders>
                  <w:vAlign w:val="center"/>
                </w:tcPr>
                <w:p w14:paraId="15AD4EB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2"/>
                      <w:szCs w:val="22"/>
                    </w:rPr>
                  </w:pPr>
                  <w:r>
                    <w:rPr>
                      <w:rFonts w:hint="default" w:ascii="Times New Roman" w:hAnsi="Times New Roman" w:eastAsia="宋体" w:cs="Times New Roman"/>
                      <w:color w:val="auto"/>
                      <w:sz w:val="21"/>
                      <w:szCs w:val="21"/>
                    </w:rPr>
                    <w:t>丽纹龙蜥</w:t>
                  </w:r>
                </w:p>
              </w:tc>
              <w:tc>
                <w:tcPr>
                  <w:tcW w:w="576" w:type="pct"/>
                  <w:tcBorders>
                    <w:top w:val="single" w:color="auto" w:sz="4" w:space="0"/>
                    <w:left w:val="single" w:color="auto" w:sz="4" w:space="0"/>
                    <w:bottom w:val="single" w:color="auto" w:sz="4" w:space="0"/>
                    <w:right w:val="single" w:color="auto" w:sz="4" w:space="0"/>
                  </w:tcBorders>
                  <w:vAlign w:val="center"/>
                </w:tcPr>
                <w:p w14:paraId="30F6425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Cs/>
                      <w:color w:val="auto"/>
                      <w:sz w:val="22"/>
                      <w:szCs w:val="22"/>
                    </w:rPr>
                  </w:pPr>
                  <w:r>
                    <w:rPr>
                      <w:rFonts w:hint="default" w:ascii="Times New Roman" w:hAnsi="Times New Roman" w:eastAsia="宋体" w:cs="Times New Roman"/>
                      <w:color w:val="auto"/>
                      <w:sz w:val="21"/>
                      <w:szCs w:val="21"/>
                      <w:lang w:val="en-US" w:eastAsia="zh-CN"/>
                    </w:rPr>
                    <w:t>/</w:t>
                  </w:r>
                </w:p>
              </w:tc>
              <w:tc>
                <w:tcPr>
                  <w:tcW w:w="716" w:type="pct"/>
                  <w:tcBorders>
                    <w:top w:val="single" w:color="auto" w:sz="4" w:space="0"/>
                    <w:left w:val="single" w:color="auto" w:sz="4" w:space="0"/>
                    <w:bottom w:val="single" w:color="auto" w:sz="4" w:space="0"/>
                    <w:right w:val="single" w:color="auto" w:sz="4" w:space="0"/>
                  </w:tcBorders>
                  <w:vAlign w:val="center"/>
                </w:tcPr>
                <w:p w14:paraId="32D2BA5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Cs/>
                      <w:color w:val="auto"/>
                      <w:sz w:val="22"/>
                      <w:szCs w:val="22"/>
                    </w:rPr>
                  </w:pPr>
                  <w:r>
                    <w:rPr>
                      <w:rFonts w:hint="default" w:ascii="Times New Roman" w:hAnsi="Times New Roman" w:eastAsia="宋体" w:cs="Times New Roman"/>
                      <w:color w:val="auto"/>
                      <w:sz w:val="21"/>
                      <w:szCs w:val="21"/>
                    </w:rPr>
                    <w:t>无危（LC）</w:t>
                  </w:r>
                </w:p>
              </w:tc>
              <w:tc>
                <w:tcPr>
                  <w:tcW w:w="488" w:type="pct"/>
                  <w:tcBorders>
                    <w:top w:val="single" w:color="auto" w:sz="4" w:space="0"/>
                    <w:left w:val="single" w:color="auto" w:sz="4" w:space="0"/>
                    <w:bottom w:val="single" w:color="auto" w:sz="4" w:space="0"/>
                    <w:right w:val="single" w:color="auto" w:sz="4" w:space="0"/>
                  </w:tcBorders>
                  <w:vAlign w:val="center"/>
                </w:tcPr>
                <w:p w14:paraId="56685F8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Cs/>
                      <w:color w:val="auto"/>
                      <w:sz w:val="22"/>
                      <w:szCs w:val="22"/>
                    </w:rPr>
                  </w:pPr>
                  <w:r>
                    <w:rPr>
                      <w:rFonts w:hint="default" w:ascii="Times New Roman" w:hAnsi="Times New Roman" w:eastAsia="宋体" w:cs="Times New Roman"/>
                      <w:color w:val="auto"/>
                      <w:sz w:val="21"/>
                      <w:szCs w:val="21"/>
                    </w:rPr>
                    <w:t>是</w:t>
                  </w:r>
                </w:p>
              </w:tc>
              <w:tc>
                <w:tcPr>
                  <w:tcW w:w="1103" w:type="pct"/>
                  <w:tcBorders>
                    <w:top w:val="single" w:color="auto" w:sz="4" w:space="0"/>
                    <w:left w:val="single" w:color="auto" w:sz="4" w:space="0"/>
                    <w:bottom w:val="single" w:color="auto" w:sz="4" w:space="0"/>
                    <w:right w:val="single" w:color="auto" w:sz="4" w:space="0"/>
                  </w:tcBorders>
                  <w:vAlign w:val="center"/>
                </w:tcPr>
                <w:p w14:paraId="73D23B7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Cs/>
                      <w:color w:val="auto"/>
                      <w:sz w:val="22"/>
                      <w:szCs w:val="22"/>
                    </w:rPr>
                  </w:pPr>
                  <w:r>
                    <w:rPr>
                      <w:rFonts w:hint="default" w:ascii="Times New Roman" w:hAnsi="Times New Roman" w:eastAsia="宋体" w:cs="Times New Roman"/>
                      <w:color w:val="auto"/>
                      <w:sz w:val="21"/>
                      <w:szCs w:val="21"/>
                    </w:rPr>
                    <w:t>广布于林灌生境</w:t>
                  </w:r>
                </w:p>
              </w:tc>
              <w:tc>
                <w:tcPr>
                  <w:tcW w:w="666" w:type="pct"/>
                  <w:tcBorders>
                    <w:top w:val="single" w:color="auto" w:sz="4" w:space="0"/>
                    <w:left w:val="single" w:color="auto" w:sz="4" w:space="0"/>
                    <w:bottom w:val="single" w:color="auto" w:sz="4" w:space="0"/>
                    <w:right w:val="single" w:color="auto" w:sz="4" w:space="0"/>
                  </w:tcBorders>
                  <w:vAlign w:val="center"/>
                </w:tcPr>
                <w:p w14:paraId="1AC4B43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Cs/>
                      <w:color w:val="auto"/>
                      <w:sz w:val="22"/>
                      <w:szCs w:val="22"/>
                    </w:rPr>
                  </w:pPr>
                  <w:r>
                    <w:rPr>
                      <w:rFonts w:hint="default" w:ascii="Times New Roman" w:hAnsi="Times New Roman" w:cs="Times New Roman"/>
                      <w:color w:val="auto"/>
                      <w:sz w:val="21"/>
                      <w:szCs w:val="21"/>
                      <w:lang w:bidi="ar"/>
                    </w:rPr>
                    <w:t>居民</w:t>
                  </w:r>
                  <w:r>
                    <w:rPr>
                      <w:rFonts w:hint="default" w:ascii="Times New Roman" w:hAnsi="Times New Roman" w:cs="Times New Roman"/>
                      <w:color w:val="auto"/>
                      <w:sz w:val="21"/>
                      <w:szCs w:val="21"/>
                      <w:lang w:val="en-US" w:eastAsia="zh-CN" w:bidi="ar"/>
                    </w:rPr>
                    <w:t>访问、文献</w:t>
                  </w:r>
                </w:p>
              </w:tc>
              <w:tc>
                <w:tcPr>
                  <w:tcW w:w="602" w:type="pct"/>
                  <w:tcBorders>
                    <w:top w:val="single" w:color="auto" w:sz="4" w:space="0"/>
                    <w:left w:val="single" w:color="auto" w:sz="4" w:space="0"/>
                    <w:bottom w:val="single" w:color="auto" w:sz="4" w:space="0"/>
                    <w:right w:val="single" w:color="auto" w:sz="4" w:space="0"/>
                  </w:tcBorders>
                  <w:vAlign w:val="center"/>
                </w:tcPr>
                <w:p w14:paraId="4EEED51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Cs/>
                      <w:color w:val="auto"/>
                      <w:sz w:val="22"/>
                      <w:szCs w:val="22"/>
                    </w:rPr>
                  </w:pPr>
                  <w:r>
                    <w:rPr>
                      <w:rFonts w:hint="default" w:ascii="Times New Roman" w:hAnsi="Times New Roman" w:cs="Times New Roman"/>
                      <w:color w:val="auto"/>
                      <w:sz w:val="21"/>
                      <w:szCs w:val="21"/>
                      <w:lang w:bidi="ar"/>
                    </w:rPr>
                    <w:t>未发现营巢地</w:t>
                  </w:r>
                </w:p>
              </w:tc>
            </w:tr>
            <w:tr w14:paraId="198DCE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7"/>
                  <w:tcBorders>
                    <w:top w:val="single" w:color="auto" w:sz="4" w:space="0"/>
                    <w:left w:val="single" w:color="auto" w:sz="4" w:space="0"/>
                    <w:bottom w:val="single" w:color="auto" w:sz="4" w:space="0"/>
                    <w:right w:val="single" w:color="auto" w:sz="4" w:space="0"/>
                  </w:tcBorders>
                  <w:vAlign w:val="center"/>
                </w:tcPr>
                <w:p w14:paraId="1CCF9A99">
                  <w:pPr>
                    <w:keepNext w:val="0"/>
                    <w:keepLines w:val="0"/>
                    <w:pageBreakBefore w:val="0"/>
                    <w:widowControl/>
                    <w:kinsoku/>
                    <w:wordWrap/>
                    <w:overflowPunct/>
                    <w:topLinePunct w:val="0"/>
                    <w:autoSpaceDE/>
                    <w:autoSpaceDN/>
                    <w:bidi w:val="0"/>
                    <w:snapToGrid w:val="0"/>
                    <w:textAlignment w:val="center"/>
                    <w:rPr>
                      <w:rFonts w:hint="default" w:ascii="Times New Roman" w:hAnsi="Times New Roman" w:cs="Times New Roman"/>
                      <w:color w:val="auto"/>
                      <w:sz w:val="22"/>
                      <w:szCs w:val="22"/>
                      <w:highlight w:val="yellow"/>
                      <w:lang w:bidi="ar"/>
                    </w:rPr>
                  </w:pPr>
                  <w:r>
                    <w:rPr>
                      <w:rFonts w:hint="default" w:ascii="Times New Roman" w:hAnsi="Times New Roman" w:cs="Times New Roman"/>
                      <w:color w:val="auto"/>
                      <w:sz w:val="22"/>
                      <w:szCs w:val="22"/>
                    </w:rPr>
                    <w:t>注：</w:t>
                  </w:r>
                  <w:r>
                    <w:rPr>
                      <w:rFonts w:hint="default" w:ascii="Times New Roman" w:hAnsi="Times New Roman" w:cs="Times New Roman"/>
                      <w:bCs/>
                      <w:color w:val="auto"/>
                      <w:sz w:val="22"/>
                      <w:szCs w:val="22"/>
                    </w:rPr>
                    <w:t>★－重庆市重点保护野生动物，</w:t>
                  </w:r>
                  <w:r>
                    <w:rPr>
                      <w:rFonts w:hint="default" w:ascii="Times New Roman" w:hAnsi="Times New Roman" w:eastAsia="宋体" w:cs="Times New Roman"/>
                      <w:color w:val="auto"/>
                      <w:sz w:val="22"/>
                      <w:szCs w:val="22"/>
                      <w:lang w:val="en-US" w:eastAsia="zh-CN" w:bidi="ar"/>
                    </w:rPr>
                    <w:t>三有动物</w:t>
                  </w:r>
                  <w:r>
                    <w:rPr>
                      <w:rFonts w:hint="default" w:ascii="Times New Roman" w:hAnsi="Times New Roman" w:cs="Times New Roman"/>
                      <w:color w:val="auto"/>
                      <w:sz w:val="22"/>
                      <w:szCs w:val="22"/>
                      <w:lang w:val="en-US" w:eastAsia="zh-CN" w:bidi="ar"/>
                    </w:rPr>
                    <w:t>包括</w:t>
                  </w:r>
                  <w:r>
                    <w:rPr>
                      <w:rFonts w:hint="default" w:ascii="Times New Roman" w:hAnsi="Times New Roman" w:eastAsia="宋体" w:cs="Times New Roman"/>
                      <w:color w:val="auto"/>
                      <w:sz w:val="22"/>
                      <w:szCs w:val="22"/>
                      <w:highlight w:val="none"/>
                      <w:lang w:val="en-US" w:eastAsia="zh-CN"/>
                    </w:rPr>
                    <w:t>灰胸竹鸡、四声杜鹃、</w:t>
                  </w:r>
                  <w:r>
                    <w:rPr>
                      <w:rFonts w:hint="default" w:ascii="Times New Roman" w:hAnsi="Times New Roman" w:cs="Times New Roman"/>
                      <w:color w:val="auto"/>
                      <w:sz w:val="22"/>
                      <w:szCs w:val="22"/>
                      <w:highlight w:val="none"/>
                      <w:lang w:val="en-US" w:eastAsia="zh-CN"/>
                    </w:rPr>
                    <w:t>福建</w:t>
                  </w:r>
                  <w:r>
                    <w:rPr>
                      <w:rFonts w:hint="default" w:ascii="Times New Roman" w:hAnsi="Times New Roman" w:eastAsia="宋体" w:cs="Times New Roman"/>
                      <w:color w:val="auto"/>
                      <w:sz w:val="22"/>
                      <w:szCs w:val="22"/>
                      <w:highlight w:val="none"/>
                      <w:lang w:val="en-US" w:eastAsia="zh-CN"/>
                    </w:rPr>
                    <w:t>竹叶青蛇、黄鼬</w:t>
                  </w:r>
                  <w:r>
                    <w:rPr>
                      <w:rFonts w:hint="default" w:ascii="Times New Roman" w:hAnsi="Times New Roman" w:cs="Times New Roman"/>
                      <w:color w:val="auto"/>
                      <w:sz w:val="22"/>
                      <w:szCs w:val="22"/>
                      <w:lang w:val="en-US" w:eastAsia="zh-CN"/>
                    </w:rPr>
                    <w:t>等44种</w:t>
                  </w:r>
                  <w:r>
                    <w:rPr>
                      <w:rFonts w:hint="default" w:ascii="Times New Roman" w:hAnsi="Times New Roman" w:cs="Times New Roman"/>
                      <w:bCs/>
                      <w:color w:val="auto"/>
                      <w:sz w:val="22"/>
                      <w:szCs w:val="22"/>
                    </w:rPr>
                    <w:t>。</w:t>
                  </w:r>
                </w:p>
              </w:tc>
            </w:tr>
          </w:tbl>
          <w:p w14:paraId="0E9A880F">
            <w:pPr>
              <w:snapToGrid w:val="0"/>
              <w:ind w:firstLine="520" w:firstLineChars="200"/>
              <w:rPr>
                <w:color w:val="auto"/>
                <w:sz w:val="26"/>
                <w:szCs w:val="26"/>
              </w:rPr>
            </w:pPr>
          </w:p>
          <w:p w14:paraId="5CD0FD08">
            <w:pPr>
              <w:spacing w:line="460" w:lineRule="exact"/>
              <w:rPr>
                <w:b/>
                <w:bCs/>
                <w:color w:val="auto"/>
                <w:sz w:val="26"/>
                <w:szCs w:val="26"/>
              </w:rPr>
            </w:pPr>
            <w:r>
              <w:rPr>
                <w:b/>
                <w:bCs/>
                <w:color w:val="auto"/>
                <w:sz w:val="26"/>
                <w:szCs w:val="26"/>
              </w:rPr>
              <w:t>3</w:t>
            </w:r>
            <w:r>
              <w:rPr>
                <w:rFonts w:hint="eastAsia"/>
                <w:b/>
                <w:bCs/>
                <w:color w:val="auto"/>
                <w:sz w:val="26"/>
                <w:szCs w:val="26"/>
              </w:rPr>
              <w:t>.2声环境质量现状</w:t>
            </w:r>
          </w:p>
          <w:p w14:paraId="11141E62">
            <w:pPr>
              <w:spacing w:line="460" w:lineRule="exact"/>
              <w:ind w:firstLine="520" w:firstLineChars="200"/>
              <w:rPr>
                <w:color w:val="auto"/>
                <w:sz w:val="26"/>
                <w:szCs w:val="26"/>
                <w:highlight w:val="yellow"/>
              </w:rPr>
            </w:pPr>
            <w:r>
              <w:rPr>
                <w:rFonts w:hint="eastAsia"/>
                <w:color w:val="auto"/>
                <w:sz w:val="26"/>
                <w:szCs w:val="26"/>
              </w:rPr>
              <w:t>为了解项目区域声环境现状，我公司委托重庆渝辐科技有限公司于</w:t>
            </w:r>
            <w:r>
              <w:rPr>
                <w:color w:val="auto"/>
                <w:sz w:val="26"/>
                <w:szCs w:val="26"/>
              </w:rPr>
              <w:t>202</w:t>
            </w:r>
            <w:r>
              <w:rPr>
                <w:rFonts w:hint="eastAsia"/>
                <w:color w:val="auto"/>
                <w:sz w:val="26"/>
                <w:szCs w:val="26"/>
              </w:rPr>
              <w:t>4年6月17日~6月18日对项目所在地声环境进行了现状监测。监测报告见附件</w:t>
            </w:r>
            <w:r>
              <w:rPr>
                <w:color w:val="auto"/>
                <w:sz w:val="26"/>
                <w:szCs w:val="26"/>
              </w:rPr>
              <w:t>。</w:t>
            </w:r>
          </w:p>
          <w:p w14:paraId="60C23E6C">
            <w:pPr>
              <w:spacing w:line="460" w:lineRule="exact"/>
              <w:ind w:firstLine="522" w:firstLineChars="200"/>
              <w:rPr>
                <w:b/>
                <w:bCs/>
                <w:color w:val="auto"/>
                <w:sz w:val="26"/>
                <w:szCs w:val="26"/>
              </w:rPr>
            </w:pPr>
            <w:r>
              <w:rPr>
                <w:b/>
                <w:bCs/>
                <w:color w:val="auto"/>
                <w:sz w:val="26"/>
                <w:szCs w:val="26"/>
              </w:rPr>
              <w:t>3.</w:t>
            </w:r>
            <w:r>
              <w:rPr>
                <w:rFonts w:hint="eastAsia"/>
                <w:b/>
                <w:bCs/>
                <w:color w:val="auto"/>
                <w:sz w:val="26"/>
                <w:szCs w:val="26"/>
              </w:rPr>
              <w:t>2</w:t>
            </w:r>
            <w:r>
              <w:rPr>
                <w:b/>
                <w:bCs/>
                <w:color w:val="auto"/>
                <w:sz w:val="26"/>
                <w:szCs w:val="26"/>
              </w:rPr>
              <w:t>.1监测布点及合理性分析</w:t>
            </w:r>
          </w:p>
          <w:p w14:paraId="3DD5E1B5">
            <w:pPr>
              <w:spacing w:line="460" w:lineRule="exact"/>
              <w:ind w:firstLine="520" w:firstLineChars="200"/>
              <w:rPr>
                <w:color w:val="auto"/>
                <w:sz w:val="26"/>
                <w:szCs w:val="26"/>
              </w:rPr>
            </w:pPr>
            <w:bookmarkStart w:id="9" w:name="_Hlk73458119"/>
            <w:r>
              <w:rPr>
                <w:color w:val="auto"/>
                <w:sz w:val="26"/>
                <w:szCs w:val="26"/>
              </w:rPr>
              <w:t>本项目</w:t>
            </w:r>
            <w:r>
              <w:rPr>
                <w:rFonts w:hint="eastAsia"/>
                <w:color w:val="auto"/>
                <w:sz w:val="26"/>
                <w:szCs w:val="26"/>
              </w:rPr>
              <w:t>线路</w:t>
            </w:r>
            <w:r>
              <w:rPr>
                <w:color w:val="auto"/>
                <w:sz w:val="26"/>
                <w:szCs w:val="26"/>
              </w:rPr>
              <w:t>路径较短，结合现场调查，</w:t>
            </w:r>
            <w:r>
              <w:rPr>
                <w:rFonts w:hint="eastAsia"/>
                <w:color w:val="auto"/>
                <w:sz w:val="26"/>
                <w:szCs w:val="26"/>
              </w:rPr>
              <w:t>110kV间隔扩建一侧评价范围内存在声</w:t>
            </w:r>
            <w:r>
              <w:rPr>
                <w:color w:val="auto"/>
                <w:sz w:val="26"/>
                <w:szCs w:val="26"/>
              </w:rPr>
              <w:t>环境敏感点</w:t>
            </w:r>
            <w:r>
              <w:rPr>
                <w:rFonts w:hint="eastAsia"/>
                <w:color w:val="auto"/>
                <w:sz w:val="26"/>
                <w:szCs w:val="26"/>
              </w:rPr>
              <w:t>3</w:t>
            </w:r>
            <w:r>
              <w:rPr>
                <w:color w:val="auto"/>
                <w:sz w:val="26"/>
                <w:szCs w:val="26"/>
              </w:rPr>
              <w:t>处</w:t>
            </w:r>
            <w:r>
              <w:rPr>
                <w:rFonts w:hint="eastAsia"/>
                <w:color w:val="auto"/>
                <w:sz w:val="26"/>
                <w:szCs w:val="26"/>
              </w:rPr>
              <w:t>，对间隔扩建一侧厂界，各敏感点均进行了实测，并对有代表性的声环境保护目标的代表性楼层设置了垂直监测断面；架空线路评价范围内仅有1</w:t>
            </w:r>
            <w:r>
              <w:rPr>
                <w:color w:val="auto"/>
                <w:sz w:val="26"/>
                <w:szCs w:val="26"/>
              </w:rPr>
              <w:t>处</w:t>
            </w:r>
            <w:r>
              <w:rPr>
                <w:rFonts w:hint="eastAsia"/>
                <w:color w:val="auto"/>
                <w:sz w:val="26"/>
                <w:szCs w:val="26"/>
              </w:rPr>
              <w:t>声</w:t>
            </w:r>
            <w:r>
              <w:rPr>
                <w:color w:val="auto"/>
                <w:sz w:val="26"/>
                <w:szCs w:val="26"/>
              </w:rPr>
              <w:t>环境敏感点</w:t>
            </w:r>
            <w:r>
              <w:rPr>
                <w:rFonts w:hint="eastAsia"/>
                <w:color w:val="auto"/>
                <w:sz w:val="26"/>
                <w:szCs w:val="26"/>
              </w:rPr>
              <w:t>，对该敏感点进行了实测；符合《环境影响评价技术导则 声环境》（HJ2.4-2021）中相关要求。</w:t>
            </w:r>
          </w:p>
          <w:bookmarkEnd w:id="9"/>
          <w:p w14:paraId="780D53DF">
            <w:pPr>
              <w:spacing w:line="460" w:lineRule="exact"/>
              <w:ind w:firstLine="520" w:firstLineChars="200"/>
              <w:rPr>
                <w:color w:val="auto"/>
                <w:sz w:val="26"/>
                <w:szCs w:val="26"/>
              </w:rPr>
            </w:pPr>
            <w:r>
              <w:rPr>
                <w:rFonts w:hint="eastAsia"/>
                <w:color w:val="auto"/>
                <w:sz w:val="26"/>
                <w:szCs w:val="26"/>
              </w:rPr>
              <w:t>具体</w:t>
            </w:r>
            <w:r>
              <w:rPr>
                <w:color w:val="auto"/>
                <w:sz w:val="26"/>
                <w:szCs w:val="26"/>
              </w:rPr>
              <w:t>监测点位</w:t>
            </w:r>
            <w:r>
              <w:rPr>
                <w:rFonts w:hint="eastAsia"/>
                <w:color w:val="auto"/>
                <w:sz w:val="26"/>
                <w:szCs w:val="26"/>
              </w:rPr>
              <w:t>及代表性</w:t>
            </w:r>
            <w:r>
              <w:rPr>
                <w:color w:val="auto"/>
                <w:sz w:val="26"/>
                <w:szCs w:val="26"/>
              </w:rPr>
              <w:t>见表</w:t>
            </w:r>
            <w:r>
              <w:rPr>
                <w:rFonts w:hint="eastAsia"/>
                <w:color w:val="auto"/>
                <w:sz w:val="26"/>
                <w:szCs w:val="26"/>
              </w:rPr>
              <w:t>3-3</w:t>
            </w:r>
            <w:r>
              <w:rPr>
                <w:color w:val="auto"/>
                <w:sz w:val="26"/>
                <w:szCs w:val="26"/>
              </w:rPr>
              <w:t>。</w:t>
            </w:r>
          </w:p>
          <w:p w14:paraId="1FC5371D">
            <w:pPr>
              <w:jc w:val="center"/>
              <w:rPr>
                <w:color w:val="auto"/>
                <w:sz w:val="26"/>
                <w:szCs w:val="26"/>
              </w:rPr>
            </w:pPr>
          </w:p>
          <w:p w14:paraId="4A5FD3A0">
            <w:pPr>
              <w:jc w:val="center"/>
              <w:rPr>
                <w:color w:val="auto"/>
                <w:sz w:val="26"/>
                <w:szCs w:val="26"/>
              </w:rPr>
            </w:pPr>
            <w:r>
              <w:rPr>
                <w:color w:val="auto"/>
                <w:sz w:val="26"/>
                <w:szCs w:val="26"/>
              </w:rPr>
              <w:t>表</w:t>
            </w:r>
            <w:r>
              <w:rPr>
                <w:rFonts w:hint="eastAsia"/>
                <w:color w:val="auto"/>
                <w:sz w:val="26"/>
                <w:szCs w:val="26"/>
              </w:rPr>
              <w:t>3-3</w:t>
            </w:r>
            <w:r>
              <w:rPr>
                <w:color w:val="auto"/>
                <w:sz w:val="26"/>
                <w:szCs w:val="26"/>
              </w:rPr>
              <w:t xml:space="preserve">  </w:t>
            </w:r>
            <w:r>
              <w:rPr>
                <w:rFonts w:hint="eastAsia"/>
                <w:color w:val="auto"/>
                <w:sz w:val="26"/>
                <w:szCs w:val="26"/>
              </w:rPr>
              <w:t>本次现状</w:t>
            </w:r>
            <w:r>
              <w:rPr>
                <w:color w:val="auto"/>
                <w:sz w:val="26"/>
                <w:szCs w:val="26"/>
              </w:rPr>
              <w:t>监测点位一览表</w:t>
            </w:r>
          </w:p>
          <w:tbl>
            <w:tblPr>
              <w:tblStyle w:val="25"/>
              <w:tblW w:w="8037" w:type="dxa"/>
              <w:jc w:val="center"/>
              <w:tblBorders>
                <w:top w:val="single" w:color="auto" w:sz="8" w:space="0"/>
                <w:left w:val="none" w:color="auto" w:sz="0" w:space="0"/>
                <w:bottom w:val="single" w:color="auto" w:sz="8" w:space="0"/>
                <w:right w:val="none" w:color="auto" w:sz="0" w:space="0"/>
                <w:insideH w:val="single" w:color="auto" w:sz="2" w:space="0"/>
                <w:insideV w:val="single" w:color="auto" w:sz="2" w:space="0"/>
              </w:tblBorders>
              <w:tblLayout w:type="fixed"/>
              <w:tblCellMar>
                <w:top w:w="0" w:type="dxa"/>
                <w:left w:w="57" w:type="dxa"/>
                <w:bottom w:w="0" w:type="dxa"/>
                <w:right w:w="57" w:type="dxa"/>
              </w:tblCellMar>
            </w:tblPr>
            <w:tblGrid>
              <w:gridCol w:w="498"/>
              <w:gridCol w:w="3414"/>
              <w:gridCol w:w="1977"/>
              <w:gridCol w:w="775"/>
              <w:gridCol w:w="1373"/>
            </w:tblGrid>
            <w:tr w14:paraId="76E52254">
              <w:tblPrEx>
                <w:tblBorders>
                  <w:top w:val="single" w:color="auto" w:sz="8" w:space="0"/>
                  <w:left w:val="none" w:color="auto" w:sz="0" w:space="0"/>
                  <w:bottom w:val="single" w:color="auto" w:sz="8" w:space="0"/>
                  <w:right w:val="none" w:color="auto" w:sz="0" w:space="0"/>
                  <w:insideH w:val="single" w:color="auto" w:sz="2" w:space="0"/>
                  <w:insideV w:val="single" w:color="auto" w:sz="2" w:space="0"/>
                </w:tblBorders>
                <w:tblCellMar>
                  <w:top w:w="0" w:type="dxa"/>
                  <w:left w:w="57" w:type="dxa"/>
                  <w:bottom w:w="0" w:type="dxa"/>
                  <w:right w:w="57" w:type="dxa"/>
                </w:tblCellMar>
              </w:tblPrEx>
              <w:trPr>
                <w:cantSplit/>
                <w:trHeight w:val="369" w:hRule="atLeast"/>
                <w:jc w:val="center"/>
              </w:trPr>
              <w:tc>
                <w:tcPr>
                  <w:tcW w:w="309" w:type="pct"/>
                  <w:tcBorders>
                    <w:top w:val="single" w:color="000000" w:sz="4" w:space="0"/>
                    <w:left w:val="single" w:color="auto" w:sz="2" w:space="0"/>
                    <w:bottom w:val="single" w:color="000000" w:sz="4" w:space="0"/>
                    <w:right w:val="single" w:color="000000" w:sz="4" w:space="0"/>
                  </w:tcBorders>
                  <w:vAlign w:val="center"/>
                </w:tcPr>
                <w:p w14:paraId="2A6EE1A8">
                  <w:pPr>
                    <w:snapToGrid w:val="0"/>
                    <w:jc w:val="center"/>
                    <w:rPr>
                      <w:bCs/>
                      <w:color w:val="auto"/>
                      <w:kern w:val="0"/>
                      <w:sz w:val="22"/>
                      <w:szCs w:val="22"/>
                    </w:rPr>
                  </w:pPr>
                  <w:r>
                    <w:rPr>
                      <w:rFonts w:hint="eastAsia"/>
                      <w:bCs/>
                      <w:color w:val="auto"/>
                      <w:sz w:val="22"/>
                      <w:szCs w:val="22"/>
                    </w:rPr>
                    <w:t>序号</w:t>
                  </w:r>
                </w:p>
              </w:tc>
              <w:tc>
                <w:tcPr>
                  <w:tcW w:w="2123" w:type="pct"/>
                  <w:tcBorders>
                    <w:top w:val="single" w:color="000000" w:sz="4" w:space="0"/>
                    <w:left w:val="single" w:color="000000" w:sz="4" w:space="0"/>
                    <w:bottom w:val="single" w:color="000000" w:sz="4" w:space="0"/>
                    <w:right w:val="single" w:color="000000" w:sz="4" w:space="0"/>
                  </w:tcBorders>
                  <w:vAlign w:val="center"/>
                </w:tcPr>
                <w:p w14:paraId="5D71FFF5">
                  <w:pPr>
                    <w:snapToGrid w:val="0"/>
                    <w:jc w:val="center"/>
                    <w:rPr>
                      <w:bCs/>
                      <w:color w:val="auto"/>
                      <w:sz w:val="22"/>
                      <w:szCs w:val="22"/>
                    </w:rPr>
                  </w:pPr>
                  <w:r>
                    <w:rPr>
                      <w:rFonts w:hint="eastAsia"/>
                      <w:bCs/>
                      <w:color w:val="auto"/>
                      <w:sz w:val="22"/>
                      <w:szCs w:val="22"/>
                    </w:rPr>
                    <w:t>监测点位</w:t>
                  </w:r>
                </w:p>
              </w:tc>
              <w:tc>
                <w:tcPr>
                  <w:tcW w:w="1229" w:type="pct"/>
                  <w:tcBorders>
                    <w:top w:val="single" w:color="000000" w:sz="4" w:space="0"/>
                    <w:left w:val="single" w:color="000000" w:sz="4" w:space="0"/>
                    <w:bottom w:val="single" w:color="000000" w:sz="4" w:space="0"/>
                    <w:right w:val="single" w:color="000000" w:sz="4" w:space="0"/>
                  </w:tcBorders>
                  <w:vAlign w:val="center"/>
                </w:tcPr>
                <w:p w14:paraId="5D3B2773">
                  <w:pPr>
                    <w:snapToGrid w:val="0"/>
                    <w:jc w:val="center"/>
                    <w:rPr>
                      <w:color w:val="auto"/>
                      <w:sz w:val="22"/>
                      <w:szCs w:val="22"/>
                    </w:rPr>
                  </w:pPr>
                  <w:r>
                    <w:rPr>
                      <w:rFonts w:hint="eastAsia"/>
                      <w:color w:val="auto"/>
                      <w:sz w:val="22"/>
                      <w:szCs w:val="22"/>
                    </w:rPr>
                    <w:t>代表性</w:t>
                  </w:r>
                </w:p>
              </w:tc>
              <w:tc>
                <w:tcPr>
                  <w:tcW w:w="482" w:type="pct"/>
                  <w:tcBorders>
                    <w:top w:val="single" w:color="000000" w:sz="4" w:space="0"/>
                    <w:left w:val="single" w:color="000000" w:sz="4" w:space="0"/>
                    <w:bottom w:val="single" w:color="000000" w:sz="4" w:space="0"/>
                    <w:right w:val="single" w:color="000000" w:sz="4" w:space="0"/>
                  </w:tcBorders>
                  <w:vAlign w:val="center"/>
                </w:tcPr>
                <w:p w14:paraId="6D69B9E0">
                  <w:pPr>
                    <w:snapToGrid w:val="0"/>
                    <w:jc w:val="center"/>
                    <w:rPr>
                      <w:color w:val="auto"/>
                      <w:sz w:val="22"/>
                      <w:szCs w:val="22"/>
                    </w:rPr>
                  </w:pPr>
                  <w:r>
                    <w:rPr>
                      <w:rFonts w:hint="eastAsia"/>
                      <w:color w:val="auto"/>
                      <w:sz w:val="22"/>
                      <w:szCs w:val="22"/>
                    </w:rPr>
                    <w:t>工程内容</w:t>
                  </w:r>
                </w:p>
              </w:tc>
              <w:tc>
                <w:tcPr>
                  <w:tcW w:w="854" w:type="pct"/>
                  <w:tcBorders>
                    <w:top w:val="single" w:color="000000" w:sz="4" w:space="0"/>
                    <w:left w:val="single" w:color="000000" w:sz="4" w:space="0"/>
                    <w:bottom w:val="single" w:color="000000" w:sz="4" w:space="0"/>
                    <w:right w:val="single" w:color="000000" w:sz="4" w:space="0"/>
                  </w:tcBorders>
                  <w:vAlign w:val="center"/>
                </w:tcPr>
                <w:p w14:paraId="405391A5">
                  <w:pPr>
                    <w:snapToGrid w:val="0"/>
                    <w:jc w:val="center"/>
                    <w:rPr>
                      <w:color w:val="auto"/>
                      <w:sz w:val="22"/>
                      <w:szCs w:val="22"/>
                    </w:rPr>
                  </w:pPr>
                  <w:r>
                    <w:rPr>
                      <w:rFonts w:hint="eastAsia"/>
                      <w:color w:val="auto"/>
                      <w:sz w:val="22"/>
                      <w:szCs w:val="22"/>
                    </w:rPr>
                    <w:t>备注</w:t>
                  </w:r>
                </w:p>
              </w:tc>
            </w:tr>
            <w:tr w14:paraId="04852F81">
              <w:tblPrEx>
                <w:tblBorders>
                  <w:top w:val="single" w:color="auto" w:sz="8" w:space="0"/>
                  <w:left w:val="none" w:color="auto" w:sz="0" w:space="0"/>
                  <w:bottom w:val="single" w:color="auto" w:sz="8" w:space="0"/>
                  <w:right w:val="none" w:color="auto" w:sz="0" w:space="0"/>
                  <w:insideH w:val="single" w:color="auto" w:sz="2" w:space="0"/>
                  <w:insideV w:val="single" w:color="auto" w:sz="2" w:space="0"/>
                </w:tblBorders>
                <w:tblCellMar>
                  <w:top w:w="0" w:type="dxa"/>
                  <w:left w:w="57" w:type="dxa"/>
                  <w:bottom w:w="0" w:type="dxa"/>
                  <w:right w:w="57" w:type="dxa"/>
                </w:tblCellMar>
              </w:tblPrEx>
              <w:trPr>
                <w:cantSplit/>
                <w:trHeight w:val="90" w:hRule="atLeast"/>
                <w:jc w:val="center"/>
              </w:trPr>
              <w:tc>
                <w:tcPr>
                  <w:tcW w:w="309" w:type="pct"/>
                  <w:tcBorders>
                    <w:top w:val="single" w:color="000000" w:sz="4" w:space="0"/>
                    <w:left w:val="single" w:color="000000" w:sz="4" w:space="0"/>
                    <w:bottom w:val="single" w:color="000000" w:sz="4" w:space="0"/>
                    <w:right w:val="single" w:color="000000" w:sz="4" w:space="0"/>
                  </w:tcBorders>
                  <w:vAlign w:val="center"/>
                </w:tcPr>
                <w:p w14:paraId="6C095331">
                  <w:pPr>
                    <w:jc w:val="center"/>
                    <w:rPr>
                      <w:bCs/>
                      <w:color w:val="auto"/>
                      <w:sz w:val="22"/>
                      <w:szCs w:val="22"/>
                    </w:rPr>
                  </w:pPr>
                  <w:r>
                    <w:rPr>
                      <w:rFonts w:hint="eastAsia"/>
                      <w:color w:val="auto"/>
                      <w:sz w:val="22"/>
                      <w:szCs w:val="22"/>
                    </w:rPr>
                    <w:t>N1</w:t>
                  </w:r>
                </w:p>
              </w:tc>
              <w:tc>
                <w:tcPr>
                  <w:tcW w:w="2123" w:type="pct"/>
                  <w:tcBorders>
                    <w:top w:val="single" w:color="000000" w:sz="4" w:space="0"/>
                    <w:left w:val="single" w:color="000000" w:sz="4" w:space="0"/>
                    <w:bottom w:val="single" w:color="000000" w:sz="4" w:space="0"/>
                    <w:right w:val="single" w:color="000000" w:sz="4" w:space="0"/>
                  </w:tcBorders>
                  <w:vAlign w:val="center"/>
                </w:tcPr>
                <w:p w14:paraId="41E3BCC7">
                  <w:pPr>
                    <w:jc w:val="center"/>
                    <w:rPr>
                      <w:color w:val="auto"/>
                      <w:sz w:val="22"/>
                      <w:szCs w:val="22"/>
                    </w:rPr>
                  </w:pPr>
                  <w:r>
                    <w:rPr>
                      <w:rFonts w:hint="eastAsia"/>
                      <w:color w:val="auto"/>
                      <w:sz w:val="22"/>
                      <w:szCs w:val="22"/>
                    </w:rPr>
                    <w:t>铁甲220kV变电站扩建间隔一侧。厂界</w:t>
                  </w:r>
                  <w:r>
                    <w:rPr>
                      <w:color w:val="auto"/>
                      <w:sz w:val="22"/>
                      <w:szCs w:val="22"/>
                    </w:rPr>
                    <w:t>环境噪声位于站</w:t>
                  </w:r>
                  <w:r>
                    <w:rPr>
                      <w:rFonts w:hint="eastAsia"/>
                      <w:color w:val="auto"/>
                      <w:sz w:val="22"/>
                      <w:szCs w:val="22"/>
                    </w:rPr>
                    <w:t>界围墙</w:t>
                  </w:r>
                  <w:r>
                    <w:rPr>
                      <w:color w:val="auto"/>
                      <w:sz w:val="22"/>
                      <w:szCs w:val="22"/>
                    </w:rPr>
                    <w:t>外</w:t>
                  </w:r>
                  <w:r>
                    <w:rPr>
                      <w:rFonts w:hint="eastAsia"/>
                      <w:color w:val="auto"/>
                      <w:sz w:val="22"/>
                      <w:szCs w:val="22"/>
                    </w:rPr>
                    <w:t>约1</w:t>
                  </w:r>
                  <w:r>
                    <w:rPr>
                      <w:color w:val="auto"/>
                      <w:sz w:val="22"/>
                      <w:szCs w:val="22"/>
                    </w:rPr>
                    <w:t>m</w:t>
                  </w:r>
                  <w:r>
                    <w:rPr>
                      <w:rFonts w:hint="eastAsia"/>
                      <w:color w:val="auto"/>
                      <w:sz w:val="22"/>
                      <w:szCs w:val="22"/>
                    </w:rPr>
                    <w:t>处，</w:t>
                  </w:r>
                  <w:r>
                    <w:rPr>
                      <w:color w:val="auto"/>
                      <w:sz w:val="22"/>
                      <w:szCs w:val="22"/>
                    </w:rPr>
                    <w:t>且高于围墙</w:t>
                  </w:r>
                  <w:r>
                    <w:rPr>
                      <w:rFonts w:hint="eastAsia"/>
                      <w:color w:val="auto"/>
                      <w:sz w:val="22"/>
                      <w:szCs w:val="22"/>
                    </w:rPr>
                    <w:t>0.5</w:t>
                  </w:r>
                  <w:r>
                    <w:rPr>
                      <w:color w:val="auto"/>
                      <w:sz w:val="22"/>
                      <w:szCs w:val="22"/>
                    </w:rPr>
                    <w:t>m</w:t>
                  </w:r>
                  <w:r>
                    <w:rPr>
                      <w:rFonts w:hint="eastAsia"/>
                      <w:color w:val="auto"/>
                      <w:sz w:val="22"/>
                      <w:szCs w:val="22"/>
                    </w:rPr>
                    <w:t>以上</w:t>
                  </w:r>
                  <w:r>
                    <w:rPr>
                      <w:color w:val="auto"/>
                      <w:sz w:val="22"/>
                      <w:szCs w:val="22"/>
                    </w:rPr>
                    <w:t>。</w:t>
                  </w:r>
                </w:p>
              </w:tc>
              <w:tc>
                <w:tcPr>
                  <w:tcW w:w="1229" w:type="pct"/>
                  <w:tcBorders>
                    <w:top w:val="single" w:color="000000" w:sz="4" w:space="0"/>
                    <w:left w:val="single" w:color="000000" w:sz="4" w:space="0"/>
                    <w:bottom w:val="single" w:color="auto" w:sz="4" w:space="0"/>
                    <w:right w:val="single" w:color="000000" w:sz="4" w:space="0"/>
                  </w:tcBorders>
                  <w:vAlign w:val="center"/>
                </w:tcPr>
                <w:p w14:paraId="4C8B4CFB">
                  <w:pPr>
                    <w:jc w:val="center"/>
                    <w:rPr>
                      <w:color w:val="auto"/>
                      <w:sz w:val="22"/>
                      <w:szCs w:val="22"/>
                    </w:rPr>
                  </w:pPr>
                  <w:r>
                    <w:rPr>
                      <w:rFonts w:hint="eastAsia"/>
                      <w:bCs/>
                      <w:color w:val="auto"/>
                      <w:sz w:val="22"/>
                      <w:szCs w:val="22"/>
                    </w:rPr>
                    <w:t>间隔扩建一侧声环境质量现状值</w:t>
                  </w:r>
                </w:p>
              </w:tc>
              <w:tc>
                <w:tcPr>
                  <w:tcW w:w="482" w:type="pct"/>
                  <w:tcBorders>
                    <w:top w:val="single" w:color="000000" w:sz="4" w:space="0"/>
                    <w:left w:val="single" w:color="000000" w:sz="4" w:space="0"/>
                    <w:bottom w:val="single" w:color="auto" w:sz="4" w:space="0"/>
                    <w:right w:val="single" w:color="000000" w:sz="4" w:space="0"/>
                  </w:tcBorders>
                  <w:vAlign w:val="center"/>
                </w:tcPr>
                <w:p w14:paraId="6012E7F2">
                  <w:pPr>
                    <w:jc w:val="center"/>
                    <w:rPr>
                      <w:color w:val="auto"/>
                      <w:sz w:val="22"/>
                      <w:szCs w:val="22"/>
                    </w:rPr>
                  </w:pPr>
                  <w:r>
                    <w:rPr>
                      <w:rFonts w:hint="eastAsia"/>
                      <w:color w:val="auto"/>
                      <w:sz w:val="22"/>
                      <w:szCs w:val="22"/>
                    </w:rPr>
                    <w:t>间隔扩建工程</w:t>
                  </w:r>
                </w:p>
              </w:tc>
              <w:tc>
                <w:tcPr>
                  <w:tcW w:w="854" w:type="pct"/>
                  <w:tcBorders>
                    <w:top w:val="single" w:color="000000" w:sz="4" w:space="0"/>
                    <w:left w:val="single" w:color="000000" w:sz="4" w:space="0"/>
                    <w:right w:val="single" w:color="000000" w:sz="4" w:space="0"/>
                  </w:tcBorders>
                  <w:vAlign w:val="center"/>
                </w:tcPr>
                <w:p w14:paraId="0B9B858F">
                  <w:pPr>
                    <w:jc w:val="center"/>
                    <w:rPr>
                      <w:bCs/>
                      <w:color w:val="auto"/>
                      <w:sz w:val="22"/>
                      <w:szCs w:val="22"/>
                    </w:rPr>
                  </w:pPr>
                  <w:r>
                    <w:rPr>
                      <w:rFonts w:hint="eastAsia"/>
                      <w:bCs/>
                      <w:color w:val="auto"/>
                      <w:sz w:val="22"/>
                      <w:szCs w:val="22"/>
                    </w:rPr>
                    <w:t>现状监测报告中1#</w:t>
                  </w:r>
                </w:p>
              </w:tc>
            </w:tr>
            <w:tr w14:paraId="07300781">
              <w:tblPrEx>
                <w:tblBorders>
                  <w:top w:val="single" w:color="auto" w:sz="8" w:space="0"/>
                  <w:left w:val="none" w:color="auto" w:sz="0" w:space="0"/>
                  <w:bottom w:val="single" w:color="auto" w:sz="8" w:space="0"/>
                  <w:right w:val="none" w:color="auto" w:sz="0" w:space="0"/>
                  <w:insideH w:val="single" w:color="auto" w:sz="2" w:space="0"/>
                  <w:insideV w:val="single" w:color="auto" w:sz="2" w:space="0"/>
                </w:tblBorders>
                <w:tblCellMar>
                  <w:top w:w="0" w:type="dxa"/>
                  <w:left w:w="57" w:type="dxa"/>
                  <w:bottom w:w="0" w:type="dxa"/>
                  <w:right w:w="57" w:type="dxa"/>
                </w:tblCellMar>
              </w:tblPrEx>
              <w:trPr>
                <w:cantSplit/>
                <w:trHeight w:val="369" w:hRule="atLeast"/>
                <w:jc w:val="center"/>
              </w:trPr>
              <w:tc>
                <w:tcPr>
                  <w:tcW w:w="309" w:type="pct"/>
                  <w:tcBorders>
                    <w:top w:val="single" w:color="000000" w:sz="4" w:space="0"/>
                    <w:left w:val="single" w:color="000000" w:sz="4" w:space="0"/>
                    <w:bottom w:val="single" w:color="000000" w:sz="4" w:space="0"/>
                    <w:right w:val="single" w:color="000000" w:sz="4" w:space="0"/>
                  </w:tcBorders>
                  <w:vAlign w:val="center"/>
                </w:tcPr>
                <w:p w14:paraId="5FFAF3AE">
                  <w:pPr>
                    <w:jc w:val="center"/>
                    <w:rPr>
                      <w:bCs/>
                      <w:color w:val="auto"/>
                      <w:sz w:val="22"/>
                      <w:szCs w:val="22"/>
                    </w:rPr>
                  </w:pPr>
                  <w:r>
                    <w:rPr>
                      <w:rFonts w:hint="eastAsia"/>
                      <w:bCs/>
                      <w:color w:val="auto"/>
                      <w:sz w:val="22"/>
                      <w:szCs w:val="22"/>
                    </w:rPr>
                    <w:t>N2</w:t>
                  </w:r>
                </w:p>
              </w:tc>
              <w:tc>
                <w:tcPr>
                  <w:tcW w:w="2123" w:type="pct"/>
                  <w:tcBorders>
                    <w:top w:val="single" w:color="000000" w:sz="4" w:space="0"/>
                    <w:left w:val="single" w:color="000000" w:sz="4" w:space="0"/>
                    <w:bottom w:val="single" w:color="auto" w:sz="4" w:space="0"/>
                    <w:right w:val="single" w:color="000000" w:sz="4" w:space="0"/>
                  </w:tcBorders>
                  <w:vAlign w:val="center"/>
                </w:tcPr>
                <w:p w14:paraId="239D1B71">
                  <w:pPr>
                    <w:jc w:val="center"/>
                    <w:rPr>
                      <w:color w:val="auto"/>
                      <w:sz w:val="22"/>
                      <w:szCs w:val="22"/>
                    </w:rPr>
                  </w:pPr>
                  <w:r>
                    <w:rPr>
                      <w:rFonts w:hint="eastAsia"/>
                      <w:color w:val="auto"/>
                      <w:sz w:val="22"/>
                      <w:szCs w:val="22"/>
                    </w:rPr>
                    <w:t>奉节</w:t>
                  </w:r>
                  <w:r>
                    <w:rPr>
                      <w:color w:val="auto"/>
                      <w:sz w:val="22"/>
                      <w:szCs w:val="22"/>
                    </w:rPr>
                    <w:t>县冯坪乡庙坝村</w:t>
                  </w:r>
                  <w:r>
                    <w:rPr>
                      <w:rFonts w:hint="eastAsia"/>
                      <w:color w:val="auto"/>
                      <w:sz w:val="22"/>
                      <w:szCs w:val="22"/>
                    </w:rPr>
                    <w:t>22组3号</w:t>
                  </w:r>
                  <w:r>
                    <w:rPr>
                      <w:color w:val="auto"/>
                      <w:sz w:val="22"/>
                      <w:szCs w:val="22"/>
                    </w:rPr>
                    <w:t>潘桂英</w:t>
                  </w:r>
                  <w:r>
                    <w:rPr>
                      <w:rFonts w:hint="eastAsia"/>
                      <w:color w:val="auto"/>
                      <w:sz w:val="22"/>
                      <w:szCs w:val="22"/>
                    </w:rPr>
                    <w:t>家。</w:t>
                  </w:r>
                  <w:r>
                    <w:rPr>
                      <w:color w:val="auto"/>
                      <w:sz w:val="22"/>
                      <w:szCs w:val="22"/>
                    </w:rPr>
                    <w:t>环境</w:t>
                  </w:r>
                  <w:r>
                    <w:rPr>
                      <w:rFonts w:hint="eastAsia"/>
                      <w:color w:val="auto"/>
                      <w:sz w:val="22"/>
                      <w:szCs w:val="22"/>
                    </w:rPr>
                    <w:t>噪声</w:t>
                  </w:r>
                  <w:r>
                    <w:rPr>
                      <w:color w:val="auto"/>
                      <w:sz w:val="22"/>
                      <w:szCs w:val="22"/>
                    </w:rPr>
                    <w:t>监测点位于房屋墙壁约</w:t>
                  </w:r>
                  <w:r>
                    <w:rPr>
                      <w:rFonts w:hint="eastAsia"/>
                      <w:color w:val="auto"/>
                      <w:sz w:val="22"/>
                      <w:szCs w:val="22"/>
                    </w:rPr>
                    <w:t>1</w:t>
                  </w:r>
                  <w:r>
                    <w:rPr>
                      <w:color w:val="auto"/>
                      <w:sz w:val="22"/>
                      <w:szCs w:val="22"/>
                    </w:rPr>
                    <w:t>m</w:t>
                  </w:r>
                  <w:r>
                    <w:rPr>
                      <w:rFonts w:hint="eastAsia"/>
                      <w:color w:val="auto"/>
                      <w:sz w:val="22"/>
                      <w:szCs w:val="22"/>
                    </w:rPr>
                    <w:t>处</w:t>
                  </w:r>
                  <w:r>
                    <w:rPr>
                      <w:color w:val="auto"/>
                      <w:sz w:val="22"/>
                      <w:szCs w:val="22"/>
                    </w:rPr>
                    <w:t>。</w:t>
                  </w:r>
                </w:p>
              </w:tc>
              <w:tc>
                <w:tcPr>
                  <w:tcW w:w="1229" w:type="pct"/>
                  <w:tcBorders>
                    <w:top w:val="single" w:color="auto" w:sz="4" w:space="0"/>
                    <w:left w:val="single" w:color="000000" w:sz="4" w:space="0"/>
                    <w:bottom w:val="single" w:color="auto" w:sz="4" w:space="0"/>
                    <w:right w:val="single" w:color="000000" w:sz="4" w:space="0"/>
                  </w:tcBorders>
                  <w:vAlign w:val="center"/>
                </w:tcPr>
                <w:p w14:paraId="60E629AE">
                  <w:pPr>
                    <w:jc w:val="center"/>
                    <w:rPr>
                      <w:color w:val="auto"/>
                      <w:sz w:val="22"/>
                      <w:szCs w:val="22"/>
                      <w:highlight w:val="yellow"/>
                    </w:rPr>
                  </w:pPr>
                  <w:r>
                    <w:rPr>
                      <w:rFonts w:hint="eastAsia"/>
                      <w:bCs/>
                      <w:color w:val="auto"/>
                      <w:sz w:val="22"/>
                      <w:szCs w:val="22"/>
                    </w:rPr>
                    <w:t>新建架空线路声环境保护目标处声环境质量现状值</w:t>
                  </w:r>
                </w:p>
              </w:tc>
              <w:tc>
                <w:tcPr>
                  <w:tcW w:w="482" w:type="pct"/>
                  <w:tcBorders>
                    <w:top w:val="single" w:color="auto" w:sz="4" w:space="0"/>
                    <w:left w:val="single" w:color="000000" w:sz="4" w:space="0"/>
                    <w:bottom w:val="single" w:color="auto" w:sz="4" w:space="0"/>
                    <w:right w:val="single" w:color="000000" w:sz="4" w:space="0"/>
                  </w:tcBorders>
                  <w:vAlign w:val="center"/>
                </w:tcPr>
                <w:p w14:paraId="7ED07958">
                  <w:pPr>
                    <w:jc w:val="center"/>
                    <w:textAlignment w:val="bottom"/>
                    <w:rPr>
                      <w:color w:val="auto"/>
                      <w:sz w:val="22"/>
                      <w:szCs w:val="22"/>
                    </w:rPr>
                  </w:pPr>
                  <w:r>
                    <w:rPr>
                      <w:rFonts w:hint="eastAsia"/>
                      <w:color w:val="auto"/>
                      <w:sz w:val="22"/>
                      <w:szCs w:val="22"/>
                    </w:rPr>
                    <w:t>架空线路工程</w:t>
                  </w:r>
                </w:p>
              </w:tc>
              <w:tc>
                <w:tcPr>
                  <w:tcW w:w="854" w:type="pct"/>
                  <w:tcBorders>
                    <w:left w:val="single" w:color="000000" w:sz="4" w:space="0"/>
                    <w:bottom w:val="single" w:color="auto" w:sz="4" w:space="0"/>
                    <w:right w:val="single" w:color="000000" w:sz="4" w:space="0"/>
                  </w:tcBorders>
                  <w:vAlign w:val="center"/>
                </w:tcPr>
                <w:p w14:paraId="6854AB96">
                  <w:pPr>
                    <w:jc w:val="center"/>
                    <w:rPr>
                      <w:bCs/>
                      <w:color w:val="auto"/>
                      <w:sz w:val="22"/>
                      <w:szCs w:val="22"/>
                    </w:rPr>
                  </w:pPr>
                  <w:r>
                    <w:rPr>
                      <w:rFonts w:hint="eastAsia"/>
                      <w:bCs/>
                      <w:color w:val="auto"/>
                      <w:sz w:val="22"/>
                      <w:szCs w:val="22"/>
                    </w:rPr>
                    <w:t>现状监测报告中2#</w:t>
                  </w:r>
                </w:p>
              </w:tc>
            </w:tr>
            <w:tr w14:paraId="52D0DB10">
              <w:tblPrEx>
                <w:tblBorders>
                  <w:top w:val="single" w:color="auto" w:sz="8" w:space="0"/>
                  <w:left w:val="none" w:color="auto" w:sz="0" w:space="0"/>
                  <w:bottom w:val="single" w:color="auto" w:sz="8" w:space="0"/>
                  <w:right w:val="none" w:color="auto" w:sz="0" w:space="0"/>
                  <w:insideH w:val="single" w:color="auto" w:sz="2" w:space="0"/>
                  <w:insideV w:val="single" w:color="auto" w:sz="2" w:space="0"/>
                </w:tblBorders>
                <w:tblCellMar>
                  <w:top w:w="0" w:type="dxa"/>
                  <w:left w:w="57" w:type="dxa"/>
                  <w:bottom w:w="0" w:type="dxa"/>
                  <w:right w:w="57" w:type="dxa"/>
                </w:tblCellMar>
              </w:tblPrEx>
              <w:trPr>
                <w:cantSplit/>
                <w:trHeight w:val="369" w:hRule="atLeast"/>
                <w:jc w:val="center"/>
              </w:trPr>
              <w:tc>
                <w:tcPr>
                  <w:tcW w:w="309" w:type="pct"/>
                  <w:tcBorders>
                    <w:top w:val="single" w:color="000000" w:sz="4" w:space="0"/>
                    <w:left w:val="single" w:color="000000" w:sz="4" w:space="0"/>
                    <w:bottom w:val="single" w:color="000000" w:sz="4" w:space="0"/>
                    <w:right w:val="single" w:color="000000" w:sz="4" w:space="0"/>
                  </w:tcBorders>
                  <w:vAlign w:val="center"/>
                </w:tcPr>
                <w:p w14:paraId="0A58F193">
                  <w:pPr>
                    <w:jc w:val="center"/>
                    <w:rPr>
                      <w:bCs/>
                      <w:color w:val="auto"/>
                      <w:sz w:val="22"/>
                      <w:szCs w:val="22"/>
                    </w:rPr>
                  </w:pPr>
                  <w:r>
                    <w:rPr>
                      <w:rFonts w:hint="eastAsia"/>
                      <w:color w:val="auto"/>
                      <w:sz w:val="22"/>
                      <w:szCs w:val="22"/>
                    </w:rPr>
                    <w:t>N3</w:t>
                  </w:r>
                </w:p>
              </w:tc>
              <w:tc>
                <w:tcPr>
                  <w:tcW w:w="2123" w:type="pct"/>
                  <w:tcBorders>
                    <w:top w:val="single" w:color="auto" w:sz="4" w:space="0"/>
                    <w:left w:val="single" w:color="000000" w:sz="4" w:space="0"/>
                    <w:bottom w:val="single" w:color="000000" w:sz="4" w:space="0"/>
                    <w:right w:val="single" w:color="000000" w:sz="4" w:space="0"/>
                  </w:tcBorders>
                  <w:vAlign w:val="center"/>
                </w:tcPr>
                <w:p w14:paraId="4E5B61D9">
                  <w:pPr>
                    <w:jc w:val="center"/>
                    <w:rPr>
                      <w:color w:val="auto"/>
                      <w:sz w:val="22"/>
                      <w:szCs w:val="22"/>
                    </w:rPr>
                  </w:pPr>
                  <w:r>
                    <w:rPr>
                      <w:rFonts w:hint="eastAsia"/>
                      <w:color w:val="auto"/>
                      <w:sz w:val="22"/>
                      <w:szCs w:val="22"/>
                    </w:rPr>
                    <w:t>奉节县</w:t>
                  </w:r>
                  <w:r>
                    <w:rPr>
                      <w:color w:val="auto"/>
                      <w:sz w:val="22"/>
                      <w:szCs w:val="22"/>
                    </w:rPr>
                    <w:t>新民镇</w:t>
                  </w:r>
                  <w:r>
                    <w:rPr>
                      <w:rFonts w:hint="eastAsia"/>
                      <w:color w:val="auto"/>
                      <w:sz w:val="22"/>
                      <w:szCs w:val="22"/>
                    </w:rPr>
                    <w:t>长</w:t>
                  </w:r>
                  <w:r>
                    <w:rPr>
                      <w:color w:val="auto"/>
                      <w:sz w:val="22"/>
                      <w:szCs w:val="22"/>
                    </w:rPr>
                    <w:t>棚村</w:t>
                  </w:r>
                  <w:r>
                    <w:rPr>
                      <w:rFonts w:hint="eastAsia"/>
                      <w:color w:val="auto"/>
                      <w:sz w:val="22"/>
                      <w:szCs w:val="22"/>
                    </w:rPr>
                    <w:t>10社2号</w:t>
                  </w:r>
                  <w:r>
                    <w:rPr>
                      <w:color w:val="auto"/>
                      <w:sz w:val="22"/>
                      <w:szCs w:val="22"/>
                    </w:rPr>
                    <w:t>。环境</w:t>
                  </w:r>
                  <w:r>
                    <w:rPr>
                      <w:rFonts w:hint="eastAsia"/>
                      <w:color w:val="auto"/>
                      <w:sz w:val="22"/>
                      <w:szCs w:val="22"/>
                    </w:rPr>
                    <w:t>噪声</w:t>
                  </w:r>
                  <w:r>
                    <w:rPr>
                      <w:color w:val="auto"/>
                      <w:sz w:val="22"/>
                      <w:szCs w:val="22"/>
                    </w:rPr>
                    <w:t>监测点位于房屋墙壁约</w:t>
                  </w:r>
                  <w:r>
                    <w:rPr>
                      <w:rFonts w:hint="eastAsia"/>
                      <w:color w:val="auto"/>
                      <w:sz w:val="22"/>
                      <w:szCs w:val="22"/>
                    </w:rPr>
                    <w:t>1</w:t>
                  </w:r>
                  <w:r>
                    <w:rPr>
                      <w:color w:val="auto"/>
                      <w:sz w:val="22"/>
                      <w:szCs w:val="22"/>
                    </w:rPr>
                    <w:t>m</w:t>
                  </w:r>
                  <w:r>
                    <w:rPr>
                      <w:rFonts w:hint="eastAsia"/>
                      <w:color w:val="auto"/>
                      <w:sz w:val="22"/>
                      <w:szCs w:val="22"/>
                    </w:rPr>
                    <w:t>处</w:t>
                  </w:r>
                  <w:r>
                    <w:rPr>
                      <w:color w:val="auto"/>
                      <w:sz w:val="22"/>
                      <w:szCs w:val="22"/>
                    </w:rPr>
                    <w:t>。</w:t>
                  </w:r>
                </w:p>
              </w:tc>
              <w:tc>
                <w:tcPr>
                  <w:tcW w:w="1229" w:type="pct"/>
                  <w:vMerge w:val="restart"/>
                  <w:tcBorders>
                    <w:top w:val="single" w:color="auto" w:sz="4" w:space="0"/>
                    <w:left w:val="single" w:color="000000" w:sz="4" w:space="0"/>
                    <w:right w:val="single" w:color="000000" w:sz="4" w:space="0"/>
                  </w:tcBorders>
                  <w:vAlign w:val="center"/>
                </w:tcPr>
                <w:p w14:paraId="00C05B4E">
                  <w:pPr>
                    <w:jc w:val="center"/>
                    <w:rPr>
                      <w:bCs/>
                      <w:color w:val="auto"/>
                      <w:sz w:val="22"/>
                      <w:szCs w:val="22"/>
                      <w:highlight w:val="yellow"/>
                    </w:rPr>
                  </w:pPr>
                  <w:r>
                    <w:rPr>
                      <w:rFonts w:hint="eastAsia"/>
                      <w:bCs/>
                      <w:color w:val="auto"/>
                      <w:sz w:val="22"/>
                      <w:szCs w:val="22"/>
                    </w:rPr>
                    <w:t>间隔扩建一侧声环境评价范围内环境保护目标声环境质量现状值</w:t>
                  </w:r>
                </w:p>
              </w:tc>
              <w:tc>
                <w:tcPr>
                  <w:tcW w:w="482" w:type="pct"/>
                  <w:vMerge w:val="restart"/>
                  <w:tcBorders>
                    <w:top w:val="single" w:color="auto" w:sz="4" w:space="0"/>
                    <w:left w:val="single" w:color="000000" w:sz="4" w:space="0"/>
                    <w:right w:val="single" w:color="000000" w:sz="4" w:space="0"/>
                  </w:tcBorders>
                  <w:vAlign w:val="center"/>
                </w:tcPr>
                <w:p w14:paraId="680ACEC9">
                  <w:pPr>
                    <w:jc w:val="center"/>
                    <w:textAlignment w:val="bottom"/>
                    <w:rPr>
                      <w:color w:val="auto"/>
                      <w:sz w:val="22"/>
                      <w:szCs w:val="22"/>
                    </w:rPr>
                  </w:pPr>
                  <w:r>
                    <w:rPr>
                      <w:rFonts w:hint="eastAsia"/>
                      <w:color w:val="auto"/>
                      <w:sz w:val="22"/>
                      <w:szCs w:val="22"/>
                    </w:rPr>
                    <w:t>间隔扩建工程</w:t>
                  </w:r>
                </w:p>
              </w:tc>
              <w:tc>
                <w:tcPr>
                  <w:tcW w:w="854" w:type="pct"/>
                  <w:tcBorders>
                    <w:top w:val="single" w:color="auto" w:sz="4" w:space="0"/>
                    <w:left w:val="single" w:color="000000" w:sz="4" w:space="0"/>
                    <w:right w:val="single" w:color="000000" w:sz="4" w:space="0"/>
                  </w:tcBorders>
                  <w:vAlign w:val="center"/>
                </w:tcPr>
                <w:p w14:paraId="11A0B075">
                  <w:pPr>
                    <w:jc w:val="center"/>
                    <w:rPr>
                      <w:bCs/>
                      <w:color w:val="auto"/>
                      <w:sz w:val="22"/>
                      <w:szCs w:val="22"/>
                    </w:rPr>
                  </w:pPr>
                  <w:r>
                    <w:rPr>
                      <w:rFonts w:hint="eastAsia"/>
                      <w:bCs/>
                      <w:color w:val="auto"/>
                      <w:sz w:val="22"/>
                      <w:szCs w:val="22"/>
                    </w:rPr>
                    <w:t>现状监测报告中5#</w:t>
                  </w:r>
                </w:p>
              </w:tc>
            </w:tr>
            <w:tr w14:paraId="52251A91">
              <w:tblPrEx>
                <w:tblBorders>
                  <w:top w:val="single" w:color="auto" w:sz="8" w:space="0"/>
                  <w:left w:val="none" w:color="auto" w:sz="0" w:space="0"/>
                  <w:bottom w:val="single" w:color="auto" w:sz="8" w:space="0"/>
                  <w:right w:val="none" w:color="auto" w:sz="0" w:space="0"/>
                  <w:insideH w:val="single" w:color="auto" w:sz="2" w:space="0"/>
                  <w:insideV w:val="single" w:color="auto" w:sz="2" w:space="0"/>
                </w:tblBorders>
                <w:tblCellMar>
                  <w:top w:w="0" w:type="dxa"/>
                  <w:left w:w="57" w:type="dxa"/>
                  <w:bottom w:w="0" w:type="dxa"/>
                  <w:right w:w="57" w:type="dxa"/>
                </w:tblCellMar>
              </w:tblPrEx>
              <w:trPr>
                <w:cantSplit/>
                <w:trHeight w:val="1158" w:hRule="atLeast"/>
                <w:jc w:val="center"/>
              </w:trPr>
              <w:tc>
                <w:tcPr>
                  <w:tcW w:w="309" w:type="pct"/>
                  <w:tcBorders>
                    <w:top w:val="single" w:color="000000" w:sz="4" w:space="0"/>
                    <w:left w:val="single" w:color="000000" w:sz="4" w:space="0"/>
                    <w:bottom w:val="single" w:color="000000" w:sz="4" w:space="0"/>
                    <w:right w:val="single" w:color="000000" w:sz="4" w:space="0"/>
                  </w:tcBorders>
                  <w:vAlign w:val="center"/>
                </w:tcPr>
                <w:p w14:paraId="3CEFBEBE">
                  <w:pPr>
                    <w:jc w:val="center"/>
                    <w:rPr>
                      <w:rFonts w:hint="eastAsia" w:eastAsia="宋体"/>
                      <w:bCs/>
                      <w:color w:val="auto"/>
                      <w:sz w:val="22"/>
                      <w:szCs w:val="22"/>
                      <w:lang w:val="en-US" w:eastAsia="zh-CN"/>
                    </w:rPr>
                  </w:pPr>
                  <w:r>
                    <w:rPr>
                      <w:rFonts w:hint="eastAsia"/>
                      <w:bCs/>
                      <w:color w:val="auto"/>
                      <w:sz w:val="22"/>
                      <w:szCs w:val="22"/>
                    </w:rPr>
                    <w:t>N4</w:t>
                  </w:r>
                  <w:r>
                    <w:rPr>
                      <w:rFonts w:hint="eastAsia"/>
                      <w:bCs/>
                      <w:color w:val="auto"/>
                      <w:sz w:val="22"/>
                      <w:szCs w:val="22"/>
                      <w:vertAlign w:val="superscript"/>
                      <w:lang w:val="en-US" w:eastAsia="zh-CN"/>
                    </w:rPr>
                    <w:t>①</w:t>
                  </w:r>
                </w:p>
              </w:tc>
              <w:tc>
                <w:tcPr>
                  <w:tcW w:w="2123" w:type="pct"/>
                  <w:tcBorders>
                    <w:top w:val="single" w:color="000000" w:sz="4" w:space="0"/>
                    <w:left w:val="single" w:color="000000" w:sz="4" w:space="0"/>
                    <w:bottom w:val="single" w:color="000000" w:sz="4" w:space="0"/>
                    <w:right w:val="single" w:color="000000" w:sz="4" w:space="0"/>
                  </w:tcBorders>
                  <w:vAlign w:val="center"/>
                </w:tcPr>
                <w:p w14:paraId="44585409">
                  <w:pPr>
                    <w:jc w:val="center"/>
                    <w:rPr>
                      <w:bCs/>
                      <w:color w:val="auto"/>
                      <w:sz w:val="22"/>
                      <w:szCs w:val="22"/>
                    </w:rPr>
                  </w:pPr>
                  <w:r>
                    <w:rPr>
                      <w:rFonts w:hint="eastAsia"/>
                      <w:color w:val="auto"/>
                      <w:sz w:val="22"/>
                      <w:szCs w:val="22"/>
                    </w:rPr>
                    <w:t>奉节县</w:t>
                  </w:r>
                  <w:r>
                    <w:rPr>
                      <w:color w:val="auto"/>
                      <w:sz w:val="22"/>
                      <w:szCs w:val="22"/>
                    </w:rPr>
                    <w:t>新民镇</w:t>
                  </w:r>
                  <w:r>
                    <w:rPr>
                      <w:rFonts w:hint="eastAsia"/>
                      <w:color w:val="auto"/>
                      <w:sz w:val="22"/>
                      <w:szCs w:val="22"/>
                    </w:rPr>
                    <w:t>新民</w:t>
                  </w:r>
                  <w:r>
                    <w:rPr>
                      <w:color w:val="auto"/>
                      <w:sz w:val="22"/>
                      <w:szCs w:val="22"/>
                    </w:rPr>
                    <w:t>初级中学综合楼。环境</w:t>
                  </w:r>
                  <w:r>
                    <w:rPr>
                      <w:rFonts w:hint="eastAsia"/>
                      <w:color w:val="auto"/>
                      <w:sz w:val="22"/>
                      <w:szCs w:val="22"/>
                    </w:rPr>
                    <w:t>噪声</w:t>
                  </w:r>
                  <w:r>
                    <w:rPr>
                      <w:color w:val="auto"/>
                      <w:sz w:val="22"/>
                      <w:szCs w:val="22"/>
                    </w:rPr>
                    <w:t>监测点位于</w:t>
                  </w:r>
                  <w:r>
                    <w:rPr>
                      <w:rFonts w:hint="eastAsia"/>
                      <w:color w:val="auto"/>
                      <w:sz w:val="22"/>
                      <w:szCs w:val="22"/>
                    </w:rPr>
                    <w:t>（1</w:t>
                  </w:r>
                  <w:r>
                    <w:rPr>
                      <w:color w:val="auto"/>
                      <w:sz w:val="22"/>
                      <w:szCs w:val="22"/>
                    </w:rPr>
                    <w:t>F</w:t>
                  </w:r>
                  <w:r>
                    <w:rPr>
                      <w:rFonts w:hint="eastAsia"/>
                      <w:color w:val="auto"/>
                      <w:sz w:val="22"/>
                      <w:szCs w:val="22"/>
                    </w:rPr>
                    <w:t>地面、4F教室），1F</w:t>
                  </w:r>
                  <w:r>
                    <w:rPr>
                      <w:color w:val="auto"/>
                      <w:sz w:val="22"/>
                      <w:szCs w:val="22"/>
                    </w:rPr>
                    <w:t>地面</w:t>
                  </w:r>
                  <w:r>
                    <w:rPr>
                      <w:rFonts w:hint="eastAsia"/>
                      <w:color w:val="auto"/>
                      <w:sz w:val="22"/>
                      <w:szCs w:val="22"/>
                    </w:rPr>
                    <w:t>监测点</w:t>
                  </w:r>
                  <w:r>
                    <w:rPr>
                      <w:color w:val="auto"/>
                      <w:sz w:val="22"/>
                      <w:szCs w:val="22"/>
                    </w:rPr>
                    <w:t>距</w:t>
                  </w:r>
                  <w:r>
                    <w:rPr>
                      <w:rFonts w:hint="eastAsia"/>
                      <w:color w:val="auto"/>
                      <w:sz w:val="22"/>
                      <w:szCs w:val="22"/>
                    </w:rPr>
                    <w:t>楼房</w:t>
                  </w:r>
                  <w:r>
                    <w:rPr>
                      <w:color w:val="auto"/>
                      <w:sz w:val="22"/>
                      <w:szCs w:val="22"/>
                    </w:rPr>
                    <w:t>墙壁约</w:t>
                  </w:r>
                  <w:r>
                    <w:rPr>
                      <w:rFonts w:hint="eastAsia"/>
                      <w:color w:val="auto"/>
                      <w:sz w:val="22"/>
                      <w:szCs w:val="22"/>
                    </w:rPr>
                    <w:t>1</w:t>
                  </w:r>
                  <w:r>
                    <w:rPr>
                      <w:color w:val="auto"/>
                      <w:sz w:val="22"/>
                      <w:szCs w:val="22"/>
                    </w:rPr>
                    <w:t>m</w:t>
                  </w:r>
                  <w:r>
                    <w:rPr>
                      <w:rFonts w:hint="eastAsia"/>
                      <w:color w:val="auto"/>
                      <w:sz w:val="22"/>
                      <w:szCs w:val="22"/>
                    </w:rPr>
                    <w:t>，4F教室</w:t>
                  </w:r>
                  <w:r>
                    <w:rPr>
                      <w:color w:val="auto"/>
                      <w:sz w:val="22"/>
                      <w:szCs w:val="22"/>
                    </w:rPr>
                    <w:t>监测点使用延长杆</w:t>
                  </w:r>
                  <w:r>
                    <w:rPr>
                      <w:rFonts w:hint="eastAsia"/>
                      <w:color w:val="auto"/>
                      <w:sz w:val="22"/>
                      <w:szCs w:val="22"/>
                    </w:rPr>
                    <w:t>伸出</w:t>
                  </w:r>
                  <w:r>
                    <w:rPr>
                      <w:color w:val="auto"/>
                      <w:sz w:val="22"/>
                      <w:szCs w:val="22"/>
                    </w:rPr>
                    <w:t>窗外</w:t>
                  </w:r>
                  <w:r>
                    <w:rPr>
                      <w:rFonts w:hint="eastAsia"/>
                      <w:color w:val="auto"/>
                      <w:sz w:val="22"/>
                      <w:szCs w:val="22"/>
                    </w:rPr>
                    <w:t>约1</w:t>
                  </w:r>
                  <w:r>
                    <w:rPr>
                      <w:color w:val="auto"/>
                      <w:sz w:val="22"/>
                      <w:szCs w:val="22"/>
                    </w:rPr>
                    <w:t>m。</w:t>
                  </w:r>
                </w:p>
              </w:tc>
              <w:tc>
                <w:tcPr>
                  <w:tcW w:w="1229" w:type="pct"/>
                  <w:vMerge w:val="continue"/>
                  <w:tcBorders>
                    <w:left w:val="single" w:color="000000" w:sz="4" w:space="0"/>
                    <w:right w:val="single" w:color="000000" w:sz="4" w:space="0"/>
                  </w:tcBorders>
                  <w:vAlign w:val="center"/>
                </w:tcPr>
                <w:p w14:paraId="3E788466">
                  <w:pPr>
                    <w:jc w:val="center"/>
                    <w:rPr>
                      <w:color w:val="auto"/>
                      <w:sz w:val="22"/>
                      <w:szCs w:val="22"/>
                      <w:highlight w:val="yellow"/>
                    </w:rPr>
                  </w:pPr>
                </w:p>
              </w:tc>
              <w:tc>
                <w:tcPr>
                  <w:tcW w:w="482" w:type="pct"/>
                  <w:vMerge w:val="continue"/>
                  <w:tcBorders>
                    <w:left w:val="single" w:color="000000" w:sz="4" w:space="0"/>
                    <w:right w:val="single" w:color="000000" w:sz="4" w:space="0"/>
                  </w:tcBorders>
                  <w:vAlign w:val="center"/>
                </w:tcPr>
                <w:p w14:paraId="78E8E013">
                  <w:pPr>
                    <w:jc w:val="center"/>
                    <w:rPr>
                      <w:color w:val="auto"/>
                      <w:sz w:val="22"/>
                      <w:szCs w:val="22"/>
                    </w:rPr>
                  </w:pPr>
                </w:p>
              </w:tc>
              <w:tc>
                <w:tcPr>
                  <w:tcW w:w="854" w:type="pct"/>
                  <w:tcBorders>
                    <w:left w:val="single" w:color="000000" w:sz="4" w:space="0"/>
                    <w:right w:val="single" w:color="000000" w:sz="4" w:space="0"/>
                  </w:tcBorders>
                  <w:vAlign w:val="center"/>
                </w:tcPr>
                <w:p w14:paraId="743E980C">
                  <w:pPr>
                    <w:jc w:val="center"/>
                    <w:rPr>
                      <w:bCs/>
                      <w:color w:val="auto"/>
                      <w:sz w:val="22"/>
                      <w:szCs w:val="22"/>
                    </w:rPr>
                  </w:pPr>
                  <w:r>
                    <w:rPr>
                      <w:rFonts w:hint="eastAsia"/>
                      <w:bCs/>
                      <w:color w:val="auto"/>
                      <w:sz w:val="22"/>
                      <w:szCs w:val="22"/>
                    </w:rPr>
                    <w:t>现状监测报告中6#</w:t>
                  </w:r>
                </w:p>
              </w:tc>
            </w:tr>
            <w:tr w14:paraId="742068F6">
              <w:tblPrEx>
                <w:tblBorders>
                  <w:top w:val="single" w:color="auto" w:sz="8" w:space="0"/>
                  <w:left w:val="none" w:color="auto" w:sz="0" w:space="0"/>
                  <w:bottom w:val="single" w:color="auto" w:sz="8" w:space="0"/>
                  <w:right w:val="none" w:color="auto" w:sz="0" w:space="0"/>
                  <w:insideH w:val="single" w:color="auto" w:sz="2" w:space="0"/>
                  <w:insideV w:val="single" w:color="auto" w:sz="2" w:space="0"/>
                </w:tblBorders>
                <w:tblCellMar>
                  <w:top w:w="0" w:type="dxa"/>
                  <w:left w:w="57" w:type="dxa"/>
                  <w:bottom w:w="0" w:type="dxa"/>
                  <w:right w:w="57" w:type="dxa"/>
                </w:tblCellMar>
              </w:tblPrEx>
              <w:trPr>
                <w:cantSplit/>
                <w:trHeight w:val="369" w:hRule="atLeast"/>
                <w:jc w:val="center"/>
              </w:trPr>
              <w:tc>
                <w:tcPr>
                  <w:tcW w:w="309" w:type="pct"/>
                  <w:tcBorders>
                    <w:top w:val="single" w:color="000000" w:sz="4" w:space="0"/>
                    <w:left w:val="single" w:color="000000" w:sz="4" w:space="0"/>
                    <w:bottom w:val="single" w:color="000000" w:sz="4" w:space="0"/>
                    <w:right w:val="single" w:color="000000" w:sz="4" w:space="0"/>
                  </w:tcBorders>
                  <w:vAlign w:val="center"/>
                </w:tcPr>
                <w:p w14:paraId="4B09C2C3">
                  <w:pPr>
                    <w:jc w:val="center"/>
                    <w:rPr>
                      <w:bCs/>
                      <w:color w:val="auto"/>
                      <w:sz w:val="22"/>
                      <w:szCs w:val="22"/>
                    </w:rPr>
                  </w:pPr>
                  <w:r>
                    <w:rPr>
                      <w:rFonts w:hint="eastAsia"/>
                      <w:color w:val="auto"/>
                      <w:sz w:val="22"/>
                      <w:szCs w:val="22"/>
                    </w:rPr>
                    <w:t>N5</w:t>
                  </w:r>
                </w:p>
              </w:tc>
              <w:tc>
                <w:tcPr>
                  <w:tcW w:w="2123" w:type="pct"/>
                  <w:tcBorders>
                    <w:top w:val="single" w:color="000000" w:sz="4" w:space="0"/>
                    <w:left w:val="single" w:color="000000" w:sz="4" w:space="0"/>
                    <w:bottom w:val="single" w:color="000000" w:sz="4" w:space="0"/>
                    <w:right w:val="single" w:color="000000" w:sz="4" w:space="0"/>
                  </w:tcBorders>
                  <w:vAlign w:val="center"/>
                </w:tcPr>
                <w:p w14:paraId="4FA212B8">
                  <w:pPr>
                    <w:jc w:val="center"/>
                    <w:rPr>
                      <w:color w:val="auto"/>
                      <w:sz w:val="22"/>
                      <w:szCs w:val="22"/>
                    </w:rPr>
                  </w:pPr>
                  <w:r>
                    <w:rPr>
                      <w:rFonts w:hint="eastAsia"/>
                      <w:color w:val="auto"/>
                      <w:sz w:val="22"/>
                      <w:szCs w:val="22"/>
                    </w:rPr>
                    <w:t>奉节县</w:t>
                  </w:r>
                  <w:r>
                    <w:rPr>
                      <w:color w:val="auto"/>
                      <w:sz w:val="22"/>
                      <w:szCs w:val="22"/>
                    </w:rPr>
                    <w:t>新民镇</w:t>
                  </w:r>
                  <w:r>
                    <w:rPr>
                      <w:rFonts w:hint="eastAsia"/>
                      <w:color w:val="auto"/>
                      <w:sz w:val="22"/>
                      <w:szCs w:val="22"/>
                    </w:rPr>
                    <w:t>长</w:t>
                  </w:r>
                  <w:r>
                    <w:rPr>
                      <w:color w:val="auto"/>
                      <w:sz w:val="22"/>
                      <w:szCs w:val="22"/>
                    </w:rPr>
                    <w:t>棚村6</w:t>
                  </w:r>
                  <w:r>
                    <w:rPr>
                      <w:rFonts w:hint="eastAsia"/>
                      <w:color w:val="auto"/>
                      <w:sz w:val="22"/>
                      <w:szCs w:val="22"/>
                    </w:rPr>
                    <w:t>社朱仁</w:t>
                  </w:r>
                  <w:r>
                    <w:rPr>
                      <w:color w:val="auto"/>
                      <w:sz w:val="22"/>
                      <w:szCs w:val="22"/>
                    </w:rPr>
                    <w:t>平家。环境</w:t>
                  </w:r>
                  <w:r>
                    <w:rPr>
                      <w:rFonts w:hint="eastAsia"/>
                      <w:color w:val="auto"/>
                      <w:sz w:val="22"/>
                      <w:szCs w:val="22"/>
                    </w:rPr>
                    <w:t>噪声</w:t>
                  </w:r>
                  <w:r>
                    <w:rPr>
                      <w:color w:val="auto"/>
                      <w:sz w:val="22"/>
                      <w:szCs w:val="22"/>
                    </w:rPr>
                    <w:t>监测点位于房屋墙壁约</w:t>
                  </w:r>
                  <w:r>
                    <w:rPr>
                      <w:rFonts w:hint="eastAsia"/>
                      <w:color w:val="auto"/>
                      <w:sz w:val="22"/>
                      <w:szCs w:val="22"/>
                    </w:rPr>
                    <w:t>1</w:t>
                  </w:r>
                  <w:r>
                    <w:rPr>
                      <w:color w:val="auto"/>
                      <w:sz w:val="22"/>
                      <w:szCs w:val="22"/>
                    </w:rPr>
                    <w:t>m</w:t>
                  </w:r>
                  <w:r>
                    <w:rPr>
                      <w:rFonts w:hint="eastAsia"/>
                      <w:color w:val="auto"/>
                      <w:sz w:val="22"/>
                      <w:szCs w:val="22"/>
                    </w:rPr>
                    <w:t>处</w:t>
                  </w:r>
                  <w:r>
                    <w:rPr>
                      <w:color w:val="auto"/>
                      <w:sz w:val="22"/>
                      <w:szCs w:val="22"/>
                    </w:rPr>
                    <w:t>。</w:t>
                  </w:r>
                </w:p>
              </w:tc>
              <w:tc>
                <w:tcPr>
                  <w:tcW w:w="1229" w:type="pct"/>
                  <w:vMerge w:val="continue"/>
                  <w:tcBorders>
                    <w:left w:val="single" w:color="000000" w:sz="4" w:space="0"/>
                    <w:right w:val="single" w:color="000000" w:sz="4" w:space="0"/>
                  </w:tcBorders>
                  <w:vAlign w:val="center"/>
                </w:tcPr>
                <w:p w14:paraId="75822071">
                  <w:pPr>
                    <w:jc w:val="center"/>
                    <w:rPr>
                      <w:bCs/>
                      <w:color w:val="auto"/>
                      <w:sz w:val="22"/>
                      <w:szCs w:val="22"/>
                      <w:highlight w:val="yellow"/>
                    </w:rPr>
                  </w:pPr>
                </w:p>
              </w:tc>
              <w:tc>
                <w:tcPr>
                  <w:tcW w:w="482" w:type="pct"/>
                  <w:vMerge w:val="continue"/>
                  <w:tcBorders>
                    <w:left w:val="single" w:color="000000" w:sz="4" w:space="0"/>
                    <w:right w:val="single" w:color="000000" w:sz="4" w:space="0"/>
                  </w:tcBorders>
                  <w:vAlign w:val="center"/>
                </w:tcPr>
                <w:p w14:paraId="0C4306D1">
                  <w:pPr>
                    <w:jc w:val="center"/>
                    <w:rPr>
                      <w:color w:val="auto"/>
                      <w:sz w:val="22"/>
                      <w:szCs w:val="22"/>
                    </w:rPr>
                  </w:pPr>
                </w:p>
              </w:tc>
              <w:tc>
                <w:tcPr>
                  <w:tcW w:w="854" w:type="pct"/>
                  <w:tcBorders>
                    <w:left w:val="single" w:color="000000" w:sz="4" w:space="0"/>
                    <w:right w:val="single" w:color="000000" w:sz="4" w:space="0"/>
                  </w:tcBorders>
                  <w:vAlign w:val="center"/>
                </w:tcPr>
                <w:p w14:paraId="0DA15A1F">
                  <w:pPr>
                    <w:jc w:val="center"/>
                    <w:rPr>
                      <w:bCs/>
                      <w:color w:val="auto"/>
                      <w:sz w:val="22"/>
                      <w:szCs w:val="22"/>
                    </w:rPr>
                  </w:pPr>
                  <w:r>
                    <w:rPr>
                      <w:rFonts w:hint="eastAsia"/>
                      <w:bCs/>
                      <w:color w:val="auto"/>
                      <w:sz w:val="22"/>
                      <w:szCs w:val="22"/>
                    </w:rPr>
                    <w:t>现状监测报告中7#</w:t>
                  </w:r>
                </w:p>
              </w:tc>
            </w:tr>
            <w:tr w14:paraId="64B78CA6">
              <w:tblPrEx>
                <w:tblBorders>
                  <w:top w:val="single" w:color="auto" w:sz="8" w:space="0"/>
                  <w:left w:val="none" w:color="auto" w:sz="0" w:space="0"/>
                  <w:bottom w:val="single" w:color="auto" w:sz="8" w:space="0"/>
                  <w:right w:val="none" w:color="auto" w:sz="0" w:space="0"/>
                  <w:insideH w:val="single" w:color="auto" w:sz="2" w:space="0"/>
                  <w:insideV w:val="single" w:color="auto" w:sz="2" w:space="0"/>
                </w:tblBorders>
                <w:tblCellMar>
                  <w:top w:w="0" w:type="dxa"/>
                  <w:left w:w="57" w:type="dxa"/>
                  <w:bottom w:w="0" w:type="dxa"/>
                  <w:right w:w="57" w:type="dxa"/>
                </w:tblCellMar>
              </w:tblPrEx>
              <w:trPr>
                <w:cantSplit/>
                <w:trHeight w:val="369" w:hRule="atLeast"/>
                <w:jc w:val="center"/>
              </w:trPr>
              <w:tc>
                <w:tcPr>
                  <w:tcW w:w="5000" w:type="pct"/>
                  <w:gridSpan w:val="5"/>
                  <w:tcBorders>
                    <w:top w:val="single" w:color="000000" w:sz="4" w:space="0"/>
                    <w:left w:val="single" w:color="000000" w:sz="4" w:space="0"/>
                    <w:bottom w:val="single" w:color="000000" w:sz="4" w:space="0"/>
                    <w:right w:val="single" w:color="000000" w:sz="4" w:space="0"/>
                  </w:tcBorders>
                  <w:vAlign w:val="center"/>
                </w:tcPr>
                <w:p w14:paraId="75C62CFC">
                  <w:pPr>
                    <w:jc w:val="both"/>
                    <w:rPr>
                      <w:rFonts w:hint="default"/>
                      <w:bCs/>
                      <w:color w:val="auto"/>
                      <w:sz w:val="22"/>
                      <w:szCs w:val="22"/>
                      <w:lang w:val="en-US"/>
                    </w:rPr>
                  </w:pPr>
                  <w:r>
                    <w:rPr>
                      <w:rFonts w:hint="eastAsia"/>
                      <w:color w:val="auto"/>
                      <w:sz w:val="22"/>
                      <w:szCs w:val="22"/>
                      <w:lang w:val="en-US" w:eastAsia="zh-CN"/>
                    </w:rPr>
                    <w:t>注：①项目对新民初级中学综合楼各楼层进行了全测，4F声环境监测值最大，本次评价选取4F作为代表性楼层。</w:t>
                  </w:r>
                </w:p>
              </w:tc>
            </w:tr>
          </w:tbl>
          <w:p w14:paraId="0C7A30F4">
            <w:pPr>
              <w:snapToGrid w:val="0"/>
              <w:rPr>
                <w:b/>
                <w:bCs/>
                <w:color w:val="auto"/>
                <w:sz w:val="26"/>
                <w:szCs w:val="26"/>
                <w:highlight w:val="yellow"/>
              </w:rPr>
            </w:pPr>
          </w:p>
          <w:p w14:paraId="715ECC02">
            <w:pPr>
              <w:spacing w:line="460" w:lineRule="exact"/>
              <w:ind w:firstLine="522" w:firstLineChars="200"/>
              <w:rPr>
                <w:b/>
                <w:bCs/>
                <w:color w:val="auto"/>
                <w:sz w:val="26"/>
                <w:szCs w:val="26"/>
              </w:rPr>
            </w:pPr>
            <w:r>
              <w:rPr>
                <w:b/>
                <w:bCs/>
                <w:color w:val="auto"/>
                <w:sz w:val="26"/>
                <w:szCs w:val="26"/>
              </w:rPr>
              <w:t>3.</w:t>
            </w:r>
            <w:r>
              <w:rPr>
                <w:rFonts w:hint="eastAsia"/>
                <w:b/>
                <w:bCs/>
                <w:color w:val="auto"/>
                <w:sz w:val="26"/>
                <w:szCs w:val="26"/>
              </w:rPr>
              <w:t>2</w:t>
            </w:r>
            <w:r>
              <w:rPr>
                <w:b/>
                <w:bCs/>
                <w:color w:val="auto"/>
                <w:sz w:val="26"/>
                <w:szCs w:val="26"/>
              </w:rPr>
              <w:t>.2</w:t>
            </w:r>
            <w:r>
              <w:rPr>
                <w:rFonts w:hint="eastAsia"/>
                <w:b/>
                <w:bCs/>
                <w:color w:val="auto"/>
                <w:sz w:val="26"/>
                <w:szCs w:val="26"/>
              </w:rPr>
              <w:t>声</w:t>
            </w:r>
            <w:r>
              <w:rPr>
                <w:b/>
                <w:bCs/>
                <w:color w:val="auto"/>
                <w:sz w:val="26"/>
                <w:szCs w:val="26"/>
              </w:rPr>
              <w:t>环境质量现状</w:t>
            </w:r>
            <w:r>
              <w:rPr>
                <w:rFonts w:hint="eastAsia"/>
                <w:b/>
                <w:bCs/>
                <w:color w:val="auto"/>
                <w:sz w:val="26"/>
                <w:szCs w:val="26"/>
              </w:rPr>
              <w:t>监测与评价</w:t>
            </w:r>
          </w:p>
          <w:p w14:paraId="5C03F6FC">
            <w:pPr>
              <w:spacing w:line="460" w:lineRule="exact"/>
              <w:ind w:firstLine="520"/>
              <w:rPr>
                <w:color w:val="auto"/>
                <w:sz w:val="26"/>
                <w:szCs w:val="26"/>
              </w:rPr>
            </w:pPr>
            <w:r>
              <w:rPr>
                <w:rFonts w:hint="eastAsia"/>
                <w:color w:val="auto"/>
                <w:sz w:val="26"/>
                <w:szCs w:val="26"/>
              </w:rPr>
              <w:t>典型监测点位噪声监测结果见表</w:t>
            </w:r>
            <w:r>
              <w:rPr>
                <w:color w:val="auto"/>
                <w:sz w:val="26"/>
                <w:szCs w:val="26"/>
              </w:rPr>
              <w:t>3</w:t>
            </w:r>
            <w:r>
              <w:rPr>
                <w:rFonts w:hint="eastAsia"/>
                <w:color w:val="auto"/>
                <w:sz w:val="26"/>
                <w:szCs w:val="26"/>
              </w:rPr>
              <w:t>-4。</w:t>
            </w:r>
          </w:p>
          <w:p w14:paraId="29087F15">
            <w:pPr>
              <w:ind w:firstLine="520"/>
              <w:rPr>
                <w:color w:val="auto"/>
                <w:szCs w:val="26"/>
                <w:highlight w:val="yellow"/>
              </w:rPr>
            </w:pPr>
          </w:p>
          <w:p w14:paraId="2A4C0C30">
            <w:pPr>
              <w:jc w:val="center"/>
              <w:rPr>
                <w:color w:val="auto"/>
                <w:sz w:val="26"/>
                <w:szCs w:val="26"/>
              </w:rPr>
            </w:pPr>
            <w:r>
              <w:rPr>
                <w:rFonts w:hint="eastAsia"/>
                <w:color w:val="auto"/>
                <w:sz w:val="26"/>
                <w:szCs w:val="26"/>
              </w:rPr>
              <w:t>表</w:t>
            </w:r>
            <w:r>
              <w:rPr>
                <w:color w:val="auto"/>
                <w:sz w:val="26"/>
                <w:szCs w:val="26"/>
              </w:rPr>
              <w:t>3</w:t>
            </w:r>
            <w:r>
              <w:rPr>
                <w:rFonts w:hint="eastAsia"/>
                <w:color w:val="auto"/>
                <w:sz w:val="26"/>
                <w:szCs w:val="26"/>
              </w:rPr>
              <w:t>-4</w:t>
            </w:r>
            <w:r>
              <w:rPr>
                <w:color w:val="auto"/>
                <w:sz w:val="26"/>
                <w:szCs w:val="26"/>
              </w:rPr>
              <w:t xml:space="preserve"> </w:t>
            </w:r>
            <w:r>
              <w:rPr>
                <w:rFonts w:hint="eastAsia"/>
                <w:color w:val="auto"/>
                <w:sz w:val="26"/>
                <w:szCs w:val="26"/>
              </w:rPr>
              <w:t xml:space="preserve"> 项目所在地环境噪声现状</w:t>
            </w:r>
            <w:r>
              <w:rPr>
                <w:color w:val="auto"/>
                <w:sz w:val="26"/>
                <w:szCs w:val="26"/>
              </w:rPr>
              <w:t xml:space="preserve">  </w:t>
            </w:r>
            <w:r>
              <w:rPr>
                <w:rFonts w:hint="eastAsia"/>
                <w:color w:val="auto"/>
                <w:sz w:val="26"/>
                <w:szCs w:val="26"/>
              </w:rPr>
              <w:t>单位：</w:t>
            </w:r>
            <w:r>
              <w:rPr>
                <w:color w:val="auto"/>
                <w:sz w:val="26"/>
                <w:szCs w:val="26"/>
              </w:rPr>
              <w:t>dB(A)</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25"/>
              <w:gridCol w:w="2862"/>
              <w:gridCol w:w="1355"/>
              <w:gridCol w:w="1435"/>
              <w:gridCol w:w="865"/>
              <w:gridCol w:w="885"/>
            </w:tblGrid>
            <w:tr w14:paraId="50F0E1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tblHeader/>
                <w:jc w:val="center"/>
              </w:trPr>
              <w:tc>
                <w:tcPr>
                  <w:tcW w:w="389" w:type="pct"/>
                  <w:vMerge w:val="restart"/>
                  <w:tcBorders>
                    <w:top w:val="single" w:color="auto" w:sz="4" w:space="0"/>
                    <w:left w:val="single" w:color="auto" w:sz="4" w:space="0"/>
                    <w:bottom w:val="single" w:color="auto" w:sz="4" w:space="0"/>
                    <w:right w:val="single" w:color="auto" w:sz="4" w:space="0"/>
                  </w:tcBorders>
                  <w:vAlign w:val="center"/>
                </w:tcPr>
                <w:p w14:paraId="67FA4698">
                  <w:pPr>
                    <w:snapToGrid w:val="0"/>
                    <w:jc w:val="center"/>
                    <w:rPr>
                      <w:bCs/>
                      <w:color w:val="auto"/>
                      <w:sz w:val="22"/>
                      <w:szCs w:val="22"/>
                      <w:highlight w:val="yellow"/>
                    </w:rPr>
                  </w:pPr>
                  <w:r>
                    <w:rPr>
                      <w:rFonts w:hint="eastAsia"/>
                      <w:bCs/>
                      <w:color w:val="auto"/>
                      <w:sz w:val="22"/>
                      <w:szCs w:val="22"/>
                    </w:rPr>
                    <w:t>监测点位</w:t>
                  </w:r>
                </w:p>
              </w:tc>
              <w:tc>
                <w:tcPr>
                  <w:tcW w:w="1782" w:type="pct"/>
                  <w:vMerge w:val="restart"/>
                  <w:tcBorders>
                    <w:top w:val="single" w:color="auto" w:sz="4" w:space="0"/>
                    <w:left w:val="single" w:color="auto" w:sz="4" w:space="0"/>
                    <w:bottom w:val="single" w:color="auto" w:sz="4" w:space="0"/>
                    <w:right w:val="single" w:color="auto" w:sz="4" w:space="0"/>
                  </w:tcBorders>
                  <w:vAlign w:val="center"/>
                </w:tcPr>
                <w:p w14:paraId="4B09447F">
                  <w:pPr>
                    <w:snapToGrid w:val="0"/>
                    <w:jc w:val="center"/>
                    <w:rPr>
                      <w:bCs/>
                      <w:color w:val="auto"/>
                      <w:sz w:val="22"/>
                      <w:szCs w:val="22"/>
                      <w:highlight w:val="yellow"/>
                    </w:rPr>
                  </w:pPr>
                  <w:r>
                    <w:rPr>
                      <w:rFonts w:hint="eastAsia"/>
                      <w:bCs/>
                      <w:color w:val="auto"/>
                      <w:sz w:val="22"/>
                      <w:szCs w:val="22"/>
                    </w:rPr>
                    <w:t>监测点位描述</w:t>
                  </w:r>
                </w:p>
              </w:tc>
              <w:tc>
                <w:tcPr>
                  <w:tcW w:w="844" w:type="pct"/>
                  <w:vMerge w:val="restart"/>
                  <w:tcBorders>
                    <w:top w:val="single" w:color="auto" w:sz="4" w:space="0"/>
                    <w:left w:val="single" w:color="auto" w:sz="4" w:space="0"/>
                    <w:bottom w:val="single" w:color="auto" w:sz="4" w:space="0"/>
                    <w:right w:val="single" w:color="auto" w:sz="4" w:space="0"/>
                  </w:tcBorders>
                  <w:vAlign w:val="center"/>
                </w:tcPr>
                <w:p w14:paraId="61716ABB">
                  <w:pPr>
                    <w:snapToGrid w:val="0"/>
                    <w:jc w:val="center"/>
                    <w:rPr>
                      <w:bCs/>
                      <w:color w:val="auto"/>
                      <w:sz w:val="22"/>
                      <w:szCs w:val="22"/>
                    </w:rPr>
                  </w:pPr>
                  <w:r>
                    <w:rPr>
                      <w:rFonts w:hint="eastAsia"/>
                      <w:bCs/>
                      <w:color w:val="auto"/>
                      <w:sz w:val="22"/>
                      <w:szCs w:val="22"/>
                    </w:rPr>
                    <w:t>昼间测量结果</w:t>
                  </w:r>
                </w:p>
                <w:p w14:paraId="01D7EF0C">
                  <w:pPr>
                    <w:snapToGrid w:val="0"/>
                    <w:jc w:val="center"/>
                    <w:rPr>
                      <w:bCs/>
                      <w:color w:val="auto"/>
                      <w:sz w:val="22"/>
                      <w:szCs w:val="22"/>
                    </w:rPr>
                  </w:pPr>
                  <w:r>
                    <w:rPr>
                      <w:rFonts w:hint="eastAsia"/>
                      <w:bCs/>
                      <w:color w:val="auto"/>
                      <w:sz w:val="22"/>
                      <w:szCs w:val="22"/>
                    </w:rPr>
                    <w:t>（</w:t>
                  </w:r>
                  <w:r>
                    <w:rPr>
                      <w:bCs/>
                      <w:color w:val="auto"/>
                      <w:sz w:val="22"/>
                      <w:szCs w:val="22"/>
                    </w:rPr>
                    <w:t>Leq</w:t>
                  </w:r>
                  <w:r>
                    <w:rPr>
                      <w:rFonts w:hint="eastAsia"/>
                      <w:bCs/>
                      <w:color w:val="auto"/>
                      <w:sz w:val="22"/>
                      <w:szCs w:val="22"/>
                    </w:rPr>
                    <w:t>）</w:t>
                  </w:r>
                </w:p>
              </w:tc>
              <w:tc>
                <w:tcPr>
                  <w:tcW w:w="893" w:type="pct"/>
                  <w:vMerge w:val="restart"/>
                  <w:tcBorders>
                    <w:top w:val="single" w:color="auto" w:sz="4" w:space="0"/>
                    <w:left w:val="single" w:color="auto" w:sz="4" w:space="0"/>
                    <w:bottom w:val="single" w:color="auto" w:sz="4" w:space="0"/>
                    <w:right w:val="single" w:color="auto" w:sz="4" w:space="0"/>
                  </w:tcBorders>
                  <w:vAlign w:val="center"/>
                </w:tcPr>
                <w:p w14:paraId="04BB2067">
                  <w:pPr>
                    <w:snapToGrid w:val="0"/>
                    <w:jc w:val="center"/>
                    <w:rPr>
                      <w:bCs/>
                      <w:color w:val="auto"/>
                      <w:sz w:val="22"/>
                      <w:szCs w:val="22"/>
                    </w:rPr>
                  </w:pPr>
                  <w:r>
                    <w:rPr>
                      <w:rFonts w:hint="eastAsia"/>
                      <w:bCs/>
                      <w:color w:val="auto"/>
                      <w:sz w:val="22"/>
                      <w:szCs w:val="22"/>
                    </w:rPr>
                    <w:t>夜间测量结果（</w:t>
                  </w:r>
                  <w:r>
                    <w:rPr>
                      <w:bCs/>
                      <w:color w:val="auto"/>
                      <w:sz w:val="22"/>
                      <w:szCs w:val="22"/>
                    </w:rPr>
                    <w:t>Leq</w:t>
                  </w:r>
                  <w:r>
                    <w:rPr>
                      <w:rFonts w:hint="eastAsia"/>
                      <w:bCs/>
                      <w:color w:val="auto"/>
                      <w:sz w:val="22"/>
                      <w:szCs w:val="22"/>
                    </w:rPr>
                    <w:t>）</w:t>
                  </w:r>
                </w:p>
              </w:tc>
              <w:tc>
                <w:tcPr>
                  <w:tcW w:w="1090" w:type="pct"/>
                  <w:gridSpan w:val="2"/>
                  <w:tcBorders>
                    <w:top w:val="single" w:color="auto" w:sz="4" w:space="0"/>
                    <w:left w:val="single" w:color="auto" w:sz="4" w:space="0"/>
                    <w:bottom w:val="single" w:color="auto" w:sz="4" w:space="0"/>
                    <w:right w:val="single" w:color="auto" w:sz="4" w:space="0"/>
                  </w:tcBorders>
                  <w:vAlign w:val="center"/>
                </w:tcPr>
                <w:p w14:paraId="0155ED54">
                  <w:pPr>
                    <w:snapToGrid w:val="0"/>
                    <w:jc w:val="center"/>
                    <w:rPr>
                      <w:color w:val="auto"/>
                      <w:sz w:val="22"/>
                      <w:szCs w:val="22"/>
                    </w:rPr>
                  </w:pPr>
                  <w:r>
                    <w:rPr>
                      <w:rFonts w:hint="eastAsia"/>
                      <w:bCs/>
                      <w:color w:val="auto"/>
                      <w:sz w:val="22"/>
                      <w:szCs w:val="22"/>
                    </w:rPr>
                    <w:t>评价标准</w:t>
                  </w:r>
                </w:p>
              </w:tc>
            </w:tr>
            <w:tr w14:paraId="649A24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tblHeader/>
                <w:jc w:val="center"/>
              </w:trPr>
              <w:tc>
                <w:tcPr>
                  <w:tcW w:w="389" w:type="pct"/>
                  <w:vMerge w:val="continue"/>
                  <w:tcBorders>
                    <w:top w:val="single" w:color="auto" w:sz="4" w:space="0"/>
                    <w:left w:val="single" w:color="auto" w:sz="4" w:space="0"/>
                    <w:bottom w:val="single" w:color="auto" w:sz="4" w:space="0"/>
                    <w:right w:val="single" w:color="auto" w:sz="4" w:space="0"/>
                  </w:tcBorders>
                  <w:vAlign w:val="center"/>
                </w:tcPr>
                <w:p w14:paraId="39102506">
                  <w:pPr>
                    <w:widowControl/>
                    <w:jc w:val="center"/>
                    <w:rPr>
                      <w:bCs/>
                      <w:color w:val="auto"/>
                      <w:sz w:val="22"/>
                      <w:szCs w:val="22"/>
                      <w:highlight w:val="yellow"/>
                    </w:rPr>
                  </w:pPr>
                </w:p>
              </w:tc>
              <w:tc>
                <w:tcPr>
                  <w:tcW w:w="1782" w:type="pct"/>
                  <w:vMerge w:val="continue"/>
                  <w:tcBorders>
                    <w:top w:val="single" w:color="auto" w:sz="4" w:space="0"/>
                    <w:left w:val="single" w:color="auto" w:sz="4" w:space="0"/>
                    <w:bottom w:val="single" w:color="auto" w:sz="4" w:space="0"/>
                    <w:right w:val="single" w:color="auto" w:sz="4" w:space="0"/>
                  </w:tcBorders>
                  <w:vAlign w:val="center"/>
                </w:tcPr>
                <w:p w14:paraId="5AC6305C">
                  <w:pPr>
                    <w:widowControl/>
                    <w:jc w:val="center"/>
                    <w:rPr>
                      <w:bCs/>
                      <w:color w:val="auto"/>
                      <w:sz w:val="22"/>
                      <w:szCs w:val="22"/>
                      <w:highlight w:val="yellow"/>
                    </w:rPr>
                  </w:pPr>
                </w:p>
              </w:tc>
              <w:tc>
                <w:tcPr>
                  <w:tcW w:w="844" w:type="pct"/>
                  <w:vMerge w:val="continue"/>
                  <w:tcBorders>
                    <w:top w:val="single" w:color="auto" w:sz="4" w:space="0"/>
                    <w:left w:val="single" w:color="auto" w:sz="4" w:space="0"/>
                    <w:bottom w:val="single" w:color="auto" w:sz="4" w:space="0"/>
                    <w:right w:val="single" w:color="auto" w:sz="4" w:space="0"/>
                  </w:tcBorders>
                  <w:vAlign w:val="center"/>
                </w:tcPr>
                <w:p w14:paraId="1DD54F80">
                  <w:pPr>
                    <w:widowControl/>
                    <w:jc w:val="center"/>
                    <w:rPr>
                      <w:bCs/>
                      <w:color w:val="auto"/>
                      <w:sz w:val="22"/>
                      <w:szCs w:val="22"/>
                    </w:rPr>
                  </w:pPr>
                </w:p>
              </w:tc>
              <w:tc>
                <w:tcPr>
                  <w:tcW w:w="893" w:type="pct"/>
                  <w:vMerge w:val="continue"/>
                  <w:tcBorders>
                    <w:top w:val="single" w:color="auto" w:sz="4" w:space="0"/>
                    <w:left w:val="single" w:color="auto" w:sz="4" w:space="0"/>
                    <w:bottom w:val="single" w:color="auto" w:sz="4" w:space="0"/>
                    <w:right w:val="single" w:color="auto" w:sz="4" w:space="0"/>
                  </w:tcBorders>
                  <w:vAlign w:val="center"/>
                </w:tcPr>
                <w:p w14:paraId="3140757C">
                  <w:pPr>
                    <w:widowControl/>
                    <w:jc w:val="center"/>
                    <w:rPr>
                      <w:bCs/>
                      <w:color w:val="auto"/>
                      <w:sz w:val="22"/>
                      <w:szCs w:val="22"/>
                    </w:rPr>
                  </w:pPr>
                </w:p>
              </w:tc>
              <w:tc>
                <w:tcPr>
                  <w:tcW w:w="538" w:type="pct"/>
                  <w:tcBorders>
                    <w:top w:val="single" w:color="auto" w:sz="4" w:space="0"/>
                    <w:left w:val="single" w:color="auto" w:sz="4" w:space="0"/>
                    <w:bottom w:val="single" w:color="auto" w:sz="4" w:space="0"/>
                    <w:right w:val="single" w:color="auto" w:sz="4" w:space="0"/>
                  </w:tcBorders>
                  <w:vAlign w:val="center"/>
                </w:tcPr>
                <w:p w14:paraId="25ECB4E6">
                  <w:pPr>
                    <w:snapToGrid w:val="0"/>
                    <w:jc w:val="center"/>
                    <w:rPr>
                      <w:bCs/>
                      <w:color w:val="auto"/>
                      <w:sz w:val="22"/>
                      <w:szCs w:val="22"/>
                    </w:rPr>
                  </w:pPr>
                  <w:r>
                    <w:rPr>
                      <w:rFonts w:hint="eastAsia"/>
                      <w:color w:val="auto"/>
                      <w:sz w:val="22"/>
                      <w:szCs w:val="22"/>
                    </w:rPr>
                    <w:t>昼间</w:t>
                  </w:r>
                </w:p>
              </w:tc>
              <w:tc>
                <w:tcPr>
                  <w:tcW w:w="551" w:type="pct"/>
                  <w:tcBorders>
                    <w:top w:val="single" w:color="auto" w:sz="4" w:space="0"/>
                    <w:left w:val="single" w:color="auto" w:sz="4" w:space="0"/>
                    <w:bottom w:val="single" w:color="auto" w:sz="4" w:space="0"/>
                    <w:right w:val="single" w:color="auto" w:sz="4" w:space="0"/>
                  </w:tcBorders>
                  <w:vAlign w:val="center"/>
                </w:tcPr>
                <w:p w14:paraId="2C29856F">
                  <w:pPr>
                    <w:tabs>
                      <w:tab w:val="left" w:pos="311"/>
                    </w:tabs>
                    <w:snapToGrid w:val="0"/>
                    <w:jc w:val="center"/>
                    <w:rPr>
                      <w:bCs/>
                      <w:color w:val="auto"/>
                      <w:sz w:val="22"/>
                      <w:szCs w:val="22"/>
                    </w:rPr>
                  </w:pPr>
                  <w:r>
                    <w:rPr>
                      <w:rFonts w:hint="eastAsia"/>
                      <w:color w:val="auto"/>
                      <w:sz w:val="22"/>
                      <w:szCs w:val="22"/>
                    </w:rPr>
                    <w:t>夜间</w:t>
                  </w:r>
                </w:p>
              </w:tc>
            </w:tr>
            <w:tr w14:paraId="3B818A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389" w:type="pct"/>
                  <w:tcBorders>
                    <w:top w:val="single" w:color="auto" w:sz="4" w:space="0"/>
                    <w:left w:val="single" w:color="auto" w:sz="4" w:space="0"/>
                    <w:bottom w:val="single" w:color="auto" w:sz="4" w:space="0"/>
                    <w:right w:val="single" w:color="auto" w:sz="4" w:space="0"/>
                  </w:tcBorders>
                  <w:vAlign w:val="center"/>
                </w:tcPr>
                <w:p w14:paraId="3FF6D558">
                  <w:pPr>
                    <w:jc w:val="center"/>
                    <w:rPr>
                      <w:bCs/>
                      <w:color w:val="auto"/>
                      <w:sz w:val="22"/>
                      <w:szCs w:val="22"/>
                    </w:rPr>
                  </w:pPr>
                  <w:r>
                    <w:rPr>
                      <w:rFonts w:hint="eastAsia"/>
                      <w:color w:val="auto"/>
                      <w:sz w:val="22"/>
                      <w:szCs w:val="22"/>
                    </w:rPr>
                    <w:t>N1</w:t>
                  </w:r>
                </w:p>
              </w:tc>
              <w:tc>
                <w:tcPr>
                  <w:tcW w:w="1782" w:type="pct"/>
                  <w:tcBorders>
                    <w:top w:val="single" w:color="auto" w:sz="4" w:space="0"/>
                    <w:left w:val="single" w:color="auto" w:sz="4" w:space="0"/>
                    <w:bottom w:val="single" w:color="auto" w:sz="4" w:space="0"/>
                    <w:right w:val="single" w:color="auto" w:sz="4" w:space="0"/>
                  </w:tcBorders>
                  <w:vAlign w:val="center"/>
                </w:tcPr>
                <w:p w14:paraId="0F7C1589">
                  <w:pPr>
                    <w:jc w:val="center"/>
                    <w:rPr>
                      <w:bCs/>
                      <w:color w:val="auto"/>
                      <w:sz w:val="22"/>
                      <w:szCs w:val="22"/>
                      <w:highlight w:val="yellow"/>
                    </w:rPr>
                  </w:pPr>
                  <w:r>
                    <w:rPr>
                      <w:rFonts w:hint="eastAsia"/>
                      <w:color w:val="auto"/>
                      <w:sz w:val="22"/>
                      <w:szCs w:val="22"/>
                    </w:rPr>
                    <w:t>铁甲220kV变电站扩建间隔一侧。厂界</w:t>
                  </w:r>
                  <w:r>
                    <w:rPr>
                      <w:color w:val="auto"/>
                      <w:sz w:val="22"/>
                      <w:szCs w:val="22"/>
                    </w:rPr>
                    <w:t>环境噪声位于站</w:t>
                  </w:r>
                  <w:r>
                    <w:rPr>
                      <w:rFonts w:hint="eastAsia"/>
                      <w:color w:val="auto"/>
                      <w:sz w:val="22"/>
                      <w:szCs w:val="22"/>
                    </w:rPr>
                    <w:t>界围墙</w:t>
                  </w:r>
                  <w:r>
                    <w:rPr>
                      <w:color w:val="auto"/>
                      <w:sz w:val="22"/>
                      <w:szCs w:val="22"/>
                    </w:rPr>
                    <w:t>外</w:t>
                  </w:r>
                  <w:r>
                    <w:rPr>
                      <w:rFonts w:hint="eastAsia"/>
                      <w:color w:val="auto"/>
                      <w:sz w:val="22"/>
                      <w:szCs w:val="22"/>
                    </w:rPr>
                    <w:t>约1</w:t>
                  </w:r>
                  <w:r>
                    <w:rPr>
                      <w:color w:val="auto"/>
                      <w:sz w:val="22"/>
                      <w:szCs w:val="22"/>
                    </w:rPr>
                    <w:t>m</w:t>
                  </w:r>
                  <w:r>
                    <w:rPr>
                      <w:rFonts w:hint="eastAsia"/>
                      <w:color w:val="auto"/>
                      <w:sz w:val="22"/>
                      <w:szCs w:val="22"/>
                    </w:rPr>
                    <w:t>处，</w:t>
                  </w:r>
                  <w:r>
                    <w:rPr>
                      <w:color w:val="auto"/>
                      <w:sz w:val="22"/>
                      <w:szCs w:val="22"/>
                    </w:rPr>
                    <w:t>且高于围墙</w:t>
                  </w:r>
                  <w:r>
                    <w:rPr>
                      <w:rFonts w:hint="eastAsia"/>
                      <w:color w:val="auto"/>
                      <w:sz w:val="22"/>
                      <w:szCs w:val="22"/>
                    </w:rPr>
                    <w:t>0.5</w:t>
                  </w:r>
                  <w:r>
                    <w:rPr>
                      <w:color w:val="auto"/>
                      <w:sz w:val="22"/>
                      <w:szCs w:val="22"/>
                    </w:rPr>
                    <w:t>m</w:t>
                  </w:r>
                  <w:r>
                    <w:rPr>
                      <w:rFonts w:hint="eastAsia"/>
                      <w:color w:val="auto"/>
                      <w:sz w:val="22"/>
                      <w:szCs w:val="22"/>
                    </w:rPr>
                    <w:t>以上</w:t>
                  </w:r>
                  <w:r>
                    <w:rPr>
                      <w:color w:val="auto"/>
                      <w:sz w:val="22"/>
                      <w:szCs w:val="22"/>
                    </w:rPr>
                    <w:t>。</w:t>
                  </w:r>
                </w:p>
              </w:tc>
              <w:tc>
                <w:tcPr>
                  <w:tcW w:w="844" w:type="pct"/>
                  <w:tcBorders>
                    <w:top w:val="single" w:color="auto" w:sz="4" w:space="0"/>
                    <w:left w:val="single" w:color="auto" w:sz="4" w:space="0"/>
                    <w:bottom w:val="single" w:color="auto" w:sz="4" w:space="0"/>
                    <w:right w:val="single" w:color="auto" w:sz="4" w:space="0"/>
                  </w:tcBorders>
                  <w:vAlign w:val="center"/>
                </w:tcPr>
                <w:p w14:paraId="5184B965">
                  <w:pPr>
                    <w:jc w:val="center"/>
                    <w:rPr>
                      <w:color w:val="auto"/>
                      <w:sz w:val="22"/>
                      <w:szCs w:val="22"/>
                    </w:rPr>
                  </w:pPr>
                  <w:r>
                    <w:rPr>
                      <w:rFonts w:hint="eastAsia"/>
                      <w:color w:val="auto"/>
                      <w:sz w:val="22"/>
                      <w:szCs w:val="22"/>
                    </w:rPr>
                    <w:t>46</w:t>
                  </w:r>
                </w:p>
              </w:tc>
              <w:tc>
                <w:tcPr>
                  <w:tcW w:w="893" w:type="pct"/>
                  <w:tcBorders>
                    <w:top w:val="single" w:color="auto" w:sz="4" w:space="0"/>
                    <w:left w:val="single" w:color="auto" w:sz="4" w:space="0"/>
                    <w:bottom w:val="single" w:color="auto" w:sz="4" w:space="0"/>
                    <w:right w:val="single" w:color="auto" w:sz="4" w:space="0"/>
                  </w:tcBorders>
                  <w:vAlign w:val="center"/>
                </w:tcPr>
                <w:p w14:paraId="5E09913D">
                  <w:pPr>
                    <w:jc w:val="center"/>
                    <w:rPr>
                      <w:color w:val="auto"/>
                      <w:sz w:val="22"/>
                      <w:szCs w:val="22"/>
                    </w:rPr>
                  </w:pPr>
                  <w:r>
                    <w:rPr>
                      <w:rFonts w:hint="eastAsia"/>
                      <w:color w:val="auto"/>
                      <w:sz w:val="22"/>
                      <w:szCs w:val="22"/>
                    </w:rPr>
                    <w:t>42</w:t>
                  </w:r>
                </w:p>
              </w:tc>
              <w:tc>
                <w:tcPr>
                  <w:tcW w:w="538" w:type="pct"/>
                  <w:tcBorders>
                    <w:top w:val="single" w:color="auto" w:sz="4" w:space="0"/>
                    <w:left w:val="single" w:color="auto" w:sz="4" w:space="0"/>
                    <w:bottom w:val="single" w:color="auto" w:sz="4" w:space="0"/>
                    <w:right w:val="single" w:color="auto" w:sz="4" w:space="0"/>
                  </w:tcBorders>
                  <w:vAlign w:val="center"/>
                </w:tcPr>
                <w:p w14:paraId="4FCCC9BF">
                  <w:pPr>
                    <w:jc w:val="center"/>
                    <w:rPr>
                      <w:rFonts w:hint="default" w:eastAsia="宋体"/>
                      <w:color w:val="auto"/>
                      <w:sz w:val="22"/>
                      <w:szCs w:val="22"/>
                      <w:lang w:val="en-US" w:eastAsia="zh-CN"/>
                    </w:rPr>
                  </w:pPr>
                  <w:r>
                    <w:rPr>
                      <w:rFonts w:hint="eastAsia"/>
                      <w:color w:val="auto"/>
                      <w:sz w:val="22"/>
                      <w:szCs w:val="22"/>
                      <w:lang w:val="en-US" w:eastAsia="zh-CN"/>
                    </w:rPr>
                    <w:t>60</w:t>
                  </w:r>
                </w:p>
              </w:tc>
              <w:tc>
                <w:tcPr>
                  <w:tcW w:w="551" w:type="pct"/>
                  <w:tcBorders>
                    <w:top w:val="single" w:color="auto" w:sz="4" w:space="0"/>
                    <w:left w:val="single" w:color="auto" w:sz="4" w:space="0"/>
                    <w:bottom w:val="single" w:color="auto" w:sz="4" w:space="0"/>
                    <w:right w:val="single" w:color="auto" w:sz="4" w:space="0"/>
                  </w:tcBorders>
                  <w:vAlign w:val="center"/>
                </w:tcPr>
                <w:p w14:paraId="497C1F1B">
                  <w:pPr>
                    <w:jc w:val="center"/>
                    <w:rPr>
                      <w:rFonts w:hint="default" w:eastAsia="宋体"/>
                      <w:color w:val="auto"/>
                      <w:sz w:val="22"/>
                      <w:szCs w:val="22"/>
                      <w:lang w:val="en-US" w:eastAsia="zh-CN"/>
                    </w:rPr>
                  </w:pPr>
                  <w:r>
                    <w:rPr>
                      <w:rFonts w:hint="eastAsia"/>
                      <w:color w:val="auto"/>
                      <w:sz w:val="22"/>
                      <w:szCs w:val="22"/>
                      <w:lang w:val="en-US" w:eastAsia="zh-CN"/>
                    </w:rPr>
                    <w:t>50</w:t>
                  </w:r>
                </w:p>
              </w:tc>
            </w:tr>
            <w:tr w14:paraId="689CA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389" w:type="pct"/>
                  <w:tcBorders>
                    <w:top w:val="single" w:color="auto" w:sz="4" w:space="0"/>
                    <w:left w:val="single" w:color="auto" w:sz="4" w:space="0"/>
                    <w:bottom w:val="single" w:color="auto" w:sz="4" w:space="0"/>
                    <w:right w:val="single" w:color="auto" w:sz="4" w:space="0"/>
                  </w:tcBorders>
                  <w:vAlign w:val="center"/>
                </w:tcPr>
                <w:p w14:paraId="09FB9304">
                  <w:pPr>
                    <w:jc w:val="center"/>
                    <w:rPr>
                      <w:bCs/>
                      <w:color w:val="auto"/>
                      <w:sz w:val="22"/>
                      <w:szCs w:val="22"/>
                    </w:rPr>
                  </w:pPr>
                  <w:r>
                    <w:rPr>
                      <w:rFonts w:hint="eastAsia"/>
                      <w:bCs/>
                      <w:color w:val="auto"/>
                      <w:sz w:val="22"/>
                      <w:szCs w:val="22"/>
                    </w:rPr>
                    <w:t>N2</w:t>
                  </w:r>
                </w:p>
              </w:tc>
              <w:tc>
                <w:tcPr>
                  <w:tcW w:w="1782" w:type="pct"/>
                  <w:tcBorders>
                    <w:top w:val="single" w:color="auto" w:sz="4" w:space="0"/>
                    <w:left w:val="single" w:color="auto" w:sz="4" w:space="0"/>
                    <w:bottom w:val="single" w:color="auto" w:sz="4" w:space="0"/>
                    <w:right w:val="single" w:color="auto" w:sz="4" w:space="0"/>
                  </w:tcBorders>
                  <w:vAlign w:val="center"/>
                </w:tcPr>
                <w:p w14:paraId="1898FC97">
                  <w:pPr>
                    <w:jc w:val="center"/>
                    <w:rPr>
                      <w:bCs/>
                      <w:color w:val="auto"/>
                      <w:sz w:val="22"/>
                      <w:szCs w:val="22"/>
                      <w:highlight w:val="yellow"/>
                    </w:rPr>
                  </w:pPr>
                  <w:r>
                    <w:rPr>
                      <w:rFonts w:hint="eastAsia"/>
                      <w:color w:val="auto"/>
                      <w:sz w:val="22"/>
                      <w:szCs w:val="22"/>
                    </w:rPr>
                    <w:t>奉节</w:t>
                  </w:r>
                  <w:r>
                    <w:rPr>
                      <w:color w:val="auto"/>
                      <w:sz w:val="22"/>
                      <w:szCs w:val="22"/>
                    </w:rPr>
                    <w:t>县冯坪乡庙坝村</w:t>
                  </w:r>
                  <w:r>
                    <w:rPr>
                      <w:rFonts w:hint="eastAsia"/>
                      <w:color w:val="auto"/>
                      <w:sz w:val="22"/>
                      <w:szCs w:val="22"/>
                    </w:rPr>
                    <w:t>22组3号</w:t>
                  </w:r>
                  <w:r>
                    <w:rPr>
                      <w:color w:val="auto"/>
                      <w:sz w:val="22"/>
                      <w:szCs w:val="22"/>
                    </w:rPr>
                    <w:t>潘桂英</w:t>
                  </w:r>
                  <w:r>
                    <w:rPr>
                      <w:rFonts w:hint="eastAsia"/>
                      <w:color w:val="auto"/>
                      <w:sz w:val="22"/>
                      <w:szCs w:val="22"/>
                    </w:rPr>
                    <w:t>家。</w:t>
                  </w:r>
                  <w:r>
                    <w:rPr>
                      <w:color w:val="auto"/>
                      <w:sz w:val="22"/>
                      <w:szCs w:val="22"/>
                    </w:rPr>
                    <w:t>环境</w:t>
                  </w:r>
                  <w:r>
                    <w:rPr>
                      <w:rFonts w:hint="eastAsia"/>
                      <w:color w:val="auto"/>
                      <w:sz w:val="22"/>
                      <w:szCs w:val="22"/>
                    </w:rPr>
                    <w:t>噪声</w:t>
                  </w:r>
                  <w:r>
                    <w:rPr>
                      <w:color w:val="auto"/>
                      <w:sz w:val="22"/>
                      <w:szCs w:val="22"/>
                    </w:rPr>
                    <w:t>监测点位于房屋墙壁约</w:t>
                  </w:r>
                  <w:r>
                    <w:rPr>
                      <w:rFonts w:hint="eastAsia"/>
                      <w:color w:val="auto"/>
                      <w:sz w:val="22"/>
                      <w:szCs w:val="22"/>
                    </w:rPr>
                    <w:t>1</w:t>
                  </w:r>
                  <w:r>
                    <w:rPr>
                      <w:color w:val="auto"/>
                      <w:sz w:val="22"/>
                      <w:szCs w:val="22"/>
                    </w:rPr>
                    <w:t>m</w:t>
                  </w:r>
                  <w:r>
                    <w:rPr>
                      <w:rFonts w:hint="eastAsia"/>
                      <w:color w:val="auto"/>
                      <w:sz w:val="22"/>
                      <w:szCs w:val="22"/>
                    </w:rPr>
                    <w:t>处</w:t>
                  </w:r>
                  <w:r>
                    <w:rPr>
                      <w:color w:val="auto"/>
                      <w:sz w:val="22"/>
                      <w:szCs w:val="22"/>
                    </w:rPr>
                    <w:t>。</w:t>
                  </w:r>
                </w:p>
              </w:tc>
              <w:tc>
                <w:tcPr>
                  <w:tcW w:w="844" w:type="pct"/>
                  <w:tcBorders>
                    <w:top w:val="single" w:color="auto" w:sz="4" w:space="0"/>
                    <w:left w:val="single" w:color="auto" w:sz="4" w:space="0"/>
                    <w:bottom w:val="single" w:color="auto" w:sz="4" w:space="0"/>
                    <w:right w:val="single" w:color="auto" w:sz="4" w:space="0"/>
                  </w:tcBorders>
                  <w:vAlign w:val="center"/>
                </w:tcPr>
                <w:p w14:paraId="28D2C347">
                  <w:pPr>
                    <w:jc w:val="center"/>
                    <w:rPr>
                      <w:color w:val="auto"/>
                      <w:sz w:val="22"/>
                      <w:szCs w:val="22"/>
                    </w:rPr>
                  </w:pPr>
                  <w:r>
                    <w:rPr>
                      <w:rFonts w:hint="eastAsia"/>
                      <w:color w:val="auto"/>
                      <w:sz w:val="22"/>
                      <w:szCs w:val="22"/>
                    </w:rPr>
                    <w:t>44</w:t>
                  </w:r>
                </w:p>
              </w:tc>
              <w:tc>
                <w:tcPr>
                  <w:tcW w:w="893" w:type="pct"/>
                  <w:tcBorders>
                    <w:top w:val="single" w:color="auto" w:sz="4" w:space="0"/>
                    <w:left w:val="single" w:color="auto" w:sz="4" w:space="0"/>
                    <w:bottom w:val="single" w:color="auto" w:sz="4" w:space="0"/>
                    <w:right w:val="single" w:color="auto" w:sz="4" w:space="0"/>
                  </w:tcBorders>
                  <w:vAlign w:val="center"/>
                </w:tcPr>
                <w:p w14:paraId="41789841">
                  <w:pPr>
                    <w:jc w:val="center"/>
                    <w:rPr>
                      <w:color w:val="auto"/>
                      <w:sz w:val="22"/>
                      <w:szCs w:val="22"/>
                    </w:rPr>
                  </w:pPr>
                  <w:r>
                    <w:rPr>
                      <w:rFonts w:hint="eastAsia"/>
                      <w:color w:val="auto"/>
                      <w:sz w:val="22"/>
                      <w:szCs w:val="22"/>
                    </w:rPr>
                    <w:t>38</w:t>
                  </w:r>
                </w:p>
              </w:tc>
              <w:tc>
                <w:tcPr>
                  <w:tcW w:w="538" w:type="pct"/>
                  <w:tcBorders>
                    <w:top w:val="single" w:color="auto" w:sz="4" w:space="0"/>
                    <w:left w:val="single" w:color="auto" w:sz="4" w:space="0"/>
                    <w:bottom w:val="single" w:color="auto" w:sz="4" w:space="0"/>
                    <w:right w:val="single" w:color="auto" w:sz="4" w:space="0"/>
                  </w:tcBorders>
                  <w:vAlign w:val="center"/>
                </w:tcPr>
                <w:p w14:paraId="41089C2B">
                  <w:pPr>
                    <w:jc w:val="center"/>
                    <w:rPr>
                      <w:color w:val="auto"/>
                      <w:sz w:val="22"/>
                      <w:szCs w:val="22"/>
                      <w:highlight w:val="yellow"/>
                    </w:rPr>
                  </w:pPr>
                  <w:r>
                    <w:rPr>
                      <w:rFonts w:hint="eastAsia"/>
                      <w:color w:val="auto"/>
                      <w:sz w:val="22"/>
                      <w:szCs w:val="22"/>
                    </w:rPr>
                    <w:t>55</w:t>
                  </w:r>
                </w:p>
              </w:tc>
              <w:tc>
                <w:tcPr>
                  <w:tcW w:w="551" w:type="pct"/>
                  <w:tcBorders>
                    <w:top w:val="single" w:color="auto" w:sz="4" w:space="0"/>
                    <w:left w:val="single" w:color="auto" w:sz="4" w:space="0"/>
                    <w:bottom w:val="single" w:color="auto" w:sz="4" w:space="0"/>
                    <w:right w:val="single" w:color="auto" w:sz="4" w:space="0"/>
                  </w:tcBorders>
                  <w:vAlign w:val="center"/>
                </w:tcPr>
                <w:p w14:paraId="2BF1E10F">
                  <w:pPr>
                    <w:jc w:val="center"/>
                    <w:rPr>
                      <w:color w:val="auto"/>
                      <w:sz w:val="22"/>
                      <w:szCs w:val="22"/>
                      <w:highlight w:val="yellow"/>
                    </w:rPr>
                  </w:pPr>
                  <w:r>
                    <w:rPr>
                      <w:rFonts w:hint="eastAsia"/>
                      <w:color w:val="auto"/>
                      <w:sz w:val="22"/>
                      <w:szCs w:val="22"/>
                    </w:rPr>
                    <w:t>45</w:t>
                  </w:r>
                </w:p>
              </w:tc>
            </w:tr>
            <w:tr w14:paraId="157575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95" w:hRule="atLeast"/>
                <w:jc w:val="center"/>
              </w:trPr>
              <w:tc>
                <w:tcPr>
                  <w:tcW w:w="389" w:type="pct"/>
                  <w:tcBorders>
                    <w:top w:val="single" w:color="auto" w:sz="4" w:space="0"/>
                    <w:left w:val="single" w:color="auto" w:sz="4" w:space="0"/>
                    <w:bottom w:val="single" w:color="auto" w:sz="4" w:space="0"/>
                    <w:right w:val="single" w:color="auto" w:sz="4" w:space="0"/>
                  </w:tcBorders>
                  <w:vAlign w:val="center"/>
                </w:tcPr>
                <w:p w14:paraId="74B67BA3">
                  <w:pPr>
                    <w:jc w:val="center"/>
                    <w:rPr>
                      <w:bCs/>
                      <w:color w:val="auto"/>
                      <w:sz w:val="22"/>
                      <w:szCs w:val="22"/>
                    </w:rPr>
                  </w:pPr>
                  <w:r>
                    <w:rPr>
                      <w:rFonts w:hint="eastAsia"/>
                      <w:color w:val="auto"/>
                      <w:sz w:val="22"/>
                      <w:szCs w:val="22"/>
                    </w:rPr>
                    <w:t>N3</w:t>
                  </w:r>
                </w:p>
              </w:tc>
              <w:tc>
                <w:tcPr>
                  <w:tcW w:w="1782" w:type="pct"/>
                  <w:tcBorders>
                    <w:top w:val="single" w:color="auto" w:sz="4" w:space="0"/>
                    <w:left w:val="single" w:color="auto" w:sz="4" w:space="0"/>
                    <w:bottom w:val="single" w:color="auto" w:sz="4" w:space="0"/>
                    <w:right w:val="single" w:color="auto" w:sz="4" w:space="0"/>
                  </w:tcBorders>
                  <w:vAlign w:val="center"/>
                </w:tcPr>
                <w:p w14:paraId="76C7B687">
                  <w:pPr>
                    <w:jc w:val="center"/>
                    <w:rPr>
                      <w:color w:val="auto"/>
                      <w:sz w:val="22"/>
                      <w:szCs w:val="22"/>
                      <w:highlight w:val="yellow"/>
                    </w:rPr>
                  </w:pPr>
                  <w:r>
                    <w:rPr>
                      <w:rFonts w:hint="eastAsia"/>
                      <w:color w:val="auto"/>
                      <w:sz w:val="22"/>
                      <w:szCs w:val="22"/>
                    </w:rPr>
                    <w:t>奉节县</w:t>
                  </w:r>
                  <w:r>
                    <w:rPr>
                      <w:color w:val="auto"/>
                      <w:sz w:val="22"/>
                      <w:szCs w:val="22"/>
                    </w:rPr>
                    <w:t>新民镇</w:t>
                  </w:r>
                  <w:r>
                    <w:rPr>
                      <w:rFonts w:hint="eastAsia"/>
                      <w:color w:val="auto"/>
                      <w:sz w:val="22"/>
                      <w:szCs w:val="22"/>
                    </w:rPr>
                    <w:t>长</w:t>
                  </w:r>
                  <w:r>
                    <w:rPr>
                      <w:color w:val="auto"/>
                      <w:sz w:val="22"/>
                      <w:szCs w:val="22"/>
                    </w:rPr>
                    <w:t>棚村</w:t>
                  </w:r>
                  <w:r>
                    <w:rPr>
                      <w:rFonts w:hint="eastAsia"/>
                      <w:color w:val="auto"/>
                      <w:sz w:val="22"/>
                      <w:szCs w:val="22"/>
                    </w:rPr>
                    <w:t>10社2号</w:t>
                  </w:r>
                  <w:r>
                    <w:rPr>
                      <w:color w:val="auto"/>
                      <w:sz w:val="22"/>
                      <w:szCs w:val="22"/>
                    </w:rPr>
                    <w:t>。环境</w:t>
                  </w:r>
                  <w:r>
                    <w:rPr>
                      <w:rFonts w:hint="eastAsia"/>
                      <w:color w:val="auto"/>
                      <w:sz w:val="22"/>
                      <w:szCs w:val="22"/>
                    </w:rPr>
                    <w:t>噪声</w:t>
                  </w:r>
                  <w:r>
                    <w:rPr>
                      <w:color w:val="auto"/>
                      <w:sz w:val="22"/>
                      <w:szCs w:val="22"/>
                    </w:rPr>
                    <w:t>监测点位于房屋墙壁约</w:t>
                  </w:r>
                  <w:r>
                    <w:rPr>
                      <w:rFonts w:hint="eastAsia"/>
                      <w:color w:val="auto"/>
                      <w:sz w:val="22"/>
                      <w:szCs w:val="22"/>
                    </w:rPr>
                    <w:t>1</w:t>
                  </w:r>
                  <w:r>
                    <w:rPr>
                      <w:color w:val="auto"/>
                      <w:sz w:val="22"/>
                      <w:szCs w:val="22"/>
                    </w:rPr>
                    <w:t>m</w:t>
                  </w:r>
                  <w:r>
                    <w:rPr>
                      <w:rFonts w:hint="eastAsia"/>
                      <w:color w:val="auto"/>
                      <w:sz w:val="22"/>
                      <w:szCs w:val="22"/>
                    </w:rPr>
                    <w:t>处</w:t>
                  </w:r>
                  <w:r>
                    <w:rPr>
                      <w:color w:val="auto"/>
                      <w:sz w:val="22"/>
                      <w:szCs w:val="22"/>
                    </w:rPr>
                    <w:t>。</w:t>
                  </w:r>
                </w:p>
              </w:tc>
              <w:tc>
                <w:tcPr>
                  <w:tcW w:w="844" w:type="pct"/>
                  <w:tcBorders>
                    <w:top w:val="single" w:color="auto" w:sz="4" w:space="0"/>
                    <w:left w:val="single" w:color="auto" w:sz="4" w:space="0"/>
                    <w:bottom w:val="single" w:color="auto" w:sz="4" w:space="0"/>
                    <w:right w:val="single" w:color="auto" w:sz="4" w:space="0"/>
                  </w:tcBorders>
                  <w:vAlign w:val="center"/>
                </w:tcPr>
                <w:p w14:paraId="3B6F58A6">
                  <w:pPr>
                    <w:jc w:val="center"/>
                    <w:rPr>
                      <w:color w:val="auto"/>
                      <w:sz w:val="22"/>
                      <w:szCs w:val="22"/>
                    </w:rPr>
                  </w:pPr>
                  <w:r>
                    <w:rPr>
                      <w:rFonts w:hint="eastAsia"/>
                      <w:color w:val="auto"/>
                      <w:sz w:val="22"/>
                      <w:szCs w:val="22"/>
                    </w:rPr>
                    <w:t>43</w:t>
                  </w:r>
                </w:p>
              </w:tc>
              <w:tc>
                <w:tcPr>
                  <w:tcW w:w="893" w:type="pct"/>
                  <w:tcBorders>
                    <w:top w:val="single" w:color="auto" w:sz="4" w:space="0"/>
                    <w:left w:val="single" w:color="auto" w:sz="4" w:space="0"/>
                    <w:bottom w:val="single" w:color="auto" w:sz="4" w:space="0"/>
                    <w:right w:val="single" w:color="auto" w:sz="4" w:space="0"/>
                  </w:tcBorders>
                  <w:vAlign w:val="center"/>
                </w:tcPr>
                <w:p w14:paraId="1DD31350">
                  <w:pPr>
                    <w:jc w:val="center"/>
                    <w:rPr>
                      <w:color w:val="auto"/>
                      <w:sz w:val="22"/>
                      <w:szCs w:val="22"/>
                    </w:rPr>
                  </w:pPr>
                  <w:r>
                    <w:rPr>
                      <w:rFonts w:hint="eastAsia"/>
                      <w:color w:val="auto"/>
                      <w:sz w:val="22"/>
                      <w:szCs w:val="22"/>
                    </w:rPr>
                    <w:t>38</w:t>
                  </w:r>
                </w:p>
              </w:tc>
              <w:tc>
                <w:tcPr>
                  <w:tcW w:w="865" w:type="dxa"/>
                  <w:tcBorders>
                    <w:top w:val="single" w:color="auto" w:sz="4" w:space="0"/>
                    <w:left w:val="single" w:color="auto" w:sz="4" w:space="0"/>
                    <w:bottom w:val="single" w:color="auto" w:sz="4" w:space="0"/>
                    <w:right w:val="single" w:color="auto" w:sz="4" w:space="0"/>
                  </w:tcBorders>
                  <w:vAlign w:val="center"/>
                </w:tcPr>
                <w:p w14:paraId="5AAB89C7">
                  <w:pPr>
                    <w:jc w:val="center"/>
                    <w:rPr>
                      <w:color w:val="auto"/>
                      <w:sz w:val="22"/>
                      <w:szCs w:val="22"/>
                      <w:highlight w:val="yellow"/>
                    </w:rPr>
                  </w:pPr>
                  <w:r>
                    <w:rPr>
                      <w:rFonts w:hint="eastAsia"/>
                      <w:color w:val="auto"/>
                      <w:sz w:val="22"/>
                      <w:szCs w:val="22"/>
                      <w:lang w:val="en-US" w:eastAsia="zh-CN"/>
                    </w:rPr>
                    <w:t>60</w:t>
                  </w:r>
                </w:p>
              </w:tc>
              <w:tc>
                <w:tcPr>
                  <w:tcW w:w="885" w:type="dxa"/>
                  <w:tcBorders>
                    <w:top w:val="single" w:color="auto" w:sz="4" w:space="0"/>
                    <w:left w:val="single" w:color="auto" w:sz="4" w:space="0"/>
                    <w:bottom w:val="single" w:color="auto" w:sz="4" w:space="0"/>
                    <w:right w:val="single" w:color="auto" w:sz="4" w:space="0"/>
                  </w:tcBorders>
                  <w:vAlign w:val="center"/>
                </w:tcPr>
                <w:p w14:paraId="1B40CF72">
                  <w:pPr>
                    <w:jc w:val="center"/>
                    <w:rPr>
                      <w:color w:val="auto"/>
                      <w:sz w:val="22"/>
                      <w:szCs w:val="22"/>
                      <w:highlight w:val="yellow"/>
                    </w:rPr>
                  </w:pPr>
                  <w:r>
                    <w:rPr>
                      <w:rFonts w:hint="eastAsia"/>
                      <w:color w:val="auto"/>
                      <w:sz w:val="22"/>
                      <w:szCs w:val="22"/>
                      <w:lang w:val="en-US" w:eastAsia="zh-CN"/>
                    </w:rPr>
                    <w:t>50</w:t>
                  </w:r>
                </w:p>
              </w:tc>
            </w:tr>
            <w:tr w14:paraId="670C18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91" w:hRule="atLeast"/>
                <w:jc w:val="center"/>
              </w:trPr>
              <w:tc>
                <w:tcPr>
                  <w:tcW w:w="389" w:type="pct"/>
                  <w:vMerge w:val="restart"/>
                  <w:tcBorders>
                    <w:top w:val="single" w:color="auto" w:sz="4" w:space="0"/>
                    <w:left w:val="single" w:color="auto" w:sz="4" w:space="0"/>
                    <w:right w:val="single" w:color="auto" w:sz="4" w:space="0"/>
                  </w:tcBorders>
                  <w:vAlign w:val="center"/>
                </w:tcPr>
                <w:p w14:paraId="77B2C906">
                  <w:pPr>
                    <w:jc w:val="center"/>
                    <w:rPr>
                      <w:bCs/>
                      <w:color w:val="auto"/>
                      <w:sz w:val="22"/>
                      <w:szCs w:val="22"/>
                    </w:rPr>
                  </w:pPr>
                  <w:r>
                    <w:rPr>
                      <w:rFonts w:hint="eastAsia"/>
                      <w:bCs/>
                      <w:color w:val="auto"/>
                      <w:sz w:val="22"/>
                      <w:szCs w:val="22"/>
                    </w:rPr>
                    <w:t>N4</w:t>
                  </w:r>
                </w:p>
              </w:tc>
              <w:tc>
                <w:tcPr>
                  <w:tcW w:w="1782" w:type="pct"/>
                  <w:tcBorders>
                    <w:top w:val="single" w:color="auto" w:sz="4" w:space="0"/>
                    <w:left w:val="single" w:color="auto" w:sz="4" w:space="0"/>
                    <w:right w:val="single" w:color="auto" w:sz="4" w:space="0"/>
                  </w:tcBorders>
                  <w:vAlign w:val="center"/>
                </w:tcPr>
                <w:p w14:paraId="2E812A62">
                  <w:pPr>
                    <w:jc w:val="center"/>
                    <w:rPr>
                      <w:color w:val="auto"/>
                      <w:sz w:val="22"/>
                      <w:szCs w:val="22"/>
                      <w:highlight w:val="yellow"/>
                    </w:rPr>
                  </w:pPr>
                  <w:r>
                    <w:rPr>
                      <w:rFonts w:hint="eastAsia"/>
                      <w:color w:val="auto"/>
                      <w:sz w:val="22"/>
                      <w:szCs w:val="22"/>
                    </w:rPr>
                    <w:t>奉节县</w:t>
                  </w:r>
                  <w:r>
                    <w:rPr>
                      <w:color w:val="auto"/>
                      <w:sz w:val="22"/>
                      <w:szCs w:val="22"/>
                    </w:rPr>
                    <w:t>新民镇</w:t>
                  </w:r>
                  <w:r>
                    <w:rPr>
                      <w:rFonts w:hint="eastAsia"/>
                      <w:color w:val="auto"/>
                      <w:sz w:val="22"/>
                      <w:szCs w:val="22"/>
                    </w:rPr>
                    <w:t>新民</w:t>
                  </w:r>
                  <w:r>
                    <w:rPr>
                      <w:color w:val="auto"/>
                      <w:sz w:val="22"/>
                      <w:szCs w:val="22"/>
                    </w:rPr>
                    <w:t>初级中学综合楼。环境</w:t>
                  </w:r>
                  <w:r>
                    <w:rPr>
                      <w:rFonts w:hint="eastAsia"/>
                      <w:color w:val="auto"/>
                      <w:sz w:val="22"/>
                      <w:szCs w:val="22"/>
                    </w:rPr>
                    <w:t>噪声</w:t>
                  </w:r>
                  <w:r>
                    <w:rPr>
                      <w:color w:val="auto"/>
                      <w:sz w:val="22"/>
                      <w:szCs w:val="22"/>
                    </w:rPr>
                    <w:t>监测点位于</w:t>
                  </w:r>
                  <w:r>
                    <w:rPr>
                      <w:rFonts w:hint="eastAsia"/>
                      <w:color w:val="auto"/>
                      <w:sz w:val="22"/>
                      <w:szCs w:val="22"/>
                    </w:rPr>
                    <w:t>1</w:t>
                  </w:r>
                  <w:r>
                    <w:rPr>
                      <w:color w:val="auto"/>
                      <w:sz w:val="22"/>
                      <w:szCs w:val="22"/>
                    </w:rPr>
                    <w:t>F</w:t>
                  </w:r>
                  <w:r>
                    <w:rPr>
                      <w:rFonts w:hint="eastAsia"/>
                      <w:color w:val="auto"/>
                      <w:sz w:val="22"/>
                      <w:szCs w:val="22"/>
                    </w:rPr>
                    <w:t>地面，1F</w:t>
                  </w:r>
                  <w:r>
                    <w:rPr>
                      <w:color w:val="auto"/>
                      <w:sz w:val="22"/>
                      <w:szCs w:val="22"/>
                    </w:rPr>
                    <w:t>地面</w:t>
                  </w:r>
                  <w:r>
                    <w:rPr>
                      <w:rFonts w:hint="eastAsia"/>
                      <w:color w:val="auto"/>
                      <w:sz w:val="22"/>
                      <w:szCs w:val="22"/>
                    </w:rPr>
                    <w:t>监测点</w:t>
                  </w:r>
                  <w:r>
                    <w:rPr>
                      <w:color w:val="auto"/>
                      <w:sz w:val="22"/>
                      <w:szCs w:val="22"/>
                    </w:rPr>
                    <w:t>距</w:t>
                  </w:r>
                  <w:r>
                    <w:rPr>
                      <w:rFonts w:hint="eastAsia"/>
                      <w:color w:val="auto"/>
                      <w:sz w:val="22"/>
                      <w:szCs w:val="22"/>
                    </w:rPr>
                    <w:t>楼房</w:t>
                  </w:r>
                  <w:r>
                    <w:rPr>
                      <w:color w:val="auto"/>
                      <w:sz w:val="22"/>
                      <w:szCs w:val="22"/>
                    </w:rPr>
                    <w:t>墙壁约</w:t>
                  </w:r>
                  <w:r>
                    <w:rPr>
                      <w:rFonts w:hint="eastAsia"/>
                      <w:color w:val="auto"/>
                      <w:sz w:val="22"/>
                      <w:szCs w:val="22"/>
                    </w:rPr>
                    <w:t>1</w:t>
                  </w:r>
                  <w:r>
                    <w:rPr>
                      <w:color w:val="auto"/>
                      <w:sz w:val="22"/>
                      <w:szCs w:val="22"/>
                    </w:rPr>
                    <w:t>m。</w:t>
                  </w:r>
                </w:p>
              </w:tc>
              <w:tc>
                <w:tcPr>
                  <w:tcW w:w="844" w:type="pct"/>
                  <w:tcBorders>
                    <w:top w:val="single" w:color="auto" w:sz="4" w:space="0"/>
                    <w:left w:val="single" w:color="auto" w:sz="4" w:space="0"/>
                    <w:right w:val="single" w:color="auto" w:sz="4" w:space="0"/>
                  </w:tcBorders>
                  <w:vAlign w:val="center"/>
                </w:tcPr>
                <w:p w14:paraId="5E553606">
                  <w:pPr>
                    <w:jc w:val="center"/>
                    <w:rPr>
                      <w:color w:val="auto"/>
                      <w:sz w:val="22"/>
                      <w:szCs w:val="22"/>
                    </w:rPr>
                  </w:pPr>
                  <w:r>
                    <w:rPr>
                      <w:rFonts w:hint="eastAsia"/>
                      <w:color w:val="auto"/>
                      <w:sz w:val="22"/>
                      <w:szCs w:val="22"/>
                    </w:rPr>
                    <w:t>48</w:t>
                  </w:r>
                </w:p>
              </w:tc>
              <w:tc>
                <w:tcPr>
                  <w:tcW w:w="893" w:type="pct"/>
                  <w:tcBorders>
                    <w:top w:val="single" w:color="auto" w:sz="4" w:space="0"/>
                    <w:left w:val="single" w:color="auto" w:sz="4" w:space="0"/>
                    <w:right w:val="single" w:color="auto" w:sz="4" w:space="0"/>
                  </w:tcBorders>
                  <w:vAlign w:val="center"/>
                </w:tcPr>
                <w:p w14:paraId="41FE0696">
                  <w:pPr>
                    <w:jc w:val="center"/>
                    <w:rPr>
                      <w:color w:val="auto"/>
                      <w:sz w:val="22"/>
                      <w:szCs w:val="22"/>
                    </w:rPr>
                  </w:pPr>
                  <w:r>
                    <w:rPr>
                      <w:rFonts w:hint="eastAsia"/>
                      <w:color w:val="auto"/>
                      <w:sz w:val="22"/>
                      <w:szCs w:val="22"/>
                    </w:rPr>
                    <w:t>40</w:t>
                  </w:r>
                </w:p>
              </w:tc>
              <w:tc>
                <w:tcPr>
                  <w:tcW w:w="865" w:type="dxa"/>
                  <w:tcBorders>
                    <w:top w:val="single" w:color="auto" w:sz="4" w:space="0"/>
                    <w:left w:val="single" w:color="auto" w:sz="4" w:space="0"/>
                    <w:right w:val="single" w:color="auto" w:sz="4" w:space="0"/>
                  </w:tcBorders>
                  <w:vAlign w:val="center"/>
                </w:tcPr>
                <w:p w14:paraId="5464FA85">
                  <w:pPr>
                    <w:jc w:val="center"/>
                    <w:rPr>
                      <w:color w:val="auto"/>
                      <w:sz w:val="22"/>
                      <w:szCs w:val="22"/>
                      <w:highlight w:val="yellow"/>
                    </w:rPr>
                  </w:pPr>
                  <w:r>
                    <w:rPr>
                      <w:rFonts w:hint="eastAsia"/>
                      <w:color w:val="auto"/>
                      <w:sz w:val="22"/>
                      <w:szCs w:val="22"/>
                      <w:lang w:val="en-US" w:eastAsia="zh-CN"/>
                    </w:rPr>
                    <w:t>60</w:t>
                  </w:r>
                </w:p>
              </w:tc>
              <w:tc>
                <w:tcPr>
                  <w:tcW w:w="885" w:type="dxa"/>
                  <w:tcBorders>
                    <w:top w:val="single" w:color="auto" w:sz="4" w:space="0"/>
                    <w:left w:val="single" w:color="auto" w:sz="4" w:space="0"/>
                    <w:bottom w:val="single" w:color="auto" w:sz="4" w:space="0"/>
                    <w:right w:val="single" w:color="auto" w:sz="4" w:space="0"/>
                  </w:tcBorders>
                  <w:vAlign w:val="center"/>
                </w:tcPr>
                <w:p w14:paraId="13412BCC">
                  <w:pPr>
                    <w:jc w:val="center"/>
                    <w:rPr>
                      <w:color w:val="auto"/>
                      <w:sz w:val="22"/>
                      <w:szCs w:val="22"/>
                      <w:highlight w:val="yellow"/>
                    </w:rPr>
                  </w:pPr>
                  <w:r>
                    <w:rPr>
                      <w:rFonts w:hint="eastAsia"/>
                      <w:color w:val="auto"/>
                      <w:sz w:val="22"/>
                      <w:szCs w:val="22"/>
                      <w:lang w:val="en-US" w:eastAsia="zh-CN"/>
                    </w:rPr>
                    <w:t>50</w:t>
                  </w:r>
                </w:p>
              </w:tc>
            </w:tr>
            <w:tr w14:paraId="3FEC56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389" w:type="pct"/>
                  <w:vMerge w:val="continue"/>
                  <w:tcBorders>
                    <w:left w:val="single" w:color="auto" w:sz="4" w:space="0"/>
                    <w:bottom w:val="single" w:color="auto" w:sz="4" w:space="0"/>
                    <w:right w:val="single" w:color="auto" w:sz="4" w:space="0"/>
                  </w:tcBorders>
                  <w:vAlign w:val="center"/>
                </w:tcPr>
                <w:p w14:paraId="38B864FB">
                  <w:pPr>
                    <w:jc w:val="center"/>
                    <w:rPr>
                      <w:bCs/>
                      <w:color w:val="auto"/>
                      <w:sz w:val="22"/>
                      <w:szCs w:val="22"/>
                    </w:rPr>
                  </w:pPr>
                </w:p>
              </w:tc>
              <w:tc>
                <w:tcPr>
                  <w:tcW w:w="1782" w:type="pct"/>
                  <w:tcBorders>
                    <w:left w:val="single" w:color="auto" w:sz="4" w:space="0"/>
                    <w:bottom w:val="single" w:color="auto" w:sz="4" w:space="0"/>
                    <w:right w:val="single" w:color="auto" w:sz="4" w:space="0"/>
                  </w:tcBorders>
                  <w:vAlign w:val="center"/>
                </w:tcPr>
                <w:p w14:paraId="21EF45B5">
                  <w:pPr>
                    <w:jc w:val="center"/>
                    <w:rPr>
                      <w:color w:val="auto"/>
                      <w:sz w:val="22"/>
                      <w:szCs w:val="22"/>
                    </w:rPr>
                  </w:pPr>
                  <w:r>
                    <w:rPr>
                      <w:rFonts w:hint="eastAsia"/>
                      <w:color w:val="auto"/>
                      <w:sz w:val="22"/>
                      <w:szCs w:val="22"/>
                    </w:rPr>
                    <w:t>奉节县</w:t>
                  </w:r>
                  <w:r>
                    <w:rPr>
                      <w:color w:val="auto"/>
                      <w:sz w:val="22"/>
                      <w:szCs w:val="22"/>
                    </w:rPr>
                    <w:t>新民镇</w:t>
                  </w:r>
                  <w:r>
                    <w:rPr>
                      <w:rFonts w:hint="eastAsia"/>
                      <w:color w:val="auto"/>
                      <w:sz w:val="22"/>
                      <w:szCs w:val="22"/>
                    </w:rPr>
                    <w:t>新民</w:t>
                  </w:r>
                  <w:r>
                    <w:rPr>
                      <w:color w:val="auto"/>
                      <w:sz w:val="22"/>
                      <w:szCs w:val="22"/>
                    </w:rPr>
                    <w:t>初级中学综合楼。环境</w:t>
                  </w:r>
                  <w:r>
                    <w:rPr>
                      <w:rFonts w:hint="eastAsia"/>
                      <w:color w:val="auto"/>
                      <w:sz w:val="22"/>
                      <w:szCs w:val="22"/>
                    </w:rPr>
                    <w:t>噪声</w:t>
                  </w:r>
                  <w:r>
                    <w:rPr>
                      <w:color w:val="auto"/>
                      <w:sz w:val="22"/>
                      <w:szCs w:val="22"/>
                    </w:rPr>
                    <w:t>监测点位于</w:t>
                  </w:r>
                  <w:r>
                    <w:rPr>
                      <w:rFonts w:hint="eastAsia"/>
                      <w:color w:val="auto"/>
                      <w:sz w:val="22"/>
                      <w:szCs w:val="22"/>
                    </w:rPr>
                    <w:t>4F教室，4F教室</w:t>
                  </w:r>
                  <w:r>
                    <w:rPr>
                      <w:color w:val="auto"/>
                      <w:sz w:val="22"/>
                      <w:szCs w:val="22"/>
                    </w:rPr>
                    <w:t>监测点使用延长杆</w:t>
                  </w:r>
                  <w:r>
                    <w:rPr>
                      <w:rFonts w:hint="eastAsia"/>
                      <w:color w:val="auto"/>
                      <w:sz w:val="22"/>
                      <w:szCs w:val="22"/>
                    </w:rPr>
                    <w:t>伸出</w:t>
                  </w:r>
                  <w:r>
                    <w:rPr>
                      <w:color w:val="auto"/>
                      <w:sz w:val="22"/>
                      <w:szCs w:val="22"/>
                    </w:rPr>
                    <w:t>窗外</w:t>
                  </w:r>
                  <w:r>
                    <w:rPr>
                      <w:rFonts w:hint="eastAsia"/>
                      <w:color w:val="auto"/>
                      <w:sz w:val="22"/>
                      <w:szCs w:val="22"/>
                    </w:rPr>
                    <w:t>约1</w:t>
                  </w:r>
                  <w:r>
                    <w:rPr>
                      <w:color w:val="auto"/>
                      <w:sz w:val="22"/>
                      <w:szCs w:val="22"/>
                    </w:rPr>
                    <w:t>m。</w:t>
                  </w:r>
                </w:p>
              </w:tc>
              <w:tc>
                <w:tcPr>
                  <w:tcW w:w="844" w:type="pct"/>
                  <w:tcBorders>
                    <w:top w:val="single" w:color="auto" w:sz="4" w:space="0"/>
                    <w:left w:val="single" w:color="auto" w:sz="4" w:space="0"/>
                    <w:bottom w:val="single" w:color="auto" w:sz="4" w:space="0"/>
                    <w:right w:val="single" w:color="auto" w:sz="4" w:space="0"/>
                  </w:tcBorders>
                  <w:vAlign w:val="center"/>
                </w:tcPr>
                <w:p w14:paraId="115B922A">
                  <w:pPr>
                    <w:jc w:val="center"/>
                    <w:rPr>
                      <w:color w:val="auto"/>
                      <w:sz w:val="22"/>
                      <w:szCs w:val="22"/>
                    </w:rPr>
                  </w:pPr>
                  <w:r>
                    <w:rPr>
                      <w:rFonts w:hint="eastAsia"/>
                      <w:color w:val="auto"/>
                      <w:sz w:val="22"/>
                      <w:szCs w:val="22"/>
                    </w:rPr>
                    <w:t>47</w:t>
                  </w:r>
                </w:p>
              </w:tc>
              <w:tc>
                <w:tcPr>
                  <w:tcW w:w="893" w:type="pct"/>
                  <w:tcBorders>
                    <w:top w:val="single" w:color="auto" w:sz="4" w:space="0"/>
                    <w:left w:val="single" w:color="auto" w:sz="4" w:space="0"/>
                    <w:bottom w:val="single" w:color="auto" w:sz="4" w:space="0"/>
                    <w:right w:val="single" w:color="auto" w:sz="4" w:space="0"/>
                  </w:tcBorders>
                  <w:vAlign w:val="center"/>
                </w:tcPr>
                <w:p w14:paraId="764FC4B4">
                  <w:pPr>
                    <w:jc w:val="center"/>
                    <w:rPr>
                      <w:color w:val="auto"/>
                      <w:sz w:val="22"/>
                      <w:szCs w:val="22"/>
                    </w:rPr>
                  </w:pPr>
                  <w:r>
                    <w:rPr>
                      <w:rFonts w:hint="eastAsia"/>
                      <w:color w:val="auto"/>
                      <w:sz w:val="22"/>
                      <w:szCs w:val="22"/>
                    </w:rPr>
                    <w:t>39</w:t>
                  </w:r>
                </w:p>
              </w:tc>
              <w:tc>
                <w:tcPr>
                  <w:tcW w:w="865" w:type="dxa"/>
                  <w:tcBorders>
                    <w:top w:val="single" w:color="auto" w:sz="4" w:space="0"/>
                    <w:left w:val="single" w:color="auto" w:sz="4" w:space="0"/>
                    <w:bottom w:val="single" w:color="auto" w:sz="4" w:space="0"/>
                    <w:right w:val="single" w:color="auto" w:sz="4" w:space="0"/>
                  </w:tcBorders>
                  <w:vAlign w:val="center"/>
                </w:tcPr>
                <w:p w14:paraId="1156CFDF">
                  <w:pPr>
                    <w:jc w:val="center"/>
                    <w:rPr>
                      <w:bCs/>
                      <w:color w:val="auto"/>
                      <w:sz w:val="22"/>
                      <w:szCs w:val="22"/>
                      <w:highlight w:val="yellow"/>
                    </w:rPr>
                  </w:pPr>
                  <w:r>
                    <w:rPr>
                      <w:rFonts w:hint="eastAsia"/>
                      <w:color w:val="auto"/>
                      <w:sz w:val="22"/>
                      <w:szCs w:val="22"/>
                      <w:lang w:val="en-US" w:eastAsia="zh-CN"/>
                    </w:rPr>
                    <w:t>60</w:t>
                  </w:r>
                </w:p>
              </w:tc>
              <w:tc>
                <w:tcPr>
                  <w:tcW w:w="885" w:type="dxa"/>
                  <w:tcBorders>
                    <w:top w:val="single" w:color="auto" w:sz="4" w:space="0"/>
                    <w:left w:val="single" w:color="auto" w:sz="4" w:space="0"/>
                    <w:bottom w:val="single" w:color="auto" w:sz="4" w:space="0"/>
                    <w:right w:val="single" w:color="auto" w:sz="4" w:space="0"/>
                  </w:tcBorders>
                  <w:vAlign w:val="center"/>
                </w:tcPr>
                <w:p w14:paraId="283379AC">
                  <w:pPr>
                    <w:jc w:val="center"/>
                    <w:rPr>
                      <w:bCs/>
                      <w:color w:val="auto"/>
                      <w:sz w:val="22"/>
                      <w:szCs w:val="22"/>
                      <w:highlight w:val="yellow"/>
                    </w:rPr>
                  </w:pPr>
                  <w:r>
                    <w:rPr>
                      <w:rFonts w:hint="eastAsia"/>
                      <w:color w:val="auto"/>
                      <w:sz w:val="22"/>
                      <w:szCs w:val="22"/>
                      <w:lang w:val="en-US" w:eastAsia="zh-CN"/>
                    </w:rPr>
                    <w:t>50</w:t>
                  </w:r>
                </w:p>
              </w:tc>
            </w:tr>
            <w:tr w14:paraId="67969D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389" w:type="pct"/>
                  <w:tcBorders>
                    <w:top w:val="single" w:color="auto" w:sz="4" w:space="0"/>
                    <w:left w:val="single" w:color="auto" w:sz="4" w:space="0"/>
                    <w:bottom w:val="single" w:color="auto" w:sz="4" w:space="0"/>
                    <w:right w:val="single" w:color="auto" w:sz="4" w:space="0"/>
                  </w:tcBorders>
                  <w:vAlign w:val="center"/>
                </w:tcPr>
                <w:p w14:paraId="5C404317">
                  <w:pPr>
                    <w:jc w:val="center"/>
                    <w:rPr>
                      <w:bCs/>
                      <w:color w:val="auto"/>
                      <w:sz w:val="22"/>
                      <w:szCs w:val="22"/>
                    </w:rPr>
                  </w:pPr>
                  <w:r>
                    <w:rPr>
                      <w:rFonts w:hint="eastAsia"/>
                      <w:color w:val="auto"/>
                      <w:sz w:val="22"/>
                      <w:szCs w:val="22"/>
                    </w:rPr>
                    <w:t>N5</w:t>
                  </w:r>
                </w:p>
              </w:tc>
              <w:tc>
                <w:tcPr>
                  <w:tcW w:w="1782" w:type="pct"/>
                  <w:tcBorders>
                    <w:top w:val="single" w:color="auto" w:sz="4" w:space="0"/>
                    <w:left w:val="single" w:color="auto" w:sz="4" w:space="0"/>
                    <w:bottom w:val="single" w:color="auto" w:sz="4" w:space="0"/>
                    <w:right w:val="single" w:color="auto" w:sz="4" w:space="0"/>
                  </w:tcBorders>
                  <w:vAlign w:val="center"/>
                </w:tcPr>
                <w:p w14:paraId="1F7071C4">
                  <w:pPr>
                    <w:jc w:val="center"/>
                    <w:rPr>
                      <w:color w:val="auto"/>
                      <w:sz w:val="22"/>
                      <w:szCs w:val="22"/>
                      <w:highlight w:val="yellow"/>
                    </w:rPr>
                  </w:pPr>
                  <w:r>
                    <w:rPr>
                      <w:rFonts w:hint="eastAsia"/>
                      <w:color w:val="auto"/>
                      <w:sz w:val="22"/>
                      <w:szCs w:val="22"/>
                    </w:rPr>
                    <w:t>奉节县</w:t>
                  </w:r>
                  <w:r>
                    <w:rPr>
                      <w:color w:val="auto"/>
                      <w:sz w:val="22"/>
                      <w:szCs w:val="22"/>
                    </w:rPr>
                    <w:t>新民镇</w:t>
                  </w:r>
                  <w:r>
                    <w:rPr>
                      <w:rFonts w:hint="eastAsia"/>
                      <w:color w:val="auto"/>
                      <w:sz w:val="22"/>
                      <w:szCs w:val="22"/>
                    </w:rPr>
                    <w:t>长</w:t>
                  </w:r>
                  <w:r>
                    <w:rPr>
                      <w:color w:val="auto"/>
                      <w:sz w:val="22"/>
                      <w:szCs w:val="22"/>
                    </w:rPr>
                    <w:t>棚村6</w:t>
                  </w:r>
                  <w:r>
                    <w:rPr>
                      <w:rFonts w:hint="eastAsia"/>
                      <w:color w:val="auto"/>
                      <w:sz w:val="22"/>
                      <w:szCs w:val="22"/>
                    </w:rPr>
                    <w:t>社朱仁</w:t>
                  </w:r>
                  <w:r>
                    <w:rPr>
                      <w:color w:val="auto"/>
                      <w:sz w:val="22"/>
                      <w:szCs w:val="22"/>
                    </w:rPr>
                    <w:t>平家。环境</w:t>
                  </w:r>
                  <w:r>
                    <w:rPr>
                      <w:rFonts w:hint="eastAsia"/>
                      <w:color w:val="auto"/>
                      <w:sz w:val="22"/>
                      <w:szCs w:val="22"/>
                    </w:rPr>
                    <w:t>噪声</w:t>
                  </w:r>
                  <w:r>
                    <w:rPr>
                      <w:color w:val="auto"/>
                      <w:sz w:val="22"/>
                      <w:szCs w:val="22"/>
                    </w:rPr>
                    <w:t>监测点位于房屋墙壁约</w:t>
                  </w:r>
                  <w:r>
                    <w:rPr>
                      <w:rFonts w:hint="eastAsia"/>
                      <w:color w:val="auto"/>
                      <w:sz w:val="22"/>
                      <w:szCs w:val="22"/>
                    </w:rPr>
                    <w:t>1</w:t>
                  </w:r>
                  <w:r>
                    <w:rPr>
                      <w:color w:val="auto"/>
                      <w:sz w:val="22"/>
                      <w:szCs w:val="22"/>
                    </w:rPr>
                    <w:t>m</w:t>
                  </w:r>
                  <w:r>
                    <w:rPr>
                      <w:rFonts w:hint="eastAsia"/>
                      <w:color w:val="auto"/>
                      <w:sz w:val="22"/>
                      <w:szCs w:val="22"/>
                    </w:rPr>
                    <w:t>处</w:t>
                  </w:r>
                  <w:r>
                    <w:rPr>
                      <w:color w:val="auto"/>
                      <w:sz w:val="22"/>
                      <w:szCs w:val="22"/>
                    </w:rPr>
                    <w:t>。</w:t>
                  </w:r>
                </w:p>
              </w:tc>
              <w:tc>
                <w:tcPr>
                  <w:tcW w:w="844" w:type="pct"/>
                  <w:tcBorders>
                    <w:top w:val="single" w:color="auto" w:sz="4" w:space="0"/>
                    <w:left w:val="single" w:color="auto" w:sz="4" w:space="0"/>
                    <w:bottom w:val="single" w:color="auto" w:sz="4" w:space="0"/>
                    <w:right w:val="single" w:color="auto" w:sz="4" w:space="0"/>
                  </w:tcBorders>
                  <w:vAlign w:val="center"/>
                </w:tcPr>
                <w:p w14:paraId="4A6EA628">
                  <w:pPr>
                    <w:jc w:val="center"/>
                    <w:rPr>
                      <w:color w:val="auto"/>
                      <w:sz w:val="22"/>
                      <w:szCs w:val="22"/>
                    </w:rPr>
                  </w:pPr>
                  <w:r>
                    <w:rPr>
                      <w:rFonts w:hint="eastAsia"/>
                      <w:color w:val="auto"/>
                      <w:sz w:val="22"/>
                      <w:szCs w:val="22"/>
                    </w:rPr>
                    <w:t>44</w:t>
                  </w:r>
                </w:p>
              </w:tc>
              <w:tc>
                <w:tcPr>
                  <w:tcW w:w="893" w:type="pct"/>
                  <w:tcBorders>
                    <w:top w:val="single" w:color="auto" w:sz="4" w:space="0"/>
                    <w:left w:val="single" w:color="auto" w:sz="4" w:space="0"/>
                    <w:bottom w:val="single" w:color="auto" w:sz="4" w:space="0"/>
                    <w:right w:val="single" w:color="auto" w:sz="4" w:space="0"/>
                  </w:tcBorders>
                  <w:vAlign w:val="center"/>
                </w:tcPr>
                <w:p w14:paraId="7D4C02BE">
                  <w:pPr>
                    <w:jc w:val="center"/>
                    <w:rPr>
                      <w:color w:val="auto"/>
                      <w:sz w:val="22"/>
                      <w:szCs w:val="22"/>
                    </w:rPr>
                  </w:pPr>
                  <w:r>
                    <w:rPr>
                      <w:rFonts w:hint="eastAsia"/>
                      <w:color w:val="auto"/>
                      <w:sz w:val="22"/>
                      <w:szCs w:val="22"/>
                    </w:rPr>
                    <w:t>39</w:t>
                  </w:r>
                </w:p>
              </w:tc>
              <w:tc>
                <w:tcPr>
                  <w:tcW w:w="865" w:type="dxa"/>
                  <w:tcBorders>
                    <w:top w:val="single" w:color="auto" w:sz="4" w:space="0"/>
                    <w:left w:val="single" w:color="auto" w:sz="4" w:space="0"/>
                    <w:bottom w:val="single" w:color="auto" w:sz="4" w:space="0"/>
                    <w:right w:val="single" w:color="auto" w:sz="4" w:space="0"/>
                  </w:tcBorders>
                  <w:vAlign w:val="center"/>
                </w:tcPr>
                <w:p w14:paraId="47553CD4">
                  <w:pPr>
                    <w:jc w:val="center"/>
                    <w:rPr>
                      <w:color w:val="auto"/>
                      <w:sz w:val="22"/>
                      <w:szCs w:val="22"/>
                      <w:highlight w:val="yellow"/>
                    </w:rPr>
                  </w:pPr>
                  <w:r>
                    <w:rPr>
                      <w:rFonts w:hint="eastAsia"/>
                      <w:color w:val="auto"/>
                      <w:sz w:val="22"/>
                      <w:szCs w:val="22"/>
                      <w:lang w:val="en-US" w:eastAsia="zh-CN"/>
                    </w:rPr>
                    <w:t>60</w:t>
                  </w:r>
                </w:p>
              </w:tc>
              <w:tc>
                <w:tcPr>
                  <w:tcW w:w="885" w:type="dxa"/>
                  <w:tcBorders>
                    <w:top w:val="single" w:color="auto" w:sz="4" w:space="0"/>
                    <w:left w:val="single" w:color="auto" w:sz="4" w:space="0"/>
                    <w:bottom w:val="single" w:color="auto" w:sz="4" w:space="0"/>
                    <w:right w:val="single" w:color="auto" w:sz="4" w:space="0"/>
                  </w:tcBorders>
                  <w:vAlign w:val="center"/>
                </w:tcPr>
                <w:p w14:paraId="71B90278">
                  <w:pPr>
                    <w:jc w:val="center"/>
                    <w:rPr>
                      <w:color w:val="auto"/>
                      <w:sz w:val="22"/>
                      <w:szCs w:val="22"/>
                      <w:highlight w:val="yellow"/>
                    </w:rPr>
                  </w:pPr>
                  <w:r>
                    <w:rPr>
                      <w:rFonts w:hint="eastAsia"/>
                      <w:color w:val="auto"/>
                      <w:sz w:val="22"/>
                      <w:szCs w:val="22"/>
                      <w:lang w:val="en-US" w:eastAsia="zh-CN"/>
                    </w:rPr>
                    <w:t>50</w:t>
                  </w:r>
                </w:p>
              </w:tc>
            </w:tr>
          </w:tbl>
          <w:p w14:paraId="7BA7140D">
            <w:pPr>
              <w:snapToGrid w:val="0"/>
              <w:ind w:firstLine="520" w:firstLineChars="200"/>
              <w:rPr>
                <w:color w:val="auto"/>
                <w:sz w:val="26"/>
                <w:szCs w:val="26"/>
                <w:highlight w:val="yellow"/>
              </w:rPr>
            </w:pPr>
          </w:p>
          <w:p w14:paraId="0C9C7377">
            <w:pPr>
              <w:adjustRightInd w:val="0"/>
              <w:snapToGrid w:val="0"/>
              <w:spacing w:line="460" w:lineRule="exact"/>
              <w:ind w:firstLine="520" w:firstLineChars="200"/>
              <w:rPr>
                <w:color w:val="auto"/>
                <w:sz w:val="26"/>
                <w:szCs w:val="26"/>
                <w:highlight w:val="yellow"/>
              </w:rPr>
            </w:pPr>
            <w:r>
              <w:rPr>
                <w:rFonts w:hint="eastAsia"/>
                <w:color w:val="auto"/>
                <w:sz w:val="26"/>
                <w:szCs w:val="26"/>
              </w:rPr>
              <w:t>根据现状监测，110kV间隔扩建一侧厂界噪声昼间监测值46dB（A），夜间监测值42dB（A），</w:t>
            </w:r>
            <w:r>
              <w:rPr>
                <w:rFonts w:hint="eastAsia"/>
                <w:color w:val="auto"/>
                <w:sz w:val="26"/>
                <w:szCs w:val="26"/>
                <w:highlight w:val="none"/>
              </w:rPr>
              <w:t>满足《工业企业厂界环境噪声排放标准》（GB1234-2008）</w:t>
            </w:r>
            <w:r>
              <w:rPr>
                <w:rFonts w:hint="eastAsia"/>
                <w:color w:val="auto"/>
                <w:sz w:val="26"/>
                <w:szCs w:val="26"/>
                <w:highlight w:val="none"/>
                <w:lang w:val="en-US" w:eastAsia="zh-CN"/>
              </w:rPr>
              <w:t>2</w:t>
            </w:r>
            <w:r>
              <w:rPr>
                <w:rFonts w:hint="eastAsia"/>
                <w:color w:val="auto"/>
                <w:sz w:val="26"/>
                <w:szCs w:val="26"/>
                <w:highlight w:val="none"/>
              </w:rPr>
              <w:t>类标准，</w:t>
            </w:r>
            <w:r>
              <w:rPr>
                <w:rFonts w:hint="eastAsia"/>
                <w:color w:val="auto"/>
                <w:sz w:val="26"/>
                <w:szCs w:val="26"/>
              </w:rPr>
              <w:t>评价范围内各敏感点昼间噪声监测值在43~48dB（A）之间，夜间噪声监测值在38</w:t>
            </w:r>
            <w:r>
              <w:rPr>
                <w:color w:val="auto"/>
                <w:sz w:val="26"/>
                <w:szCs w:val="26"/>
              </w:rPr>
              <w:t>~</w:t>
            </w:r>
            <w:r>
              <w:rPr>
                <w:rFonts w:hint="eastAsia"/>
                <w:color w:val="auto"/>
                <w:sz w:val="26"/>
                <w:szCs w:val="26"/>
              </w:rPr>
              <w:t>40</w:t>
            </w:r>
            <w:r>
              <w:rPr>
                <w:color w:val="auto"/>
                <w:sz w:val="26"/>
                <w:szCs w:val="26"/>
              </w:rPr>
              <w:t>dB</w:t>
            </w:r>
            <w:r>
              <w:rPr>
                <w:rFonts w:hint="eastAsia"/>
                <w:color w:val="auto"/>
                <w:sz w:val="26"/>
                <w:szCs w:val="26"/>
              </w:rPr>
              <w:t>（</w:t>
            </w:r>
            <w:r>
              <w:rPr>
                <w:color w:val="auto"/>
                <w:sz w:val="26"/>
                <w:szCs w:val="26"/>
              </w:rPr>
              <w:t>A</w:t>
            </w:r>
            <w:r>
              <w:rPr>
                <w:rFonts w:hint="eastAsia"/>
                <w:color w:val="auto"/>
                <w:sz w:val="26"/>
                <w:szCs w:val="26"/>
              </w:rPr>
              <w:t>）之间；线路沿线昼间噪声监测值为44dB（A），夜间噪声监测值为38dB（A）；声环境质量均能够满足《声环境质量标准》（</w:t>
            </w:r>
            <w:r>
              <w:rPr>
                <w:color w:val="auto"/>
                <w:sz w:val="26"/>
                <w:szCs w:val="26"/>
              </w:rPr>
              <w:t>GB3096-2008</w:t>
            </w:r>
            <w:r>
              <w:rPr>
                <w:rFonts w:hint="eastAsia"/>
                <w:color w:val="auto"/>
                <w:sz w:val="26"/>
                <w:szCs w:val="26"/>
              </w:rPr>
              <w:t>）1类</w:t>
            </w:r>
            <w:r>
              <w:rPr>
                <w:rFonts w:hint="eastAsia"/>
                <w:color w:val="auto"/>
                <w:sz w:val="26"/>
                <w:szCs w:val="26"/>
                <w:lang w:eastAsia="zh-CN"/>
              </w:rPr>
              <w:t>、</w:t>
            </w:r>
            <w:r>
              <w:rPr>
                <w:rFonts w:hint="eastAsia"/>
                <w:color w:val="auto"/>
                <w:sz w:val="26"/>
                <w:szCs w:val="26"/>
                <w:lang w:val="en-US" w:eastAsia="zh-CN"/>
              </w:rPr>
              <w:t>2类</w:t>
            </w:r>
            <w:r>
              <w:rPr>
                <w:rFonts w:hint="eastAsia"/>
                <w:color w:val="auto"/>
                <w:sz w:val="26"/>
                <w:szCs w:val="26"/>
              </w:rPr>
              <w:t>标准限值要求。</w:t>
            </w:r>
          </w:p>
          <w:p w14:paraId="7957D308">
            <w:pPr>
              <w:spacing w:line="460" w:lineRule="exact"/>
              <w:rPr>
                <w:b/>
                <w:bCs/>
                <w:color w:val="auto"/>
                <w:sz w:val="26"/>
                <w:szCs w:val="26"/>
              </w:rPr>
            </w:pPr>
            <w:r>
              <w:rPr>
                <w:b/>
                <w:bCs/>
                <w:color w:val="auto"/>
                <w:sz w:val="26"/>
                <w:szCs w:val="26"/>
              </w:rPr>
              <w:t>3.</w:t>
            </w:r>
            <w:r>
              <w:rPr>
                <w:rFonts w:hint="eastAsia"/>
                <w:b/>
                <w:bCs/>
                <w:color w:val="auto"/>
                <w:sz w:val="26"/>
                <w:szCs w:val="26"/>
              </w:rPr>
              <w:t>3电磁环境质量现状</w:t>
            </w:r>
          </w:p>
          <w:p w14:paraId="56BA8F40">
            <w:pPr>
              <w:adjustRightInd w:val="0"/>
              <w:snapToGrid w:val="0"/>
              <w:spacing w:line="460" w:lineRule="exact"/>
              <w:ind w:firstLine="520" w:firstLineChars="200"/>
              <w:rPr>
                <w:color w:val="auto"/>
                <w:sz w:val="22"/>
                <w:szCs w:val="22"/>
              </w:rPr>
            </w:pPr>
            <w:r>
              <w:rPr>
                <w:color w:val="auto"/>
                <w:sz w:val="26"/>
                <w:szCs w:val="26"/>
              </w:rPr>
              <w:t>根据典型监测点位监测结果，铁甲220千伏变电站110千伏间隔扩建一侧电场强度监测值为13.366V/m，磁感应强度监测值为0.48μT；架空线路沿线电场强度监测值在0.542~4.467V/m之间，磁感应强度监测值在0.009~0.011μT之间；均分别低于《电磁环境控制限值》（GB8702-2014）4000V/m及100μT的</w:t>
            </w:r>
            <w:r>
              <w:rPr>
                <w:rFonts w:hint="eastAsia"/>
                <w:color w:val="auto"/>
                <w:sz w:val="26"/>
                <w:szCs w:val="26"/>
                <w:lang w:val="en-US" w:eastAsia="zh-CN"/>
              </w:rPr>
              <w:t>限制要求</w:t>
            </w:r>
            <w:r>
              <w:rPr>
                <w:color w:val="auto"/>
                <w:sz w:val="26"/>
                <w:szCs w:val="26"/>
              </w:rPr>
              <w:t>。</w:t>
            </w:r>
          </w:p>
        </w:tc>
      </w:tr>
      <w:tr w14:paraId="508C02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04" w:type="dxa"/>
            <w:vAlign w:val="center"/>
          </w:tcPr>
          <w:p w14:paraId="718AF7F8">
            <w:pPr>
              <w:adjustRightInd w:val="0"/>
              <w:snapToGrid w:val="0"/>
              <w:spacing w:line="460" w:lineRule="exact"/>
              <w:jc w:val="center"/>
              <w:rPr>
                <w:color w:val="auto"/>
                <w:kern w:val="0"/>
                <w:szCs w:val="21"/>
              </w:rPr>
            </w:pPr>
            <w:r>
              <w:rPr>
                <w:rFonts w:hint="eastAsia"/>
                <w:color w:val="auto"/>
                <w:kern w:val="0"/>
                <w:sz w:val="26"/>
                <w:szCs w:val="26"/>
              </w:rPr>
              <w:t>与项目有关的原有环境污染和生态破坏问题</w:t>
            </w:r>
          </w:p>
        </w:tc>
        <w:tc>
          <w:tcPr>
            <w:tcW w:w="8253" w:type="dxa"/>
            <w:vAlign w:val="center"/>
          </w:tcPr>
          <w:p w14:paraId="41D7F21A">
            <w:pPr>
              <w:snapToGrid w:val="0"/>
              <w:spacing w:line="460" w:lineRule="exact"/>
              <w:rPr>
                <w:b/>
                <w:bCs/>
                <w:color w:val="auto"/>
                <w:sz w:val="26"/>
                <w:szCs w:val="26"/>
              </w:rPr>
            </w:pPr>
            <w:r>
              <w:rPr>
                <w:rFonts w:hint="eastAsia"/>
                <w:b/>
                <w:bCs/>
                <w:color w:val="auto"/>
                <w:sz w:val="26"/>
                <w:szCs w:val="26"/>
              </w:rPr>
              <w:t>3.4 220kV铁甲变电站</w:t>
            </w:r>
          </w:p>
          <w:p w14:paraId="164161A9">
            <w:pPr>
              <w:snapToGrid w:val="0"/>
              <w:spacing w:line="460" w:lineRule="exact"/>
              <w:ind w:firstLine="520" w:firstLineChars="200"/>
              <w:rPr>
                <w:color w:val="auto"/>
                <w:sz w:val="26"/>
                <w:szCs w:val="26"/>
                <w:highlight w:val="yellow"/>
              </w:rPr>
            </w:pPr>
            <w:r>
              <w:rPr>
                <w:rFonts w:hint="eastAsia" w:hAnsi="宋体"/>
                <w:color w:val="auto"/>
                <w:kern w:val="0"/>
                <w:sz w:val="26"/>
                <w:szCs w:val="26"/>
              </w:rPr>
              <w:t>经调查并查阅相关资料，220kV铁甲变电站为户外变电站，本期主变容量2</w:t>
            </w:r>
            <w:r>
              <w:rPr>
                <w:rFonts w:hint="eastAsia"/>
                <w:color w:val="auto"/>
                <w:sz w:val="26"/>
                <w:szCs w:val="26"/>
              </w:rPr>
              <w:t>现有主变容量2×180MVA</w:t>
            </w:r>
            <w:r>
              <w:rPr>
                <w:rFonts w:hint="eastAsia"/>
                <w:color w:val="auto"/>
                <w:sz w:val="26"/>
                <w:szCs w:val="26"/>
                <w:highlight w:val="none"/>
              </w:rPr>
              <w:t>。该</w:t>
            </w:r>
            <w:r>
              <w:rPr>
                <w:rFonts w:hint="eastAsia" w:hAnsi="宋体"/>
                <w:color w:val="auto"/>
                <w:kern w:val="0"/>
                <w:sz w:val="26"/>
                <w:szCs w:val="26"/>
              </w:rPr>
              <w:t>变电站</w:t>
            </w:r>
            <w:r>
              <w:rPr>
                <w:rFonts w:hint="eastAsia" w:hAnsi="宋体"/>
                <w:bCs/>
                <w:color w:val="auto"/>
                <w:sz w:val="26"/>
                <w:szCs w:val="26"/>
              </w:rPr>
              <w:t>于</w:t>
            </w:r>
            <w:r>
              <w:rPr>
                <w:color w:val="auto"/>
                <w:sz w:val="26"/>
                <w:szCs w:val="26"/>
              </w:rPr>
              <w:t>201</w:t>
            </w:r>
            <w:r>
              <w:rPr>
                <w:rFonts w:hint="eastAsia"/>
                <w:color w:val="auto"/>
                <w:sz w:val="26"/>
                <w:szCs w:val="26"/>
              </w:rPr>
              <w:t>1年5月</w:t>
            </w:r>
            <w:r>
              <w:rPr>
                <w:color w:val="auto"/>
                <w:sz w:val="26"/>
                <w:szCs w:val="26"/>
              </w:rPr>
              <w:t>1</w:t>
            </w:r>
            <w:r>
              <w:rPr>
                <w:rFonts w:hint="eastAsia"/>
                <w:color w:val="auto"/>
                <w:sz w:val="26"/>
                <w:szCs w:val="26"/>
              </w:rPr>
              <w:t>1日</w:t>
            </w:r>
            <w:r>
              <w:rPr>
                <w:rFonts w:hint="eastAsia" w:hAnsi="宋体"/>
                <w:bCs/>
                <w:color w:val="auto"/>
                <w:sz w:val="26"/>
                <w:szCs w:val="26"/>
              </w:rPr>
              <w:t>取得重庆市生态环境局核发的</w:t>
            </w:r>
            <w:r>
              <w:rPr>
                <w:rFonts w:hint="eastAsia" w:hAnsi="宋体"/>
                <w:color w:val="auto"/>
                <w:sz w:val="26"/>
                <w:szCs w:val="26"/>
              </w:rPr>
              <w:t>《重庆市建设项目环境保护批准书》（</w:t>
            </w:r>
            <w:r>
              <w:rPr>
                <w:rFonts w:hint="eastAsia"/>
                <w:color w:val="auto"/>
                <w:sz w:val="26"/>
                <w:szCs w:val="26"/>
              </w:rPr>
              <w:t>渝</w:t>
            </w:r>
            <w:r>
              <w:rPr>
                <w:color w:val="auto"/>
                <w:sz w:val="26"/>
                <w:szCs w:val="26"/>
              </w:rPr>
              <w:t>（辐）环准〔2011〕46号</w:t>
            </w:r>
            <w:r>
              <w:rPr>
                <w:rFonts w:hint="eastAsia" w:hAnsi="宋体"/>
                <w:color w:val="auto"/>
                <w:sz w:val="26"/>
                <w:szCs w:val="26"/>
              </w:rPr>
              <w:t>）</w:t>
            </w:r>
            <w:r>
              <w:rPr>
                <w:rFonts w:hint="eastAsia" w:hAnsi="宋体"/>
                <w:bCs/>
                <w:color w:val="auto"/>
                <w:sz w:val="26"/>
                <w:szCs w:val="26"/>
              </w:rPr>
              <w:t>；于</w:t>
            </w:r>
            <w:r>
              <w:rPr>
                <w:color w:val="auto"/>
                <w:sz w:val="26"/>
                <w:szCs w:val="26"/>
              </w:rPr>
              <w:t>201</w:t>
            </w:r>
            <w:r>
              <w:rPr>
                <w:rFonts w:hint="eastAsia"/>
                <w:color w:val="auto"/>
                <w:sz w:val="26"/>
                <w:szCs w:val="26"/>
              </w:rPr>
              <w:t>4年12月22日</w:t>
            </w:r>
            <w:r>
              <w:rPr>
                <w:rFonts w:hint="eastAsia" w:hAnsi="宋体"/>
                <w:bCs/>
                <w:color w:val="auto"/>
                <w:sz w:val="26"/>
                <w:szCs w:val="26"/>
              </w:rPr>
              <w:t>取得重庆市生态环境局核发的《重庆市建设项目竣工环境保护验收批复》</w:t>
            </w:r>
            <w:r>
              <w:rPr>
                <w:rFonts w:hint="eastAsia"/>
                <w:color w:val="auto"/>
                <w:sz w:val="26"/>
                <w:szCs w:val="26"/>
              </w:rPr>
              <w:t>（渝（辐）环验〔</w:t>
            </w:r>
            <w:r>
              <w:rPr>
                <w:color w:val="auto"/>
                <w:sz w:val="26"/>
                <w:szCs w:val="26"/>
              </w:rPr>
              <w:t>201</w:t>
            </w:r>
            <w:r>
              <w:rPr>
                <w:rFonts w:hint="eastAsia"/>
                <w:color w:val="auto"/>
                <w:sz w:val="26"/>
                <w:szCs w:val="26"/>
              </w:rPr>
              <w:t>4〕123号），详见附件7。</w:t>
            </w:r>
            <w:r>
              <w:rPr>
                <w:rFonts w:hint="eastAsia" w:hAnsi="宋体"/>
                <w:bCs/>
                <w:color w:val="auto"/>
                <w:sz w:val="26"/>
                <w:szCs w:val="26"/>
              </w:rPr>
              <w:t>经向奉节县生态环境局相关部门咨询，</w:t>
            </w:r>
            <w:r>
              <w:rPr>
                <w:rFonts w:hint="eastAsia" w:hAnsi="宋体"/>
                <w:color w:val="auto"/>
                <w:kern w:val="0"/>
                <w:sz w:val="26"/>
                <w:szCs w:val="26"/>
              </w:rPr>
              <w:t>220kV铁甲变电站</w:t>
            </w:r>
            <w:r>
              <w:rPr>
                <w:rFonts w:hint="eastAsia" w:hAnsi="宋体"/>
                <w:bCs/>
                <w:color w:val="auto"/>
                <w:sz w:val="26"/>
                <w:szCs w:val="26"/>
              </w:rPr>
              <w:t>建设至今未收到环保投诉，未发生环境污染事件。</w:t>
            </w:r>
          </w:p>
          <w:p w14:paraId="42A9F9AC">
            <w:pPr>
              <w:snapToGrid w:val="0"/>
              <w:spacing w:line="460" w:lineRule="exact"/>
              <w:rPr>
                <w:b/>
                <w:bCs/>
                <w:color w:val="auto"/>
                <w:sz w:val="26"/>
                <w:szCs w:val="26"/>
              </w:rPr>
            </w:pPr>
            <w:r>
              <w:rPr>
                <w:rFonts w:hint="eastAsia"/>
                <w:b/>
                <w:bCs/>
                <w:color w:val="auto"/>
                <w:sz w:val="26"/>
                <w:szCs w:val="26"/>
              </w:rPr>
              <w:t>3.5 110kV茅铁线</w:t>
            </w:r>
          </w:p>
          <w:p w14:paraId="425170E7">
            <w:pPr>
              <w:snapToGrid w:val="0"/>
              <w:spacing w:line="460" w:lineRule="exact"/>
              <w:ind w:firstLine="520" w:firstLineChars="200"/>
              <w:rPr>
                <w:rFonts w:hAnsi="宋体"/>
                <w:bCs/>
                <w:color w:val="auto"/>
                <w:sz w:val="26"/>
                <w:szCs w:val="26"/>
              </w:rPr>
            </w:pPr>
            <w:r>
              <w:rPr>
                <w:rFonts w:hint="eastAsia" w:hAnsi="宋体"/>
                <w:color w:val="auto"/>
                <w:sz w:val="26"/>
                <w:szCs w:val="26"/>
              </w:rPr>
              <w:t>110kV茅铁线</w:t>
            </w:r>
            <w:r>
              <w:rPr>
                <w:rFonts w:hAnsi="宋体"/>
                <w:color w:val="auto"/>
                <w:sz w:val="26"/>
                <w:szCs w:val="26"/>
              </w:rPr>
              <w:t>为</w:t>
            </w:r>
            <w:r>
              <w:rPr>
                <w:rFonts w:hint="eastAsia" w:hAnsi="宋体"/>
                <w:color w:val="auto"/>
                <w:sz w:val="26"/>
                <w:szCs w:val="26"/>
              </w:rPr>
              <w:t>11</w:t>
            </w:r>
            <w:r>
              <w:rPr>
                <w:color w:val="auto"/>
                <w:sz w:val="26"/>
                <w:szCs w:val="26"/>
              </w:rPr>
              <w:t>0kV</w:t>
            </w:r>
            <w:r>
              <w:rPr>
                <w:rFonts w:hint="eastAsia"/>
                <w:color w:val="auto"/>
                <w:sz w:val="26"/>
                <w:szCs w:val="26"/>
              </w:rPr>
              <w:t>茅草坝风电场升压站</w:t>
            </w:r>
            <w:r>
              <w:rPr>
                <w:rFonts w:hAnsi="宋体"/>
                <w:color w:val="auto"/>
                <w:sz w:val="26"/>
                <w:szCs w:val="26"/>
              </w:rPr>
              <w:t>至</w:t>
            </w:r>
            <w:r>
              <w:rPr>
                <w:rFonts w:hint="eastAsia" w:hAnsi="宋体"/>
                <w:color w:val="auto"/>
                <w:sz w:val="26"/>
                <w:szCs w:val="26"/>
              </w:rPr>
              <w:t>220kV铁甲变电站</w:t>
            </w:r>
            <w:r>
              <w:rPr>
                <w:rFonts w:hAnsi="宋体"/>
                <w:color w:val="auto"/>
                <w:sz w:val="26"/>
                <w:szCs w:val="26"/>
              </w:rPr>
              <w:t>的线路，全线采用单回</w:t>
            </w:r>
            <w:r>
              <w:rPr>
                <w:rFonts w:hint="eastAsia" w:hAnsi="宋体"/>
                <w:color w:val="auto"/>
                <w:sz w:val="26"/>
                <w:szCs w:val="26"/>
              </w:rPr>
              <w:t>单</w:t>
            </w:r>
            <w:r>
              <w:rPr>
                <w:rFonts w:hAnsi="宋体"/>
                <w:color w:val="auto"/>
                <w:sz w:val="26"/>
                <w:szCs w:val="26"/>
              </w:rPr>
              <w:t>分裂架空方式架设</w:t>
            </w:r>
            <w:r>
              <w:rPr>
                <w:rFonts w:hint="eastAsia" w:hAnsi="宋体"/>
                <w:color w:val="auto"/>
                <w:sz w:val="26"/>
                <w:szCs w:val="26"/>
                <w:lang w:eastAsia="zh-CN"/>
              </w:rPr>
              <w:t>，全长23.5km，线路曲折系数为1.19，全线采用LGJ-300/25钢芯铝绞线</w:t>
            </w:r>
            <w:r>
              <w:rPr>
                <w:rFonts w:hAnsi="宋体"/>
                <w:color w:val="auto"/>
                <w:sz w:val="26"/>
                <w:szCs w:val="26"/>
                <w:highlight w:val="none"/>
              </w:rPr>
              <w:t>。</w:t>
            </w:r>
            <w:r>
              <w:rPr>
                <w:rFonts w:hint="eastAsia" w:hAnsi="宋体"/>
                <w:color w:val="auto"/>
                <w:sz w:val="26"/>
                <w:szCs w:val="26"/>
              </w:rPr>
              <w:t>线路</w:t>
            </w:r>
            <w:r>
              <w:rPr>
                <w:rFonts w:hint="eastAsia" w:hAnsi="宋体"/>
                <w:bCs/>
                <w:color w:val="auto"/>
                <w:sz w:val="26"/>
                <w:szCs w:val="26"/>
              </w:rPr>
              <w:t>于</w:t>
            </w:r>
            <w:r>
              <w:rPr>
                <w:rFonts w:hAnsi="宋体"/>
                <w:bCs/>
                <w:color w:val="auto"/>
                <w:sz w:val="26"/>
                <w:szCs w:val="26"/>
              </w:rPr>
              <w:t>20</w:t>
            </w:r>
            <w:r>
              <w:rPr>
                <w:rFonts w:hint="eastAsia" w:hAnsi="宋体"/>
                <w:bCs/>
                <w:color w:val="auto"/>
                <w:sz w:val="26"/>
                <w:szCs w:val="26"/>
              </w:rPr>
              <w:t>11年3月取得重庆市生态环境局核发的</w:t>
            </w:r>
            <w:r>
              <w:rPr>
                <w:rFonts w:hint="eastAsia" w:hAnsi="宋体"/>
                <w:color w:val="auto"/>
                <w:sz w:val="26"/>
                <w:szCs w:val="26"/>
              </w:rPr>
              <w:t>《重庆市建设项目环境保护批准书》（</w:t>
            </w:r>
            <w:r>
              <w:rPr>
                <w:rFonts w:hint="eastAsia" w:hAnsi="宋体"/>
                <w:bCs/>
                <w:color w:val="auto"/>
                <w:sz w:val="26"/>
                <w:szCs w:val="26"/>
              </w:rPr>
              <w:t>渝（辐）环准〔2011〕</w:t>
            </w:r>
            <w:r>
              <w:rPr>
                <w:rFonts w:hint="eastAsia"/>
                <w:bCs/>
                <w:color w:val="auto"/>
                <w:sz w:val="26"/>
                <w:szCs w:val="26"/>
              </w:rPr>
              <w:t>26</w:t>
            </w:r>
            <w:r>
              <w:rPr>
                <w:rFonts w:hint="eastAsia" w:hAnsi="宋体"/>
                <w:bCs/>
                <w:color w:val="auto"/>
                <w:sz w:val="26"/>
                <w:szCs w:val="26"/>
              </w:rPr>
              <w:t>号</w:t>
            </w:r>
            <w:r>
              <w:rPr>
                <w:rFonts w:hint="eastAsia" w:hAnsi="宋体"/>
                <w:color w:val="auto"/>
                <w:sz w:val="26"/>
                <w:szCs w:val="26"/>
              </w:rPr>
              <w:t>）</w:t>
            </w:r>
            <w:r>
              <w:rPr>
                <w:rFonts w:hint="eastAsia" w:hAnsi="宋体"/>
                <w:bCs/>
                <w:color w:val="auto"/>
                <w:sz w:val="26"/>
                <w:szCs w:val="26"/>
              </w:rPr>
              <w:t>；</w:t>
            </w:r>
            <w:r>
              <w:rPr>
                <w:rFonts w:hint="eastAsia" w:ascii="Times New Roman" w:hAnsi="宋体" w:cs="Times New Roman"/>
                <w:bCs/>
                <w:color w:val="auto"/>
                <w:sz w:val="26"/>
                <w:szCs w:val="26"/>
                <w:lang w:val="en-US" w:eastAsia="zh-CN"/>
              </w:rPr>
              <w:t>项目建设完成后一直处于带电无负荷的状态，未正式投入使用，不具备验收条件，暂未进行竣工环保验收</w:t>
            </w:r>
            <w:r>
              <w:rPr>
                <w:rFonts w:hint="eastAsia" w:hAnsi="宋体"/>
                <w:bCs/>
                <w:color w:val="auto"/>
                <w:sz w:val="26"/>
                <w:szCs w:val="26"/>
                <w:lang w:val="en-US" w:eastAsia="zh-CN"/>
              </w:rPr>
              <w:t>。</w:t>
            </w:r>
            <w:r>
              <w:rPr>
                <w:rFonts w:hAnsi="宋体"/>
                <w:bCs/>
                <w:color w:val="auto"/>
                <w:sz w:val="26"/>
                <w:szCs w:val="26"/>
              </w:rPr>
              <w:t>经向</w:t>
            </w:r>
            <w:r>
              <w:rPr>
                <w:rFonts w:hint="eastAsia" w:hAnsi="宋体"/>
                <w:bCs/>
                <w:color w:val="auto"/>
                <w:sz w:val="26"/>
                <w:szCs w:val="26"/>
              </w:rPr>
              <w:t>奉节县</w:t>
            </w:r>
            <w:r>
              <w:rPr>
                <w:rFonts w:hAnsi="宋体"/>
                <w:bCs/>
                <w:color w:val="auto"/>
                <w:sz w:val="26"/>
                <w:szCs w:val="26"/>
              </w:rPr>
              <w:t>生态环境局相关部门咨询，</w:t>
            </w:r>
            <w:r>
              <w:rPr>
                <w:rFonts w:hint="eastAsia" w:hAnsi="宋体"/>
                <w:color w:val="auto"/>
                <w:sz w:val="26"/>
                <w:szCs w:val="26"/>
              </w:rPr>
              <w:t>110kV茅铁线</w:t>
            </w:r>
            <w:r>
              <w:rPr>
                <w:rFonts w:hAnsi="宋体"/>
                <w:bCs/>
                <w:color w:val="auto"/>
                <w:sz w:val="26"/>
                <w:szCs w:val="26"/>
              </w:rPr>
              <w:t>建设至今未收到环保投诉，未发生环境污染事件。</w:t>
            </w:r>
          </w:p>
          <w:p w14:paraId="5D57DEB2">
            <w:pPr>
              <w:snapToGrid w:val="0"/>
              <w:spacing w:line="460" w:lineRule="exact"/>
              <w:ind w:firstLine="520" w:firstLineChars="200"/>
              <w:rPr>
                <w:rFonts w:hint="default"/>
                <w:color w:val="auto"/>
                <w:sz w:val="26"/>
                <w:szCs w:val="26"/>
                <w:lang w:val="en-US" w:eastAsia="zh-CN"/>
              </w:rPr>
            </w:pPr>
            <w:r>
              <w:rPr>
                <w:rFonts w:hint="eastAsia" w:hAnsi="宋体"/>
                <w:bCs/>
                <w:color w:val="auto"/>
                <w:sz w:val="26"/>
                <w:szCs w:val="26"/>
                <w:lang w:val="en-US" w:eastAsia="zh-CN"/>
              </w:rPr>
              <w:t>待茅铁线</w:t>
            </w:r>
            <w:r>
              <w:rPr>
                <w:rFonts w:hint="eastAsia" w:ascii="Times New Roman" w:hAnsi="宋体" w:cs="Times New Roman"/>
                <w:bCs/>
                <w:color w:val="auto"/>
                <w:sz w:val="26"/>
                <w:szCs w:val="26"/>
                <w:lang w:val="en-US" w:eastAsia="zh-CN"/>
              </w:rPr>
              <w:t>正式投入使用，具备验收条件后，及时开展竣工环保验收相关工作。</w:t>
            </w:r>
          </w:p>
        </w:tc>
      </w:tr>
      <w:tr w14:paraId="3AD76D7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04" w:type="dxa"/>
            <w:vAlign w:val="center"/>
          </w:tcPr>
          <w:p w14:paraId="041CFF55">
            <w:pPr>
              <w:adjustRightInd w:val="0"/>
              <w:snapToGrid w:val="0"/>
              <w:spacing w:line="460" w:lineRule="exact"/>
              <w:jc w:val="center"/>
              <w:rPr>
                <w:color w:val="auto"/>
                <w:kern w:val="0"/>
                <w:szCs w:val="21"/>
              </w:rPr>
            </w:pPr>
            <w:r>
              <w:rPr>
                <w:rFonts w:hint="eastAsia"/>
                <w:color w:val="auto"/>
                <w:kern w:val="0"/>
                <w:sz w:val="26"/>
                <w:szCs w:val="26"/>
              </w:rPr>
              <w:t>生态环境保护目标</w:t>
            </w:r>
          </w:p>
        </w:tc>
        <w:tc>
          <w:tcPr>
            <w:tcW w:w="8253" w:type="dxa"/>
            <w:vAlign w:val="center"/>
          </w:tcPr>
          <w:p w14:paraId="78AAF841">
            <w:pPr>
              <w:adjustRightInd w:val="0"/>
              <w:snapToGrid w:val="0"/>
              <w:spacing w:line="460" w:lineRule="exact"/>
              <w:rPr>
                <w:b/>
                <w:bCs/>
                <w:color w:val="auto"/>
                <w:kern w:val="0"/>
                <w:sz w:val="26"/>
                <w:szCs w:val="26"/>
              </w:rPr>
            </w:pPr>
            <w:r>
              <w:rPr>
                <w:rFonts w:hint="eastAsia"/>
                <w:b/>
                <w:bCs/>
                <w:color w:val="auto"/>
                <w:kern w:val="0"/>
                <w:sz w:val="26"/>
                <w:szCs w:val="26"/>
              </w:rPr>
              <w:t>3</w:t>
            </w:r>
            <w:r>
              <w:rPr>
                <w:b/>
                <w:bCs/>
                <w:color w:val="auto"/>
                <w:kern w:val="0"/>
                <w:sz w:val="26"/>
                <w:szCs w:val="26"/>
              </w:rPr>
              <w:t>.</w:t>
            </w:r>
            <w:r>
              <w:rPr>
                <w:rFonts w:hint="eastAsia"/>
                <w:b/>
                <w:bCs/>
                <w:color w:val="auto"/>
                <w:kern w:val="0"/>
                <w:sz w:val="26"/>
                <w:szCs w:val="26"/>
              </w:rPr>
              <w:t>5生态环境保护目标</w:t>
            </w:r>
          </w:p>
          <w:p w14:paraId="701083AC">
            <w:pPr>
              <w:adjustRightInd w:val="0"/>
              <w:snapToGrid w:val="0"/>
              <w:spacing w:line="460" w:lineRule="exact"/>
              <w:ind w:firstLine="522" w:firstLineChars="200"/>
              <w:rPr>
                <w:b/>
                <w:bCs/>
                <w:color w:val="auto"/>
                <w:kern w:val="0"/>
                <w:sz w:val="26"/>
                <w:szCs w:val="26"/>
              </w:rPr>
            </w:pPr>
            <w:r>
              <w:rPr>
                <w:rFonts w:hint="eastAsia"/>
                <w:b/>
                <w:bCs/>
                <w:color w:val="auto"/>
                <w:kern w:val="0"/>
                <w:sz w:val="26"/>
                <w:szCs w:val="26"/>
              </w:rPr>
              <w:t>3.5.1生态敏感目标</w:t>
            </w:r>
          </w:p>
          <w:p w14:paraId="63729406">
            <w:pPr>
              <w:spacing w:line="460" w:lineRule="exact"/>
              <w:ind w:firstLine="520" w:firstLineChars="200"/>
              <w:rPr>
                <w:color w:val="auto"/>
                <w:sz w:val="26"/>
                <w:szCs w:val="26"/>
              </w:rPr>
            </w:pPr>
            <w:r>
              <w:rPr>
                <w:rFonts w:hint="eastAsia"/>
                <w:color w:val="auto"/>
                <w:sz w:val="26"/>
                <w:szCs w:val="26"/>
              </w:rPr>
              <w:t>根据现场调查及查询资料，项目线路穿越生态保护红线，项目已编制《重庆金凤山风电场扩建（望天坪）110千伏送出工程符合生态保护红线内有限人为活动（穿越生态红线）论证报告》，该报告中对工程的选址选线进行了论证，认定项目无法避让生态红线；根据《论证报告》及《生态影响专题报告》可知，拟建项目约4.9km架空线路和20基杆塔位于生态保护红线内，占用生态保护红线面积约1280m</w:t>
            </w:r>
            <w:r>
              <w:rPr>
                <w:rFonts w:hint="eastAsia"/>
                <w:color w:val="auto"/>
                <w:sz w:val="26"/>
                <w:szCs w:val="26"/>
                <w:vertAlign w:val="superscript"/>
              </w:rPr>
              <w:t>2</w:t>
            </w:r>
            <w:r>
              <w:rPr>
                <w:rFonts w:hint="eastAsia"/>
                <w:color w:val="auto"/>
                <w:sz w:val="26"/>
                <w:szCs w:val="26"/>
              </w:rPr>
              <w:t>，生态保护红线类型均为水土保持。项目环境保护目标统计见表3-5。</w:t>
            </w:r>
          </w:p>
          <w:p w14:paraId="1E6AE7DA">
            <w:pPr>
              <w:snapToGrid w:val="0"/>
              <w:ind w:firstLine="520" w:firstLineChars="200"/>
              <w:rPr>
                <w:color w:val="auto"/>
                <w:sz w:val="26"/>
                <w:szCs w:val="26"/>
                <w:highlight w:val="yellow"/>
              </w:rPr>
            </w:pPr>
          </w:p>
          <w:p w14:paraId="4AB15FB9">
            <w:pPr>
              <w:adjustRightInd w:val="0"/>
              <w:snapToGrid w:val="0"/>
              <w:jc w:val="center"/>
              <w:rPr>
                <w:color w:val="auto"/>
                <w:kern w:val="0"/>
                <w:sz w:val="26"/>
                <w:szCs w:val="26"/>
              </w:rPr>
            </w:pPr>
            <w:r>
              <w:rPr>
                <w:rFonts w:hint="eastAsia"/>
                <w:color w:val="auto"/>
                <w:kern w:val="0"/>
                <w:sz w:val="26"/>
                <w:szCs w:val="26"/>
              </w:rPr>
              <w:t>表3-5  项目生态保护目标一览表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28"/>
              <w:gridCol w:w="1939"/>
              <w:gridCol w:w="1400"/>
              <w:gridCol w:w="2296"/>
              <w:gridCol w:w="1864"/>
            </w:tblGrid>
            <w:tr w14:paraId="750695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4" w:hRule="atLeast"/>
                <w:tblHeader/>
                <w:jc w:val="center"/>
              </w:trPr>
              <w:tc>
                <w:tcPr>
                  <w:tcW w:w="328"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6FFA554F">
                  <w:pPr>
                    <w:jc w:val="center"/>
                    <w:rPr>
                      <w:color w:val="auto"/>
                      <w:sz w:val="22"/>
                      <w:szCs w:val="22"/>
                    </w:rPr>
                  </w:pPr>
                  <w:r>
                    <w:rPr>
                      <w:rFonts w:hint="eastAsia"/>
                      <w:color w:val="auto"/>
                      <w:sz w:val="22"/>
                      <w:szCs w:val="22"/>
                    </w:rPr>
                    <w:t>序号</w:t>
                  </w:r>
                </w:p>
              </w:tc>
              <w:tc>
                <w:tcPr>
                  <w:tcW w:w="1207"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321B7ECB">
                  <w:pPr>
                    <w:jc w:val="center"/>
                    <w:rPr>
                      <w:color w:val="auto"/>
                      <w:sz w:val="22"/>
                      <w:szCs w:val="22"/>
                    </w:rPr>
                  </w:pPr>
                  <w:r>
                    <w:rPr>
                      <w:rFonts w:hint="eastAsia"/>
                      <w:color w:val="auto"/>
                      <w:sz w:val="22"/>
                      <w:szCs w:val="22"/>
                    </w:rPr>
                    <w:t>保护目标名称</w:t>
                  </w:r>
                </w:p>
              </w:tc>
              <w:tc>
                <w:tcPr>
                  <w:tcW w:w="872" w:type="pct"/>
                  <w:tcBorders>
                    <w:top w:val="single" w:color="auto" w:sz="4" w:space="0"/>
                    <w:left w:val="single" w:color="auto" w:sz="4" w:space="0"/>
                    <w:bottom w:val="single" w:color="auto" w:sz="4" w:space="0"/>
                    <w:right w:val="single" w:color="auto" w:sz="4" w:space="0"/>
                  </w:tcBorders>
                  <w:shd w:val="clear" w:color="auto" w:fill="auto"/>
                  <w:vAlign w:val="center"/>
                </w:tcPr>
                <w:p w14:paraId="45A7FA18">
                  <w:pPr>
                    <w:jc w:val="center"/>
                    <w:rPr>
                      <w:color w:val="auto"/>
                      <w:sz w:val="22"/>
                      <w:szCs w:val="22"/>
                    </w:rPr>
                  </w:pPr>
                  <w:r>
                    <w:rPr>
                      <w:rFonts w:hint="eastAsia"/>
                      <w:color w:val="auto"/>
                      <w:sz w:val="22"/>
                      <w:szCs w:val="22"/>
                    </w:rPr>
                    <w:t>影响因素</w:t>
                  </w:r>
                </w:p>
              </w:tc>
              <w:tc>
                <w:tcPr>
                  <w:tcW w:w="1430" w:type="pct"/>
                  <w:vMerge w:val="restart"/>
                  <w:tcBorders>
                    <w:top w:val="single" w:color="auto" w:sz="4" w:space="0"/>
                    <w:left w:val="single" w:color="auto" w:sz="4" w:space="0"/>
                    <w:right w:val="single" w:color="auto" w:sz="4" w:space="0"/>
                  </w:tcBorders>
                  <w:shd w:val="clear" w:color="auto" w:fill="auto"/>
                  <w:vAlign w:val="center"/>
                </w:tcPr>
                <w:p w14:paraId="14B4C0ED">
                  <w:pPr>
                    <w:jc w:val="center"/>
                    <w:rPr>
                      <w:color w:val="auto"/>
                      <w:sz w:val="22"/>
                      <w:szCs w:val="22"/>
                    </w:rPr>
                  </w:pPr>
                  <w:r>
                    <w:rPr>
                      <w:rFonts w:hint="eastAsia"/>
                      <w:color w:val="auto"/>
                      <w:sz w:val="22"/>
                      <w:szCs w:val="22"/>
                    </w:rPr>
                    <w:t>位置关系</w:t>
                  </w:r>
                </w:p>
              </w:tc>
              <w:tc>
                <w:tcPr>
                  <w:tcW w:w="1161"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91000F7">
                  <w:pPr>
                    <w:jc w:val="center"/>
                    <w:rPr>
                      <w:color w:val="auto"/>
                      <w:sz w:val="22"/>
                      <w:szCs w:val="22"/>
                    </w:rPr>
                  </w:pPr>
                  <w:r>
                    <w:rPr>
                      <w:rFonts w:hint="eastAsia"/>
                      <w:color w:val="auto"/>
                      <w:sz w:val="22"/>
                      <w:szCs w:val="22"/>
                    </w:rPr>
                    <w:t>目标特征</w:t>
                  </w:r>
                </w:p>
              </w:tc>
            </w:tr>
            <w:tr w14:paraId="40AE73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0" w:hRule="atLeast"/>
                <w:tblHeader/>
                <w:jc w:val="center"/>
              </w:trPr>
              <w:tc>
                <w:tcPr>
                  <w:tcW w:w="328"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CFB3FEB">
                  <w:pPr>
                    <w:jc w:val="center"/>
                    <w:rPr>
                      <w:color w:val="auto"/>
                      <w:sz w:val="22"/>
                      <w:szCs w:val="22"/>
                    </w:rPr>
                  </w:pPr>
                </w:p>
              </w:tc>
              <w:tc>
                <w:tcPr>
                  <w:tcW w:w="1207"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65A1701">
                  <w:pPr>
                    <w:jc w:val="center"/>
                    <w:rPr>
                      <w:color w:val="auto"/>
                      <w:sz w:val="22"/>
                      <w:szCs w:val="22"/>
                    </w:rPr>
                  </w:pPr>
                </w:p>
              </w:tc>
              <w:tc>
                <w:tcPr>
                  <w:tcW w:w="872" w:type="pct"/>
                  <w:tcBorders>
                    <w:top w:val="single" w:color="auto" w:sz="4" w:space="0"/>
                    <w:left w:val="single" w:color="auto" w:sz="4" w:space="0"/>
                    <w:right w:val="single" w:color="auto" w:sz="4" w:space="0"/>
                  </w:tcBorders>
                  <w:shd w:val="clear" w:color="auto" w:fill="auto"/>
                  <w:vAlign w:val="center"/>
                </w:tcPr>
                <w:p w14:paraId="5783EBAB">
                  <w:pPr>
                    <w:jc w:val="center"/>
                    <w:rPr>
                      <w:color w:val="auto"/>
                      <w:sz w:val="22"/>
                      <w:szCs w:val="22"/>
                    </w:rPr>
                  </w:pPr>
                  <w:r>
                    <w:rPr>
                      <w:rFonts w:hint="eastAsia"/>
                      <w:color w:val="auto"/>
                      <w:sz w:val="22"/>
                      <w:szCs w:val="22"/>
                    </w:rPr>
                    <w:t>施工期</w:t>
                  </w:r>
                </w:p>
              </w:tc>
              <w:tc>
                <w:tcPr>
                  <w:tcW w:w="1430" w:type="pct"/>
                  <w:vMerge w:val="continue"/>
                  <w:tcBorders>
                    <w:left w:val="single" w:color="auto" w:sz="4" w:space="0"/>
                    <w:bottom w:val="single" w:color="auto" w:sz="4" w:space="0"/>
                    <w:right w:val="single" w:color="auto" w:sz="4" w:space="0"/>
                  </w:tcBorders>
                  <w:shd w:val="clear" w:color="auto" w:fill="auto"/>
                  <w:vAlign w:val="center"/>
                </w:tcPr>
                <w:p w14:paraId="37793F19">
                  <w:pPr>
                    <w:jc w:val="center"/>
                    <w:rPr>
                      <w:color w:val="auto"/>
                      <w:sz w:val="22"/>
                      <w:szCs w:val="22"/>
                    </w:rPr>
                  </w:pPr>
                </w:p>
              </w:tc>
              <w:tc>
                <w:tcPr>
                  <w:tcW w:w="1161"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FF9A670">
                  <w:pPr>
                    <w:jc w:val="center"/>
                    <w:rPr>
                      <w:color w:val="auto"/>
                      <w:sz w:val="22"/>
                      <w:szCs w:val="22"/>
                    </w:rPr>
                  </w:pPr>
                </w:p>
              </w:tc>
            </w:tr>
            <w:tr w14:paraId="5FE8F7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328" w:type="pct"/>
                  <w:tcBorders>
                    <w:top w:val="single" w:color="auto" w:sz="4" w:space="0"/>
                    <w:left w:val="single" w:color="auto" w:sz="4" w:space="0"/>
                    <w:bottom w:val="single" w:color="auto" w:sz="4" w:space="0"/>
                    <w:right w:val="single" w:color="auto" w:sz="4" w:space="0"/>
                  </w:tcBorders>
                  <w:shd w:val="clear" w:color="auto" w:fill="auto"/>
                  <w:vAlign w:val="center"/>
                </w:tcPr>
                <w:p w14:paraId="3C7EBC3B">
                  <w:pPr>
                    <w:jc w:val="center"/>
                    <w:rPr>
                      <w:color w:val="auto"/>
                      <w:sz w:val="22"/>
                      <w:szCs w:val="22"/>
                    </w:rPr>
                  </w:pPr>
                  <w:r>
                    <w:rPr>
                      <w:rFonts w:hint="eastAsia"/>
                      <w:color w:val="auto"/>
                      <w:sz w:val="22"/>
                      <w:szCs w:val="22"/>
                    </w:rPr>
                    <w:t>1</w:t>
                  </w:r>
                </w:p>
              </w:tc>
              <w:tc>
                <w:tcPr>
                  <w:tcW w:w="1207" w:type="pct"/>
                  <w:tcBorders>
                    <w:top w:val="single" w:color="auto" w:sz="4" w:space="0"/>
                    <w:left w:val="single" w:color="auto" w:sz="4" w:space="0"/>
                    <w:bottom w:val="single" w:color="auto" w:sz="4" w:space="0"/>
                    <w:right w:val="single" w:color="auto" w:sz="4" w:space="0"/>
                  </w:tcBorders>
                  <w:shd w:val="clear" w:color="auto" w:fill="auto"/>
                  <w:vAlign w:val="center"/>
                </w:tcPr>
                <w:p w14:paraId="1F06FDAE">
                  <w:pPr>
                    <w:jc w:val="center"/>
                    <w:rPr>
                      <w:color w:val="auto"/>
                      <w:sz w:val="22"/>
                      <w:szCs w:val="22"/>
                    </w:rPr>
                  </w:pPr>
                  <w:r>
                    <w:rPr>
                      <w:rFonts w:hint="eastAsia"/>
                      <w:color w:val="auto"/>
                      <w:sz w:val="22"/>
                      <w:szCs w:val="22"/>
                    </w:rPr>
                    <w:t>奉节县生态保护红线</w:t>
                  </w:r>
                </w:p>
              </w:tc>
              <w:tc>
                <w:tcPr>
                  <w:tcW w:w="872" w:type="pct"/>
                  <w:tcBorders>
                    <w:top w:val="single" w:color="auto" w:sz="4" w:space="0"/>
                    <w:left w:val="single" w:color="auto" w:sz="4" w:space="0"/>
                    <w:bottom w:val="single" w:color="auto" w:sz="4" w:space="0"/>
                    <w:right w:val="single" w:color="auto" w:sz="4" w:space="0"/>
                  </w:tcBorders>
                  <w:shd w:val="clear" w:color="auto" w:fill="auto"/>
                  <w:vAlign w:val="center"/>
                </w:tcPr>
                <w:p w14:paraId="3459910C">
                  <w:pPr>
                    <w:jc w:val="center"/>
                    <w:rPr>
                      <w:color w:val="auto"/>
                      <w:sz w:val="22"/>
                      <w:szCs w:val="22"/>
                    </w:rPr>
                  </w:pPr>
                  <w:r>
                    <w:rPr>
                      <w:rFonts w:hint="eastAsia"/>
                      <w:color w:val="auto"/>
                      <w:sz w:val="22"/>
                      <w:szCs w:val="22"/>
                    </w:rPr>
                    <w:t>施工扰动</w:t>
                  </w:r>
                </w:p>
              </w:tc>
              <w:tc>
                <w:tcPr>
                  <w:tcW w:w="1430" w:type="pct"/>
                  <w:tcBorders>
                    <w:top w:val="single" w:color="auto" w:sz="4" w:space="0"/>
                    <w:left w:val="single" w:color="auto" w:sz="4" w:space="0"/>
                    <w:bottom w:val="single" w:color="auto" w:sz="4" w:space="0"/>
                    <w:right w:val="single" w:color="auto" w:sz="4" w:space="0"/>
                  </w:tcBorders>
                  <w:shd w:val="clear" w:color="auto" w:fill="auto"/>
                  <w:vAlign w:val="center"/>
                </w:tcPr>
                <w:p w14:paraId="12DB0483">
                  <w:pPr>
                    <w:jc w:val="center"/>
                    <w:rPr>
                      <w:color w:val="auto"/>
                      <w:sz w:val="22"/>
                      <w:szCs w:val="22"/>
                    </w:rPr>
                  </w:pPr>
                  <w:r>
                    <w:rPr>
                      <w:rFonts w:hint="eastAsia"/>
                      <w:color w:val="auto"/>
                      <w:sz w:val="22"/>
                      <w:szCs w:val="22"/>
                    </w:rPr>
                    <w:t>新46#-N1</w:t>
                  </w:r>
                  <w:r>
                    <w:rPr>
                      <w:color w:val="auto"/>
                      <w:sz w:val="22"/>
                      <w:szCs w:val="22"/>
                    </w:rPr>
                    <w:t>-</w:t>
                  </w:r>
                  <w:r>
                    <w:rPr>
                      <w:rFonts w:hint="eastAsia"/>
                      <w:color w:val="auto"/>
                      <w:sz w:val="22"/>
                      <w:szCs w:val="22"/>
                    </w:rPr>
                    <w:t>N4</w:t>
                  </w:r>
                  <w:r>
                    <w:rPr>
                      <w:color w:val="auto"/>
                      <w:sz w:val="22"/>
                      <w:szCs w:val="22"/>
                    </w:rPr>
                    <w:t>、</w:t>
                  </w:r>
                  <w:r>
                    <w:rPr>
                      <w:rFonts w:hint="eastAsia"/>
                      <w:color w:val="auto"/>
                      <w:sz w:val="22"/>
                      <w:szCs w:val="22"/>
                    </w:rPr>
                    <w:t>N6</w:t>
                  </w:r>
                  <w:r>
                    <w:rPr>
                      <w:color w:val="auto"/>
                      <w:sz w:val="22"/>
                      <w:szCs w:val="22"/>
                    </w:rPr>
                    <w:t>-</w:t>
                  </w:r>
                  <w:r>
                    <w:rPr>
                      <w:rFonts w:hint="eastAsia"/>
                      <w:color w:val="auto"/>
                      <w:sz w:val="22"/>
                      <w:szCs w:val="22"/>
                    </w:rPr>
                    <w:t>N15</w:t>
                  </w:r>
                  <w:r>
                    <w:rPr>
                      <w:color w:val="auto"/>
                      <w:sz w:val="22"/>
                      <w:szCs w:val="22"/>
                    </w:rPr>
                    <w:t>、</w:t>
                  </w:r>
                  <w:r>
                    <w:rPr>
                      <w:rFonts w:hint="eastAsia"/>
                      <w:color w:val="auto"/>
                      <w:sz w:val="22"/>
                      <w:szCs w:val="22"/>
                    </w:rPr>
                    <w:t>N18</w:t>
                  </w:r>
                  <w:r>
                    <w:rPr>
                      <w:color w:val="auto"/>
                      <w:sz w:val="22"/>
                      <w:szCs w:val="22"/>
                    </w:rPr>
                    <w:t>-</w:t>
                  </w:r>
                  <w:r>
                    <w:rPr>
                      <w:rFonts w:hint="eastAsia"/>
                      <w:color w:val="auto"/>
                      <w:sz w:val="22"/>
                      <w:szCs w:val="22"/>
                    </w:rPr>
                    <w:t>N22共20基塔在生态保护红线内，穿越长度约4.9km，占地约1280m</w:t>
                  </w:r>
                  <w:r>
                    <w:rPr>
                      <w:rFonts w:hint="eastAsia"/>
                      <w:color w:val="auto"/>
                      <w:sz w:val="22"/>
                      <w:szCs w:val="22"/>
                      <w:vertAlign w:val="superscript"/>
                    </w:rPr>
                    <w:t>2</w:t>
                  </w:r>
                </w:p>
              </w:tc>
              <w:tc>
                <w:tcPr>
                  <w:tcW w:w="1161" w:type="pct"/>
                  <w:tcBorders>
                    <w:top w:val="single" w:color="auto" w:sz="4" w:space="0"/>
                    <w:left w:val="single" w:color="auto" w:sz="4" w:space="0"/>
                    <w:bottom w:val="single" w:color="auto" w:sz="4" w:space="0"/>
                    <w:right w:val="single" w:color="auto" w:sz="4" w:space="0"/>
                  </w:tcBorders>
                  <w:shd w:val="clear" w:color="auto" w:fill="auto"/>
                  <w:vAlign w:val="center"/>
                </w:tcPr>
                <w:p w14:paraId="65F9428F">
                  <w:pPr>
                    <w:jc w:val="center"/>
                    <w:rPr>
                      <w:color w:val="auto"/>
                      <w:sz w:val="22"/>
                      <w:szCs w:val="22"/>
                    </w:rPr>
                  </w:pPr>
                  <w:r>
                    <w:rPr>
                      <w:rFonts w:hint="eastAsia"/>
                      <w:color w:val="auto"/>
                      <w:sz w:val="22"/>
                      <w:szCs w:val="22"/>
                    </w:rPr>
                    <w:t>生态保护红线类型为水土保持，主要植被类型为油松、华山松等</w:t>
                  </w:r>
                </w:p>
              </w:tc>
            </w:tr>
            <w:tr w14:paraId="62FC8E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328" w:type="pct"/>
                  <w:tcBorders>
                    <w:top w:val="single" w:color="auto" w:sz="4" w:space="0"/>
                    <w:left w:val="single" w:color="auto" w:sz="4" w:space="0"/>
                    <w:bottom w:val="single" w:color="auto" w:sz="4" w:space="0"/>
                    <w:right w:val="single" w:color="auto" w:sz="4" w:space="0"/>
                  </w:tcBorders>
                  <w:shd w:val="clear" w:color="auto" w:fill="auto"/>
                  <w:vAlign w:val="center"/>
                </w:tcPr>
                <w:p w14:paraId="1667D4BD">
                  <w:pPr>
                    <w:jc w:val="center"/>
                    <w:rPr>
                      <w:color w:val="auto"/>
                      <w:sz w:val="22"/>
                      <w:szCs w:val="22"/>
                    </w:rPr>
                  </w:pPr>
                  <w:r>
                    <w:rPr>
                      <w:rFonts w:hint="eastAsia"/>
                      <w:color w:val="auto"/>
                      <w:sz w:val="22"/>
                      <w:szCs w:val="22"/>
                    </w:rPr>
                    <w:t>2</w:t>
                  </w:r>
                </w:p>
              </w:tc>
              <w:tc>
                <w:tcPr>
                  <w:tcW w:w="1207" w:type="pct"/>
                  <w:tcBorders>
                    <w:top w:val="single" w:color="auto" w:sz="4" w:space="0"/>
                    <w:left w:val="single" w:color="auto" w:sz="4" w:space="0"/>
                    <w:bottom w:val="single" w:color="auto" w:sz="4" w:space="0"/>
                    <w:right w:val="single" w:color="auto" w:sz="4" w:space="0"/>
                  </w:tcBorders>
                  <w:shd w:val="clear" w:color="auto" w:fill="auto"/>
                  <w:vAlign w:val="center"/>
                </w:tcPr>
                <w:p w14:paraId="6BD50AAD">
                  <w:pPr>
                    <w:jc w:val="center"/>
                    <w:rPr>
                      <w:color w:val="auto"/>
                      <w:sz w:val="22"/>
                      <w:szCs w:val="22"/>
                    </w:rPr>
                  </w:pPr>
                  <w:r>
                    <w:rPr>
                      <w:rFonts w:hint="eastAsia" w:ascii="Times New Roman" w:hAnsi="Times New Roman" w:eastAsia="宋体" w:cs="Times New Roman"/>
                      <w:color w:val="auto"/>
                      <w:sz w:val="21"/>
                      <w:szCs w:val="21"/>
                      <w:highlight w:val="none"/>
                      <w:lang w:val="en-US" w:eastAsia="zh-CN"/>
                    </w:rPr>
                    <w:t>灰胸竹鸡、四声杜鹃、</w:t>
                  </w:r>
                  <w:r>
                    <w:rPr>
                      <w:rFonts w:hint="eastAsia" w:cs="Times New Roman"/>
                      <w:color w:val="auto"/>
                      <w:sz w:val="21"/>
                      <w:szCs w:val="21"/>
                      <w:highlight w:val="none"/>
                      <w:lang w:val="en-US" w:eastAsia="zh-CN"/>
                    </w:rPr>
                    <w:t>福建</w:t>
                  </w:r>
                  <w:r>
                    <w:rPr>
                      <w:rFonts w:hint="eastAsia" w:ascii="Times New Roman" w:hAnsi="Times New Roman" w:eastAsia="宋体" w:cs="Times New Roman"/>
                      <w:color w:val="auto"/>
                      <w:sz w:val="21"/>
                      <w:szCs w:val="21"/>
                      <w:highlight w:val="none"/>
                      <w:lang w:val="en-US" w:eastAsia="zh-CN"/>
                    </w:rPr>
                    <w:t>竹叶青蛇、黄鼬、乌梢蛇、王锦蛇</w:t>
                  </w:r>
                </w:p>
              </w:tc>
              <w:tc>
                <w:tcPr>
                  <w:tcW w:w="872" w:type="pct"/>
                  <w:tcBorders>
                    <w:top w:val="single" w:color="auto" w:sz="4" w:space="0"/>
                    <w:left w:val="single" w:color="auto" w:sz="4" w:space="0"/>
                    <w:bottom w:val="single" w:color="auto" w:sz="4" w:space="0"/>
                    <w:right w:val="single" w:color="auto" w:sz="4" w:space="0"/>
                  </w:tcBorders>
                  <w:shd w:val="clear" w:color="auto" w:fill="auto"/>
                  <w:vAlign w:val="center"/>
                </w:tcPr>
                <w:p w14:paraId="16C3C8A7">
                  <w:pPr>
                    <w:jc w:val="center"/>
                    <w:rPr>
                      <w:color w:val="auto"/>
                      <w:sz w:val="22"/>
                      <w:szCs w:val="22"/>
                    </w:rPr>
                  </w:pPr>
                  <w:r>
                    <w:rPr>
                      <w:rFonts w:hint="eastAsia"/>
                      <w:color w:val="auto"/>
                      <w:sz w:val="22"/>
                      <w:szCs w:val="22"/>
                    </w:rPr>
                    <w:t>施工噪声</w:t>
                  </w:r>
                </w:p>
              </w:tc>
              <w:tc>
                <w:tcPr>
                  <w:tcW w:w="1430" w:type="pct"/>
                  <w:tcBorders>
                    <w:top w:val="single" w:color="auto" w:sz="4" w:space="0"/>
                    <w:left w:val="single" w:color="auto" w:sz="4" w:space="0"/>
                    <w:bottom w:val="single" w:color="auto" w:sz="4" w:space="0"/>
                    <w:right w:val="single" w:color="auto" w:sz="4" w:space="0"/>
                  </w:tcBorders>
                  <w:shd w:val="clear" w:color="auto" w:fill="auto"/>
                  <w:vAlign w:val="center"/>
                </w:tcPr>
                <w:p w14:paraId="0273D3D0">
                  <w:pPr>
                    <w:jc w:val="center"/>
                    <w:rPr>
                      <w:color w:val="auto"/>
                      <w:sz w:val="22"/>
                      <w:szCs w:val="22"/>
                    </w:rPr>
                  </w:pPr>
                  <w:r>
                    <w:rPr>
                      <w:rFonts w:hint="eastAsia"/>
                      <w:color w:val="auto"/>
                      <w:sz w:val="22"/>
                      <w:szCs w:val="22"/>
                    </w:rPr>
                    <w:t>广布于评价范围内各种不同生境，未发现营巢地</w:t>
                  </w:r>
                </w:p>
              </w:tc>
              <w:tc>
                <w:tcPr>
                  <w:tcW w:w="1161" w:type="pct"/>
                  <w:tcBorders>
                    <w:top w:val="single" w:color="auto" w:sz="4" w:space="0"/>
                    <w:left w:val="single" w:color="auto" w:sz="4" w:space="0"/>
                    <w:bottom w:val="single" w:color="auto" w:sz="4" w:space="0"/>
                    <w:right w:val="single" w:color="auto" w:sz="4" w:space="0"/>
                  </w:tcBorders>
                  <w:shd w:val="clear" w:color="auto" w:fill="auto"/>
                  <w:vAlign w:val="center"/>
                </w:tcPr>
                <w:p w14:paraId="5A03BB60">
                  <w:pPr>
                    <w:jc w:val="center"/>
                    <w:rPr>
                      <w:color w:val="auto"/>
                      <w:sz w:val="22"/>
                      <w:szCs w:val="22"/>
                    </w:rPr>
                  </w:pPr>
                  <w:r>
                    <w:rPr>
                      <w:color w:val="auto"/>
                      <w:sz w:val="22"/>
                      <w:szCs w:val="22"/>
                    </w:rPr>
                    <w:t>重庆市重点保护野生动物</w:t>
                  </w:r>
                </w:p>
              </w:tc>
            </w:tr>
            <w:tr w14:paraId="2423C0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328" w:type="pct"/>
                  <w:tcBorders>
                    <w:top w:val="single" w:color="auto" w:sz="4" w:space="0"/>
                    <w:left w:val="single" w:color="auto" w:sz="4" w:space="0"/>
                    <w:bottom w:val="single" w:color="auto" w:sz="4" w:space="0"/>
                    <w:right w:val="single" w:color="auto" w:sz="4" w:space="0"/>
                  </w:tcBorders>
                  <w:shd w:val="clear" w:color="auto" w:fill="auto"/>
                  <w:vAlign w:val="center"/>
                </w:tcPr>
                <w:p w14:paraId="36F0E92F">
                  <w:pPr>
                    <w:jc w:val="center"/>
                    <w:rPr>
                      <w:color w:val="auto"/>
                      <w:sz w:val="22"/>
                      <w:szCs w:val="22"/>
                    </w:rPr>
                  </w:pPr>
                  <w:r>
                    <w:rPr>
                      <w:rFonts w:hint="eastAsia"/>
                      <w:color w:val="auto"/>
                      <w:sz w:val="22"/>
                      <w:szCs w:val="22"/>
                    </w:rPr>
                    <w:t>3</w:t>
                  </w:r>
                </w:p>
              </w:tc>
              <w:tc>
                <w:tcPr>
                  <w:tcW w:w="1207" w:type="pct"/>
                  <w:tcBorders>
                    <w:top w:val="single" w:color="auto" w:sz="4" w:space="0"/>
                    <w:left w:val="single" w:color="auto" w:sz="4" w:space="0"/>
                    <w:bottom w:val="single" w:color="auto" w:sz="4" w:space="0"/>
                    <w:right w:val="single" w:color="auto" w:sz="4" w:space="0"/>
                  </w:tcBorders>
                  <w:shd w:val="clear" w:color="auto" w:fill="auto"/>
                  <w:vAlign w:val="center"/>
                </w:tcPr>
                <w:p w14:paraId="071F4A21">
                  <w:pPr>
                    <w:jc w:val="center"/>
                    <w:rPr>
                      <w:rFonts w:hint="eastAsia"/>
                      <w:color w:val="auto"/>
                      <w:sz w:val="22"/>
                      <w:szCs w:val="22"/>
                      <w:lang w:eastAsia="zh-CN"/>
                    </w:rPr>
                  </w:pPr>
                  <w:r>
                    <w:rPr>
                      <w:rFonts w:hint="eastAsia"/>
                      <w:color w:val="auto"/>
                      <w:sz w:val="22"/>
                      <w:szCs w:val="22"/>
                    </w:rPr>
                    <w:t>易危（</w:t>
                  </w:r>
                  <w:r>
                    <w:rPr>
                      <w:rFonts w:hint="eastAsia"/>
                      <w:color w:val="auto"/>
                      <w:sz w:val="22"/>
                      <w:szCs w:val="22"/>
                      <w:lang w:val="en-US" w:eastAsia="zh-CN"/>
                    </w:rPr>
                    <w:t>VU</w:t>
                  </w:r>
                  <w:r>
                    <w:rPr>
                      <w:rFonts w:hint="eastAsia"/>
                      <w:color w:val="auto"/>
                      <w:sz w:val="22"/>
                      <w:szCs w:val="22"/>
                    </w:rPr>
                    <w:t>）物种</w:t>
                  </w:r>
                  <w:r>
                    <w:rPr>
                      <w:rFonts w:hint="eastAsia"/>
                      <w:color w:val="auto"/>
                      <w:sz w:val="22"/>
                      <w:szCs w:val="22"/>
                      <w:lang w:val="en-US" w:eastAsia="zh-CN"/>
                    </w:rPr>
                    <w:t>3种</w:t>
                  </w:r>
                  <w:r>
                    <w:rPr>
                      <w:rFonts w:hint="eastAsia"/>
                      <w:color w:val="auto"/>
                      <w:sz w:val="22"/>
                      <w:szCs w:val="22"/>
                      <w:lang w:eastAsia="zh-CN"/>
                    </w:rPr>
                    <w:t>：</w:t>
                  </w:r>
                  <w:r>
                    <w:rPr>
                      <w:rFonts w:hint="eastAsia"/>
                      <w:color w:val="auto"/>
                      <w:sz w:val="22"/>
                      <w:szCs w:val="22"/>
                      <w:lang w:val="en-US" w:eastAsia="zh-CN"/>
                    </w:rPr>
                    <w:t>乌梢蛇、王锦蛇、</w:t>
                  </w:r>
                  <w:r>
                    <w:rPr>
                      <w:rFonts w:hint="eastAsia"/>
                      <w:color w:val="auto"/>
                      <w:sz w:val="22"/>
                      <w:szCs w:val="22"/>
                    </w:rPr>
                    <w:t>文县瑶螈</w:t>
                  </w:r>
                  <w:r>
                    <w:rPr>
                      <w:rFonts w:hint="eastAsia"/>
                      <w:color w:val="auto"/>
                      <w:sz w:val="22"/>
                      <w:szCs w:val="22"/>
                      <w:lang w:eastAsia="zh-CN"/>
                    </w:rPr>
                    <w:t>；</w:t>
                  </w:r>
                </w:p>
                <w:p w14:paraId="5A3844AC">
                  <w:pPr>
                    <w:jc w:val="center"/>
                    <w:rPr>
                      <w:rFonts w:hint="eastAsia"/>
                      <w:color w:val="auto"/>
                      <w:sz w:val="22"/>
                      <w:szCs w:val="22"/>
                    </w:rPr>
                  </w:pPr>
                  <w:r>
                    <w:rPr>
                      <w:rFonts w:hint="eastAsia"/>
                      <w:color w:val="auto"/>
                      <w:sz w:val="22"/>
                      <w:szCs w:val="22"/>
                    </w:rPr>
                    <w:t>中国特有种</w:t>
                  </w:r>
                  <w:r>
                    <w:rPr>
                      <w:rFonts w:hint="eastAsia"/>
                      <w:color w:val="auto"/>
                      <w:sz w:val="22"/>
                      <w:szCs w:val="22"/>
                      <w:lang w:val="en-US" w:eastAsia="zh-CN"/>
                    </w:rPr>
                    <w:t>2种</w:t>
                  </w:r>
                  <w:r>
                    <w:rPr>
                      <w:rFonts w:hint="eastAsia"/>
                      <w:color w:val="auto"/>
                      <w:sz w:val="22"/>
                      <w:szCs w:val="22"/>
                      <w:lang w:eastAsia="zh-CN"/>
                    </w:rPr>
                    <w:t>：</w:t>
                  </w:r>
                  <w:r>
                    <w:rPr>
                      <w:rFonts w:hint="eastAsia"/>
                      <w:color w:val="auto"/>
                      <w:sz w:val="22"/>
                      <w:szCs w:val="22"/>
                    </w:rPr>
                    <w:t>文县瑶螈</w:t>
                  </w:r>
                  <w:r>
                    <w:rPr>
                      <w:rFonts w:hint="eastAsia"/>
                      <w:color w:val="auto"/>
                      <w:sz w:val="22"/>
                      <w:szCs w:val="22"/>
                      <w:lang w:eastAsia="zh-CN"/>
                    </w:rPr>
                    <w:t>、</w:t>
                  </w:r>
                  <w:r>
                    <w:rPr>
                      <w:rFonts w:hint="eastAsia"/>
                      <w:color w:val="auto"/>
                      <w:sz w:val="22"/>
                      <w:szCs w:val="22"/>
                    </w:rPr>
                    <w:t>丽纹龙蜥</w:t>
                  </w:r>
                </w:p>
                <w:p w14:paraId="39C8A52F">
                  <w:pPr>
                    <w:jc w:val="center"/>
                    <w:rPr>
                      <w:color w:val="auto"/>
                      <w:sz w:val="22"/>
                      <w:szCs w:val="22"/>
                    </w:rPr>
                  </w:pPr>
                  <w:r>
                    <w:rPr>
                      <w:rFonts w:hint="eastAsia"/>
                      <w:color w:val="auto"/>
                      <w:sz w:val="22"/>
                      <w:szCs w:val="22"/>
                      <w:lang w:val="en-US" w:eastAsia="zh-CN"/>
                    </w:rPr>
                    <w:t>三有动物：灰胸竹鸡、四声杜鹃、竹叶青蛇、黄鼬、乌梢蛇、王锦蛇等44种</w:t>
                  </w:r>
                </w:p>
              </w:tc>
              <w:tc>
                <w:tcPr>
                  <w:tcW w:w="872" w:type="pct"/>
                  <w:tcBorders>
                    <w:top w:val="single" w:color="auto" w:sz="4" w:space="0"/>
                    <w:left w:val="single" w:color="auto" w:sz="4" w:space="0"/>
                    <w:bottom w:val="single" w:color="auto" w:sz="4" w:space="0"/>
                    <w:right w:val="single" w:color="auto" w:sz="4" w:space="0"/>
                  </w:tcBorders>
                  <w:shd w:val="clear" w:color="auto" w:fill="auto"/>
                  <w:vAlign w:val="center"/>
                </w:tcPr>
                <w:p w14:paraId="61025393">
                  <w:pPr>
                    <w:jc w:val="center"/>
                    <w:rPr>
                      <w:color w:val="auto"/>
                      <w:sz w:val="22"/>
                      <w:szCs w:val="22"/>
                    </w:rPr>
                  </w:pPr>
                  <w:r>
                    <w:rPr>
                      <w:rFonts w:hint="eastAsia"/>
                      <w:color w:val="auto"/>
                      <w:sz w:val="22"/>
                      <w:szCs w:val="22"/>
                    </w:rPr>
                    <w:t>施工噪声</w:t>
                  </w:r>
                </w:p>
              </w:tc>
              <w:tc>
                <w:tcPr>
                  <w:tcW w:w="1430" w:type="pct"/>
                  <w:tcBorders>
                    <w:top w:val="single" w:color="auto" w:sz="4" w:space="0"/>
                    <w:left w:val="single" w:color="auto" w:sz="4" w:space="0"/>
                    <w:bottom w:val="single" w:color="auto" w:sz="4" w:space="0"/>
                    <w:right w:val="single" w:color="auto" w:sz="4" w:space="0"/>
                  </w:tcBorders>
                  <w:shd w:val="clear" w:color="auto" w:fill="auto"/>
                  <w:vAlign w:val="center"/>
                </w:tcPr>
                <w:p w14:paraId="102B5952">
                  <w:pPr>
                    <w:jc w:val="center"/>
                    <w:rPr>
                      <w:color w:val="auto"/>
                      <w:sz w:val="22"/>
                      <w:szCs w:val="22"/>
                    </w:rPr>
                  </w:pPr>
                  <w:r>
                    <w:rPr>
                      <w:rFonts w:hint="eastAsia"/>
                      <w:color w:val="auto"/>
                      <w:sz w:val="22"/>
                      <w:szCs w:val="22"/>
                    </w:rPr>
                    <w:t>广布于评价范围内各种不同生境，未发现营巢地</w:t>
                  </w:r>
                </w:p>
              </w:tc>
              <w:tc>
                <w:tcPr>
                  <w:tcW w:w="1161" w:type="pct"/>
                  <w:tcBorders>
                    <w:top w:val="single" w:color="auto" w:sz="4" w:space="0"/>
                    <w:left w:val="single" w:color="auto" w:sz="4" w:space="0"/>
                    <w:bottom w:val="single" w:color="auto" w:sz="4" w:space="0"/>
                    <w:right w:val="single" w:color="auto" w:sz="4" w:space="0"/>
                  </w:tcBorders>
                  <w:shd w:val="clear" w:color="auto" w:fill="auto"/>
                  <w:vAlign w:val="center"/>
                </w:tcPr>
                <w:p w14:paraId="307E7C07">
                  <w:pPr>
                    <w:jc w:val="center"/>
                    <w:rPr>
                      <w:color w:val="auto"/>
                      <w:sz w:val="22"/>
                      <w:szCs w:val="22"/>
                    </w:rPr>
                  </w:pPr>
                  <w:r>
                    <w:rPr>
                      <w:rFonts w:hint="eastAsia" w:ascii="Times New Roman" w:hAnsi="Times New Roman" w:eastAsia="宋体" w:cs="Times New Roman"/>
                      <w:color w:val="auto"/>
                      <w:sz w:val="21"/>
                      <w:szCs w:val="21"/>
                      <w:lang w:val="en-US" w:eastAsia="zh-CN" w:bidi="ar"/>
                    </w:rPr>
                    <w:t>其他（含上述保护动物）</w:t>
                  </w:r>
                </w:p>
              </w:tc>
            </w:tr>
            <w:tr w14:paraId="43F050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328" w:type="pct"/>
                  <w:tcBorders>
                    <w:top w:val="single" w:color="auto" w:sz="4" w:space="0"/>
                    <w:left w:val="single" w:color="auto" w:sz="4" w:space="0"/>
                    <w:bottom w:val="single" w:color="auto" w:sz="4" w:space="0"/>
                    <w:right w:val="single" w:color="auto" w:sz="4" w:space="0"/>
                  </w:tcBorders>
                  <w:shd w:val="clear" w:color="auto" w:fill="auto"/>
                  <w:vAlign w:val="center"/>
                </w:tcPr>
                <w:p w14:paraId="65983077">
                  <w:pPr>
                    <w:jc w:val="center"/>
                    <w:rPr>
                      <w:color w:val="auto"/>
                      <w:sz w:val="22"/>
                      <w:szCs w:val="22"/>
                    </w:rPr>
                  </w:pPr>
                  <w:r>
                    <w:rPr>
                      <w:rFonts w:hint="eastAsia"/>
                      <w:color w:val="auto"/>
                      <w:sz w:val="22"/>
                      <w:szCs w:val="22"/>
                    </w:rPr>
                    <w:t>4</w:t>
                  </w:r>
                </w:p>
              </w:tc>
              <w:tc>
                <w:tcPr>
                  <w:tcW w:w="1207" w:type="pct"/>
                  <w:tcBorders>
                    <w:top w:val="single" w:color="auto" w:sz="4" w:space="0"/>
                    <w:left w:val="single" w:color="auto" w:sz="4" w:space="0"/>
                    <w:bottom w:val="single" w:color="auto" w:sz="4" w:space="0"/>
                    <w:right w:val="single" w:color="auto" w:sz="4" w:space="0"/>
                  </w:tcBorders>
                  <w:shd w:val="clear" w:color="auto" w:fill="auto"/>
                  <w:vAlign w:val="center"/>
                </w:tcPr>
                <w:p w14:paraId="2C55EB70">
                  <w:pPr>
                    <w:jc w:val="center"/>
                    <w:rPr>
                      <w:rFonts w:ascii="Times New Roman" w:hAnsi="Times New Roman" w:eastAsia="宋体" w:cs="Times New Roman"/>
                      <w:color w:val="auto"/>
                      <w:kern w:val="2"/>
                      <w:sz w:val="22"/>
                      <w:szCs w:val="22"/>
                      <w:lang w:val="en-US" w:eastAsia="zh-CN" w:bidi="ar-SA"/>
                    </w:rPr>
                  </w:pPr>
                  <w:r>
                    <w:rPr>
                      <w:rFonts w:hint="eastAsia"/>
                      <w:color w:val="auto"/>
                      <w:sz w:val="22"/>
                      <w:szCs w:val="22"/>
                    </w:rPr>
                    <w:t>厚朴、春兰</w:t>
                  </w:r>
                </w:p>
              </w:tc>
              <w:tc>
                <w:tcPr>
                  <w:tcW w:w="872" w:type="pct"/>
                  <w:tcBorders>
                    <w:top w:val="single" w:color="auto" w:sz="4" w:space="0"/>
                    <w:left w:val="single" w:color="auto" w:sz="4" w:space="0"/>
                    <w:bottom w:val="single" w:color="auto" w:sz="4" w:space="0"/>
                    <w:right w:val="single" w:color="auto" w:sz="4" w:space="0"/>
                  </w:tcBorders>
                  <w:shd w:val="clear" w:color="auto" w:fill="auto"/>
                  <w:vAlign w:val="center"/>
                </w:tcPr>
                <w:p w14:paraId="2F73CD9B">
                  <w:pPr>
                    <w:jc w:val="center"/>
                    <w:rPr>
                      <w:rFonts w:ascii="Times New Roman" w:hAnsi="Times New Roman" w:eastAsia="宋体" w:cs="Times New Roman"/>
                      <w:color w:val="auto"/>
                      <w:kern w:val="2"/>
                      <w:sz w:val="22"/>
                      <w:szCs w:val="22"/>
                      <w:lang w:val="en-US" w:eastAsia="zh-CN" w:bidi="ar-SA"/>
                    </w:rPr>
                  </w:pPr>
                  <w:r>
                    <w:rPr>
                      <w:rFonts w:hint="eastAsia"/>
                      <w:color w:val="auto"/>
                      <w:sz w:val="22"/>
                      <w:szCs w:val="22"/>
                    </w:rPr>
                    <w:t>/</w:t>
                  </w:r>
                </w:p>
              </w:tc>
              <w:tc>
                <w:tcPr>
                  <w:tcW w:w="1430" w:type="pct"/>
                  <w:tcBorders>
                    <w:top w:val="single" w:color="auto" w:sz="4" w:space="0"/>
                    <w:left w:val="single" w:color="auto" w:sz="4" w:space="0"/>
                    <w:bottom w:val="single" w:color="auto" w:sz="4" w:space="0"/>
                    <w:right w:val="single" w:color="auto" w:sz="4" w:space="0"/>
                  </w:tcBorders>
                  <w:shd w:val="clear" w:color="auto" w:fill="auto"/>
                  <w:vAlign w:val="center"/>
                </w:tcPr>
                <w:p w14:paraId="47E04FBE">
                  <w:pPr>
                    <w:jc w:val="center"/>
                    <w:rPr>
                      <w:rFonts w:ascii="Times New Roman" w:hAnsi="Times New Roman" w:eastAsia="宋体" w:cs="Times New Roman"/>
                      <w:color w:val="auto"/>
                      <w:kern w:val="2"/>
                      <w:sz w:val="22"/>
                      <w:szCs w:val="22"/>
                      <w:lang w:val="en-US" w:eastAsia="zh-CN" w:bidi="ar-SA"/>
                    </w:rPr>
                  </w:pPr>
                  <w:r>
                    <w:rPr>
                      <w:rFonts w:hint="eastAsia"/>
                      <w:color w:val="auto"/>
                      <w:sz w:val="22"/>
                      <w:szCs w:val="22"/>
                    </w:rPr>
                    <w:t>春兰位于46#塔东北侧，最近距离</w:t>
                  </w:r>
                  <w:r>
                    <w:rPr>
                      <w:rFonts w:hint="eastAsia"/>
                      <w:color w:val="auto"/>
                      <w:sz w:val="22"/>
                      <w:szCs w:val="22"/>
                      <w:lang w:eastAsia="zh-CN"/>
                    </w:rPr>
                    <w:t>约</w:t>
                  </w:r>
                  <w:r>
                    <w:rPr>
                      <w:rFonts w:hint="eastAsia"/>
                      <w:color w:val="auto"/>
                      <w:sz w:val="22"/>
                      <w:szCs w:val="22"/>
                    </w:rPr>
                    <w:t>550m；厚朴位于N20塔北侧，最近距离越450m</w:t>
                  </w:r>
                </w:p>
              </w:tc>
              <w:tc>
                <w:tcPr>
                  <w:tcW w:w="1161" w:type="pct"/>
                  <w:tcBorders>
                    <w:top w:val="single" w:color="auto" w:sz="4" w:space="0"/>
                    <w:left w:val="single" w:color="auto" w:sz="4" w:space="0"/>
                    <w:bottom w:val="single" w:color="auto" w:sz="4" w:space="0"/>
                    <w:right w:val="single" w:color="auto" w:sz="4" w:space="0"/>
                  </w:tcBorders>
                  <w:shd w:val="clear" w:color="auto" w:fill="auto"/>
                  <w:vAlign w:val="center"/>
                </w:tcPr>
                <w:p w14:paraId="5DA3A126">
                  <w:pPr>
                    <w:jc w:val="center"/>
                    <w:rPr>
                      <w:rFonts w:ascii="Times New Roman" w:hAnsi="Times New Roman" w:eastAsia="宋体" w:cs="Times New Roman"/>
                      <w:color w:val="auto"/>
                      <w:kern w:val="2"/>
                      <w:sz w:val="22"/>
                      <w:szCs w:val="22"/>
                      <w:lang w:val="en-US" w:eastAsia="zh-CN" w:bidi="ar-SA"/>
                    </w:rPr>
                  </w:pPr>
                  <w:r>
                    <w:rPr>
                      <w:rFonts w:hint="eastAsia"/>
                      <w:color w:val="auto"/>
                      <w:sz w:val="22"/>
                      <w:szCs w:val="22"/>
                    </w:rPr>
                    <w:t>国家二级重点保护野生植物</w:t>
                  </w:r>
                </w:p>
              </w:tc>
            </w:tr>
            <w:tr w14:paraId="084A4C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328" w:type="pct"/>
                  <w:tcBorders>
                    <w:top w:val="single" w:color="auto" w:sz="4" w:space="0"/>
                    <w:left w:val="single" w:color="auto" w:sz="4" w:space="0"/>
                    <w:bottom w:val="single" w:color="auto" w:sz="4" w:space="0"/>
                    <w:right w:val="single" w:color="auto" w:sz="4" w:space="0"/>
                  </w:tcBorders>
                  <w:shd w:val="clear" w:color="auto" w:fill="auto"/>
                  <w:vAlign w:val="center"/>
                </w:tcPr>
                <w:p w14:paraId="3D4B8E03">
                  <w:pPr>
                    <w:jc w:val="center"/>
                    <w:rPr>
                      <w:color w:val="auto"/>
                      <w:sz w:val="22"/>
                      <w:szCs w:val="22"/>
                    </w:rPr>
                  </w:pPr>
                  <w:r>
                    <w:rPr>
                      <w:rFonts w:hint="eastAsia"/>
                      <w:color w:val="auto"/>
                      <w:sz w:val="22"/>
                      <w:szCs w:val="22"/>
                    </w:rPr>
                    <w:t>5</w:t>
                  </w:r>
                </w:p>
              </w:tc>
              <w:tc>
                <w:tcPr>
                  <w:tcW w:w="1207" w:type="pct"/>
                  <w:tcBorders>
                    <w:top w:val="single" w:color="auto" w:sz="4" w:space="0"/>
                    <w:left w:val="single" w:color="auto" w:sz="4" w:space="0"/>
                    <w:bottom w:val="single" w:color="auto" w:sz="4" w:space="0"/>
                    <w:right w:val="single" w:color="auto" w:sz="4" w:space="0"/>
                  </w:tcBorders>
                  <w:shd w:val="clear" w:color="auto" w:fill="auto"/>
                  <w:vAlign w:val="center"/>
                </w:tcPr>
                <w:p w14:paraId="1AB753AD">
                  <w:pPr>
                    <w:jc w:val="center"/>
                    <w:rPr>
                      <w:rFonts w:ascii="Times New Roman" w:hAnsi="Times New Roman" w:eastAsia="宋体" w:cs="Times New Roman"/>
                      <w:color w:val="auto"/>
                      <w:kern w:val="2"/>
                      <w:sz w:val="22"/>
                      <w:szCs w:val="22"/>
                      <w:lang w:val="en-US" w:eastAsia="zh-CN" w:bidi="ar-SA"/>
                    </w:rPr>
                  </w:pPr>
                  <w:r>
                    <w:rPr>
                      <w:rFonts w:hint="eastAsia"/>
                      <w:color w:val="auto"/>
                      <w:sz w:val="22"/>
                      <w:szCs w:val="22"/>
                    </w:rPr>
                    <w:t>白栎</w:t>
                  </w:r>
                </w:p>
              </w:tc>
              <w:tc>
                <w:tcPr>
                  <w:tcW w:w="872" w:type="pct"/>
                  <w:tcBorders>
                    <w:top w:val="single" w:color="auto" w:sz="4" w:space="0"/>
                    <w:left w:val="single" w:color="auto" w:sz="4" w:space="0"/>
                    <w:bottom w:val="single" w:color="auto" w:sz="4" w:space="0"/>
                    <w:right w:val="single" w:color="auto" w:sz="4" w:space="0"/>
                  </w:tcBorders>
                  <w:shd w:val="clear" w:color="auto" w:fill="auto"/>
                  <w:vAlign w:val="center"/>
                </w:tcPr>
                <w:p w14:paraId="76EA7635">
                  <w:pPr>
                    <w:jc w:val="center"/>
                    <w:rPr>
                      <w:rFonts w:ascii="Times New Roman" w:hAnsi="Times New Roman" w:eastAsia="宋体" w:cs="Times New Roman"/>
                      <w:color w:val="auto"/>
                      <w:kern w:val="2"/>
                      <w:sz w:val="22"/>
                      <w:szCs w:val="22"/>
                      <w:lang w:val="en-US" w:eastAsia="zh-CN" w:bidi="ar-SA"/>
                    </w:rPr>
                  </w:pPr>
                  <w:r>
                    <w:rPr>
                      <w:rFonts w:hint="eastAsia"/>
                      <w:color w:val="auto"/>
                      <w:sz w:val="22"/>
                      <w:szCs w:val="22"/>
                    </w:rPr>
                    <w:t>/</w:t>
                  </w:r>
                </w:p>
              </w:tc>
              <w:tc>
                <w:tcPr>
                  <w:tcW w:w="1430" w:type="pct"/>
                  <w:tcBorders>
                    <w:top w:val="single" w:color="auto" w:sz="4" w:space="0"/>
                    <w:left w:val="single" w:color="auto" w:sz="4" w:space="0"/>
                    <w:bottom w:val="single" w:color="auto" w:sz="4" w:space="0"/>
                    <w:right w:val="single" w:color="auto" w:sz="4" w:space="0"/>
                  </w:tcBorders>
                  <w:shd w:val="clear" w:color="auto" w:fill="auto"/>
                  <w:vAlign w:val="center"/>
                </w:tcPr>
                <w:p w14:paraId="77DF3803">
                  <w:pPr>
                    <w:jc w:val="center"/>
                    <w:rPr>
                      <w:rFonts w:ascii="Times New Roman" w:hAnsi="Times New Roman" w:eastAsia="宋体" w:cs="Times New Roman"/>
                      <w:color w:val="auto"/>
                      <w:kern w:val="2"/>
                      <w:sz w:val="22"/>
                      <w:szCs w:val="22"/>
                      <w:lang w:val="en-US" w:eastAsia="zh-CN" w:bidi="ar-SA"/>
                    </w:rPr>
                  </w:pPr>
                  <w:r>
                    <w:rPr>
                      <w:rFonts w:hint="eastAsia"/>
                      <w:color w:val="auto"/>
                      <w:sz w:val="22"/>
                      <w:szCs w:val="22"/>
                    </w:rPr>
                    <w:t>位于N11塔南侧，最近距离约200m</w:t>
                  </w:r>
                </w:p>
              </w:tc>
              <w:tc>
                <w:tcPr>
                  <w:tcW w:w="1161" w:type="pct"/>
                  <w:tcBorders>
                    <w:top w:val="single" w:color="auto" w:sz="4" w:space="0"/>
                    <w:left w:val="single" w:color="auto" w:sz="4" w:space="0"/>
                    <w:bottom w:val="single" w:color="auto" w:sz="4" w:space="0"/>
                    <w:right w:val="single" w:color="auto" w:sz="4" w:space="0"/>
                  </w:tcBorders>
                  <w:shd w:val="clear" w:color="auto" w:fill="auto"/>
                  <w:vAlign w:val="center"/>
                </w:tcPr>
                <w:p w14:paraId="1D6CC9D0">
                  <w:pPr>
                    <w:jc w:val="center"/>
                    <w:rPr>
                      <w:rFonts w:ascii="Times New Roman" w:hAnsi="Times New Roman" w:eastAsia="宋体" w:cs="Times New Roman"/>
                      <w:color w:val="auto"/>
                      <w:kern w:val="2"/>
                      <w:sz w:val="22"/>
                      <w:szCs w:val="22"/>
                      <w:lang w:val="en-US" w:eastAsia="zh-CN" w:bidi="ar-SA"/>
                    </w:rPr>
                  </w:pPr>
                  <w:r>
                    <w:rPr>
                      <w:rFonts w:hint="eastAsia"/>
                      <w:color w:val="auto"/>
                      <w:sz w:val="22"/>
                      <w:szCs w:val="22"/>
                    </w:rPr>
                    <w:t>古树名木</w:t>
                  </w:r>
                </w:p>
              </w:tc>
            </w:tr>
            <w:tr w14:paraId="0F7DAF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5000" w:type="pct"/>
                  <w:gridSpan w:val="5"/>
                  <w:tcBorders>
                    <w:top w:val="single" w:color="auto" w:sz="4" w:space="0"/>
                    <w:left w:val="single" w:color="auto" w:sz="4" w:space="0"/>
                    <w:bottom w:val="single" w:color="auto" w:sz="4" w:space="0"/>
                    <w:right w:val="single" w:color="auto" w:sz="4" w:space="0"/>
                  </w:tcBorders>
                  <w:shd w:val="clear" w:color="auto" w:fill="auto"/>
                  <w:vAlign w:val="center"/>
                </w:tcPr>
                <w:p w14:paraId="353364E6">
                  <w:pPr>
                    <w:jc w:val="left"/>
                    <w:rPr>
                      <w:rFonts w:hint="eastAsia"/>
                      <w:color w:val="auto"/>
                      <w:sz w:val="22"/>
                      <w:szCs w:val="22"/>
                    </w:rPr>
                  </w:pPr>
                  <w:r>
                    <w:rPr>
                      <w:rFonts w:hint="eastAsia"/>
                      <w:color w:val="auto"/>
                      <w:sz w:val="22"/>
                      <w:szCs w:val="22"/>
                    </w:rPr>
                    <w:t>说明：“三有动物”为列入《国家保护的有益的或者有重要经济、科学研究价值的陆生野生动物名录》的动物。</w:t>
                  </w:r>
                </w:p>
              </w:tc>
            </w:tr>
          </w:tbl>
          <w:p w14:paraId="6AA7E38C">
            <w:pPr>
              <w:adjustRightInd w:val="0"/>
              <w:snapToGrid w:val="0"/>
              <w:ind w:firstLine="522" w:firstLineChars="200"/>
              <w:rPr>
                <w:b/>
                <w:bCs/>
                <w:color w:val="auto"/>
                <w:kern w:val="0"/>
                <w:sz w:val="26"/>
                <w:szCs w:val="26"/>
              </w:rPr>
            </w:pPr>
          </w:p>
          <w:p w14:paraId="35991862">
            <w:pPr>
              <w:adjustRightInd w:val="0"/>
              <w:snapToGrid w:val="0"/>
              <w:spacing w:line="460" w:lineRule="exact"/>
              <w:ind w:firstLine="522" w:firstLineChars="200"/>
              <w:rPr>
                <w:b/>
                <w:bCs/>
                <w:color w:val="auto"/>
                <w:kern w:val="0"/>
                <w:sz w:val="26"/>
                <w:szCs w:val="26"/>
              </w:rPr>
            </w:pPr>
            <w:r>
              <w:rPr>
                <w:rFonts w:hint="eastAsia"/>
                <w:b/>
                <w:bCs/>
                <w:color w:val="auto"/>
                <w:kern w:val="0"/>
                <w:sz w:val="26"/>
                <w:szCs w:val="26"/>
              </w:rPr>
              <w:t>3.5.2电磁、声环境敏感目标</w:t>
            </w:r>
          </w:p>
          <w:p w14:paraId="766B38F8">
            <w:pPr>
              <w:spacing w:line="460" w:lineRule="exact"/>
              <w:ind w:firstLine="522" w:firstLineChars="200"/>
              <w:rPr>
                <w:b/>
                <w:bCs/>
                <w:color w:val="auto"/>
                <w:sz w:val="26"/>
                <w:szCs w:val="26"/>
              </w:rPr>
            </w:pPr>
            <w:r>
              <w:rPr>
                <w:rFonts w:hint="eastAsia"/>
                <w:b/>
                <w:bCs/>
                <w:color w:val="auto"/>
                <w:kern w:val="0"/>
                <w:sz w:val="26"/>
                <w:szCs w:val="26"/>
              </w:rPr>
              <w:t>（1）110kV架空线路工程</w:t>
            </w:r>
          </w:p>
          <w:p w14:paraId="1484974F">
            <w:pPr>
              <w:spacing w:line="460" w:lineRule="exact"/>
              <w:ind w:firstLine="520" w:firstLineChars="200"/>
              <w:rPr>
                <w:color w:val="auto"/>
                <w:sz w:val="26"/>
                <w:szCs w:val="26"/>
                <w:highlight w:val="yellow"/>
              </w:rPr>
            </w:pPr>
            <w:r>
              <w:rPr>
                <w:rFonts w:hint="eastAsia"/>
                <w:color w:val="auto"/>
                <w:sz w:val="26"/>
                <w:szCs w:val="26"/>
              </w:rPr>
              <w:t>根据现状调查，项目新建</w:t>
            </w:r>
            <w:r>
              <w:rPr>
                <w:rFonts w:hint="eastAsia"/>
                <w:color w:val="auto"/>
                <w:kern w:val="0"/>
                <w:sz w:val="26"/>
                <w:szCs w:val="26"/>
              </w:rPr>
              <w:t>110kV架空线路评价范围内分布有3处</w:t>
            </w:r>
            <w:r>
              <w:rPr>
                <w:rFonts w:hint="eastAsia"/>
                <w:color w:val="auto"/>
                <w:sz w:val="26"/>
                <w:szCs w:val="26"/>
              </w:rPr>
              <w:t>电磁环境</w:t>
            </w:r>
            <w:r>
              <w:rPr>
                <w:rFonts w:hint="eastAsia"/>
                <w:color w:val="auto"/>
                <w:sz w:val="26"/>
                <w:szCs w:val="26"/>
                <w:lang w:eastAsia="zh-CN"/>
              </w:rPr>
              <w:t>、</w:t>
            </w:r>
            <w:r>
              <w:rPr>
                <w:rFonts w:hint="eastAsia"/>
                <w:color w:val="auto"/>
                <w:sz w:val="26"/>
                <w:szCs w:val="26"/>
              </w:rPr>
              <w:t>声环境保护目标，详见表3-6。</w:t>
            </w:r>
          </w:p>
          <w:p w14:paraId="0EB8DA8A">
            <w:pPr>
              <w:spacing w:line="460" w:lineRule="exact"/>
              <w:ind w:firstLine="522" w:firstLineChars="200"/>
              <w:rPr>
                <w:b/>
                <w:bCs/>
                <w:color w:val="auto"/>
                <w:sz w:val="26"/>
                <w:szCs w:val="26"/>
              </w:rPr>
            </w:pPr>
            <w:r>
              <w:rPr>
                <w:rFonts w:hint="eastAsia"/>
                <w:b/>
                <w:bCs/>
                <w:color w:val="auto"/>
                <w:sz w:val="26"/>
                <w:szCs w:val="26"/>
              </w:rPr>
              <w:t>（2）110kV间隔扩建工程</w:t>
            </w:r>
          </w:p>
          <w:p w14:paraId="138D50D7">
            <w:pPr>
              <w:spacing w:line="460" w:lineRule="exact"/>
              <w:ind w:firstLine="520" w:firstLineChars="200"/>
              <w:rPr>
                <w:color w:val="auto"/>
                <w:sz w:val="26"/>
                <w:szCs w:val="26"/>
              </w:rPr>
            </w:pPr>
            <w:r>
              <w:rPr>
                <w:rFonts w:hint="eastAsia"/>
                <w:color w:val="auto"/>
                <w:sz w:val="26"/>
                <w:szCs w:val="26"/>
              </w:rPr>
              <w:t>根据现状调查，铁甲220kV变电站110kV间隔扩建工程扩建侧墙外30m范围内无工厂、居民点等电磁环境保护目标，200m范围内分布有3处声环境保护目标，详见表3-7。</w:t>
            </w:r>
          </w:p>
          <w:p w14:paraId="1D75596F">
            <w:pPr>
              <w:spacing w:line="460" w:lineRule="exact"/>
              <w:ind w:firstLine="520" w:firstLineChars="200"/>
              <w:rPr>
                <w:color w:val="auto"/>
                <w:sz w:val="26"/>
                <w:szCs w:val="26"/>
                <w:highlight w:val="yellow"/>
              </w:rPr>
            </w:pPr>
          </w:p>
        </w:tc>
      </w:tr>
    </w:tbl>
    <w:p w14:paraId="08161294">
      <w:pPr>
        <w:pStyle w:val="21"/>
        <w:jc w:val="center"/>
        <w:outlineLvl w:val="0"/>
        <w:rPr>
          <w:rFonts w:ascii="Times New Roman" w:hAnsi="Times New Roman" w:eastAsia="黑体"/>
          <w:snapToGrid w:val="0"/>
          <w:color w:val="auto"/>
          <w:sz w:val="30"/>
          <w:szCs w:val="30"/>
        </w:rPr>
        <w:sectPr>
          <w:pgSz w:w="11906" w:h="16838"/>
          <w:pgMar w:top="1440" w:right="1800" w:bottom="1440" w:left="1800" w:header="851" w:footer="1077" w:gutter="0"/>
          <w:cols w:space="425" w:num="1"/>
          <w:docGrid w:linePitch="312" w:charSpace="0"/>
        </w:sectPr>
      </w:pPr>
    </w:p>
    <w:p w14:paraId="6BC67D5F">
      <w:pPr>
        <w:pStyle w:val="7"/>
        <w:adjustRightInd w:val="0"/>
        <w:spacing w:before="0" w:after="0" w:line="240" w:lineRule="auto"/>
        <w:jc w:val="center"/>
        <w:rPr>
          <w:color w:val="auto"/>
          <w:sz w:val="26"/>
          <w:szCs w:val="26"/>
        </w:rPr>
      </w:pPr>
      <w:r>
        <w:rPr>
          <w:rFonts w:hint="eastAsia"/>
          <w:color w:val="auto"/>
          <w:sz w:val="26"/>
          <w:szCs w:val="26"/>
        </w:rPr>
        <w:t>表3-6</w:t>
      </w:r>
      <w:r>
        <w:rPr>
          <w:color w:val="auto"/>
          <w:sz w:val="26"/>
          <w:szCs w:val="26"/>
        </w:rPr>
        <w:t xml:space="preserve">  </w:t>
      </w:r>
      <w:r>
        <w:rPr>
          <w:rFonts w:hint="eastAsia"/>
          <w:color w:val="auto"/>
          <w:sz w:val="26"/>
          <w:szCs w:val="26"/>
        </w:rPr>
        <w:t>110kV架空线路评价范围内环境保护目标一览表</w:t>
      </w:r>
    </w:p>
    <w:tbl>
      <w:tblPr>
        <w:tblStyle w:val="25"/>
        <w:tblW w:w="505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19"/>
        <w:gridCol w:w="743"/>
        <w:gridCol w:w="797"/>
        <w:gridCol w:w="808"/>
        <w:gridCol w:w="729"/>
        <w:gridCol w:w="1378"/>
        <w:gridCol w:w="1285"/>
        <w:gridCol w:w="853"/>
        <w:gridCol w:w="996"/>
        <w:gridCol w:w="1473"/>
        <w:gridCol w:w="937"/>
        <w:gridCol w:w="937"/>
        <w:gridCol w:w="2754"/>
      </w:tblGrid>
      <w:tr w14:paraId="08554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48"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6B7BFEBD">
            <w:pPr>
              <w:jc w:val="center"/>
              <w:rPr>
                <w:color w:val="auto"/>
                <w:sz w:val="22"/>
                <w:szCs w:val="22"/>
              </w:rPr>
            </w:pPr>
            <w:r>
              <w:rPr>
                <w:color w:val="auto"/>
                <w:sz w:val="22"/>
                <w:szCs w:val="22"/>
              </w:rPr>
              <w:t>编号</w:t>
            </w:r>
          </w:p>
        </w:tc>
        <w:tc>
          <w:tcPr>
            <w:tcW w:w="263" w:type="pct"/>
            <w:vMerge w:val="restart"/>
            <w:tcBorders>
              <w:top w:val="single" w:color="auto" w:sz="4" w:space="0"/>
              <w:left w:val="single" w:color="auto" w:sz="4" w:space="0"/>
              <w:right w:val="single" w:color="auto" w:sz="4" w:space="0"/>
            </w:tcBorders>
            <w:shd w:val="clear" w:color="auto" w:fill="auto"/>
            <w:vAlign w:val="center"/>
          </w:tcPr>
          <w:p w14:paraId="038CE6D2">
            <w:pPr>
              <w:jc w:val="center"/>
              <w:rPr>
                <w:color w:val="auto"/>
                <w:sz w:val="22"/>
                <w:szCs w:val="22"/>
              </w:rPr>
            </w:pPr>
            <w:r>
              <w:rPr>
                <w:rFonts w:hint="eastAsia"/>
                <w:color w:val="auto"/>
                <w:sz w:val="22"/>
                <w:szCs w:val="22"/>
              </w:rPr>
              <w:t>涉及工程情况</w:t>
            </w:r>
          </w:p>
        </w:tc>
        <w:tc>
          <w:tcPr>
            <w:tcW w:w="282"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42F62DE6">
            <w:pPr>
              <w:jc w:val="center"/>
              <w:rPr>
                <w:color w:val="auto"/>
                <w:sz w:val="22"/>
                <w:szCs w:val="22"/>
              </w:rPr>
            </w:pPr>
            <w:r>
              <w:rPr>
                <w:color w:val="auto"/>
                <w:sz w:val="22"/>
                <w:szCs w:val="22"/>
              </w:rPr>
              <w:t>保护目标名称</w:t>
            </w:r>
          </w:p>
        </w:tc>
        <w:tc>
          <w:tcPr>
            <w:tcW w:w="286" w:type="pct"/>
            <w:vMerge w:val="restart"/>
            <w:tcBorders>
              <w:top w:val="single" w:color="auto" w:sz="4" w:space="0"/>
              <w:left w:val="single" w:color="auto" w:sz="4" w:space="0"/>
              <w:right w:val="single" w:color="auto" w:sz="4" w:space="0"/>
            </w:tcBorders>
            <w:shd w:val="clear" w:color="auto" w:fill="auto"/>
            <w:vAlign w:val="center"/>
          </w:tcPr>
          <w:p w14:paraId="2361D1EB">
            <w:pPr>
              <w:jc w:val="center"/>
              <w:rPr>
                <w:color w:val="auto"/>
                <w:sz w:val="22"/>
                <w:szCs w:val="22"/>
              </w:rPr>
            </w:pPr>
            <w:r>
              <w:rPr>
                <w:color w:val="auto"/>
                <w:sz w:val="22"/>
                <w:szCs w:val="22"/>
              </w:rPr>
              <w:t>影响因素</w:t>
            </w:r>
          </w:p>
        </w:tc>
        <w:tc>
          <w:tcPr>
            <w:tcW w:w="258" w:type="pct"/>
            <w:vMerge w:val="restart"/>
            <w:tcBorders>
              <w:top w:val="single" w:color="auto" w:sz="4" w:space="0"/>
              <w:left w:val="single" w:color="auto" w:sz="4" w:space="0"/>
              <w:right w:val="single" w:color="auto" w:sz="4" w:space="0"/>
            </w:tcBorders>
            <w:shd w:val="clear" w:color="auto" w:fill="auto"/>
            <w:vAlign w:val="center"/>
          </w:tcPr>
          <w:p w14:paraId="158A3089">
            <w:pPr>
              <w:jc w:val="center"/>
              <w:rPr>
                <w:color w:val="auto"/>
                <w:sz w:val="22"/>
                <w:szCs w:val="22"/>
                <w:highlight w:val="yellow"/>
              </w:rPr>
            </w:pPr>
            <w:r>
              <w:rPr>
                <w:color w:val="auto"/>
                <w:sz w:val="22"/>
                <w:szCs w:val="22"/>
              </w:rPr>
              <w:t>现状监测情况</w:t>
            </w:r>
          </w:p>
        </w:tc>
        <w:tc>
          <w:tcPr>
            <w:tcW w:w="1598" w:type="pct"/>
            <w:gridSpan w:val="4"/>
            <w:tcBorders>
              <w:top w:val="single" w:color="auto" w:sz="4" w:space="0"/>
              <w:left w:val="single" w:color="auto" w:sz="4" w:space="0"/>
              <w:bottom w:val="single" w:color="auto" w:sz="4" w:space="0"/>
              <w:right w:val="single" w:color="auto" w:sz="4" w:space="0"/>
            </w:tcBorders>
            <w:vAlign w:val="center"/>
          </w:tcPr>
          <w:p w14:paraId="6A17EE7E">
            <w:pPr>
              <w:jc w:val="center"/>
              <w:rPr>
                <w:color w:val="auto"/>
                <w:sz w:val="22"/>
                <w:szCs w:val="22"/>
              </w:rPr>
            </w:pPr>
            <w:r>
              <w:rPr>
                <w:color w:val="auto"/>
                <w:sz w:val="22"/>
                <w:szCs w:val="22"/>
              </w:rPr>
              <w:t>位置关系</w:t>
            </w:r>
          </w:p>
        </w:tc>
        <w:tc>
          <w:tcPr>
            <w:tcW w:w="521"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3F4CF139">
            <w:pPr>
              <w:jc w:val="center"/>
              <w:rPr>
                <w:color w:val="auto"/>
                <w:sz w:val="22"/>
                <w:szCs w:val="22"/>
              </w:rPr>
            </w:pPr>
            <w:r>
              <w:rPr>
                <w:color w:val="auto"/>
                <w:sz w:val="22"/>
                <w:szCs w:val="22"/>
              </w:rPr>
              <w:t>目标特征</w:t>
            </w:r>
          </w:p>
        </w:tc>
        <w:tc>
          <w:tcPr>
            <w:tcW w:w="332" w:type="pct"/>
            <w:vMerge w:val="restart"/>
            <w:tcBorders>
              <w:top w:val="single" w:color="auto" w:sz="4" w:space="0"/>
              <w:left w:val="single" w:color="auto" w:sz="4" w:space="0"/>
              <w:right w:val="single" w:color="auto" w:sz="4" w:space="0"/>
            </w:tcBorders>
            <w:vAlign w:val="center"/>
          </w:tcPr>
          <w:p w14:paraId="0D7B0049">
            <w:pPr>
              <w:jc w:val="center"/>
              <w:rPr>
                <w:color w:val="auto"/>
                <w:sz w:val="22"/>
                <w:szCs w:val="22"/>
              </w:rPr>
            </w:pPr>
            <w:r>
              <w:rPr>
                <w:rFonts w:hint="eastAsia"/>
                <w:color w:val="auto"/>
                <w:sz w:val="22"/>
                <w:szCs w:val="22"/>
              </w:rPr>
              <w:t>功能</w:t>
            </w:r>
          </w:p>
        </w:tc>
        <w:tc>
          <w:tcPr>
            <w:tcW w:w="332" w:type="pct"/>
            <w:vMerge w:val="restart"/>
            <w:tcBorders>
              <w:top w:val="single" w:color="auto" w:sz="4" w:space="0"/>
              <w:left w:val="single" w:color="auto" w:sz="4" w:space="0"/>
              <w:right w:val="single" w:color="auto" w:sz="4" w:space="0"/>
            </w:tcBorders>
            <w:vAlign w:val="center"/>
          </w:tcPr>
          <w:p w14:paraId="772DC0F3">
            <w:pPr>
              <w:jc w:val="center"/>
              <w:rPr>
                <w:color w:val="auto"/>
                <w:sz w:val="22"/>
                <w:szCs w:val="22"/>
              </w:rPr>
            </w:pPr>
            <w:r>
              <w:rPr>
                <w:color w:val="auto"/>
                <w:sz w:val="22"/>
                <w:szCs w:val="22"/>
              </w:rPr>
              <w:t>声功能区划</w:t>
            </w:r>
          </w:p>
        </w:tc>
        <w:tc>
          <w:tcPr>
            <w:tcW w:w="975" w:type="pct"/>
            <w:vMerge w:val="restart"/>
            <w:tcBorders>
              <w:top w:val="single" w:color="auto" w:sz="4" w:space="0"/>
              <w:left w:val="single" w:color="auto" w:sz="4" w:space="0"/>
              <w:right w:val="single" w:color="auto" w:sz="4" w:space="0"/>
            </w:tcBorders>
            <w:vAlign w:val="center"/>
          </w:tcPr>
          <w:p w14:paraId="71439889">
            <w:pPr>
              <w:jc w:val="center"/>
              <w:rPr>
                <w:color w:val="auto"/>
                <w:sz w:val="22"/>
                <w:szCs w:val="22"/>
              </w:rPr>
            </w:pPr>
            <w:r>
              <w:rPr>
                <w:rFonts w:hint="eastAsia"/>
                <w:color w:val="auto"/>
                <w:sz w:val="22"/>
                <w:szCs w:val="22"/>
              </w:rPr>
              <w:t>照片</w:t>
            </w:r>
          </w:p>
        </w:tc>
      </w:tr>
      <w:tr w14:paraId="147656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148"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39A0894">
            <w:pPr>
              <w:rPr>
                <w:color w:val="auto"/>
                <w:sz w:val="22"/>
                <w:szCs w:val="22"/>
              </w:rPr>
            </w:pPr>
          </w:p>
        </w:tc>
        <w:tc>
          <w:tcPr>
            <w:tcW w:w="263" w:type="pct"/>
            <w:vMerge w:val="continue"/>
            <w:tcBorders>
              <w:left w:val="single" w:color="auto" w:sz="4" w:space="0"/>
              <w:right w:val="single" w:color="auto" w:sz="4" w:space="0"/>
            </w:tcBorders>
            <w:shd w:val="clear" w:color="auto" w:fill="auto"/>
            <w:vAlign w:val="center"/>
          </w:tcPr>
          <w:p w14:paraId="393057B4">
            <w:pPr>
              <w:rPr>
                <w:color w:val="auto"/>
                <w:sz w:val="22"/>
                <w:szCs w:val="22"/>
              </w:rPr>
            </w:pPr>
          </w:p>
        </w:tc>
        <w:tc>
          <w:tcPr>
            <w:tcW w:w="282"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416748C">
            <w:pPr>
              <w:rPr>
                <w:color w:val="auto"/>
                <w:sz w:val="22"/>
                <w:szCs w:val="22"/>
              </w:rPr>
            </w:pPr>
          </w:p>
        </w:tc>
        <w:tc>
          <w:tcPr>
            <w:tcW w:w="286" w:type="pct"/>
            <w:vMerge w:val="continue"/>
            <w:tcBorders>
              <w:left w:val="single" w:color="auto" w:sz="4" w:space="0"/>
              <w:right w:val="single" w:color="auto" w:sz="4" w:space="0"/>
            </w:tcBorders>
            <w:shd w:val="clear" w:color="auto" w:fill="auto"/>
            <w:vAlign w:val="center"/>
          </w:tcPr>
          <w:p w14:paraId="2672E8E8">
            <w:pPr>
              <w:jc w:val="center"/>
              <w:rPr>
                <w:color w:val="auto"/>
                <w:sz w:val="22"/>
                <w:szCs w:val="22"/>
              </w:rPr>
            </w:pPr>
          </w:p>
        </w:tc>
        <w:tc>
          <w:tcPr>
            <w:tcW w:w="258" w:type="pct"/>
            <w:vMerge w:val="continue"/>
            <w:tcBorders>
              <w:left w:val="single" w:color="auto" w:sz="4" w:space="0"/>
              <w:right w:val="single" w:color="auto" w:sz="4" w:space="0"/>
            </w:tcBorders>
            <w:shd w:val="clear" w:color="auto" w:fill="auto"/>
            <w:vAlign w:val="center"/>
          </w:tcPr>
          <w:p w14:paraId="3A020830">
            <w:pPr>
              <w:jc w:val="center"/>
              <w:rPr>
                <w:color w:val="auto"/>
                <w:sz w:val="22"/>
                <w:szCs w:val="22"/>
                <w:highlight w:val="yellow"/>
              </w:rPr>
            </w:pPr>
          </w:p>
        </w:tc>
        <w:tc>
          <w:tcPr>
            <w:tcW w:w="1245" w:type="pct"/>
            <w:gridSpan w:val="3"/>
            <w:tcBorders>
              <w:top w:val="single" w:color="auto" w:sz="4" w:space="0"/>
              <w:left w:val="single" w:color="auto" w:sz="4" w:space="0"/>
              <w:bottom w:val="single" w:color="auto" w:sz="4" w:space="0"/>
              <w:right w:val="single" w:color="auto" w:sz="4" w:space="0"/>
            </w:tcBorders>
            <w:vAlign w:val="center"/>
          </w:tcPr>
          <w:p w14:paraId="6E7C739E">
            <w:pPr>
              <w:jc w:val="center"/>
              <w:rPr>
                <w:color w:val="auto"/>
                <w:sz w:val="22"/>
                <w:szCs w:val="22"/>
              </w:rPr>
            </w:pPr>
            <w:r>
              <w:rPr>
                <w:color w:val="auto"/>
                <w:sz w:val="22"/>
                <w:szCs w:val="22"/>
              </w:rPr>
              <w:t>与新建线路最近处</w:t>
            </w:r>
          </w:p>
        </w:tc>
        <w:tc>
          <w:tcPr>
            <w:tcW w:w="353" w:type="pct"/>
            <w:vMerge w:val="restart"/>
            <w:tcBorders>
              <w:top w:val="single" w:color="auto" w:sz="4" w:space="0"/>
              <w:left w:val="single" w:color="auto" w:sz="4" w:space="0"/>
              <w:right w:val="single" w:color="auto" w:sz="4" w:space="0"/>
            </w:tcBorders>
            <w:vAlign w:val="center"/>
          </w:tcPr>
          <w:p w14:paraId="386E6BBD">
            <w:pPr>
              <w:jc w:val="center"/>
              <w:rPr>
                <w:color w:val="auto"/>
                <w:sz w:val="22"/>
                <w:szCs w:val="22"/>
              </w:rPr>
            </w:pPr>
            <w:r>
              <w:rPr>
                <w:rFonts w:hint="eastAsia"/>
                <w:color w:val="auto"/>
                <w:sz w:val="22"/>
                <w:szCs w:val="22"/>
              </w:rPr>
              <w:t>与交叉并行线路</w:t>
            </w:r>
          </w:p>
        </w:tc>
        <w:tc>
          <w:tcPr>
            <w:tcW w:w="521"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229CD4E">
            <w:pPr>
              <w:rPr>
                <w:color w:val="auto"/>
                <w:sz w:val="22"/>
                <w:szCs w:val="22"/>
              </w:rPr>
            </w:pPr>
          </w:p>
        </w:tc>
        <w:tc>
          <w:tcPr>
            <w:tcW w:w="332" w:type="pct"/>
            <w:vMerge w:val="continue"/>
            <w:tcBorders>
              <w:left w:val="single" w:color="auto" w:sz="4" w:space="0"/>
              <w:right w:val="single" w:color="auto" w:sz="4" w:space="0"/>
            </w:tcBorders>
            <w:vAlign w:val="center"/>
          </w:tcPr>
          <w:p w14:paraId="1564C2BB">
            <w:pPr>
              <w:rPr>
                <w:color w:val="auto"/>
                <w:sz w:val="22"/>
                <w:szCs w:val="22"/>
              </w:rPr>
            </w:pPr>
          </w:p>
        </w:tc>
        <w:tc>
          <w:tcPr>
            <w:tcW w:w="332" w:type="pct"/>
            <w:vMerge w:val="continue"/>
            <w:tcBorders>
              <w:left w:val="single" w:color="auto" w:sz="4" w:space="0"/>
              <w:right w:val="single" w:color="auto" w:sz="4" w:space="0"/>
            </w:tcBorders>
            <w:vAlign w:val="center"/>
          </w:tcPr>
          <w:p w14:paraId="5433DE9E">
            <w:pPr>
              <w:rPr>
                <w:color w:val="auto"/>
                <w:sz w:val="22"/>
                <w:szCs w:val="22"/>
              </w:rPr>
            </w:pPr>
          </w:p>
        </w:tc>
        <w:tc>
          <w:tcPr>
            <w:tcW w:w="975" w:type="pct"/>
            <w:vMerge w:val="continue"/>
            <w:tcBorders>
              <w:left w:val="single" w:color="auto" w:sz="4" w:space="0"/>
              <w:right w:val="single" w:color="auto" w:sz="4" w:space="0"/>
            </w:tcBorders>
            <w:vAlign w:val="center"/>
          </w:tcPr>
          <w:p w14:paraId="364CCB57">
            <w:pPr>
              <w:rPr>
                <w:color w:val="auto"/>
                <w:sz w:val="22"/>
                <w:szCs w:val="22"/>
              </w:rPr>
            </w:pPr>
          </w:p>
        </w:tc>
      </w:tr>
      <w:tr w14:paraId="385D72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148"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9051030">
            <w:pPr>
              <w:rPr>
                <w:color w:val="auto"/>
                <w:sz w:val="22"/>
                <w:szCs w:val="22"/>
              </w:rPr>
            </w:pPr>
          </w:p>
        </w:tc>
        <w:tc>
          <w:tcPr>
            <w:tcW w:w="263" w:type="pct"/>
            <w:vMerge w:val="continue"/>
            <w:tcBorders>
              <w:left w:val="single" w:color="auto" w:sz="4" w:space="0"/>
              <w:bottom w:val="single" w:color="auto" w:sz="4" w:space="0"/>
              <w:right w:val="single" w:color="auto" w:sz="4" w:space="0"/>
            </w:tcBorders>
            <w:shd w:val="clear" w:color="auto" w:fill="auto"/>
            <w:vAlign w:val="center"/>
          </w:tcPr>
          <w:p w14:paraId="02B6A77C">
            <w:pPr>
              <w:rPr>
                <w:color w:val="auto"/>
                <w:sz w:val="22"/>
                <w:szCs w:val="22"/>
              </w:rPr>
            </w:pPr>
          </w:p>
        </w:tc>
        <w:tc>
          <w:tcPr>
            <w:tcW w:w="282"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E61ABAF">
            <w:pPr>
              <w:rPr>
                <w:color w:val="auto"/>
                <w:sz w:val="22"/>
                <w:szCs w:val="22"/>
              </w:rPr>
            </w:pPr>
          </w:p>
        </w:tc>
        <w:tc>
          <w:tcPr>
            <w:tcW w:w="286" w:type="pct"/>
            <w:vMerge w:val="continue"/>
            <w:tcBorders>
              <w:left w:val="single" w:color="auto" w:sz="4" w:space="0"/>
              <w:bottom w:val="single" w:color="auto" w:sz="4" w:space="0"/>
              <w:right w:val="single" w:color="auto" w:sz="4" w:space="0"/>
            </w:tcBorders>
            <w:shd w:val="clear" w:color="auto" w:fill="auto"/>
            <w:vAlign w:val="center"/>
          </w:tcPr>
          <w:p w14:paraId="186D51B2">
            <w:pPr>
              <w:rPr>
                <w:color w:val="auto"/>
                <w:sz w:val="22"/>
                <w:szCs w:val="22"/>
              </w:rPr>
            </w:pPr>
          </w:p>
        </w:tc>
        <w:tc>
          <w:tcPr>
            <w:tcW w:w="258" w:type="pct"/>
            <w:vMerge w:val="continue"/>
            <w:tcBorders>
              <w:left w:val="single" w:color="auto" w:sz="4" w:space="0"/>
              <w:bottom w:val="single" w:color="auto" w:sz="4" w:space="0"/>
              <w:right w:val="single" w:color="auto" w:sz="4" w:space="0"/>
            </w:tcBorders>
            <w:shd w:val="clear" w:color="auto" w:fill="auto"/>
            <w:vAlign w:val="center"/>
          </w:tcPr>
          <w:p w14:paraId="1B9322CB">
            <w:pPr>
              <w:rPr>
                <w:color w:val="auto"/>
                <w:sz w:val="22"/>
                <w:szCs w:val="22"/>
                <w:highlight w:val="yellow"/>
              </w:rPr>
            </w:pPr>
          </w:p>
        </w:tc>
        <w:tc>
          <w:tcPr>
            <w:tcW w:w="488" w:type="pct"/>
            <w:tcBorders>
              <w:top w:val="single" w:color="auto" w:sz="4" w:space="0"/>
              <w:left w:val="single" w:color="auto" w:sz="4" w:space="0"/>
              <w:bottom w:val="single" w:color="auto" w:sz="4" w:space="0"/>
              <w:right w:val="single" w:color="auto" w:sz="4" w:space="0"/>
            </w:tcBorders>
            <w:shd w:val="clear" w:color="auto" w:fill="auto"/>
            <w:vAlign w:val="center"/>
          </w:tcPr>
          <w:p w14:paraId="149DD810">
            <w:pPr>
              <w:jc w:val="center"/>
              <w:rPr>
                <w:color w:val="auto"/>
                <w:sz w:val="22"/>
                <w:szCs w:val="22"/>
              </w:rPr>
            </w:pPr>
            <w:r>
              <w:rPr>
                <w:color w:val="auto"/>
                <w:sz w:val="22"/>
                <w:szCs w:val="22"/>
              </w:rPr>
              <w:t>水平距离</w:t>
            </w:r>
          </w:p>
        </w:tc>
        <w:tc>
          <w:tcPr>
            <w:tcW w:w="455" w:type="pct"/>
            <w:tcBorders>
              <w:top w:val="single" w:color="auto" w:sz="4" w:space="0"/>
              <w:left w:val="single" w:color="auto" w:sz="4" w:space="0"/>
              <w:bottom w:val="single" w:color="auto" w:sz="4" w:space="0"/>
              <w:right w:val="single" w:color="auto" w:sz="4" w:space="0"/>
            </w:tcBorders>
            <w:vAlign w:val="center"/>
          </w:tcPr>
          <w:p w14:paraId="41C1CD85">
            <w:pPr>
              <w:jc w:val="center"/>
              <w:rPr>
                <w:rFonts w:hint="eastAsia" w:eastAsia="宋体"/>
                <w:color w:val="auto"/>
                <w:sz w:val="22"/>
                <w:szCs w:val="22"/>
                <w:lang w:eastAsia="zh-CN"/>
              </w:rPr>
            </w:pPr>
            <w:r>
              <w:rPr>
                <w:color w:val="auto"/>
                <w:sz w:val="22"/>
                <w:szCs w:val="22"/>
              </w:rPr>
              <w:t>导线对地</w:t>
            </w:r>
            <w:r>
              <w:rPr>
                <w:rFonts w:hint="eastAsia"/>
                <w:color w:val="auto"/>
                <w:sz w:val="22"/>
                <w:szCs w:val="22"/>
              </w:rPr>
              <w:t>最低</w:t>
            </w:r>
            <w:r>
              <w:rPr>
                <w:color w:val="auto"/>
                <w:sz w:val="22"/>
                <w:szCs w:val="22"/>
              </w:rPr>
              <w:t>高度</w:t>
            </w:r>
            <w:r>
              <w:rPr>
                <w:rFonts w:hint="eastAsia"/>
                <w:color w:val="auto"/>
                <w:sz w:val="22"/>
                <w:szCs w:val="22"/>
                <w:lang w:eastAsia="zh-CN"/>
              </w:rPr>
              <w:t>（</w:t>
            </w:r>
            <w:r>
              <w:rPr>
                <w:color w:val="auto"/>
                <w:sz w:val="22"/>
                <w:szCs w:val="22"/>
              </w:rPr>
              <w:t>m</w:t>
            </w:r>
            <w:r>
              <w:rPr>
                <w:rFonts w:hint="eastAsia"/>
                <w:color w:val="auto"/>
                <w:sz w:val="22"/>
                <w:szCs w:val="22"/>
                <w:lang w:eastAsia="zh-CN"/>
              </w:rPr>
              <w:t>）</w:t>
            </w:r>
          </w:p>
        </w:tc>
        <w:tc>
          <w:tcPr>
            <w:tcW w:w="300" w:type="pct"/>
            <w:tcBorders>
              <w:top w:val="single" w:color="auto" w:sz="4" w:space="0"/>
              <w:left w:val="single" w:color="auto" w:sz="4" w:space="0"/>
              <w:bottom w:val="single" w:color="auto" w:sz="4" w:space="0"/>
              <w:right w:val="single" w:color="auto" w:sz="4" w:space="0"/>
            </w:tcBorders>
            <w:vAlign w:val="center"/>
          </w:tcPr>
          <w:p w14:paraId="2B51BCE6">
            <w:pPr>
              <w:jc w:val="center"/>
              <w:rPr>
                <w:rFonts w:hint="eastAsia" w:eastAsia="宋体"/>
                <w:color w:val="auto"/>
                <w:sz w:val="22"/>
                <w:szCs w:val="22"/>
                <w:lang w:eastAsia="zh-CN"/>
              </w:rPr>
            </w:pPr>
            <w:r>
              <w:rPr>
                <w:color w:val="auto"/>
                <w:sz w:val="22"/>
                <w:szCs w:val="22"/>
              </w:rPr>
              <w:t>跨高</w:t>
            </w:r>
            <w:r>
              <w:rPr>
                <w:rFonts w:hint="eastAsia"/>
                <w:color w:val="auto"/>
                <w:sz w:val="22"/>
                <w:szCs w:val="22"/>
                <w:lang w:eastAsia="zh-CN"/>
              </w:rPr>
              <w:t>（</w:t>
            </w:r>
            <w:r>
              <w:rPr>
                <w:color w:val="auto"/>
                <w:sz w:val="22"/>
                <w:szCs w:val="22"/>
              </w:rPr>
              <w:t>m</w:t>
            </w:r>
            <w:r>
              <w:rPr>
                <w:rFonts w:hint="eastAsia"/>
                <w:color w:val="auto"/>
                <w:sz w:val="22"/>
                <w:szCs w:val="22"/>
                <w:lang w:eastAsia="zh-CN"/>
              </w:rPr>
              <w:t>）</w:t>
            </w:r>
          </w:p>
        </w:tc>
        <w:tc>
          <w:tcPr>
            <w:tcW w:w="353" w:type="pct"/>
            <w:vMerge w:val="continue"/>
            <w:tcBorders>
              <w:left w:val="single" w:color="auto" w:sz="4" w:space="0"/>
              <w:bottom w:val="single" w:color="auto" w:sz="4" w:space="0"/>
              <w:right w:val="single" w:color="auto" w:sz="4" w:space="0"/>
            </w:tcBorders>
            <w:vAlign w:val="center"/>
          </w:tcPr>
          <w:p w14:paraId="20B80B95">
            <w:pPr>
              <w:rPr>
                <w:color w:val="auto"/>
                <w:sz w:val="22"/>
                <w:szCs w:val="22"/>
              </w:rPr>
            </w:pPr>
          </w:p>
        </w:tc>
        <w:tc>
          <w:tcPr>
            <w:tcW w:w="521"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54174C1">
            <w:pPr>
              <w:rPr>
                <w:color w:val="auto"/>
                <w:sz w:val="22"/>
                <w:szCs w:val="22"/>
              </w:rPr>
            </w:pPr>
          </w:p>
        </w:tc>
        <w:tc>
          <w:tcPr>
            <w:tcW w:w="332" w:type="pct"/>
            <w:vMerge w:val="continue"/>
            <w:tcBorders>
              <w:left w:val="single" w:color="auto" w:sz="4" w:space="0"/>
              <w:bottom w:val="single" w:color="auto" w:sz="4" w:space="0"/>
              <w:right w:val="single" w:color="auto" w:sz="4" w:space="0"/>
            </w:tcBorders>
            <w:vAlign w:val="center"/>
          </w:tcPr>
          <w:p w14:paraId="326B5582">
            <w:pPr>
              <w:rPr>
                <w:color w:val="auto"/>
                <w:sz w:val="22"/>
                <w:szCs w:val="22"/>
              </w:rPr>
            </w:pPr>
          </w:p>
        </w:tc>
        <w:tc>
          <w:tcPr>
            <w:tcW w:w="332" w:type="pct"/>
            <w:vMerge w:val="continue"/>
            <w:tcBorders>
              <w:left w:val="single" w:color="auto" w:sz="4" w:space="0"/>
              <w:bottom w:val="single" w:color="auto" w:sz="4" w:space="0"/>
              <w:right w:val="single" w:color="auto" w:sz="4" w:space="0"/>
            </w:tcBorders>
            <w:vAlign w:val="center"/>
          </w:tcPr>
          <w:p w14:paraId="34E1792B">
            <w:pPr>
              <w:rPr>
                <w:color w:val="auto"/>
                <w:sz w:val="22"/>
                <w:szCs w:val="22"/>
              </w:rPr>
            </w:pPr>
          </w:p>
        </w:tc>
        <w:tc>
          <w:tcPr>
            <w:tcW w:w="975" w:type="pct"/>
            <w:vMerge w:val="continue"/>
            <w:tcBorders>
              <w:left w:val="single" w:color="auto" w:sz="4" w:space="0"/>
              <w:bottom w:val="single" w:color="auto" w:sz="4" w:space="0"/>
              <w:right w:val="single" w:color="auto" w:sz="4" w:space="0"/>
            </w:tcBorders>
            <w:vAlign w:val="center"/>
          </w:tcPr>
          <w:p w14:paraId="52FF52FD">
            <w:pPr>
              <w:rPr>
                <w:color w:val="auto"/>
                <w:sz w:val="22"/>
                <w:szCs w:val="22"/>
              </w:rPr>
            </w:pPr>
          </w:p>
        </w:tc>
      </w:tr>
      <w:tr w14:paraId="4CE914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4" w:hRule="atLeast"/>
          <w:jc w:val="center"/>
        </w:trPr>
        <w:tc>
          <w:tcPr>
            <w:tcW w:w="148" w:type="pct"/>
            <w:tcBorders>
              <w:top w:val="single" w:color="auto" w:sz="4" w:space="0"/>
              <w:left w:val="single" w:color="auto" w:sz="4" w:space="0"/>
              <w:bottom w:val="single" w:color="auto" w:sz="4" w:space="0"/>
              <w:right w:val="single" w:color="auto" w:sz="4" w:space="0"/>
            </w:tcBorders>
            <w:shd w:val="clear" w:color="auto" w:fill="auto"/>
            <w:vAlign w:val="center"/>
          </w:tcPr>
          <w:p w14:paraId="677A7430">
            <w:pPr>
              <w:jc w:val="center"/>
              <w:rPr>
                <w:color w:val="auto"/>
                <w:sz w:val="22"/>
                <w:szCs w:val="22"/>
              </w:rPr>
            </w:pPr>
            <w:r>
              <w:rPr>
                <w:color w:val="auto"/>
                <w:sz w:val="22"/>
                <w:szCs w:val="22"/>
              </w:rPr>
              <w:t>1</w:t>
            </w:r>
          </w:p>
        </w:tc>
        <w:tc>
          <w:tcPr>
            <w:tcW w:w="263" w:type="pct"/>
            <w:vMerge w:val="restart"/>
            <w:tcBorders>
              <w:top w:val="single" w:color="auto" w:sz="4" w:space="0"/>
              <w:left w:val="single" w:color="auto" w:sz="4" w:space="0"/>
              <w:right w:val="single" w:color="auto" w:sz="4" w:space="0"/>
            </w:tcBorders>
            <w:shd w:val="clear" w:color="auto" w:fill="auto"/>
            <w:vAlign w:val="center"/>
          </w:tcPr>
          <w:p w14:paraId="6473E869">
            <w:pPr>
              <w:jc w:val="center"/>
              <w:rPr>
                <w:color w:val="auto"/>
                <w:sz w:val="22"/>
                <w:szCs w:val="22"/>
              </w:rPr>
            </w:pPr>
            <w:r>
              <w:rPr>
                <w:rFonts w:hint="eastAsia"/>
                <w:color w:val="auto"/>
                <w:sz w:val="22"/>
                <w:szCs w:val="22"/>
              </w:rPr>
              <w:t>110kV架空线路</w:t>
            </w:r>
          </w:p>
        </w:tc>
        <w:tc>
          <w:tcPr>
            <w:tcW w:w="282" w:type="pct"/>
            <w:tcBorders>
              <w:top w:val="single" w:color="auto" w:sz="4" w:space="0"/>
              <w:left w:val="single" w:color="auto" w:sz="4" w:space="0"/>
              <w:bottom w:val="single" w:color="auto" w:sz="4" w:space="0"/>
              <w:right w:val="single" w:color="auto" w:sz="4" w:space="0"/>
            </w:tcBorders>
            <w:shd w:val="clear" w:color="auto" w:fill="auto"/>
            <w:vAlign w:val="center"/>
          </w:tcPr>
          <w:p w14:paraId="55949A82">
            <w:pPr>
              <w:jc w:val="center"/>
              <w:rPr>
                <w:color w:val="auto"/>
                <w:sz w:val="22"/>
                <w:szCs w:val="22"/>
              </w:rPr>
            </w:pPr>
            <w:r>
              <w:rPr>
                <w:rFonts w:hint="eastAsia"/>
                <w:bCs/>
                <w:color w:val="auto"/>
                <w:sz w:val="22"/>
                <w:szCs w:val="22"/>
              </w:rPr>
              <w:t>1#</w:t>
            </w:r>
            <w:r>
              <w:rPr>
                <w:bCs/>
                <w:color w:val="auto"/>
                <w:sz w:val="22"/>
                <w:szCs w:val="22"/>
              </w:rPr>
              <w:t>冯坪乡庙坝村潘桂英</w:t>
            </w:r>
            <w:r>
              <w:rPr>
                <w:rFonts w:hint="eastAsia"/>
                <w:bCs/>
                <w:color w:val="auto"/>
                <w:sz w:val="22"/>
                <w:szCs w:val="22"/>
              </w:rPr>
              <w:t>家</w:t>
            </w:r>
          </w:p>
        </w:tc>
        <w:tc>
          <w:tcPr>
            <w:tcW w:w="286" w:type="pct"/>
            <w:tcBorders>
              <w:top w:val="single" w:color="auto" w:sz="4" w:space="0"/>
              <w:left w:val="single" w:color="auto" w:sz="4" w:space="0"/>
              <w:bottom w:val="single" w:color="auto" w:sz="4" w:space="0"/>
              <w:right w:val="single" w:color="auto" w:sz="4" w:space="0"/>
            </w:tcBorders>
            <w:shd w:val="clear" w:color="auto" w:fill="auto"/>
            <w:vAlign w:val="center"/>
          </w:tcPr>
          <w:p w14:paraId="5F68AC8B">
            <w:pPr>
              <w:jc w:val="center"/>
              <w:rPr>
                <w:color w:val="auto"/>
                <w:sz w:val="22"/>
                <w:szCs w:val="22"/>
              </w:rPr>
            </w:pPr>
            <w:r>
              <w:rPr>
                <w:color w:val="auto"/>
                <w:sz w:val="22"/>
                <w:szCs w:val="22"/>
              </w:rPr>
              <w:t>工频电磁场</w:t>
            </w:r>
            <w:r>
              <w:rPr>
                <w:rFonts w:hint="eastAsia"/>
                <w:color w:val="auto"/>
                <w:sz w:val="22"/>
                <w:szCs w:val="22"/>
              </w:rPr>
              <w:t>、噪声</w:t>
            </w:r>
          </w:p>
        </w:tc>
        <w:tc>
          <w:tcPr>
            <w:tcW w:w="258" w:type="pct"/>
            <w:tcBorders>
              <w:top w:val="single" w:color="auto" w:sz="4" w:space="0"/>
              <w:left w:val="single" w:color="auto" w:sz="4" w:space="0"/>
              <w:bottom w:val="single" w:color="auto" w:sz="4" w:space="0"/>
              <w:right w:val="single" w:color="auto" w:sz="4" w:space="0"/>
            </w:tcBorders>
            <w:shd w:val="clear" w:color="auto" w:fill="auto"/>
            <w:vAlign w:val="center"/>
          </w:tcPr>
          <w:p w14:paraId="1DE69DD0">
            <w:pPr>
              <w:jc w:val="center"/>
              <w:rPr>
                <w:color w:val="auto"/>
                <w:sz w:val="22"/>
                <w:szCs w:val="22"/>
                <w:highlight w:val="yellow"/>
              </w:rPr>
            </w:pPr>
            <w:r>
              <w:rPr>
                <w:rFonts w:hint="eastAsia"/>
                <w:bCs/>
                <w:color w:val="auto"/>
                <w:sz w:val="22"/>
                <w:szCs w:val="22"/>
              </w:rPr>
              <w:t>噪声N2、电磁★2#</w:t>
            </w:r>
          </w:p>
        </w:tc>
        <w:tc>
          <w:tcPr>
            <w:tcW w:w="488" w:type="pct"/>
            <w:tcBorders>
              <w:top w:val="single" w:color="auto" w:sz="4" w:space="0"/>
              <w:left w:val="single" w:color="auto" w:sz="4" w:space="0"/>
              <w:bottom w:val="single" w:color="auto" w:sz="4" w:space="0"/>
              <w:right w:val="single" w:color="auto" w:sz="4" w:space="0"/>
            </w:tcBorders>
            <w:shd w:val="clear" w:color="auto" w:fill="auto"/>
            <w:vAlign w:val="center"/>
          </w:tcPr>
          <w:p w14:paraId="54127E50">
            <w:pPr>
              <w:jc w:val="center"/>
              <w:rPr>
                <w:snapToGrid w:val="0"/>
                <w:color w:val="auto"/>
                <w:kern w:val="0"/>
                <w:sz w:val="22"/>
                <w:szCs w:val="22"/>
              </w:rPr>
            </w:pPr>
            <w:r>
              <w:rPr>
                <w:rFonts w:hint="eastAsia"/>
                <w:snapToGrid w:val="0"/>
                <w:color w:val="auto"/>
                <w:kern w:val="0"/>
                <w:sz w:val="22"/>
                <w:szCs w:val="22"/>
              </w:rPr>
              <w:t>最近处距N13~N14边导线约10m</w:t>
            </w:r>
          </w:p>
        </w:tc>
        <w:tc>
          <w:tcPr>
            <w:tcW w:w="455" w:type="pct"/>
            <w:tcBorders>
              <w:top w:val="single" w:color="auto" w:sz="4" w:space="0"/>
              <w:left w:val="single" w:color="auto" w:sz="4" w:space="0"/>
              <w:bottom w:val="single" w:color="auto" w:sz="4" w:space="0"/>
              <w:right w:val="single" w:color="auto" w:sz="4" w:space="0"/>
            </w:tcBorders>
            <w:vAlign w:val="center"/>
          </w:tcPr>
          <w:p w14:paraId="59164A7B">
            <w:pPr>
              <w:jc w:val="center"/>
              <w:rPr>
                <w:color w:val="auto"/>
                <w:sz w:val="22"/>
                <w:szCs w:val="22"/>
              </w:rPr>
            </w:pPr>
            <w:r>
              <w:rPr>
                <w:color w:val="auto"/>
                <w:sz w:val="22"/>
                <w:szCs w:val="22"/>
              </w:rPr>
              <w:t>约</w:t>
            </w:r>
            <w:r>
              <w:rPr>
                <w:rFonts w:hint="eastAsia"/>
                <w:color w:val="auto"/>
                <w:sz w:val="22"/>
                <w:szCs w:val="22"/>
              </w:rPr>
              <w:t>22</w:t>
            </w:r>
          </w:p>
        </w:tc>
        <w:tc>
          <w:tcPr>
            <w:tcW w:w="300" w:type="pct"/>
            <w:tcBorders>
              <w:top w:val="single" w:color="auto" w:sz="4" w:space="0"/>
              <w:left w:val="single" w:color="auto" w:sz="4" w:space="0"/>
              <w:bottom w:val="single" w:color="auto" w:sz="4" w:space="0"/>
              <w:right w:val="single" w:color="auto" w:sz="4" w:space="0"/>
            </w:tcBorders>
            <w:vAlign w:val="center"/>
          </w:tcPr>
          <w:p w14:paraId="001E7FC7">
            <w:pPr>
              <w:jc w:val="center"/>
              <w:rPr>
                <w:color w:val="auto"/>
                <w:sz w:val="22"/>
                <w:szCs w:val="22"/>
              </w:rPr>
            </w:pPr>
            <w:r>
              <w:rPr>
                <w:rFonts w:hint="eastAsia"/>
                <w:color w:val="auto"/>
                <w:sz w:val="22"/>
                <w:szCs w:val="22"/>
              </w:rPr>
              <w:t>/</w:t>
            </w:r>
          </w:p>
        </w:tc>
        <w:tc>
          <w:tcPr>
            <w:tcW w:w="353" w:type="pct"/>
            <w:tcBorders>
              <w:top w:val="single" w:color="auto" w:sz="4" w:space="0"/>
              <w:left w:val="single" w:color="auto" w:sz="4" w:space="0"/>
              <w:bottom w:val="single" w:color="auto" w:sz="4" w:space="0"/>
              <w:right w:val="single" w:color="auto" w:sz="4" w:space="0"/>
            </w:tcBorders>
            <w:vAlign w:val="center"/>
          </w:tcPr>
          <w:p w14:paraId="57D62F66">
            <w:pPr>
              <w:jc w:val="center"/>
              <w:rPr>
                <w:color w:val="auto"/>
                <w:sz w:val="22"/>
                <w:szCs w:val="22"/>
              </w:rPr>
            </w:pPr>
            <w:r>
              <w:rPr>
                <w:rFonts w:hint="eastAsia"/>
                <w:color w:val="auto"/>
                <w:sz w:val="22"/>
                <w:szCs w:val="22"/>
              </w:rPr>
              <w:t>/</w:t>
            </w:r>
          </w:p>
        </w:tc>
        <w:tc>
          <w:tcPr>
            <w:tcW w:w="521" w:type="pct"/>
            <w:tcBorders>
              <w:top w:val="single" w:color="auto" w:sz="4" w:space="0"/>
              <w:left w:val="single" w:color="auto" w:sz="4" w:space="0"/>
              <w:bottom w:val="single" w:color="auto" w:sz="4" w:space="0"/>
              <w:right w:val="single" w:color="auto" w:sz="4" w:space="0"/>
            </w:tcBorders>
            <w:shd w:val="clear" w:color="auto" w:fill="auto"/>
            <w:vAlign w:val="center"/>
          </w:tcPr>
          <w:p w14:paraId="2CCCDB47">
            <w:pPr>
              <w:jc w:val="center"/>
              <w:rPr>
                <w:color w:val="auto"/>
                <w:sz w:val="22"/>
                <w:szCs w:val="22"/>
              </w:rPr>
            </w:pPr>
            <w:r>
              <w:rPr>
                <w:rFonts w:hint="eastAsia"/>
                <w:color w:val="auto"/>
                <w:sz w:val="22"/>
                <w:szCs w:val="22"/>
              </w:rPr>
              <w:t>居民点1户，1</w:t>
            </w:r>
            <w:r>
              <w:rPr>
                <w:color w:val="auto"/>
                <w:sz w:val="22"/>
                <w:szCs w:val="22"/>
              </w:rPr>
              <w:t>F</w:t>
            </w:r>
            <w:r>
              <w:rPr>
                <w:rFonts w:hint="eastAsia"/>
                <w:color w:val="auto"/>
                <w:sz w:val="22"/>
                <w:szCs w:val="22"/>
              </w:rPr>
              <w:t>约3m，屋顶不可达</w:t>
            </w:r>
          </w:p>
        </w:tc>
        <w:tc>
          <w:tcPr>
            <w:tcW w:w="332" w:type="pct"/>
            <w:tcBorders>
              <w:top w:val="single" w:color="auto" w:sz="4" w:space="0"/>
              <w:left w:val="single" w:color="auto" w:sz="4" w:space="0"/>
              <w:right w:val="single" w:color="auto" w:sz="4" w:space="0"/>
            </w:tcBorders>
            <w:vAlign w:val="center"/>
          </w:tcPr>
          <w:p w14:paraId="1283080E">
            <w:pPr>
              <w:jc w:val="center"/>
              <w:rPr>
                <w:color w:val="auto"/>
                <w:sz w:val="22"/>
                <w:szCs w:val="22"/>
              </w:rPr>
            </w:pPr>
            <w:r>
              <w:rPr>
                <w:rFonts w:hint="eastAsia"/>
                <w:color w:val="auto"/>
                <w:sz w:val="22"/>
                <w:szCs w:val="22"/>
              </w:rPr>
              <w:t>居住</w:t>
            </w:r>
          </w:p>
        </w:tc>
        <w:tc>
          <w:tcPr>
            <w:tcW w:w="332" w:type="pct"/>
            <w:tcBorders>
              <w:top w:val="single" w:color="auto" w:sz="4" w:space="0"/>
              <w:left w:val="single" w:color="auto" w:sz="4" w:space="0"/>
              <w:right w:val="single" w:color="auto" w:sz="4" w:space="0"/>
            </w:tcBorders>
            <w:vAlign w:val="center"/>
          </w:tcPr>
          <w:p w14:paraId="77FC616C">
            <w:pPr>
              <w:jc w:val="center"/>
              <w:rPr>
                <w:color w:val="auto"/>
                <w:sz w:val="22"/>
                <w:szCs w:val="22"/>
              </w:rPr>
            </w:pPr>
            <w:r>
              <w:rPr>
                <w:rFonts w:hint="eastAsia"/>
                <w:color w:val="auto"/>
                <w:sz w:val="22"/>
                <w:szCs w:val="22"/>
              </w:rPr>
              <w:t>1类</w:t>
            </w:r>
          </w:p>
        </w:tc>
        <w:tc>
          <w:tcPr>
            <w:tcW w:w="975" w:type="pct"/>
            <w:tcBorders>
              <w:top w:val="single" w:color="auto" w:sz="4" w:space="0"/>
              <w:left w:val="single" w:color="auto" w:sz="4" w:space="0"/>
              <w:right w:val="single" w:color="auto" w:sz="4" w:space="0"/>
            </w:tcBorders>
            <w:vAlign w:val="center"/>
          </w:tcPr>
          <w:p w14:paraId="043EB15E">
            <w:pPr>
              <w:jc w:val="center"/>
              <w:rPr>
                <w:color w:val="auto"/>
                <w:sz w:val="22"/>
                <w:szCs w:val="22"/>
              </w:rPr>
            </w:pPr>
            <w:r>
              <w:rPr>
                <w:color w:val="auto"/>
              </w:rPr>
              <w:drawing>
                <wp:inline distT="0" distB="0" distL="114300" distR="114300">
                  <wp:extent cx="1607820" cy="1223010"/>
                  <wp:effectExtent l="0" t="0" r="11430" b="15240"/>
                  <wp:docPr id="3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7"/>
                          <pic:cNvPicPr>
                            <a:picLocks noChangeAspect="1"/>
                          </pic:cNvPicPr>
                        </pic:nvPicPr>
                        <pic:blipFill>
                          <a:blip r:embed="rId17"/>
                          <a:stretch>
                            <a:fillRect/>
                          </a:stretch>
                        </pic:blipFill>
                        <pic:spPr>
                          <a:xfrm>
                            <a:off x="0" y="0"/>
                            <a:ext cx="1607820" cy="1223010"/>
                          </a:xfrm>
                          <a:prstGeom prst="rect">
                            <a:avLst/>
                          </a:prstGeom>
                          <a:noFill/>
                          <a:ln>
                            <a:noFill/>
                          </a:ln>
                        </pic:spPr>
                      </pic:pic>
                    </a:graphicData>
                  </a:graphic>
                </wp:inline>
              </w:drawing>
            </w:r>
          </w:p>
        </w:tc>
      </w:tr>
      <w:tr w14:paraId="41698A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48" w:type="pct"/>
            <w:tcBorders>
              <w:top w:val="single" w:color="auto" w:sz="4" w:space="0"/>
              <w:left w:val="single" w:color="auto" w:sz="4" w:space="0"/>
              <w:bottom w:val="single" w:color="auto" w:sz="4" w:space="0"/>
              <w:right w:val="single" w:color="auto" w:sz="4" w:space="0"/>
            </w:tcBorders>
            <w:shd w:val="clear" w:color="auto" w:fill="auto"/>
            <w:vAlign w:val="center"/>
          </w:tcPr>
          <w:p w14:paraId="5E8A91C1">
            <w:pPr>
              <w:jc w:val="center"/>
              <w:rPr>
                <w:color w:val="auto"/>
                <w:sz w:val="22"/>
                <w:szCs w:val="22"/>
              </w:rPr>
            </w:pPr>
            <w:r>
              <w:rPr>
                <w:rFonts w:hint="eastAsia"/>
                <w:color w:val="auto"/>
                <w:sz w:val="22"/>
                <w:szCs w:val="22"/>
              </w:rPr>
              <w:t>2</w:t>
            </w:r>
          </w:p>
        </w:tc>
        <w:tc>
          <w:tcPr>
            <w:tcW w:w="263" w:type="pct"/>
            <w:vMerge w:val="continue"/>
            <w:tcBorders>
              <w:left w:val="single" w:color="auto" w:sz="4" w:space="0"/>
              <w:right w:val="single" w:color="auto" w:sz="4" w:space="0"/>
            </w:tcBorders>
            <w:shd w:val="clear" w:color="auto" w:fill="auto"/>
            <w:vAlign w:val="center"/>
          </w:tcPr>
          <w:p w14:paraId="16DEC786">
            <w:pPr>
              <w:jc w:val="center"/>
              <w:rPr>
                <w:color w:val="auto"/>
                <w:sz w:val="22"/>
                <w:szCs w:val="22"/>
              </w:rPr>
            </w:pPr>
          </w:p>
        </w:tc>
        <w:tc>
          <w:tcPr>
            <w:tcW w:w="282" w:type="pct"/>
            <w:tcBorders>
              <w:top w:val="single" w:color="auto" w:sz="4" w:space="0"/>
              <w:left w:val="single" w:color="auto" w:sz="4" w:space="0"/>
              <w:bottom w:val="single" w:color="auto" w:sz="4" w:space="0"/>
              <w:right w:val="single" w:color="auto" w:sz="4" w:space="0"/>
            </w:tcBorders>
            <w:shd w:val="clear" w:color="auto" w:fill="auto"/>
            <w:vAlign w:val="center"/>
          </w:tcPr>
          <w:p w14:paraId="171C9ED9">
            <w:pPr>
              <w:jc w:val="center"/>
              <w:rPr>
                <w:color w:val="auto"/>
                <w:sz w:val="22"/>
                <w:szCs w:val="22"/>
              </w:rPr>
            </w:pPr>
            <w:r>
              <w:rPr>
                <w:rFonts w:hint="eastAsia"/>
                <w:color w:val="auto"/>
                <w:sz w:val="22"/>
                <w:szCs w:val="22"/>
              </w:rPr>
              <w:t>2#猪圈</w:t>
            </w:r>
          </w:p>
        </w:tc>
        <w:tc>
          <w:tcPr>
            <w:tcW w:w="286" w:type="pct"/>
            <w:tcBorders>
              <w:top w:val="single" w:color="auto" w:sz="4" w:space="0"/>
              <w:left w:val="single" w:color="auto" w:sz="4" w:space="0"/>
              <w:bottom w:val="single" w:color="auto" w:sz="4" w:space="0"/>
              <w:right w:val="single" w:color="auto" w:sz="4" w:space="0"/>
            </w:tcBorders>
            <w:shd w:val="clear" w:color="auto" w:fill="auto"/>
            <w:vAlign w:val="center"/>
          </w:tcPr>
          <w:p w14:paraId="66EA206A">
            <w:pPr>
              <w:jc w:val="center"/>
              <w:rPr>
                <w:color w:val="auto"/>
                <w:sz w:val="22"/>
                <w:szCs w:val="22"/>
              </w:rPr>
            </w:pPr>
            <w:r>
              <w:rPr>
                <w:color w:val="auto"/>
                <w:sz w:val="22"/>
                <w:szCs w:val="22"/>
              </w:rPr>
              <w:t>工频电磁场</w:t>
            </w:r>
          </w:p>
        </w:tc>
        <w:tc>
          <w:tcPr>
            <w:tcW w:w="258" w:type="pct"/>
            <w:tcBorders>
              <w:top w:val="single" w:color="auto" w:sz="4" w:space="0"/>
              <w:left w:val="single" w:color="auto" w:sz="4" w:space="0"/>
              <w:bottom w:val="single" w:color="auto" w:sz="4" w:space="0"/>
              <w:right w:val="single" w:color="auto" w:sz="4" w:space="0"/>
            </w:tcBorders>
            <w:shd w:val="clear" w:color="auto" w:fill="auto"/>
            <w:vAlign w:val="center"/>
          </w:tcPr>
          <w:p w14:paraId="0866208B">
            <w:pPr>
              <w:jc w:val="center"/>
              <w:rPr>
                <w:color w:val="auto"/>
                <w:sz w:val="22"/>
                <w:szCs w:val="22"/>
              </w:rPr>
            </w:pPr>
            <w:r>
              <w:rPr>
                <w:rFonts w:hint="eastAsia"/>
                <w:bCs/>
                <w:color w:val="auto"/>
                <w:sz w:val="22"/>
                <w:szCs w:val="22"/>
              </w:rPr>
              <w:t>电磁★3#</w:t>
            </w:r>
          </w:p>
        </w:tc>
        <w:tc>
          <w:tcPr>
            <w:tcW w:w="488" w:type="pct"/>
            <w:tcBorders>
              <w:top w:val="single" w:color="auto" w:sz="4" w:space="0"/>
              <w:left w:val="single" w:color="auto" w:sz="4" w:space="0"/>
              <w:bottom w:val="single" w:color="auto" w:sz="4" w:space="0"/>
              <w:right w:val="single" w:color="auto" w:sz="4" w:space="0"/>
            </w:tcBorders>
            <w:shd w:val="clear" w:color="auto" w:fill="auto"/>
            <w:vAlign w:val="center"/>
          </w:tcPr>
          <w:p w14:paraId="06BB5868">
            <w:pPr>
              <w:jc w:val="center"/>
              <w:rPr>
                <w:snapToGrid w:val="0"/>
                <w:color w:val="auto"/>
                <w:kern w:val="0"/>
                <w:sz w:val="22"/>
                <w:szCs w:val="22"/>
              </w:rPr>
            </w:pPr>
            <w:r>
              <w:rPr>
                <w:rFonts w:hint="eastAsia"/>
                <w:snapToGrid w:val="0"/>
                <w:color w:val="auto"/>
                <w:kern w:val="0"/>
                <w:sz w:val="22"/>
                <w:szCs w:val="22"/>
              </w:rPr>
              <w:t>最近处距N12~N13边导线约9m</w:t>
            </w:r>
          </w:p>
        </w:tc>
        <w:tc>
          <w:tcPr>
            <w:tcW w:w="455" w:type="pct"/>
            <w:tcBorders>
              <w:top w:val="single" w:color="auto" w:sz="4" w:space="0"/>
              <w:left w:val="single" w:color="auto" w:sz="4" w:space="0"/>
              <w:bottom w:val="single" w:color="auto" w:sz="4" w:space="0"/>
              <w:right w:val="single" w:color="auto" w:sz="4" w:space="0"/>
            </w:tcBorders>
            <w:vAlign w:val="center"/>
          </w:tcPr>
          <w:p w14:paraId="05B36F7A">
            <w:pPr>
              <w:jc w:val="center"/>
              <w:rPr>
                <w:color w:val="auto"/>
                <w:sz w:val="22"/>
                <w:szCs w:val="22"/>
              </w:rPr>
            </w:pPr>
            <w:r>
              <w:rPr>
                <w:color w:val="auto"/>
                <w:sz w:val="22"/>
                <w:szCs w:val="22"/>
              </w:rPr>
              <w:t>约</w:t>
            </w:r>
            <w:r>
              <w:rPr>
                <w:rFonts w:hint="eastAsia"/>
                <w:color w:val="auto"/>
                <w:sz w:val="22"/>
                <w:szCs w:val="22"/>
              </w:rPr>
              <w:t>38</w:t>
            </w:r>
          </w:p>
        </w:tc>
        <w:tc>
          <w:tcPr>
            <w:tcW w:w="300" w:type="pct"/>
            <w:tcBorders>
              <w:top w:val="single" w:color="auto" w:sz="4" w:space="0"/>
              <w:left w:val="single" w:color="auto" w:sz="4" w:space="0"/>
              <w:bottom w:val="single" w:color="auto" w:sz="4" w:space="0"/>
              <w:right w:val="single" w:color="auto" w:sz="4" w:space="0"/>
            </w:tcBorders>
            <w:vAlign w:val="center"/>
          </w:tcPr>
          <w:p w14:paraId="0945B2D1">
            <w:pPr>
              <w:jc w:val="center"/>
              <w:rPr>
                <w:color w:val="auto"/>
                <w:sz w:val="22"/>
                <w:szCs w:val="22"/>
              </w:rPr>
            </w:pPr>
            <w:r>
              <w:rPr>
                <w:rFonts w:hint="eastAsia"/>
                <w:color w:val="auto"/>
                <w:sz w:val="22"/>
                <w:szCs w:val="22"/>
              </w:rPr>
              <w:t>/</w:t>
            </w:r>
          </w:p>
        </w:tc>
        <w:tc>
          <w:tcPr>
            <w:tcW w:w="353" w:type="pct"/>
            <w:tcBorders>
              <w:top w:val="single" w:color="auto" w:sz="4" w:space="0"/>
              <w:left w:val="single" w:color="auto" w:sz="4" w:space="0"/>
              <w:bottom w:val="single" w:color="auto" w:sz="4" w:space="0"/>
              <w:right w:val="single" w:color="auto" w:sz="4" w:space="0"/>
            </w:tcBorders>
            <w:vAlign w:val="center"/>
          </w:tcPr>
          <w:p w14:paraId="4A5EEACD">
            <w:pPr>
              <w:jc w:val="center"/>
              <w:rPr>
                <w:color w:val="auto"/>
                <w:sz w:val="22"/>
                <w:szCs w:val="22"/>
              </w:rPr>
            </w:pPr>
            <w:r>
              <w:rPr>
                <w:rFonts w:hint="eastAsia"/>
                <w:color w:val="auto"/>
                <w:sz w:val="22"/>
                <w:szCs w:val="22"/>
              </w:rPr>
              <w:t>/</w:t>
            </w:r>
          </w:p>
        </w:tc>
        <w:tc>
          <w:tcPr>
            <w:tcW w:w="521" w:type="pct"/>
            <w:tcBorders>
              <w:top w:val="single" w:color="auto" w:sz="4" w:space="0"/>
              <w:left w:val="single" w:color="auto" w:sz="4" w:space="0"/>
              <w:bottom w:val="single" w:color="auto" w:sz="4" w:space="0"/>
              <w:right w:val="single" w:color="auto" w:sz="4" w:space="0"/>
            </w:tcBorders>
            <w:shd w:val="clear" w:color="auto" w:fill="auto"/>
            <w:vAlign w:val="center"/>
          </w:tcPr>
          <w:p w14:paraId="5BBEA0A5">
            <w:pPr>
              <w:jc w:val="center"/>
              <w:rPr>
                <w:color w:val="auto"/>
                <w:sz w:val="22"/>
                <w:szCs w:val="22"/>
              </w:rPr>
            </w:pPr>
            <w:r>
              <w:rPr>
                <w:rFonts w:hint="eastAsia"/>
                <w:color w:val="auto"/>
                <w:sz w:val="22"/>
                <w:szCs w:val="22"/>
              </w:rPr>
              <w:t>猪圈1栋，1</w:t>
            </w:r>
            <w:r>
              <w:rPr>
                <w:color w:val="auto"/>
                <w:sz w:val="22"/>
                <w:szCs w:val="22"/>
              </w:rPr>
              <w:t>F</w:t>
            </w:r>
            <w:r>
              <w:rPr>
                <w:rFonts w:hint="eastAsia"/>
                <w:color w:val="auto"/>
                <w:sz w:val="22"/>
                <w:szCs w:val="22"/>
              </w:rPr>
              <w:t>约3m，屋顶不可达</w:t>
            </w:r>
          </w:p>
        </w:tc>
        <w:tc>
          <w:tcPr>
            <w:tcW w:w="332" w:type="pct"/>
            <w:tcBorders>
              <w:top w:val="single" w:color="auto" w:sz="4" w:space="0"/>
              <w:left w:val="single" w:color="auto" w:sz="4" w:space="0"/>
              <w:right w:val="single" w:color="auto" w:sz="4" w:space="0"/>
            </w:tcBorders>
            <w:vAlign w:val="center"/>
          </w:tcPr>
          <w:p w14:paraId="694E80C8">
            <w:pPr>
              <w:jc w:val="center"/>
              <w:rPr>
                <w:color w:val="auto"/>
                <w:sz w:val="22"/>
                <w:szCs w:val="22"/>
              </w:rPr>
            </w:pPr>
            <w:r>
              <w:rPr>
                <w:rFonts w:hint="eastAsia"/>
                <w:color w:val="auto"/>
                <w:sz w:val="22"/>
                <w:szCs w:val="22"/>
              </w:rPr>
              <w:t>猪圈</w:t>
            </w:r>
          </w:p>
        </w:tc>
        <w:tc>
          <w:tcPr>
            <w:tcW w:w="332" w:type="pct"/>
            <w:tcBorders>
              <w:top w:val="single" w:color="auto" w:sz="4" w:space="0"/>
              <w:left w:val="single" w:color="auto" w:sz="4" w:space="0"/>
              <w:right w:val="single" w:color="auto" w:sz="4" w:space="0"/>
            </w:tcBorders>
            <w:vAlign w:val="center"/>
          </w:tcPr>
          <w:p w14:paraId="7BD88239">
            <w:pPr>
              <w:jc w:val="center"/>
              <w:rPr>
                <w:color w:val="auto"/>
                <w:sz w:val="22"/>
                <w:szCs w:val="22"/>
              </w:rPr>
            </w:pPr>
            <w:r>
              <w:rPr>
                <w:rFonts w:hint="eastAsia"/>
                <w:color w:val="auto"/>
                <w:sz w:val="22"/>
                <w:szCs w:val="22"/>
              </w:rPr>
              <w:t>1类</w:t>
            </w:r>
          </w:p>
        </w:tc>
        <w:tc>
          <w:tcPr>
            <w:tcW w:w="975" w:type="pct"/>
            <w:tcBorders>
              <w:top w:val="single" w:color="auto" w:sz="4" w:space="0"/>
              <w:left w:val="single" w:color="auto" w:sz="4" w:space="0"/>
              <w:right w:val="single" w:color="auto" w:sz="4" w:space="0"/>
            </w:tcBorders>
            <w:vAlign w:val="center"/>
          </w:tcPr>
          <w:p w14:paraId="19D566B4">
            <w:pPr>
              <w:jc w:val="center"/>
              <w:rPr>
                <w:color w:val="auto"/>
              </w:rPr>
            </w:pPr>
            <w:r>
              <w:rPr>
                <w:color w:val="auto"/>
              </w:rPr>
              <w:drawing>
                <wp:inline distT="0" distB="0" distL="114300" distR="114300">
                  <wp:extent cx="1636395" cy="1170305"/>
                  <wp:effectExtent l="0" t="0" r="1905" b="10795"/>
                  <wp:docPr id="3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8"/>
                          <pic:cNvPicPr>
                            <a:picLocks noChangeAspect="1"/>
                          </pic:cNvPicPr>
                        </pic:nvPicPr>
                        <pic:blipFill>
                          <a:blip r:embed="rId18"/>
                          <a:stretch>
                            <a:fillRect/>
                          </a:stretch>
                        </pic:blipFill>
                        <pic:spPr>
                          <a:xfrm>
                            <a:off x="0" y="0"/>
                            <a:ext cx="1636395" cy="1170305"/>
                          </a:xfrm>
                          <a:prstGeom prst="rect">
                            <a:avLst/>
                          </a:prstGeom>
                          <a:noFill/>
                          <a:ln>
                            <a:noFill/>
                          </a:ln>
                        </pic:spPr>
                      </pic:pic>
                    </a:graphicData>
                  </a:graphic>
                </wp:inline>
              </w:drawing>
            </w:r>
          </w:p>
        </w:tc>
      </w:tr>
      <w:tr w14:paraId="3CB292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48" w:type="pct"/>
            <w:tcBorders>
              <w:top w:val="single" w:color="auto" w:sz="4" w:space="0"/>
              <w:left w:val="single" w:color="auto" w:sz="4" w:space="0"/>
              <w:bottom w:val="single" w:color="auto" w:sz="4" w:space="0"/>
              <w:right w:val="single" w:color="auto" w:sz="4" w:space="0"/>
            </w:tcBorders>
            <w:shd w:val="clear" w:color="auto" w:fill="auto"/>
            <w:vAlign w:val="center"/>
          </w:tcPr>
          <w:p w14:paraId="1D47CD4F">
            <w:pPr>
              <w:jc w:val="center"/>
              <w:rPr>
                <w:color w:val="auto"/>
                <w:sz w:val="22"/>
                <w:szCs w:val="22"/>
              </w:rPr>
            </w:pPr>
            <w:r>
              <w:rPr>
                <w:rFonts w:hint="eastAsia"/>
                <w:color w:val="auto"/>
                <w:sz w:val="22"/>
                <w:szCs w:val="22"/>
              </w:rPr>
              <w:t>3</w:t>
            </w:r>
          </w:p>
        </w:tc>
        <w:tc>
          <w:tcPr>
            <w:tcW w:w="263" w:type="pct"/>
            <w:vMerge w:val="continue"/>
            <w:tcBorders>
              <w:left w:val="single" w:color="auto" w:sz="4" w:space="0"/>
              <w:bottom w:val="single" w:color="auto" w:sz="4" w:space="0"/>
              <w:right w:val="single" w:color="auto" w:sz="4" w:space="0"/>
            </w:tcBorders>
            <w:shd w:val="clear" w:color="auto" w:fill="auto"/>
            <w:vAlign w:val="center"/>
          </w:tcPr>
          <w:p w14:paraId="772D8423">
            <w:pPr>
              <w:jc w:val="center"/>
              <w:rPr>
                <w:color w:val="auto"/>
                <w:sz w:val="22"/>
                <w:szCs w:val="22"/>
              </w:rPr>
            </w:pPr>
          </w:p>
        </w:tc>
        <w:tc>
          <w:tcPr>
            <w:tcW w:w="282" w:type="pct"/>
            <w:tcBorders>
              <w:top w:val="single" w:color="auto" w:sz="4" w:space="0"/>
              <w:left w:val="single" w:color="auto" w:sz="4" w:space="0"/>
              <w:bottom w:val="single" w:color="auto" w:sz="4" w:space="0"/>
              <w:right w:val="single" w:color="auto" w:sz="4" w:space="0"/>
            </w:tcBorders>
            <w:shd w:val="clear" w:color="auto" w:fill="auto"/>
            <w:vAlign w:val="center"/>
          </w:tcPr>
          <w:p w14:paraId="239B1048">
            <w:pPr>
              <w:jc w:val="center"/>
              <w:rPr>
                <w:color w:val="auto"/>
                <w:sz w:val="22"/>
                <w:szCs w:val="22"/>
              </w:rPr>
            </w:pPr>
            <w:r>
              <w:rPr>
                <w:rFonts w:hint="eastAsia"/>
                <w:color w:val="auto"/>
                <w:sz w:val="22"/>
                <w:szCs w:val="22"/>
              </w:rPr>
              <w:t>3#牛棚</w:t>
            </w:r>
          </w:p>
        </w:tc>
        <w:tc>
          <w:tcPr>
            <w:tcW w:w="286" w:type="pct"/>
            <w:tcBorders>
              <w:top w:val="single" w:color="auto" w:sz="4" w:space="0"/>
              <w:left w:val="single" w:color="auto" w:sz="4" w:space="0"/>
              <w:bottom w:val="single" w:color="auto" w:sz="4" w:space="0"/>
              <w:right w:val="single" w:color="auto" w:sz="4" w:space="0"/>
            </w:tcBorders>
            <w:shd w:val="clear" w:color="auto" w:fill="auto"/>
            <w:vAlign w:val="center"/>
          </w:tcPr>
          <w:p w14:paraId="6A0A805A">
            <w:pPr>
              <w:jc w:val="center"/>
              <w:rPr>
                <w:color w:val="auto"/>
                <w:sz w:val="22"/>
                <w:szCs w:val="22"/>
              </w:rPr>
            </w:pPr>
            <w:r>
              <w:rPr>
                <w:color w:val="auto"/>
                <w:sz w:val="22"/>
                <w:szCs w:val="22"/>
              </w:rPr>
              <w:t>工频电磁场</w:t>
            </w:r>
          </w:p>
        </w:tc>
        <w:tc>
          <w:tcPr>
            <w:tcW w:w="258" w:type="pct"/>
            <w:tcBorders>
              <w:top w:val="single" w:color="auto" w:sz="4" w:space="0"/>
              <w:left w:val="single" w:color="auto" w:sz="4" w:space="0"/>
              <w:bottom w:val="single" w:color="auto" w:sz="4" w:space="0"/>
              <w:right w:val="single" w:color="auto" w:sz="4" w:space="0"/>
            </w:tcBorders>
            <w:shd w:val="clear" w:color="auto" w:fill="auto"/>
            <w:vAlign w:val="center"/>
          </w:tcPr>
          <w:p w14:paraId="7B22EFA1">
            <w:pPr>
              <w:jc w:val="center"/>
              <w:rPr>
                <w:color w:val="auto"/>
                <w:sz w:val="22"/>
                <w:szCs w:val="22"/>
              </w:rPr>
            </w:pPr>
            <w:r>
              <w:rPr>
                <w:rFonts w:hint="eastAsia"/>
                <w:bCs/>
                <w:color w:val="auto"/>
                <w:sz w:val="22"/>
                <w:szCs w:val="22"/>
              </w:rPr>
              <w:t>电磁★4#</w:t>
            </w:r>
          </w:p>
        </w:tc>
        <w:tc>
          <w:tcPr>
            <w:tcW w:w="488" w:type="pct"/>
            <w:tcBorders>
              <w:top w:val="single" w:color="auto" w:sz="4" w:space="0"/>
              <w:left w:val="single" w:color="auto" w:sz="4" w:space="0"/>
              <w:bottom w:val="single" w:color="auto" w:sz="4" w:space="0"/>
              <w:right w:val="single" w:color="auto" w:sz="4" w:space="0"/>
            </w:tcBorders>
            <w:shd w:val="clear" w:color="auto" w:fill="auto"/>
            <w:vAlign w:val="center"/>
          </w:tcPr>
          <w:p w14:paraId="12DAE71A">
            <w:pPr>
              <w:jc w:val="center"/>
              <w:rPr>
                <w:snapToGrid w:val="0"/>
                <w:color w:val="auto"/>
                <w:kern w:val="0"/>
                <w:sz w:val="22"/>
                <w:szCs w:val="22"/>
              </w:rPr>
            </w:pPr>
            <w:r>
              <w:rPr>
                <w:rFonts w:hint="eastAsia"/>
                <w:snapToGrid w:val="0"/>
                <w:color w:val="auto"/>
                <w:kern w:val="0"/>
                <w:sz w:val="22"/>
                <w:szCs w:val="22"/>
              </w:rPr>
              <w:t>最近处距N4~N5边导线约30m</w:t>
            </w:r>
          </w:p>
        </w:tc>
        <w:tc>
          <w:tcPr>
            <w:tcW w:w="455" w:type="pct"/>
            <w:tcBorders>
              <w:top w:val="single" w:color="auto" w:sz="4" w:space="0"/>
              <w:left w:val="single" w:color="auto" w:sz="4" w:space="0"/>
              <w:bottom w:val="single" w:color="auto" w:sz="4" w:space="0"/>
              <w:right w:val="single" w:color="auto" w:sz="4" w:space="0"/>
            </w:tcBorders>
            <w:vAlign w:val="center"/>
          </w:tcPr>
          <w:p w14:paraId="4FAA0EA0">
            <w:pPr>
              <w:jc w:val="center"/>
              <w:rPr>
                <w:color w:val="auto"/>
                <w:sz w:val="22"/>
                <w:szCs w:val="22"/>
              </w:rPr>
            </w:pPr>
            <w:r>
              <w:rPr>
                <w:color w:val="auto"/>
                <w:sz w:val="22"/>
                <w:szCs w:val="22"/>
              </w:rPr>
              <w:t>约</w:t>
            </w:r>
            <w:r>
              <w:rPr>
                <w:rFonts w:hint="eastAsia"/>
                <w:color w:val="auto"/>
                <w:sz w:val="22"/>
                <w:szCs w:val="22"/>
              </w:rPr>
              <w:t>18.5</w:t>
            </w:r>
          </w:p>
        </w:tc>
        <w:tc>
          <w:tcPr>
            <w:tcW w:w="300" w:type="pct"/>
            <w:tcBorders>
              <w:top w:val="single" w:color="auto" w:sz="4" w:space="0"/>
              <w:left w:val="single" w:color="auto" w:sz="4" w:space="0"/>
              <w:bottom w:val="single" w:color="auto" w:sz="4" w:space="0"/>
              <w:right w:val="single" w:color="auto" w:sz="4" w:space="0"/>
            </w:tcBorders>
            <w:vAlign w:val="center"/>
          </w:tcPr>
          <w:p w14:paraId="05A65A71">
            <w:pPr>
              <w:jc w:val="center"/>
              <w:rPr>
                <w:color w:val="auto"/>
                <w:sz w:val="22"/>
                <w:szCs w:val="22"/>
              </w:rPr>
            </w:pPr>
            <w:r>
              <w:rPr>
                <w:rFonts w:hint="eastAsia"/>
                <w:color w:val="auto"/>
                <w:sz w:val="22"/>
                <w:szCs w:val="22"/>
              </w:rPr>
              <w:t>/</w:t>
            </w:r>
          </w:p>
        </w:tc>
        <w:tc>
          <w:tcPr>
            <w:tcW w:w="353" w:type="pct"/>
            <w:tcBorders>
              <w:top w:val="single" w:color="auto" w:sz="4" w:space="0"/>
              <w:left w:val="single" w:color="auto" w:sz="4" w:space="0"/>
              <w:bottom w:val="single" w:color="auto" w:sz="4" w:space="0"/>
              <w:right w:val="single" w:color="auto" w:sz="4" w:space="0"/>
            </w:tcBorders>
            <w:vAlign w:val="center"/>
          </w:tcPr>
          <w:p w14:paraId="468B8E06">
            <w:pPr>
              <w:jc w:val="center"/>
              <w:rPr>
                <w:color w:val="auto"/>
                <w:sz w:val="22"/>
                <w:szCs w:val="22"/>
              </w:rPr>
            </w:pPr>
            <w:r>
              <w:rPr>
                <w:rFonts w:hint="eastAsia"/>
                <w:color w:val="auto"/>
                <w:sz w:val="22"/>
                <w:szCs w:val="22"/>
              </w:rPr>
              <w:t>/</w:t>
            </w:r>
          </w:p>
        </w:tc>
        <w:tc>
          <w:tcPr>
            <w:tcW w:w="521" w:type="pct"/>
            <w:tcBorders>
              <w:top w:val="single" w:color="auto" w:sz="4" w:space="0"/>
              <w:left w:val="single" w:color="auto" w:sz="4" w:space="0"/>
              <w:bottom w:val="single" w:color="auto" w:sz="4" w:space="0"/>
              <w:right w:val="single" w:color="auto" w:sz="4" w:space="0"/>
            </w:tcBorders>
            <w:shd w:val="clear" w:color="auto" w:fill="auto"/>
            <w:vAlign w:val="center"/>
          </w:tcPr>
          <w:p w14:paraId="0CAFF67D">
            <w:pPr>
              <w:jc w:val="center"/>
              <w:rPr>
                <w:color w:val="auto"/>
                <w:sz w:val="22"/>
                <w:szCs w:val="22"/>
              </w:rPr>
            </w:pPr>
            <w:r>
              <w:rPr>
                <w:rFonts w:hint="eastAsia"/>
                <w:color w:val="auto"/>
                <w:sz w:val="22"/>
                <w:szCs w:val="22"/>
              </w:rPr>
              <w:t>牛棚1栋，1</w:t>
            </w:r>
            <w:r>
              <w:rPr>
                <w:color w:val="auto"/>
                <w:sz w:val="22"/>
                <w:szCs w:val="22"/>
              </w:rPr>
              <w:t>F</w:t>
            </w:r>
            <w:r>
              <w:rPr>
                <w:rFonts w:hint="eastAsia"/>
                <w:color w:val="auto"/>
                <w:sz w:val="22"/>
                <w:szCs w:val="22"/>
              </w:rPr>
              <w:t>约4m，屋顶不可达</w:t>
            </w:r>
          </w:p>
        </w:tc>
        <w:tc>
          <w:tcPr>
            <w:tcW w:w="332" w:type="pct"/>
            <w:tcBorders>
              <w:top w:val="single" w:color="auto" w:sz="4" w:space="0"/>
              <w:left w:val="single" w:color="auto" w:sz="4" w:space="0"/>
              <w:right w:val="single" w:color="auto" w:sz="4" w:space="0"/>
            </w:tcBorders>
            <w:vAlign w:val="center"/>
          </w:tcPr>
          <w:p w14:paraId="1B9D861F">
            <w:pPr>
              <w:jc w:val="center"/>
              <w:rPr>
                <w:color w:val="auto"/>
                <w:sz w:val="22"/>
                <w:szCs w:val="22"/>
              </w:rPr>
            </w:pPr>
            <w:r>
              <w:rPr>
                <w:rFonts w:hint="eastAsia"/>
                <w:color w:val="auto"/>
                <w:sz w:val="22"/>
                <w:szCs w:val="22"/>
              </w:rPr>
              <w:t>牛棚</w:t>
            </w:r>
          </w:p>
        </w:tc>
        <w:tc>
          <w:tcPr>
            <w:tcW w:w="332" w:type="pct"/>
            <w:tcBorders>
              <w:top w:val="single" w:color="auto" w:sz="4" w:space="0"/>
              <w:left w:val="single" w:color="auto" w:sz="4" w:space="0"/>
              <w:right w:val="single" w:color="auto" w:sz="4" w:space="0"/>
            </w:tcBorders>
            <w:vAlign w:val="center"/>
          </w:tcPr>
          <w:p w14:paraId="687CB96F">
            <w:pPr>
              <w:jc w:val="center"/>
              <w:rPr>
                <w:color w:val="auto"/>
                <w:sz w:val="22"/>
                <w:szCs w:val="22"/>
              </w:rPr>
            </w:pPr>
            <w:r>
              <w:rPr>
                <w:rFonts w:hint="eastAsia"/>
                <w:color w:val="auto"/>
                <w:sz w:val="22"/>
                <w:szCs w:val="22"/>
              </w:rPr>
              <w:t>1类</w:t>
            </w:r>
          </w:p>
        </w:tc>
        <w:tc>
          <w:tcPr>
            <w:tcW w:w="975" w:type="pct"/>
            <w:tcBorders>
              <w:top w:val="single" w:color="auto" w:sz="4" w:space="0"/>
              <w:left w:val="single" w:color="auto" w:sz="4" w:space="0"/>
              <w:right w:val="single" w:color="auto" w:sz="4" w:space="0"/>
            </w:tcBorders>
            <w:vAlign w:val="center"/>
          </w:tcPr>
          <w:p w14:paraId="1DDED688">
            <w:pPr>
              <w:jc w:val="center"/>
              <w:rPr>
                <w:color w:val="auto"/>
              </w:rPr>
            </w:pPr>
            <w:r>
              <w:rPr>
                <w:color w:val="auto"/>
              </w:rPr>
              <w:drawing>
                <wp:inline distT="0" distB="0" distL="114300" distR="114300">
                  <wp:extent cx="1589405" cy="1128395"/>
                  <wp:effectExtent l="0" t="0" r="10795" b="14605"/>
                  <wp:docPr id="4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9"/>
                          <pic:cNvPicPr>
                            <a:picLocks noChangeAspect="1"/>
                          </pic:cNvPicPr>
                        </pic:nvPicPr>
                        <pic:blipFill>
                          <a:blip r:embed="rId19"/>
                          <a:stretch>
                            <a:fillRect/>
                          </a:stretch>
                        </pic:blipFill>
                        <pic:spPr>
                          <a:xfrm>
                            <a:off x="0" y="0"/>
                            <a:ext cx="1589405" cy="1128395"/>
                          </a:xfrm>
                          <a:prstGeom prst="rect">
                            <a:avLst/>
                          </a:prstGeom>
                          <a:noFill/>
                          <a:ln>
                            <a:noFill/>
                          </a:ln>
                        </pic:spPr>
                      </pic:pic>
                    </a:graphicData>
                  </a:graphic>
                </wp:inline>
              </w:drawing>
            </w:r>
          </w:p>
        </w:tc>
      </w:tr>
    </w:tbl>
    <w:p w14:paraId="5C37564A">
      <w:pPr>
        <w:pStyle w:val="21"/>
        <w:jc w:val="center"/>
        <w:outlineLvl w:val="0"/>
        <w:rPr>
          <w:color w:val="auto"/>
          <w:sz w:val="26"/>
          <w:szCs w:val="26"/>
        </w:rPr>
      </w:pPr>
    </w:p>
    <w:p w14:paraId="58752F27">
      <w:pPr>
        <w:pStyle w:val="21"/>
        <w:snapToGrid w:val="0"/>
        <w:spacing w:before="0" w:beforeAutospacing="0" w:after="0" w:afterAutospacing="0"/>
        <w:jc w:val="center"/>
        <w:outlineLvl w:val="0"/>
        <w:rPr>
          <w:rFonts w:ascii="Times New Roman" w:hAnsi="Times New Roman" w:eastAsia="黑体"/>
          <w:snapToGrid w:val="0"/>
          <w:color w:val="auto"/>
          <w:sz w:val="30"/>
          <w:szCs w:val="30"/>
        </w:rPr>
      </w:pPr>
      <w:bookmarkStart w:id="10" w:name="_Toc8311"/>
      <w:r>
        <w:rPr>
          <w:rFonts w:ascii="Times New Roman" w:hAnsi="Times New Roman"/>
          <w:color w:val="auto"/>
          <w:sz w:val="26"/>
          <w:szCs w:val="26"/>
        </w:rPr>
        <w:t>表3-7  110kV间隔扩建工程评价范围内环境保护目标一览表</w:t>
      </w:r>
      <w:bookmarkEnd w:id="10"/>
    </w:p>
    <w:tbl>
      <w:tblPr>
        <w:tblStyle w:val="25"/>
        <w:tblW w:w="509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21"/>
        <w:gridCol w:w="1031"/>
        <w:gridCol w:w="894"/>
        <w:gridCol w:w="825"/>
        <w:gridCol w:w="1149"/>
        <w:gridCol w:w="2884"/>
        <w:gridCol w:w="1973"/>
        <w:gridCol w:w="1322"/>
        <w:gridCol w:w="946"/>
        <w:gridCol w:w="2777"/>
      </w:tblGrid>
      <w:tr w14:paraId="36CB92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19" w:type="dxa"/>
            <w:tcBorders>
              <w:top w:val="single" w:color="auto" w:sz="4" w:space="0"/>
              <w:left w:val="single" w:color="auto" w:sz="4" w:space="0"/>
              <w:bottom w:val="single" w:color="auto" w:sz="4" w:space="0"/>
              <w:right w:val="single" w:color="auto" w:sz="4" w:space="0"/>
            </w:tcBorders>
            <w:shd w:val="clear" w:color="auto" w:fill="auto"/>
            <w:vAlign w:val="center"/>
          </w:tcPr>
          <w:p w14:paraId="52A8BF4C">
            <w:pPr>
              <w:jc w:val="center"/>
              <w:rPr>
                <w:color w:val="auto"/>
                <w:sz w:val="22"/>
                <w:szCs w:val="22"/>
              </w:rPr>
            </w:pPr>
            <w:r>
              <w:rPr>
                <w:color w:val="auto"/>
                <w:sz w:val="22"/>
                <w:szCs w:val="22"/>
              </w:rPr>
              <w:t>编号</w:t>
            </w:r>
          </w:p>
        </w:tc>
        <w:tc>
          <w:tcPr>
            <w:tcW w:w="1031" w:type="dxa"/>
            <w:tcBorders>
              <w:top w:val="single" w:color="auto" w:sz="4" w:space="0"/>
              <w:left w:val="single" w:color="auto" w:sz="4" w:space="0"/>
              <w:right w:val="single" w:color="auto" w:sz="4" w:space="0"/>
            </w:tcBorders>
            <w:shd w:val="clear" w:color="auto" w:fill="auto"/>
            <w:vAlign w:val="center"/>
          </w:tcPr>
          <w:p w14:paraId="3375A7D8">
            <w:pPr>
              <w:jc w:val="center"/>
              <w:rPr>
                <w:color w:val="auto"/>
                <w:sz w:val="22"/>
                <w:szCs w:val="22"/>
              </w:rPr>
            </w:pPr>
            <w:r>
              <w:rPr>
                <w:rFonts w:hint="eastAsia"/>
                <w:color w:val="auto"/>
                <w:sz w:val="22"/>
                <w:szCs w:val="22"/>
              </w:rPr>
              <w:t>涉及工程情况</w:t>
            </w:r>
          </w:p>
        </w:tc>
        <w:tc>
          <w:tcPr>
            <w:tcW w:w="894" w:type="dxa"/>
            <w:tcBorders>
              <w:top w:val="single" w:color="auto" w:sz="4" w:space="0"/>
              <w:left w:val="single" w:color="auto" w:sz="4" w:space="0"/>
              <w:bottom w:val="single" w:color="auto" w:sz="4" w:space="0"/>
              <w:right w:val="single" w:color="auto" w:sz="4" w:space="0"/>
            </w:tcBorders>
            <w:shd w:val="clear" w:color="auto" w:fill="auto"/>
            <w:vAlign w:val="center"/>
          </w:tcPr>
          <w:p w14:paraId="0E7DCD43">
            <w:pPr>
              <w:jc w:val="center"/>
              <w:rPr>
                <w:color w:val="auto"/>
                <w:sz w:val="22"/>
                <w:szCs w:val="22"/>
              </w:rPr>
            </w:pPr>
            <w:r>
              <w:rPr>
                <w:color w:val="auto"/>
                <w:sz w:val="22"/>
                <w:szCs w:val="22"/>
              </w:rPr>
              <w:t>保护目标名称</w:t>
            </w:r>
          </w:p>
        </w:tc>
        <w:tc>
          <w:tcPr>
            <w:tcW w:w="825" w:type="dxa"/>
            <w:tcBorders>
              <w:top w:val="single" w:color="auto" w:sz="4" w:space="0"/>
              <w:left w:val="single" w:color="auto" w:sz="4" w:space="0"/>
              <w:bottom w:val="single" w:color="auto" w:sz="4" w:space="0"/>
              <w:right w:val="single" w:color="auto" w:sz="4" w:space="0"/>
            </w:tcBorders>
            <w:shd w:val="clear" w:color="auto" w:fill="auto"/>
            <w:vAlign w:val="center"/>
          </w:tcPr>
          <w:p w14:paraId="66F1408E">
            <w:pPr>
              <w:jc w:val="center"/>
              <w:rPr>
                <w:color w:val="auto"/>
                <w:sz w:val="22"/>
                <w:szCs w:val="22"/>
              </w:rPr>
            </w:pPr>
            <w:r>
              <w:rPr>
                <w:color w:val="auto"/>
                <w:sz w:val="22"/>
                <w:szCs w:val="22"/>
              </w:rPr>
              <w:t>影响因素</w:t>
            </w:r>
          </w:p>
        </w:tc>
        <w:tc>
          <w:tcPr>
            <w:tcW w:w="1148" w:type="dxa"/>
            <w:tcBorders>
              <w:top w:val="single" w:color="auto" w:sz="4" w:space="0"/>
              <w:left w:val="single" w:color="auto" w:sz="4" w:space="0"/>
              <w:bottom w:val="single" w:color="auto" w:sz="4" w:space="0"/>
              <w:right w:val="single" w:color="auto" w:sz="4" w:space="0"/>
            </w:tcBorders>
            <w:shd w:val="clear" w:color="auto" w:fill="auto"/>
            <w:vAlign w:val="center"/>
          </w:tcPr>
          <w:p w14:paraId="106D83E1">
            <w:pPr>
              <w:jc w:val="center"/>
              <w:rPr>
                <w:color w:val="auto"/>
                <w:sz w:val="22"/>
                <w:szCs w:val="22"/>
                <w:highlight w:val="yellow"/>
              </w:rPr>
            </w:pPr>
            <w:r>
              <w:rPr>
                <w:color w:val="auto"/>
                <w:sz w:val="22"/>
                <w:szCs w:val="22"/>
              </w:rPr>
              <w:t>现状监测情况</w:t>
            </w:r>
          </w:p>
        </w:tc>
        <w:tc>
          <w:tcPr>
            <w:tcW w:w="2882" w:type="dxa"/>
            <w:tcBorders>
              <w:top w:val="single" w:color="auto" w:sz="4" w:space="0"/>
              <w:left w:val="single" w:color="auto" w:sz="4" w:space="0"/>
              <w:bottom w:val="single" w:color="auto" w:sz="4" w:space="0"/>
              <w:right w:val="single" w:color="auto" w:sz="4" w:space="0"/>
            </w:tcBorders>
            <w:shd w:val="clear" w:color="auto" w:fill="auto"/>
            <w:vAlign w:val="center"/>
          </w:tcPr>
          <w:p w14:paraId="70F170F6">
            <w:pPr>
              <w:jc w:val="center"/>
              <w:rPr>
                <w:color w:val="auto"/>
                <w:sz w:val="22"/>
                <w:szCs w:val="22"/>
              </w:rPr>
            </w:pPr>
            <w:r>
              <w:rPr>
                <w:color w:val="auto"/>
                <w:sz w:val="22"/>
                <w:szCs w:val="22"/>
              </w:rPr>
              <w:t>位置关系</w:t>
            </w:r>
          </w:p>
        </w:tc>
        <w:tc>
          <w:tcPr>
            <w:tcW w:w="1972" w:type="dxa"/>
            <w:tcBorders>
              <w:top w:val="single" w:color="auto" w:sz="4" w:space="0"/>
              <w:left w:val="single" w:color="auto" w:sz="4" w:space="0"/>
              <w:bottom w:val="single" w:color="auto" w:sz="4" w:space="0"/>
              <w:right w:val="single" w:color="auto" w:sz="4" w:space="0"/>
            </w:tcBorders>
            <w:shd w:val="clear" w:color="auto" w:fill="auto"/>
            <w:vAlign w:val="center"/>
          </w:tcPr>
          <w:p w14:paraId="4C66DB74">
            <w:pPr>
              <w:jc w:val="center"/>
              <w:rPr>
                <w:color w:val="auto"/>
                <w:sz w:val="22"/>
                <w:szCs w:val="22"/>
              </w:rPr>
            </w:pPr>
            <w:r>
              <w:rPr>
                <w:color w:val="auto"/>
                <w:sz w:val="22"/>
                <w:szCs w:val="22"/>
              </w:rPr>
              <w:t>目标特征</w:t>
            </w:r>
          </w:p>
        </w:tc>
        <w:tc>
          <w:tcPr>
            <w:tcW w:w="1321" w:type="dxa"/>
            <w:tcBorders>
              <w:top w:val="single" w:color="auto" w:sz="4" w:space="0"/>
              <w:left w:val="single" w:color="auto" w:sz="4" w:space="0"/>
              <w:right w:val="single" w:color="auto" w:sz="4" w:space="0"/>
            </w:tcBorders>
            <w:vAlign w:val="center"/>
          </w:tcPr>
          <w:p w14:paraId="7D4756C7">
            <w:pPr>
              <w:jc w:val="center"/>
              <w:rPr>
                <w:color w:val="auto"/>
                <w:sz w:val="22"/>
                <w:szCs w:val="22"/>
              </w:rPr>
            </w:pPr>
            <w:r>
              <w:rPr>
                <w:rFonts w:hint="eastAsia"/>
                <w:color w:val="auto"/>
                <w:sz w:val="22"/>
                <w:szCs w:val="22"/>
              </w:rPr>
              <w:t>功能</w:t>
            </w:r>
          </w:p>
        </w:tc>
        <w:tc>
          <w:tcPr>
            <w:tcW w:w="946" w:type="dxa"/>
            <w:tcBorders>
              <w:top w:val="single" w:color="auto" w:sz="4" w:space="0"/>
              <w:left w:val="single" w:color="auto" w:sz="4" w:space="0"/>
              <w:right w:val="single" w:color="auto" w:sz="4" w:space="0"/>
            </w:tcBorders>
            <w:vAlign w:val="center"/>
          </w:tcPr>
          <w:p w14:paraId="39AD06CF">
            <w:pPr>
              <w:jc w:val="center"/>
              <w:rPr>
                <w:color w:val="auto"/>
                <w:sz w:val="22"/>
                <w:szCs w:val="22"/>
              </w:rPr>
            </w:pPr>
            <w:r>
              <w:rPr>
                <w:color w:val="auto"/>
                <w:sz w:val="22"/>
                <w:szCs w:val="22"/>
              </w:rPr>
              <w:t>声功能区划</w:t>
            </w:r>
          </w:p>
        </w:tc>
        <w:tc>
          <w:tcPr>
            <w:tcW w:w="2775" w:type="dxa"/>
            <w:tcBorders>
              <w:top w:val="single" w:color="auto" w:sz="4" w:space="0"/>
              <w:left w:val="single" w:color="auto" w:sz="4" w:space="0"/>
              <w:right w:val="single" w:color="auto" w:sz="4" w:space="0"/>
            </w:tcBorders>
            <w:vAlign w:val="center"/>
          </w:tcPr>
          <w:p w14:paraId="715D08B4">
            <w:pPr>
              <w:jc w:val="center"/>
              <w:rPr>
                <w:color w:val="auto"/>
                <w:sz w:val="22"/>
                <w:szCs w:val="22"/>
              </w:rPr>
            </w:pPr>
            <w:r>
              <w:rPr>
                <w:rFonts w:hint="eastAsia"/>
                <w:color w:val="auto"/>
                <w:sz w:val="22"/>
                <w:szCs w:val="22"/>
              </w:rPr>
              <w:t>照片</w:t>
            </w:r>
          </w:p>
        </w:tc>
      </w:tr>
      <w:tr w14:paraId="709691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19" w:type="dxa"/>
            <w:tcBorders>
              <w:top w:val="single" w:color="auto" w:sz="4" w:space="0"/>
              <w:left w:val="single" w:color="auto" w:sz="4" w:space="0"/>
              <w:bottom w:val="single" w:color="auto" w:sz="4" w:space="0"/>
              <w:right w:val="single" w:color="auto" w:sz="4" w:space="0"/>
            </w:tcBorders>
            <w:shd w:val="clear" w:color="auto" w:fill="auto"/>
            <w:vAlign w:val="center"/>
          </w:tcPr>
          <w:p w14:paraId="107F9141">
            <w:pPr>
              <w:jc w:val="center"/>
              <w:rPr>
                <w:color w:val="auto"/>
                <w:sz w:val="22"/>
                <w:szCs w:val="22"/>
              </w:rPr>
            </w:pPr>
            <w:r>
              <w:rPr>
                <w:rFonts w:hint="eastAsia"/>
                <w:color w:val="auto"/>
                <w:sz w:val="22"/>
                <w:szCs w:val="22"/>
              </w:rPr>
              <w:t>4</w:t>
            </w:r>
          </w:p>
        </w:tc>
        <w:tc>
          <w:tcPr>
            <w:tcW w:w="1031" w:type="dxa"/>
            <w:vMerge w:val="restart"/>
            <w:tcBorders>
              <w:top w:val="single" w:color="auto" w:sz="4" w:space="0"/>
              <w:left w:val="single" w:color="auto" w:sz="4" w:space="0"/>
              <w:right w:val="single" w:color="auto" w:sz="4" w:space="0"/>
            </w:tcBorders>
            <w:shd w:val="clear" w:color="auto" w:fill="auto"/>
            <w:vAlign w:val="center"/>
          </w:tcPr>
          <w:p w14:paraId="76CF388E">
            <w:pPr>
              <w:jc w:val="center"/>
              <w:rPr>
                <w:color w:val="auto"/>
                <w:sz w:val="22"/>
                <w:szCs w:val="22"/>
              </w:rPr>
            </w:pPr>
            <w:r>
              <w:rPr>
                <w:rFonts w:hint="eastAsia"/>
                <w:color w:val="auto"/>
                <w:sz w:val="22"/>
                <w:szCs w:val="22"/>
              </w:rPr>
              <w:t>110kV间隔扩建</w:t>
            </w:r>
          </w:p>
        </w:tc>
        <w:tc>
          <w:tcPr>
            <w:tcW w:w="894" w:type="dxa"/>
            <w:tcBorders>
              <w:top w:val="single" w:color="auto" w:sz="4" w:space="0"/>
              <w:left w:val="single" w:color="auto" w:sz="4" w:space="0"/>
              <w:bottom w:val="single" w:color="auto" w:sz="4" w:space="0"/>
              <w:right w:val="single" w:color="auto" w:sz="4" w:space="0"/>
            </w:tcBorders>
            <w:shd w:val="clear" w:color="auto" w:fill="auto"/>
            <w:vAlign w:val="center"/>
          </w:tcPr>
          <w:p w14:paraId="6F9C6430">
            <w:pPr>
              <w:jc w:val="center"/>
              <w:rPr>
                <w:color w:val="auto"/>
                <w:sz w:val="22"/>
                <w:szCs w:val="22"/>
              </w:rPr>
            </w:pPr>
            <w:r>
              <w:rPr>
                <w:rFonts w:hint="eastAsia"/>
                <w:color w:val="auto"/>
                <w:sz w:val="22"/>
                <w:szCs w:val="22"/>
              </w:rPr>
              <w:t>4#新民镇长棚村10社2号</w:t>
            </w:r>
          </w:p>
        </w:tc>
        <w:tc>
          <w:tcPr>
            <w:tcW w:w="825" w:type="dxa"/>
            <w:tcBorders>
              <w:top w:val="single" w:color="auto" w:sz="4" w:space="0"/>
              <w:left w:val="single" w:color="auto" w:sz="4" w:space="0"/>
              <w:bottom w:val="single" w:color="auto" w:sz="4" w:space="0"/>
              <w:right w:val="single" w:color="auto" w:sz="4" w:space="0"/>
            </w:tcBorders>
            <w:shd w:val="clear" w:color="auto" w:fill="auto"/>
            <w:vAlign w:val="center"/>
          </w:tcPr>
          <w:p w14:paraId="50E94F08">
            <w:pPr>
              <w:jc w:val="center"/>
              <w:rPr>
                <w:color w:val="auto"/>
                <w:sz w:val="22"/>
                <w:szCs w:val="22"/>
              </w:rPr>
            </w:pPr>
            <w:r>
              <w:rPr>
                <w:rFonts w:hint="eastAsia"/>
                <w:color w:val="auto"/>
                <w:sz w:val="22"/>
                <w:szCs w:val="22"/>
              </w:rPr>
              <w:t>噪声</w:t>
            </w:r>
          </w:p>
        </w:tc>
        <w:tc>
          <w:tcPr>
            <w:tcW w:w="1148" w:type="dxa"/>
            <w:tcBorders>
              <w:top w:val="single" w:color="auto" w:sz="4" w:space="0"/>
              <w:left w:val="single" w:color="auto" w:sz="4" w:space="0"/>
              <w:bottom w:val="single" w:color="auto" w:sz="4" w:space="0"/>
              <w:right w:val="single" w:color="auto" w:sz="4" w:space="0"/>
            </w:tcBorders>
            <w:shd w:val="clear" w:color="auto" w:fill="auto"/>
            <w:vAlign w:val="center"/>
          </w:tcPr>
          <w:p w14:paraId="18ABC947">
            <w:pPr>
              <w:jc w:val="center"/>
              <w:rPr>
                <w:color w:val="auto"/>
                <w:sz w:val="22"/>
                <w:szCs w:val="22"/>
              </w:rPr>
            </w:pPr>
            <w:r>
              <w:rPr>
                <w:rFonts w:hint="eastAsia"/>
                <w:bCs/>
                <w:color w:val="auto"/>
                <w:sz w:val="22"/>
                <w:szCs w:val="22"/>
              </w:rPr>
              <w:t>噪声</w:t>
            </w:r>
            <w:r>
              <w:rPr>
                <w:rFonts w:hint="eastAsia"/>
                <w:color w:val="auto"/>
                <w:sz w:val="22"/>
                <w:szCs w:val="22"/>
              </w:rPr>
              <w:t>N3</w:t>
            </w:r>
          </w:p>
        </w:tc>
        <w:tc>
          <w:tcPr>
            <w:tcW w:w="2882" w:type="dxa"/>
            <w:tcBorders>
              <w:top w:val="single" w:color="auto" w:sz="4" w:space="0"/>
              <w:left w:val="single" w:color="auto" w:sz="4" w:space="0"/>
              <w:bottom w:val="single" w:color="auto" w:sz="4" w:space="0"/>
              <w:right w:val="single" w:color="auto" w:sz="4" w:space="0"/>
            </w:tcBorders>
            <w:shd w:val="clear" w:color="auto" w:fill="auto"/>
            <w:vAlign w:val="center"/>
          </w:tcPr>
          <w:p w14:paraId="2AC91EA0">
            <w:pPr>
              <w:jc w:val="center"/>
              <w:rPr>
                <w:color w:val="auto"/>
                <w:sz w:val="22"/>
                <w:szCs w:val="22"/>
              </w:rPr>
            </w:pPr>
            <w:r>
              <w:rPr>
                <w:rFonts w:hint="eastAsia"/>
                <w:snapToGrid w:val="0"/>
                <w:color w:val="auto"/>
                <w:kern w:val="0"/>
                <w:sz w:val="22"/>
                <w:szCs w:val="22"/>
              </w:rPr>
              <w:t>最近处距离220kV铁甲变电站扩建间隔一侧约126m</w:t>
            </w:r>
          </w:p>
        </w:tc>
        <w:tc>
          <w:tcPr>
            <w:tcW w:w="1972" w:type="dxa"/>
            <w:tcBorders>
              <w:top w:val="single" w:color="auto" w:sz="4" w:space="0"/>
              <w:left w:val="single" w:color="auto" w:sz="4" w:space="0"/>
              <w:bottom w:val="single" w:color="auto" w:sz="4" w:space="0"/>
              <w:right w:val="single" w:color="auto" w:sz="4" w:space="0"/>
            </w:tcBorders>
            <w:shd w:val="clear" w:color="auto" w:fill="auto"/>
            <w:vAlign w:val="center"/>
          </w:tcPr>
          <w:p w14:paraId="1C40CDD0">
            <w:pPr>
              <w:jc w:val="center"/>
              <w:rPr>
                <w:color w:val="auto"/>
                <w:sz w:val="22"/>
                <w:szCs w:val="22"/>
              </w:rPr>
            </w:pPr>
            <w:r>
              <w:rPr>
                <w:rFonts w:hint="eastAsia"/>
                <w:color w:val="auto"/>
                <w:sz w:val="22"/>
                <w:szCs w:val="22"/>
              </w:rPr>
              <w:t>居民点</w:t>
            </w:r>
            <w:r>
              <w:rPr>
                <w:rFonts w:hint="eastAsia"/>
                <w:color w:val="auto"/>
                <w:sz w:val="22"/>
                <w:szCs w:val="22"/>
                <w:lang w:val="en-US" w:eastAsia="zh-CN"/>
              </w:rPr>
              <w:t>7</w:t>
            </w:r>
            <w:r>
              <w:rPr>
                <w:rFonts w:hint="eastAsia"/>
                <w:color w:val="auto"/>
                <w:sz w:val="22"/>
                <w:szCs w:val="22"/>
              </w:rPr>
              <w:t>户，1</w:t>
            </w:r>
            <w:r>
              <w:rPr>
                <w:color w:val="auto"/>
                <w:sz w:val="22"/>
                <w:szCs w:val="22"/>
              </w:rPr>
              <w:t>F</w:t>
            </w:r>
            <w:r>
              <w:rPr>
                <w:rFonts w:hint="eastAsia"/>
                <w:color w:val="auto"/>
                <w:sz w:val="22"/>
                <w:szCs w:val="22"/>
              </w:rPr>
              <w:t>~3F，高约3~9m，部分屋顶可达</w:t>
            </w:r>
          </w:p>
        </w:tc>
        <w:tc>
          <w:tcPr>
            <w:tcW w:w="1321" w:type="dxa"/>
            <w:tcBorders>
              <w:top w:val="single" w:color="auto" w:sz="4" w:space="0"/>
              <w:left w:val="single" w:color="auto" w:sz="4" w:space="0"/>
              <w:right w:val="single" w:color="auto" w:sz="4" w:space="0"/>
            </w:tcBorders>
            <w:vAlign w:val="center"/>
          </w:tcPr>
          <w:p w14:paraId="31648284">
            <w:pPr>
              <w:jc w:val="center"/>
              <w:rPr>
                <w:color w:val="auto"/>
                <w:sz w:val="22"/>
                <w:szCs w:val="22"/>
              </w:rPr>
            </w:pPr>
            <w:r>
              <w:rPr>
                <w:rFonts w:hint="eastAsia"/>
                <w:color w:val="auto"/>
                <w:sz w:val="22"/>
                <w:szCs w:val="22"/>
              </w:rPr>
              <w:t>居住</w:t>
            </w:r>
          </w:p>
        </w:tc>
        <w:tc>
          <w:tcPr>
            <w:tcW w:w="946" w:type="dxa"/>
            <w:tcBorders>
              <w:top w:val="single" w:color="auto" w:sz="4" w:space="0"/>
              <w:left w:val="single" w:color="auto" w:sz="4" w:space="0"/>
              <w:right w:val="single" w:color="auto" w:sz="4" w:space="0"/>
            </w:tcBorders>
            <w:vAlign w:val="center"/>
          </w:tcPr>
          <w:p w14:paraId="631DE4CD">
            <w:pPr>
              <w:jc w:val="center"/>
              <w:rPr>
                <w:color w:val="auto"/>
                <w:sz w:val="22"/>
                <w:szCs w:val="22"/>
              </w:rPr>
            </w:pPr>
            <w:r>
              <w:rPr>
                <w:rFonts w:hint="eastAsia"/>
                <w:color w:val="auto"/>
                <w:sz w:val="22"/>
                <w:szCs w:val="22"/>
                <w:lang w:val="en-US" w:eastAsia="zh-CN"/>
              </w:rPr>
              <w:t>2</w:t>
            </w:r>
            <w:r>
              <w:rPr>
                <w:rFonts w:hint="eastAsia"/>
                <w:color w:val="auto"/>
                <w:sz w:val="22"/>
                <w:szCs w:val="22"/>
              </w:rPr>
              <w:t>类</w:t>
            </w:r>
          </w:p>
        </w:tc>
        <w:tc>
          <w:tcPr>
            <w:tcW w:w="2775" w:type="dxa"/>
            <w:tcBorders>
              <w:top w:val="single" w:color="auto" w:sz="4" w:space="0"/>
              <w:left w:val="single" w:color="auto" w:sz="4" w:space="0"/>
              <w:right w:val="single" w:color="auto" w:sz="4" w:space="0"/>
            </w:tcBorders>
            <w:vAlign w:val="center"/>
          </w:tcPr>
          <w:p w14:paraId="45E9D885">
            <w:pPr>
              <w:jc w:val="center"/>
              <w:rPr>
                <w:color w:val="auto"/>
              </w:rPr>
            </w:pPr>
            <w:r>
              <w:rPr>
                <w:rFonts w:hint="eastAsia"/>
                <w:color w:val="auto"/>
              </w:rPr>
              <w:drawing>
                <wp:inline distT="0" distB="0" distL="114300" distR="114300">
                  <wp:extent cx="1738630" cy="1303655"/>
                  <wp:effectExtent l="0" t="0" r="13970" b="10795"/>
                  <wp:docPr id="35" name="图片 35" descr="4378d3af08e9bdfffd7e4aa2e299f8c6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4378d3af08e9bdfffd7e4aa2e299f8c6_"/>
                          <pic:cNvPicPr>
                            <a:picLocks noChangeAspect="1"/>
                          </pic:cNvPicPr>
                        </pic:nvPicPr>
                        <pic:blipFill>
                          <a:blip r:embed="rId20"/>
                          <a:stretch>
                            <a:fillRect/>
                          </a:stretch>
                        </pic:blipFill>
                        <pic:spPr>
                          <a:xfrm>
                            <a:off x="0" y="0"/>
                            <a:ext cx="1738630" cy="1303655"/>
                          </a:xfrm>
                          <a:prstGeom prst="rect">
                            <a:avLst/>
                          </a:prstGeom>
                        </pic:spPr>
                      </pic:pic>
                    </a:graphicData>
                  </a:graphic>
                </wp:inline>
              </w:drawing>
            </w:r>
          </w:p>
        </w:tc>
      </w:tr>
      <w:tr w14:paraId="4450E9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19" w:type="dxa"/>
            <w:tcBorders>
              <w:top w:val="single" w:color="auto" w:sz="4" w:space="0"/>
              <w:left w:val="single" w:color="auto" w:sz="4" w:space="0"/>
              <w:bottom w:val="single" w:color="auto" w:sz="4" w:space="0"/>
              <w:right w:val="single" w:color="auto" w:sz="4" w:space="0"/>
            </w:tcBorders>
            <w:shd w:val="clear" w:color="auto" w:fill="auto"/>
            <w:vAlign w:val="center"/>
          </w:tcPr>
          <w:p w14:paraId="00660C28">
            <w:pPr>
              <w:jc w:val="center"/>
              <w:rPr>
                <w:color w:val="auto"/>
                <w:sz w:val="22"/>
                <w:szCs w:val="22"/>
              </w:rPr>
            </w:pPr>
            <w:r>
              <w:rPr>
                <w:rFonts w:hint="eastAsia"/>
                <w:color w:val="auto"/>
                <w:sz w:val="22"/>
                <w:szCs w:val="22"/>
              </w:rPr>
              <w:t>5</w:t>
            </w:r>
          </w:p>
        </w:tc>
        <w:tc>
          <w:tcPr>
            <w:tcW w:w="1031" w:type="dxa"/>
            <w:vMerge w:val="continue"/>
            <w:tcBorders>
              <w:left w:val="single" w:color="auto" w:sz="4" w:space="0"/>
              <w:right w:val="single" w:color="auto" w:sz="4" w:space="0"/>
            </w:tcBorders>
            <w:shd w:val="clear" w:color="auto" w:fill="auto"/>
            <w:vAlign w:val="center"/>
          </w:tcPr>
          <w:p w14:paraId="49E375F8">
            <w:pPr>
              <w:jc w:val="center"/>
              <w:rPr>
                <w:color w:val="auto"/>
                <w:sz w:val="22"/>
                <w:szCs w:val="22"/>
              </w:rPr>
            </w:pPr>
          </w:p>
        </w:tc>
        <w:tc>
          <w:tcPr>
            <w:tcW w:w="894" w:type="dxa"/>
            <w:tcBorders>
              <w:top w:val="single" w:color="auto" w:sz="4" w:space="0"/>
              <w:left w:val="single" w:color="auto" w:sz="4" w:space="0"/>
              <w:bottom w:val="single" w:color="auto" w:sz="4" w:space="0"/>
              <w:right w:val="single" w:color="auto" w:sz="4" w:space="0"/>
            </w:tcBorders>
            <w:shd w:val="clear" w:color="auto" w:fill="auto"/>
            <w:vAlign w:val="center"/>
          </w:tcPr>
          <w:p w14:paraId="42EE3C87">
            <w:pPr>
              <w:jc w:val="center"/>
              <w:rPr>
                <w:color w:val="auto"/>
                <w:sz w:val="22"/>
                <w:szCs w:val="22"/>
              </w:rPr>
            </w:pPr>
            <w:r>
              <w:rPr>
                <w:rFonts w:hint="eastAsia"/>
                <w:color w:val="auto"/>
                <w:sz w:val="22"/>
                <w:szCs w:val="22"/>
              </w:rPr>
              <w:t>5#新民初级中学</w:t>
            </w:r>
          </w:p>
        </w:tc>
        <w:tc>
          <w:tcPr>
            <w:tcW w:w="825" w:type="dxa"/>
            <w:tcBorders>
              <w:top w:val="single" w:color="auto" w:sz="4" w:space="0"/>
              <w:left w:val="single" w:color="auto" w:sz="4" w:space="0"/>
              <w:bottom w:val="single" w:color="auto" w:sz="4" w:space="0"/>
              <w:right w:val="single" w:color="auto" w:sz="4" w:space="0"/>
            </w:tcBorders>
            <w:shd w:val="clear" w:color="auto" w:fill="auto"/>
            <w:vAlign w:val="center"/>
          </w:tcPr>
          <w:p w14:paraId="5182F52D">
            <w:pPr>
              <w:jc w:val="center"/>
              <w:rPr>
                <w:color w:val="auto"/>
                <w:sz w:val="22"/>
                <w:szCs w:val="22"/>
              </w:rPr>
            </w:pPr>
            <w:r>
              <w:rPr>
                <w:rFonts w:hint="eastAsia"/>
                <w:color w:val="auto"/>
                <w:sz w:val="22"/>
                <w:szCs w:val="22"/>
              </w:rPr>
              <w:t>噪声</w:t>
            </w:r>
          </w:p>
        </w:tc>
        <w:tc>
          <w:tcPr>
            <w:tcW w:w="1148" w:type="dxa"/>
            <w:tcBorders>
              <w:top w:val="single" w:color="auto" w:sz="4" w:space="0"/>
              <w:left w:val="single" w:color="auto" w:sz="4" w:space="0"/>
              <w:bottom w:val="single" w:color="auto" w:sz="4" w:space="0"/>
              <w:right w:val="single" w:color="auto" w:sz="4" w:space="0"/>
            </w:tcBorders>
            <w:shd w:val="clear" w:color="auto" w:fill="auto"/>
            <w:vAlign w:val="center"/>
          </w:tcPr>
          <w:p w14:paraId="307F315E">
            <w:pPr>
              <w:jc w:val="center"/>
              <w:rPr>
                <w:color w:val="auto"/>
                <w:sz w:val="22"/>
                <w:szCs w:val="22"/>
              </w:rPr>
            </w:pPr>
            <w:r>
              <w:rPr>
                <w:rFonts w:hint="eastAsia"/>
                <w:bCs/>
                <w:color w:val="auto"/>
                <w:sz w:val="22"/>
                <w:szCs w:val="22"/>
              </w:rPr>
              <w:t>噪声N4</w:t>
            </w:r>
          </w:p>
        </w:tc>
        <w:tc>
          <w:tcPr>
            <w:tcW w:w="2882" w:type="dxa"/>
            <w:tcBorders>
              <w:top w:val="single" w:color="auto" w:sz="4" w:space="0"/>
              <w:left w:val="single" w:color="auto" w:sz="4" w:space="0"/>
              <w:bottom w:val="single" w:color="auto" w:sz="4" w:space="0"/>
              <w:right w:val="single" w:color="auto" w:sz="4" w:space="0"/>
            </w:tcBorders>
            <w:shd w:val="clear" w:color="auto" w:fill="auto"/>
            <w:vAlign w:val="center"/>
          </w:tcPr>
          <w:p w14:paraId="67727970">
            <w:pPr>
              <w:jc w:val="center"/>
              <w:rPr>
                <w:color w:val="auto"/>
                <w:sz w:val="22"/>
                <w:szCs w:val="22"/>
              </w:rPr>
            </w:pPr>
            <w:r>
              <w:rPr>
                <w:rFonts w:hint="eastAsia"/>
                <w:snapToGrid w:val="0"/>
                <w:color w:val="auto"/>
                <w:kern w:val="0"/>
                <w:sz w:val="22"/>
                <w:szCs w:val="22"/>
              </w:rPr>
              <w:t>最近处距离220kV铁甲变电站扩建间隔一侧约150m</w:t>
            </w:r>
          </w:p>
        </w:tc>
        <w:tc>
          <w:tcPr>
            <w:tcW w:w="1972" w:type="dxa"/>
            <w:tcBorders>
              <w:top w:val="single" w:color="auto" w:sz="4" w:space="0"/>
              <w:left w:val="single" w:color="auto" w:sz="4" w:space="0"/>
              <w:bottom w:val="single" w:color="auto" w:sz="4" w:space="0"/>
              <w:right w:val="single" w:color="auto" w:sz="4" w:space="0"/>
            </w:tcBorders>
            <w:shd w:val="clear" w:color="auto" w:fill="auto"/>
            <w:vAlign w:val="center"/>
          </w:tcPr>
          <w:p w14:paraId="1FC7B2A8">
            <w:pPr>
              <w:jc w:val="center"/>
              <w:rPr>
                <w:color w:val="auto"/>
                <w:sz w:val="22"/>
                <w:szCs w:val="22"/>
              </w:rPr>
            </w:pPr>
            <w:r>
              <w:rPr>
                <w:rFonts w:hint="eastAsia"/>
                <w:snapToGrid w:val="0"/>
                <w:color w:val="auto"/>
                <w:kern w:val="0"/>
                <w:sz w:val="22"/>
                <w:szCs w:val="22"/>
              </w:rPr>
              <w:t>学校，校内构筑物约8栋，1F~6F，屋顶可达；校内师生1000余人</w:t>
            </w:r>
          </w:p>
        </w:tc>
        <w:tc>
          <w:tcPr>
            <w:tcW w:w="1321" w:type="dxa"/>
            <w:tcBorders>
              <w:top w:val="single" w:color="auto" w:sz="4" w:space="0"/>
              <w:left w:val="single" w:color="auto" w:sz="4" w:space="0"/>
              <w:bottom w:val="single" w:color="auto" w:sz="4" w:space="0"/>
              <w:right w:val="single" w:color="auto" w:sz="4" w:space="0"/>
            </w:tcBorders>
            <w:vAlign w:val="center"/>
          </w:tcPr>
          <w:p w14:paraId="6055960E">
            <w:pPr>
              <w:jc w:val="center"/>
              <w:rPr>
                <w:rFonts w:hint="eastAsia" w:eastAsia="宋体"/>
                <w:color w:val="auto"/>
                <w:sz w:val="22"/>
                <w:szCs w:val="22"/>
                <w:lang w:eastAsia="zh-CN"/>
              </w:rPr>
            </w:pPr>
            <w:r>
              <w:rPr>
                <w:rFonts w:hint="eastAsia"/>
                <w:color w:val="auto"/>
                <w:sz w:val="22"/>
                <w:szCs w:val="22"/>
                <w:lang w:val="en-US" w:eastAsia="zh-CN"/>
              </w:rPr>
              <w:t>学校</w:t>
            </w:r>
          </w:p>
        </w:tc>
        <w:tc>
          <w:tcPr>
            <w:tcW w:w="946" w:type="dxa"/>
            <w:tcBorders>
              <w:top w:val="single" w:color="auto" w:sz="4" w:space="0"/>
              <w:left w:val="single" w:color="auto" w:sz="4" w:space="0"/>
              <w:bottom w:val="single" w:color="auto" w:sz="4" w:space="0"/>
              <w:right w:val="single" w:color="auto" w:sz="4" w:space="0"/>
            </w:tcBorders>
            <w:vAlign w:val="center"/>
          </w:tcPr>
          <w:p w14:paraId="731B4E62">
            <w:pPr>
              <w:jc w:val="center"/>
              <w:rPr>
                <w:color w:val="auto"/>
                <w:sz w:val="22"/>
                <w:szCs w:val="22"/>
              </w:rPr>
            </w:pPr>
            <w:r>
              <w:rPr>
                <w:rFonts w:hint="eastAsia"/>
                <w:color w:val="auto"/>
                <w:sz w:val="22"/>
                <w:szCs w:val="22"/>
                <w:lang w:val="en-US" w:eastAsia="zh-CN"/>
              </w:rPr>
              <w:t>2</w:t>
            </w:r>
            <w:r>
              <w:rPr>
                <w:rFonts w:hint="eastAsia"/>
                <w:color w:val="auto"/>
                <w:sz w:val="22"/>
                <w:szCs w:val="22"/>
              </w:rPr>
              <w:t>类</w:t>
            </w:r>
          </w:p>
        </w:tc>
        <w:tc>
          <w:tcPr>
            <w:tcW w:w="2775" w:type="dxa"/>
            <w:tcBorders>
              <w:top w:val="single" w:color="auto" w:sz="4" w:space="0"/>
              <w:left w:val="single" w:color="auto" w:sz="4" w:space="0"/>
              <w:bottom w:val="single" w:color="auto" w:sz="4" w:space="0"/>
              <w:right w:val="single" w:color="auto" w:sz="4" w:space="0"/>
            </w:tcBorders>
            <w:vAlign w:val="center"/>
          </w:tcPr>
          <w:p w14:paraId="039878F8">
            <w:pPr>
              <w:jc w:val="center"/>
              <w:rPr>
                <w:color w:val="auto"/>
                <w:sz w:val="22"/>
                <w:szCs w:val="22"/>
              </w:rPr>
            </w:pPr>
            <w:r>
              <w:rPr>
                <w:rFonts w:hint="eastAsia"/>
                <w:color w:val="auto"/>
                <w:sz w:val="22"/>
                <w:szCs w:val="22"/>
              </w:rPr>
              <w:drawing>
                <wp:inline distT="0" distB="0" distL="114300" distR="114300">
                  <wp:extent cx="1722755" cy="1291590"/>
                  <wp:effectExtent l="0" t="0" r="10795" b="3810"/>
                  <wp:docPr id="34" name="图片 34" descr="2138cd41c1985ee37d1e58ce8f482a8d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2138cd41c1985ee37d1e58ce8f482a8d_"/>
                          <pic:cNvPicPr>
                            <a:picLocks noChangeAspect="1"/>
                          </pic:cNvPicPr>
                        </pic:nvPicPr>
                        <pic:blipFill>
                          <a:blip r:embed="rId21"/>
                          <a:stretch>
                            <a:fillRect/>
                          </a:stretch>
                        </pic:blipFill>
                        <pic:spPr>
                          <a:xfrm>
                            <a:off x="0" y="0"/>
                            <a:ext cx="1722755" cy="1291590"/>
                          </a:xfrm>
                          <a:prstGeom prst="rect">
                            <a:avLst/>
                          </a:prstGeom>
                        </pic:spPr>
                      </pic:pic>
                    </a:graphicData>
                  </a:graphic>
                </wp:inline>
              </w:drawing>
            </w:r>
          </w:p>
        </w:tc>
      </w:tr>
      <w:tr w14:paraId="3D4F27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419" w:type="dxa"/>
            <w:tcBorders>
              <w:top w:val="single" w:color="auto" w:sz="4" w:space="0"/>
              <w:left w:val="single" w:color="auto" w:sz="4" w:space="0"/>
              <w:right w:val="single" w:color="auto" w:sz="4" w:space="0"/>
            </w:tcBorders>
            <w:shd w:val="clear" w:color="auto" w:fill="auto"/>
            <w:vAlign w:val="center"/>
          </w:tcPr>
          <w:p w14:paraId="480E0F59">
            <w:pPr>
              <w:jc w:val="center"/>
              <w:rPr>
                <w:color w:val="auto"/>
                <w:sz w:val="22"/>
                <w:szCs w:val="22"/>
              </w:rPr>
            </w:pPr>
            <w:r>
              <w:rPr>
                <w:rFonts w:hint="eastAsia"/>
                <w:color w:val="auto"/>
                <w:sz w:val="22"/>
                <w:szCs w:val="22"/>
              </w:rPr>
              <w:t>6</w:t>
            </w:r>
          </w:p>
        </w:tc>
        <w:tc>
          <w:tcPr>
            <w:tcW w:w="1031" w:type="dxa"/>
            <w:vMerge w:val="continue"/>
            <w:tcBorders>
              <w:left w:val="single" w:color="auto" w:sz="4" w:space="0"/>
              <w:bottom w:val="single" w:color="auto" w:sz="4" w:space="0"/>
              <w:right w:val="single" w:color="auto" w:sz="4" w:space="0"/>
            </w:tcBorders>
            <w:shd w:val="clear" w:color="auto" w:fill="auto"/>
            <w:vAlign w:val="center"/>
          </w:tcPr>
          <w:p w14:paraId="258436C4">
            <w:pPr>
              <w:jc w:val="center"/>
              <w:rPr>
                <w:color w:val="auto"/>
                <w:sz w:val="22"/>
                <w:szCs w:val="22"/>
              </w:rPr>
            </w:pPr>
          </w:p>
        </w:tc>
        <w:tc>
          <w:tcPr>
            <w:tcW w:w="894" w:type="dxa"/>
            <w:tcBorders>
              <w:top w:val="single" w:color="auto" w:sz="4" w:space="0"/>
              <w:left w:val="single" w:color="auto" w:sz="4" w:space="0"/>
              <w:right w:val="single" w:color="auto" w:sz="4" w:space="0"/>
            </w:tcBorders>
            <w:shd w:val="clear" w:color="auto" w:fill="auto"/>
            <w:vAlign w:val="center"/>
          </w:tcPr>
          <w:p w14:paraId="3843E9B4">
            <w:pPr>
              <w:jc w:val="center"/>
              <w:rPr>
                <w:color w:val="auto"/>
                <w:sz w:val="22"/>
                <w:szCs w:val="22"/>
                <w:highlight w:val="yellow"/>
              </w:rPr>
            </w:pPr>
            <w:r>
              <w:rPr>
                <w:rFonts w:hint="eastAsia"/>
                <w:color w:val="auto"/>
                <w:sz w:val="22"/>
                <w:szCs w:val="22"/>
              </w:rPr>
              <w:t>6#</w:t>
            </w:r>
            <w:r>
              <w:rPr>
                <w:color w:val="auto"/>
                <w:sz w:val="22"/>
                <w:szCs w:val="22"/>
              </w:rPr>
              <w:t>新民镇</w:t>
            </w:r>
            <w:r>
              <w:rPr>
                <w:rFonts w:hint="eastAsia"/>
                <w:color w:val="auto"/>
                <w:sz w:val="22"/>
                <w:szCs w:val="22"/>
              </w:rPr>
              <w:t>长</w:t>
            </w:r>
            <w:r>
              <w:rPr>
                <w:color w:val="auto"/>
                <w:sz w:val="22"/>
                <w:szCs w:val="22"/>
              </w:rPr>
              <w:t>棚村6</w:t>
            </w:r>
            <w:r>
              <w:rPr>
                <w:rFonts w:hint="eastAsia"/>
                <w:color w:val="auto"/>
                <w:sz w:val="22"/>
                <w:szCs w:val="22"/>
              </w:rPr>
              <w:t>社</w:t>
            </w:r>
          </w:p>
        </w:tc>
        <w:tc>
          <w:tcPr>
            <w:tcW w:w="825" w:type="dxa"/>
            <w:tcBorders>
              <w:top w:val="single" w:color="auto" w:sz="4" w:space="0"/>
              <w:left w:val="single" w:color="auto" w:sz="4" w:space="0"/>
              <w:right w:val="single" w:color="auto" w:sz="4" w:space="0"/>
            </w:tcBorders>
            <w:shd w:val="clear" w:color="auto" w:fill="auto"/>
            <w:vAlign w:val="center"/>
          </w:tcPr>
          <w:p w14:paraId="06E9C304">
            <w:pPr>
              <w:jc w:val="center"/>
              <w:rPr>
                <w:color w:val="auto"/>
                <w:sz w:val="22"/>
                <w:szCs w:val="22"/>
              </w:rPr>
            </w:pPr>
            <w:r>
              <w:rPr>
                <w:rFonts w:hint="eastAsia"/>
                <w:bCs/>
                <w:color w:val="auto"/>
                <w:sz w:val="22"/>
                <w:szCs w:val="22"/>
              </w:rPr>
              <w:t>噪声</w:t>
            </w:r>
          </w:p>
        </w:tc>
        <w:tc>
          <w:tcPr>
            <w:tcW w:w="1148" w:type="dxa"/>
            <w:tcBorders>
              <w:top w:val="single" w:color="auto" w:sz="4" w:space="0"/>
              <w:left w:val="single" w:color="auto" w:sz="4" w:space="0"/>
              <w:right w:val="single" w:color="auto" w:sz="4" w:space="0"/>
            </w:tcBorders>
            <w:shd w:val="clear" w:color="auto" w:fill="auto"/>
            <w:vAlign w:val="center"/>
          </w:tcPr>
          <w:p w14:paraId="4EF44463">
            <w:pPr>
              <w:jc w:val="center"/>
              <w:rPr>
                <w:color w:val="auto"/>
                <w:sz w:val="22"/>
                <w:szCs w:val="22"/>
              </w:rPr>
            </w:pPr>
            <w:r>
              <w:rPr>
                <w:rFonts w:hint="eastAsia"/>
                <w:bCs/>
                <w:color w:val="auto"/>
                <w:sz w:val="22"/>
                <w:szCs w:val="22"/>
              </w:rPr>
              <w:t>噪声N5</w:t>
            </w:r>
          </w:p>
        </w:tc>
        <w:tc>
          <w:tcPr>
            <w:tcW w:w="2882" w:type="dxa"/>
            <w:tcBorders>
              <w:top w:val="single" w:color="auto" w:sz="4" w:space="0"/>
              <w:left w:val="single" w:color="auto" w:sz="4" w:space="0"/>
              <w:bottom w:val="single" w:color="auto" w:sz="4" w:space="0"/>
              <w:right w:val="single" w:color="auto" w:sz="4" w:space="0"/>
            </w:tcBorders>
            <w:shd w:val="clear" w:color="auto" w:fill="auto"/>
            <w:vAlign w:val="center"/>
          </w:tcPr>
          <w:p w14:paraId="5FB9AA72">
            <w:pPr>
              <w:jc w:val="center"/>
              <w:rPr>
                <w:color w:val="auto"/>
                <w:sz w:val="22"/>
                <w:szCs w:val="22"/>
              </w:rPr>
            </w:pPr>
            <w:r>
              <w:rPr>
                <w:rFonts w:hint="eastAsia"/>
                <w:snapToGrid w:val="0"/>
                <w:color w:val="auto"/>
                <w:kern w:val="0"/>
                <w:sz w:val="22"/>
                <w:szCs w:val="22"/>
              </w:rPr>
              <w:t>最近处距离220kV铁甲变电站扩建间隔一侧约155m</w:t>
            </w:r>
          </w:p>
        </w:tc>
        <w:tc>
          <w:tcPr>
            <w:tcW w:w="1972" w:type="dxa"/>
            <w:tcBorders>
              <w:top w:val="single" w:color="auto" w:sz="4" w:space="0"/>
              <w:left w:val="single" w:color="auto" w:sz="4" w:space="0"/>
              <w:right w:val="single" w:color="auto" w:sz="4" w:space="0"/>
            </w:tcBorders>
            <w:shd w:val="clear" w:color="auto" w:fill="auto"/>
            <w:vAlign w:val="center"/>
          </w:tcPr>
          <w:p w14:paraId="7E203839">
            <w:pPr>
              <w:jc w:val="center"/>
              <w:rPr>
                <w:color w:val="auto"/>
                <w:sz w:val="22"/>
                <w:szCs w:val="22"/>
              </w:rPr>
            </w:pPr>
            <w:r>
              <w:rPr>
                <w:rFonts w:hint="eastAsia"/>
                <w:color w:val="auto"/>
                <w:sz w:val="22"/>
                <w:szCs w:val="22"/>
              </w:rPr>
              <w:t>居民点4户，2F，高约6m，屋顶可达</w:t>
            </w:r>
          </w:p>
        </w:tc>
        <w:tc>
          <w:tcPr>
            <w:tcW w:w="1321" w:type="dxa"/>
            <w:tcBorders>
              <w:top w:val="single" w:color="auto" w:sz="4" w:space="0"/>
              <w:left w:val="single" w:color="auto" w:sz="4" w:space="0"/>
              <w:right w:val="single" w:color="auto" w:sz="4" w:space="0"/>
            </w:tcBorders>
            <w:vAlign w:val="center"/>
          </w:tcPr>
          <w:p w14:paraId="1CEBBA29">
            <w:pPr>
              <w:jc w:val="center"/>
              <w:rPr>
                <w:color w:val="auto"/>
                <w:sz w:val="22"/>
                <w:szCs w:val="22"/>
              </w:rPr>
            </w:pPr>
            <w:r>
              <w:rPr>
                <w:rFonts w:hint="eastAsia"/>
                <w:color w:val="auto"/>
                <w:sz w:val="22"/>
                <w:szCs w:val="22"/>
              </w:rPr>
              <w:t>居住</w:t>
            </w:r>
          </w:p>
        </w:tc>
        <w:tc>
          <w:tcPr>
            <w:tcW w:w="946" w:type="dxa"/>
            <w:tcBorders>
              <w:top w:val="single" w:color="auto" w:sz="4" w:space="0"/>
              <w:left w:val="single" w:color="auto" w:sz="4" w:space="0"/>
              <w:right w:val="single" w:color="auto" w:sz="4" w:space="0"/>
            </w:tcBorders>
            <w:vAlign w:val="center"/>
          </w:tcPr>
          <w:p w14:paraId="4DCD88C3">
            <w:pPr>
              <w:jc w:val="center"/>
              <w:rPr>
                <w:color w:val="auto"/>
                <w:sz w:val="22"/>
                <w:szCs w:val="22"/>
              </w:rPr>
            </w:pPr>
            <w:r>
              <w:rPr>
                <w:rFonts w:hint="eastAsia"/>
                <w:color w:val="auto"/>
                <w:sz w:val="22"/>
                <w:szCs w:val="22"/>
                <w:lang w:val="en-US" w:eastAsia="zh-CN"/>
              </w:rPr>
              <w:t>2</w:t>
            </w:r>
            <w:r>
              <w:rPr>
                <w:rFonts w:hint="eastAsia"/>
                <w:color w:val="auto"/>
                <w:sz w:val="22"/>
                <w:szCs w:val="22"/>
              </w:rPr>
              <w:t>类</w:t>
            </w:r>
          </w:p>
        </w:tc>
        <w:tc>
          <w:tcPr>
            <w:tcW w:w="2775" w:type="dxa"/>
            <w:tcBorders>
              <w:top w:val="single" w:color="auto" w:sz="4" w:space="0"/>
              <w:left w:val="single" w:color="auto" w:sz="4" w:space="0"/>
              <w:right w:val="single" w:color="auto" w:sz="4" w:space="0"/>
            </w:tcBorders>
            <w:vAlign w:val="center"/>
          </w:tcPr>
          <w:p w14:paraId="0FE7FC23">
            <w:pPr>
              <w:jc w:val="center"/>
              <w:rPr>
                <w:color w:val="auto"/>
              </w:rPr>
            </w:pPr>
            <w:r>
              <w:rPr>
                <w:color w:val="auto"/>
              </w:rPr>
              <w:drawing>
                <wp:inline distT="0" distB="0" distL="114300" distR="114300">
                  <wp:extent cx="1753235" cy="1286510"/>
                  <wp:effectExtent l="0" t="0" r="18415" b="8890"/>
                  <wp:docPr id="3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7"/>
                          <pic:cNvPicPr>
                            <a:picLocks noChangeAspect="1"/>
                          </pic:cNvPicPr>
                        </pic:nvPicPr>
                        <pic:blipFill>
                          <a:blip r:embed="rId22"/>
                          <a:stretch>
                            <a:fillRect/>
                          </a:stretch>
                        </pic:blipFill>
                        <pic:spPr>
                          <a:xfrm>
                            <a:off x="0" y="0"/>
                            <a:ext cx="1753235" cy="1286510"/>
                          </a:xfrm>
                          <a:prstGeom prst="rect">
                            <a:avLst/>
                          </a:prstGeom>
                          <a:noFill/>
                          <a:ln>
                            <a:noFill/>
                          </a:ln>
                        </pic:spPr>
                      </pic:pic>
                    </a:graphicData>
                  </a:graphic>
                </wp:inline>
              </w:drawing>
            </w:r>
          </w:p>
        </w:tc>
      </w:tr>
    </w:tbl>
    <w:p w14:paraId="0D2487FA">
      <w:pPr>
        <w:pStyle w:val="21"/>
        <w:jc w:val="center"/>
        <w:outlineLvl w:val="0"/>
        <w:rPr>
          <w:rFonts w:ascii="Times New Roman" w:hAnsi="Times New Roman" w:eastAsia="黑体"/>
          <w:snapToGrid w:val="0"/>
          <w:color w:val="auto"/>
          <w:sz w:val="30"/>
          <w:szCs w:val="30"/>
        </w:rPr>
      </w:pPr>
    </w:p>
    <w:p w14:paraId="64574CC2">
      <w:pPr>
        <w:pStyle w:val="21"/>
        <w:jc w:val="center"/>
        <w:outlineLvl w:val="0"/>
        <w:rPr>
          <w:rFonts w:ascii="Times New Roman" w:hAnsi="Times New Roman" w:eastAsia="黑体"/>
          <w:snapToGrid w:val="0"/>
          <w:color w:val="auto"/>
          <w:sz w:val="30"/>
          <w:szCs w:val="30"/>
        </w:rPr>
        <w:sectPr>
          <w:pgSz w:w="16838" w:h="11906" w:orient="landscape"/>
          <w:pgMar w:top="1800" w:right="1440" w:bottom="1800" w:left="1440" w:header="851" w:footer="1077" w:gutter="0"/>
          <w:cols w:space="425" w:num="1"/>
          <w:docGrid w:linePitch="312" w:charSpace="0"/>
        </w:sectPr>
      </w:pPr>
    </w:p>
    <w:tbl>
      <w:tblPr>
        <w:tblStyle w:val="25"/>
        <w:tblW w:w="915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04"/>
        <w:gridCol w:w="8253"/>
      </w:tblGrid>
      <w:tr w14:paraId="43FB75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58" w:hRule="atLeast"/>
          <w:jc w:val="center"/>
        </w:trPr>
        <w:tc>
          <w:tcPr>
            <w:tcW w:w="904" w:type="dxa"/>
            <w:vAlign w:val="center"/>
          </w:tcPr>
          <w:p w14:paraId="490E0AD4">
            <w:pPr>
              <w:adjustRightInd w:val="0"/>
              <w:snapToGrid w:val="0"/>
              <w:spacing w:line="460" w:lineRule="exact"/>
              <w:jc w:val="center"/>
              <w:rPr>
                <w:color w:val="auto"/>
                <w:kern w:val="0"/>
                <w:sz w:val="26"/>
                <w:szCs w:val="26"/>
              </w:rPr>
            </w:pPr>
            <w:r>
              <w:rPr>
                <w:rFonts w:hint="eastAsia"/>
                <w:color w:val="auto"/>
                <w:kern w:val="0"/>
                <w:sz w:val="26"/>
                <w:szCs w:val="26"/>
              </w:rPr>
              <w:t>评价</w:t>
            </w:r>
          </w:p>
          <w:p w14:paraId="351D54B8">
            <w:pPr>
              <w:adjustRightInd w:val="0"/>
              <w:snapToGrid w:val="0"/>
              <w:spacing w:line="460" w:lineRule="exact"/>
              <w:jc w:val="center"/>
              <w:rPr>
                <w:color w:val="auto"/>
                <w:kern w:val="0"/>
                <w:szCs w:val="21"/>
              </w:rPr>
            </w:pPr>
            <w:r>
              <w:rPr>
                <w:rFonts w:hint="eastAsia"/>
                <w:color w:val="auto"/>
                <w:kern w:val="0"/>
                <w:sz w:val="26"/>
                <w:szCs w:val="26"/>
              </w:rPr>
              <w:t>标准</w:t>
            </w:r>
          </w:p>
        </w:tc>
        <w:tc>
          <w:tcPr>
            <w:tcW w:w="8253" w:type="dxa"/>
            <w:vAlign w:val="center"/>
          </w:tcPr>
          <w:p w14:paraId="0A08DDAD">
            <w:pPr>
              <w:adjustRightInd w:val="0"/>
              <w:snapToGrid w:val="0"/>
              <w:spacing w:line="460" w:lineRule="exact"/>
              <w:rPr>
                <w:b/>
                <w:color w:val="auto"/>
                <w:kern w:val="0"/>
                <w:sz w:val="26"/>
                <w:szCs w:val="26"/>
              </w:rPr>
            </w:pPr>
            <w:r>
              <w:rPr>
                <w:b/>
                <w:color w:val="auto"/>
                <w:sz w:val="26"/>
                <w:szCs w:val="26"/>
              </w:rPr>
              <w:t>3.6</w:t>
            </w:r>
            <w:r>
              <w:rPr>
                <w:rFonts w:hint="eastAsia"/>
                <w:b/>
                <w:color w:val="auto"/>
                <w:sz w:val="26"/>
                <w:szCs w:val="26"/>
              </w:rPr>
              <w:t>环境质量标准</w:t>
            </w:r>
          </w:p>
          <w:p w14:paraId="41A9DB51">
            <w:pPr>
              <w:adjustRightInd w:val="0"/>
              <w:snapToGrid w:val="0"/>
              <w:spacing w:line="460" w:lineRule="exact"/>
              <w:ind w:firstLine="522" w:firstLineChars="200"/>
              <w:rPr>
                <w:b/>
                <w:color w:val="auto"/>
                <w:sz w:val="26"/>
                <w:szCs w:val="26"/>
              </w:rPr>
            </w:pPr>
            <w:r>
              <w:rPr>
                <w:b/>
                <w:color w:val="auto"/>
                <w:sz w:val="26"/>
                <w:szCs w:val="26"/>
              </w:rPr>
              <w:t>3.6.1</w:t>
            </w:r>
            <w:r>
              <w:rPr>
                <w:rFonts w:hint="eastAsia"/>
                <w:b/>
                <w:color w:val="auto"/>
                <w:sz w:val="26"/>
                <w:szCs w:val="26"/>
              </w:rPr>
              <w:t>声环境质量标准</w:t>
            </w:r>
          </w:p>
          <w:p w14:paraId="3D892C2D">
            <w:pPr>
              <w:spacing w:line="460" w:lineRule="exact"/>
              <w:ind w:firstLine="520" w:firstLineChars="200"/>
              <w:rPr>
                <w:color w:val="auto"/>
                <w:sz w:val="26"/>
                <w:szCs w:val="26"/>
              </w:rPr>
            </w:pPr>
            <w:r>
              <w:rPr>
                <w:rFonts w:hint="eastAsia"/>
                <w:color w:val="auto"/>
                <w:sz w:val="26"/>
                <w:szCs w:val="26"/>
              </w:rPr>
              <w:t>根据《奉节县人民政府办公室关于印发奉节县“十四五”声环境功能区划分调整方案的通知》（奉节府办发〔2023〕42号），</w:t>
            </w:r>
            <w:r>
              <w:rPr>
                <w:rFonts w:hint="eastAsia"/>
                <w:color w:val="auto"/>
                <w:sz w:val="26"/>
                <w:szCs w:val="26"/>
                <w:highlight w:val="none"/>
              </w:rPr>
              <w:t>变电站所在</w:t>
            </w:r>
            <w:r>
              <w:rPr>
                <w:rFonts w:hint="eastAsia"/>
                <w:color w:val="auto"/>
                <w:sz w:val="26"/>
                <w:szCs w:val="26"/>
                <w:highlight w:val="none"/>
                <w:lang w:val="en-US" w:eastAsia="zh-CN"/>
              </w:rPr>
              <w:t>位置，及间隔扩建一侧评价范围内</w:t>
            </w:r>
            <w:r>
              <w:rPr>
                <w:rFonts w:ascii="Times New Roman" w:hAnsi="Times New Roman"/>
                <w:color w:val="auto"/>
                <w:sz w:val="26"/>
                <w:szCs w:val="26"/>
                <w:highlight w:val="none"/>
              </w:rPr>
              <w:t>环境保护目标</w:t>
            </w:r>
            <w:r>
              <w:rPr>
                <w:rFonts w:hint="eastAsia"/>
                <w:color w:val="auto"/>
                <w:sz w:val="26"/>
                <w:szCs w:val="26"/>
                <w:highlight w:val="none"/>
                <w:lang w:val="en-US" w:eastAsia="zh-CN"/>
              </w:rPr>
              <w:t>位于2类声功能区，执行</w:t>
            </w:r>
            <w:r>
              <w:rPr>
                <w:rFonts w:hint="eastAsia"/>
                <w:color w:val="auto"/>
                <w:sz w:val="26"/>
                <w:szCs w:val="26"/>
                <w:highlight w:val="none"/>
              </w:rPr>
              <w:t>《声环境质量标准》（GB3096-2008）</w:t>
            </w:r>
            <w:r>
              <w:rPr>
                <w:rFonts w:hint="eastAsia"/>
                <w:color w:val="auto"/>
                <w:sz w:val="26"/>
                <w:szCs w:val="26"/>
                <w:highlight w:val="none"/>
                <w:lang w:val="en-US" w:eastAsia="zh-CN"/>
              </w:rPr>
              <w:t>2</w:t>
            </w:r>
            <w:r>
              <w:rPr>
                <w:rFonts w:hint="eastAsia"/>
                <w:color w:val="auto"/>
                <w:sz w:val="26"/>
                <w:szCs w:val="26"/>
                <w:highlight w:val="none"/>
              </w:rPr>
              <w:t>类标准。</w:t>
            </w:r>
            <w:r>
              <w:rPr>
                <w:rFonts w:hint="eastAsia"/>
                <w:color w:val="auto"/>
                <w:sz w:val="26"/>
                <w:szCs w:val="26"/>
                <w:highlight w:val="none"/>
                <w:lang w:val="en-US" w:eastAsia="zh-CN"/>
              </w:rPr>
              <w:t>架空线路沿线未划分具体声功能区划，沿线</w:t>
            </w:r>
            <w:r>
              <w:rPr>
                <w:rFonts w:hint="eastAsia"/>
                <w:color w:val="auto"/>
                <w:sz w:val="26"/>
                <w:szCs w:val="26"/>
              </w:rPr>
              <w:t>位于农村地区，执行1类声环境功能区要求，执行《声环境质量标准》（GB3096-2008）1类标准。</w:t>
            </w:r>
          </w:p>
          <w:p w14:paraId="2FBF8DE7">
            <w:pPr>
              <w:adjustRightInd w:val="0"/>
              <w:snapToGrid w:val="0"/>
              <w:jc w:val="center"/>
              <w:rPr>
                <w:color w:val="auto"/>
                <w:sz w:val="26"/>
                <w:szCs w:val="26"/>
              </w:rPr>
            </w:pPr>
          </w:p>
          <w:p w14:paraId="7D7291D7">
            <w:pPr>
              <w:adjustRightInd w:val="0"/>
              <w:snapToGrid w:val="0"/>
              <w:jc w:val="center"/>
              <w:rPr>
                <w:color w:val="auto"/>
                <w:sz w:val="26"/>
                <w:szCs w:val="26"/>
              </w:rPr>
            </w:pPr>
            <w:r>
              <w:rPr>
                <w:rFonts w:hint="eastAsia"/>
                <w:color w:val="auto"/>
                <w:sz w:val="26"/>
                <w:szCs w:val="26"/>
              </w:rPr>
              <w:t>表3-3</w:t>
            </w:r>
            <w:r>
              <w:rPr>
                <w:color w:val="auto"/>
                <w:sz w:val="26"/>
                <w:szCs w:val="26"/>
              </w:rPr>
              <w:t xml:space="preserve">  </w:t>
            </w:r>
            <w:r>
              <w:rPr>
                <w:rFonts w:hint="eastAsia"/>
                <w:color w:val="auto"/>
                <w:sz w:val="26"/>
                <w:szCs w:val="26"/>
              </w:rPr>
              <w:t>项目所在区域声环境质量标准</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10"/>
              <w:gridCol w:w="1612"/>
              <w:gridCol w:w="1612"/>
              <w:gridCol w:w="3193"/>
            </w:tblGrid>
            <w:tr w14:paraId="241C37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3" w:type="pct"/>
                  <w:tcBorders>
                    <w:top w:val="single" w:color="auto" w:sz="4" w:space="0"/>
                    <w:left w:val="single" w:color="auto" w:sz="4" w:space="0"/>
                    <w:bottom w:val="single" w:color="auto" w:sz="4" w:space="0"/>
                    <w:right w:val="single" w:color="auto" w:sz="4" w:space="0"/>
                  </w:tcBorders>
                  <w:vAlign w:val="center"/>
                </w:tcPr>
                <w:p w14:paraId="6A3D37F7">
                  <w:pPr>
                    <w:pStyle w:val="71"/>
                    <w:spacing w:line="240" w:lineRule="auto"/>
                    <w:ind w:firstLine="0" w:firstLineChars="0"/>
                    <w:jc w:val="center"/>
                    <w:rPr>
                      <w:rFonts w:cs="Times New Roman"/>
                      <w:b w:val="0"/>
                      <w:color w:val="auto"/>
                      <w:kern w:val="0"/>
                      <w:sz w:val="22"/>
                      <w:szCs w:val="22"/>
                    </w:rPr>
                  </w:pPr>
                  <w:r>
                    <w:rPr>
                      <w:rFonts w:hint="eastAsia" w:hAnsi="宋体" w:cs="Times New Roman"/>
                      <w:b w:val="0"/>
                      <w:color w:val="auto"/>
                      <w:sz w:val="22"/>
                      <w:szCs w:val="22"/>
                    </w:rPr>
                    <w:t>类别</w:t>
                  </w:r>
                </w:p>
              </w:tc>
              <w:tc>
                <w:tcPr>
                  <w:tcW w:w="1004" w:type="pct"/>
                  <w:tcBorders>
                    <w:top w:val="single" w:color="auto" w:sz="4" w:space="0"/>
                    <w:left w:val="single" w:color="auto" w:sz="4" w:space="0"/>
                    <w:bottom w:val="single" w:color="auto" w:sz="4" w:space="0"/>
                    <w:right w:val="single" w:color="auto" w:sz="4" w:space="0"/>
                  </w:tcBorders>
                  <w:vAlign w:val="center"/>
                </w:tcPr>
                <w:p w14:paraId="231405F4">
                  <w:pPr>
                    <w:pStyle w:val="71"/>
                    <w:spacing w:line="240" w:lineRule="auto"/>
                    <w:ind w:firstLine="0" w:firstLineChars="0"/>
                    <w:jc w:val="center"/>
                    <w:rPr>
                      <w:rFonts w:cs="Times New Roman"/>
                      <w:b w:val="0"/>
                      <w:color w:val="auto"/>
                      <w:kern w:val="0"/>
                      <w:sz w:val="22"/>
                      <w:szCs w:val="22"/>
                    </w:rPr>
                  </w:pPr>
                  <w:r>
                    <w:rPr>
                      <w:rFonts w:hint="eastAsia" w:hAnsi="宋体" w:cs="Times New Roman"/>
                      <w:b w:val="0"/>
                      <w:color w:val="auto"/>
                      <w:sz w:val="22"/>
                      <w:szCs w:val="22"/>
                    </w:rPr>
                    <w:t>昼间</w:t>
                  </w:r>
                </w:p>
              </w:tc>
              <w:tc>
                <w:tcPr>
                  <w:tcW w:w="1004" w:type="pct"/>
                  <w:tcBorders>
                    <w:top w:val="single" w:color="auto" w:sz="4" w:space="0"/>
                    <w:left w:val="single" w:color="auto" w:sz="4" w:space="0"/>
                    <w:bottom w:val="single" w:color="auto" w:sz="4" w:space="0"/>
                    <w:right w:val="single" w:color="auto" w:sz="4" w:space="0"/>
                  </w:tcBorders>
                  <w:vAlign w:val="center"/>
                </w:tcPr>
                <w:p w14:paraId="77169027">
                  <w:pPr>
                    <w:pStyle w:val="71"/>
                    <w:spacing w:line="240" w:lineRule="auto"/>
                    <w:ind w:firstLine="0" w:firstLineChars="0"/>
                    <w:jc w:val="center"/>
                    <w:rPr>
                      <w:rFonts w:cs="Times New Roman"/>
                      <w:b w:val="0"/>
                      <w:color w:val="auto"/>
                      <w:kern w:val="0"/>
                      <w:sz w:val="22"/>
                      <w:szCs w:val="22"/>
                    </w:rPr>
                  </w:pPr>
                  <w:r>
                    <w:rPr>
                      <w:rFonts w:hint="eastAsia" w:hAnsi="宋体" w:cs="Times New Roman"/>
                      <w:b w:val="0"/>
                      <w:color w:val="auto"/>
                      <w:sz w:val="22"/>
                      <w:szCs w:val="22"/>
                    </w:rPr>
                    <w:t>夜间</w:t>
                  </w:r>
                </w:p>
              </w:tc>
              <w:tc>
                <w:tcPr>
                  <w:tcW w:w="1989" w:type="pct"/>
                  <w:tcBorders>
                    <w:top w:val="single" w:color="auto" w:sz="4" w:space="0"/>
                    <w:left w:val="single" w:color="auto" w:sz="4" w:space="0"/>
                    <w:bottom w:val="single" w:color="auto" w:sz="4" w:space="0"/>
                    <w:right w:val="single" w:color="auto" w:sz="4" w:space="0"/>
                  </w:tcBorders>
                  <w:vAlign w:val="center"/>
                </w:tcPr>
                <w:p w14:paraId="5FBF77DD">
                  <w:pPr>
                    <w:pStyle w:val="71"/>
                    <w:spacing w:line="240" w:lineRule="auto"/>
                    <w:ind w:firstLine="0" w:firstLineChars="0"/>
                    <w:jc w:val="center"/>
                    <w:rPr>
                      <w:rFonts w:cs="Times New Roman"/>
                      <w:b w:val="0"/>
                      <w:color w:val="auto"/>
                      <w:kern w:val="0"/>
                      <w:sz w:val="22"/>
                      <w:szCs w:val="22"/>
                    </w:rPr>
                  </w:pPr>
                  <w:r>
                    <w:rPr>
                      <w:rFonts w:hint="eastAsia" w:hAnsi="宋体" w:cs="Times New Roman"/>
                      <w:b w:val="0"/>
                      <w:color w:val="auto"/>
                      <w:kern w:val="0"/>
                      <w:sz w:val="22"/>
                      <w:szCs w:val="22"/>
                    </w:rPr>
                    <w:t>备注</w:t>
                  </w:r>
                </w:p>
              </w:tc>
            </w:tr>
            <w:tr w14:paraId="1C92EA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3" w:type="pct"/>
                  <w:tcBorders>
                    <w:top w:val="single" w:color="auto" w:sz="4" w:space="0"/>
                    <w:left w:val="single" w:color="auto" w:sz="4" w:space="0"/>
                    <w:bottom w:val="single" w:color="auto" w:sz="4" w:space="0"/>
                    <w:right w:val="single" w:color="auto" w:sz="4" w:space="0"/>
                  </w:tcBorders>
                  <w:vAlign w:val="center"/>
                </w:tcPr>
                <w:p w14:paraId="0259687D">
                  <w:pPr>
                    <w:pStyle w:val="71"/>
                    <w:spacing w:line="240" w:lineRule="auto"/>
                    <w:ind w:firstLine="0" w:firstLineChars="0"/>
                    <w:jc w:val="center"/>
                    <w:rPr>
                      <w:rFonts w:cs="Times New Roman"/>
                      <w:b w:val="0"/>
                      <w:color w:val="auto"/>
                      <w:sz w:val="22"/>
                      <w:szCs w:val="22"/>
                    </w:rPr>
                  </w:pPr>
                  <w:r>
                    <w:rPr>
                      <w:rFonts w:cs="Times New Roman"/>
                      <w:b w:val="0"/>
                      <w:color w:val="auto"/>
                      <w:sz w:val="22"/>
                      <w:szCs w:val="22"/>
                    </w:rPr>
                    <w:t>1</w:t>
                  </w:r>
                  <w:r>
                    <w:rPr>
                      <w:rFonts w:hint="eastAsia" w:hAnsi="宋体" w:cs="Times New Roman"/>
                      <w:b w:val="0"/>
                      <w:color w:val="auto"/>
                      <w:sz w:val="22"/>
                      <w:szCs w:val="22"/>
                    </w:rPr>
                    <w:t>类</w:t>
                  </w:r>
                </w:p>
              </w:tc>
              <w:tc>
                <w:tcPr>
                  <w:tcW w:w="1004" w:type="pct"/>
                  <w:tcBorders>
                    <w:top w:val="single" w:color="auto" w:sz="4" w:space="0"/>
                    <w:left w:val="single" w:color="auto" w:sz="4" w:space="0"/>
                    <w:bottom w:val="single" w:color="auto" w:sz="4" w:space="0"/>
                    <w:right w:val="single" w:color="auto" w:sz="4" w:space="0"/>
                  </w:tcBorders>
                  <w:vAlign w:val="center"/>
                </w:tcPr>
                <w:p w14:paraId="2F77FC60">
                  <w:pPr>
                    <w:pStyle w:val="71"/>
                    <w:spacing w:line="240" w:lineRule="auto"/>
                    <w:ind w:firstLine="0" w:firstLineChars="0"/>
                    <w:jc w:val="center"/>
                    <w:rPr>
                      <w:rFonts w:cs="Times New Roman"/>
                      <w:b w:val="0"/>
                      <w:color w:val="auto"/>
                      <w:sz w:val="22"/>
                      <w:szCs w:val="22"/>
                    </w:rPr>
                  </w:pPr>
                  <w:r>
                    <w:rPr>
                      <w:rFonts w:cs="Times New Roman"/>
                      <w:b w:val="0"/>
                      <w:color w:val="auto"/>
                      <w:sz w:val="22"/>
                      <w:szCs w:val="22"/>
                    </w:rPr>
                    <w:t>55</w:t>
                  </w:r>
                </w:p>
              </w:tc>
              <w:tc>
                <w:tcPr>
                  <w:tcW w:w="1004" w:type="pct"/>
                  <w:tcBorders>
                    <w:top w:val="single" w:color="auto" w:sz="4" w:space="0"/>
                    <w:left w:val="single" w:color="auto" w:sz="4" w:space="0"/>
                    <w:bottom w:val="single" w:color="auto" w:sz="4" w:space="0"/>
                    <w:right w:val="single" w:color="auto" w:sz="4" w:space="0"/>
                  </w:tcBorders>
                  <w:vAlign w:val="center"/>
                </w:tcPr>
                <w:p w14:paraId="1AC373DE">
                  <w:pPr>
                    <w:pStyle w:val="71"/>
                    <w:spacing w:line="240" w:lineRule="auto"/>
                    <w:ind w:firstLine="0" w:firstLineChars="0"/>
                    <w:jc w:val="center"/>
                    <w:rPr>
                      <w:rFonts w:cs="Times New Roman"/>
                      <w:b w:val="0"/>
                      <w:color w:val="auto"/>
                      <w:sz w:val="22"/>
                      <w:szCs w:val="22"/>
                    </w:rPr>
                  </w:pPr>
                  <w:r>
                    <w:rPr>
                      <w:rFonts w:cs="Times New Roman"/>
                      <w:b w:val="0"/>
                      <w:color w:val="auto"/>
                      <w:sz w:val="22"/>
                      <w:szCs w:val="22"/>
                    </w:rPr>
                    <w:t>45</w:t>
                  </w:r>
                </w:p>
              </w:tc>
              <w:tc>
                <w:tcPr>
                  <w:tcW w:w="1989" w:type="pct"/>
                  <w:tcBorders>
                    <w:top w:val="single" w:color="auto" w:sz="4" w:space="0"/>
                    <w:left w:val="single" w:color="auto" w:sz="4" w:space="0"/>
                    <w:bottom w:val="single" w:color="auto" w:sz="4" w:space="0"/>
                    <w:right w:val="single" w:color="auto" w:sz="4" w:space="0"/>
                  </w:tcBorders>
                  <w:vAlign w:val="center"/>
                </w:tcPr>
                <w:p w14:paraId="282B43CB">
                  <w:pPr>
                    <w:pStyle w:val="71"/>
                    <w:spacing w:line="240" w:lineRule="auto"/>
                    <w:ind w:firstLine="0" w:firstLineChars="0"/>
                    <w:jc w:val="center"/>
                    <w:rPr>
                      <w:rFonts w:hint="default" w:eastAsia="宋体" w:cs="Times New Roman"/>
                      <w:b w:val="0"/>
                      <w:color w:val="auto"/>
                      <w:kern w:val="0"/>
                      <w:sz w:val="22"/>
                      <w:szCs w:val="22"/>
                      <w:lang w:val="en-US" w:eastAsia="zh-CN"/>
                    </w:rPr>
                  </w:pPr>
                  <w:r>
                    <w:rPr>
                      <w:rFonts w:hint="eastAsia" w:hAnsi="宋体" w:cs="Times New Roman"/>
                      <w:b w:val="0"/>
                      <w:color w:val="auto"/>
                      <w:kern w:val="0"/>
                      <w:sz w:val="22"/>
                      <w:szCs w:val="22"/>
                      <w:lang w:val="en-US" w:eastAsia="zh-CN"/>
                    </w:rPr>
                    <w:t>线路沿线</w:t>
                  </w:r>
                </w:p>
              </w:tc>
            </w:tr>
            <w:tr w14:paraId="2293DC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3" w:type="pct"/>
                  <w:tcBorders>
                    <w:top w:val="single" w:color="auto" w:sz="4" w:space="0"/>
                    <w:left w:val="single" w:color="auto" w:sz="4" w:space="0"/>
                    <w:bottom w:val="single" w:color="auto" w:sz="4" w:space="0"/>
                    <w:right w:val="single" w:color="auto" w:sz="4" w:space="0"/>
                  </w:tcBorders>
                  <w:vAlign w:val="center"/>
                </w:tcPr>
                <w:p w14:paraId="1B372E39">
                  <w:pPr>
                    <w:pStyle w:val="71"/>
                    <w:spacing w:line="240" w:lineRule="auto"/>
                    <w:ind w:firstLine="0" w:firstLineChars="0"/>
                    <w:jc w:val="center"/>
                    <w:rPr>
                      <w:rFonts w:cs="Times New Roman"/>
                      <w:b w:val="0"/>
                      <w:color w:val="auto"/>
                      <w:sz w:val="22"/>
                      <w:szCs w:val="22"/>
                      <w:highlight w:val="none"/>
                    </w:rPr>
                  </w:pPr>
                  <w:r>
                    <w:rPr>
                      <w:rFonts w:hint="eastAsia"/>
                      <w:b w:val="0"/>
                      <w:color w:val="auto"/>
                      <w:sz w:val="22"/>
                      <w:szCs w:val="22"/>
                      <w:highlight w:val="none"/>
                    </w:rPr>
                    <w:t>2类</w:t>
                  </w:r>
                </w:p>
              </w:tc>
              <w:tc>
                <w:tcPr>
                  <w:tcW w:w="1004" w:type="pct"/>
                  <w:tcBorders>
                    <w:top w:val="single" w:color="auto" w:sz="4" w:space="0"/>
                    <w:left w:val="single" w:color="auto" w:sz="4" w:space="0"/>
                    <w:bottom w:val="single" w:color="auto" w:sz="4" w:space="0"/>
                    <w:right w:val="single" w:color="auto" w:sz="4" w:space="0"/>
                  </w:tcBorders>
                  <w:vAlign w:val="center"/>
                </w:tcPr>
                <w:p w14:paraId="6F109085">
                  <w:pPr>
                    <w:pStyle w:val="71"/>
                    <w:spacing w:line="240" w:lineRule="auto"/>
                    <w:ind w:firstLine="0" w:firstLineChars="0"/>
                    <w:jc w:val="center"/>
                    <w:rPr>
                      <w:rFonts w:cs="Times New Roman"/>
                      <w:b w:val="0"/>
                      <w:color w:val="auto"/>
                      <w:sz w:val="22"/>
                      <w:szCs w:val="22"/>
                      <w:highlight w:val="none"/>
                    </w:rPr>
                  </w:pPr>
                  <w:r>
                    <w:rPr>
                      <w:rFonts w:hint="eastAsia" w:cs="Times New Roman"/>
                      <w:b w:val="0"/>
                      <w:color w:val="auto"/>
                      <w:sz w:val="22"/>
                      <w:szCs w:val="22"/>
                      <w:highlight w:val="none"/>
                    </w:rPr>
                    <w:t>60</w:t>
                  </w:r>
                </w:p>
              </w:tc>
              <w:tc>
                <w:tcPr>
                  <w:tcW w:w="1004" w:type="pct"/>
                  <w:tcBorders>
                    <w:top w:val="single" w:color="auto" w:sz="4" w:space="0"/>
                    <w:left w:val="single" w:color="auto" w:sz="4" w:space="0"/>
                    <w:bottom w:val="single" w:color="auto" w:sz="4" w:space="0"/>
                    <w:right w:val="single" w:color="auto" w:sz="4" w:space="0"/>
                  </w:tcBorders>
                  <w:vAlign w:val="center"/>
                </w:tcPr>
                <w:p w14:paraId="4208847D">
                  <w:pPr>
                    <w:pStyle w:val="71"/>
                    <w:spacing w:line="240" w:lineRule="auto"/>
                    <w:ind w:firstLine="0" w:firstLineChars="0"/>
                    <w:jc w:val="center"/>
                    <w:rPr>
                      <w:rFonts w:cs="Times New Roman"/>
                      <w:b w:val="0"/>
                      <w:color w:val="auto"/>
                      <w:sz w:val="22"/>
                      <w:szCs w:val="22"/>
                      <w:highlight w:val="none"/>
                    </w:rPr>
                  </w:pPr>
                  <w:r>
                    <w:rPr>
                      <w:rFonts w:hint="eastAsia" w:cs="Times New Roman"/>
                      <w:b w:val="0"/>
                      <w:color w:val="auto"/>
                      <w:sz w:val="22"/>
                      <w:szCs w:val="22"/>
                      <w:highlight w:val="none"/>
                    </w:rPr>
                    <w:t>50</w:t>
                  </w:r>
                </w:p>
              </w:tc>
              <w:tc>
                <w:tcPr>
                  <w:tcW w:w="1989" w:type="pct"/>
                  <w:tcBorders>
                    <w:top w:val="single" w:color="auto" w:sz="4" w:space="0"/>
                    <w:left w:val="single" w:color="auto" w:sz="4" w:space="0"/>
                    <w:bottom w:val="single" w:color="auto" w:sz="4" w:space="0"/>
                    <w:right w:val="single" w:color="auto" w:sz="4" w:space="0"/>
                  </w:tcBorders>
                  <w:vAlign w:val="center"/>
                </w:tcPr>
                <w:p w14:paraId="7C5A056A">
                  <w:pPr>
                    <w:pStyle w:val="71"/>
                    <w:spacing w:line="240" w:lineRule="auto"/>
                    <w:ind w:firstLine="0" w:firstLineChars="0"/>
                    <w:jc w:val="center"/>
                    <w:rPr>
                      <w:rFonts w:hAnsi="宋体" w:cs="Times New Roman"/>
                      <w:b w:val="0"/>
                      <w:color w:val="auto"/>
                      <w:kern w:val="0"/>
                      <w:sz w:val="22"/>
                      <w:szCs w:val="22"/>
                      <w:highlight w:val="none"/>
                    </w:rPr>
                  </w:pPr>
                  <w:r>
                    <w:rPr>
                      <w:rFonts w:hint="eastAsia" w:hAnsi="宋体" w:cs="Times New Roman"/>
                      <w:b w:val="0"/>
                      <w:color w:val="auto"/>
                      <w:kern w:val="0"/>
                      <w:sz w:val="22"/>
                      <w:szCs w:val="22"/>
                      <w:highlight w:val="none"/>
                    </w:rPr>
                    <w:t>铁甲变电站</w:t>
                  </w:r>
                  <w:r>
                    <w:rPr>
                      <w:rFonts w:hint="eastAsia" w:hAnsi="宋体" w:cs="Times New Roman"/>
                      <w:b w:val="0"/>
                      <w:color w:val="auto"/>
                      <w:kern w:val="0"/>
                      <w:sz w:val="22"/>
                      <w:szCs w:val="22"/>
                      <w:highlight w:val="none"/>
                      <w:lang w:val="en-US" w:eastAsia="zh-CN"/>
                    </w:rPr>
                    <w:t>及间隔扩建一侧评价范围内</w:t>
                  </w:r>
                </w:p>
              </w:tc>
            </w:tr>
          </w:tbl>
          <w:p w14:paraId="1AA3BDB4">
            <w:pPr>
              <w:snapToGrid w:val="0"/>
              <w:rPr>
                <w:color w:val="auto"/>
              </w:rPr>
            </w:pPr>
          </w:p>
          <w:p w14:paraId="58614634">
            <w:pPr>
              <w:spacing w:line="460" w:lineRule="exact"/>
              <w:ind w:firstLine="522" w:firstLineChars="200"/>
              <w:rPr>
                <w:b/>
                <w:bCs/>
                <w:color w:val="auto"/>
                <w:sz w:val="26"/>
                <w:szCs w:val="26"/>
              </w:rPr>
            </w:pPr>
            <w:r>
              <w:rPr>
                <w:b/>
                <w:bCs/>
                <w:color w:val="auto"/>
                <w:sz w:val="26"/>
                <w:szCs w:val="26"/>
              </w:rPr>
              <w:t>3.6</w:t>
            </w:r>
            <w:r>
              <w:rPr>
                <w:rFonts w:hint="eastAsia"/>
                <w:b/>
                <w:bCs/>
                <w:color w:val="auto"/>
                <w:sz w:val="26"/>
                <w:szCs w:val="26"/>
              </w:rPr>
              <w:t>.2电磁环境质量标准</w:t>
            </w:r>
          </w:p>
          <w:p w14:paraId="4DF45F1A">
            <w:pPr>
              <w:spacing w:line="460" w:lineRule="exact"/>
              <w:ind w:firstLine="520" w:firstLineChars="200"/>
              <w:rPr>
                <w:color w:val="auto"/>
                <w:sz w:val="26"/>
                <w:szCs w:val="26"/>
              </w:rPr>
            </w:pPr>
            <w:r>
              <w:rPr>
                <w:rFonts w:hint="eastAsia"/>
                <w:color w:val="auto"/>
                <w:sz w:val="26"/>
                <w:szCs w:val="26"/>
              </w:rPr>
              <w:t>本工程运行期电磁环境执行《电磁环境控制限值》（</w:t>
            </w:r>
            <w:r>
              <w:rPr>
                <w:color w:val="auto"/>
                <w:sz w:val="26"/>
                <w:szCs w:val="26"/>
              </w:rPr>
              <w:t>GB8702-2014</w:t>
            </w:r>
            <w:r>
              <w:rPr>
                <w:rFonts w:hint="eastAsia"/>
                <w:color w:val="auto"/>
                <w:sz w:val="26"/>
                <w:szCs w:val="26"/>
              </w:rPr>
              <w:t>），详见表3-4。</w:t>
            </w:r>
          </w:p>
          <w:p w14:paraId="14254580">
            <w:pPr>
              <w:rPr>
                <w:color w:val="auto"/>
              </w:rPr>
            </w:pPr>
          </w:p>
          <w:p w14:paraId="1404E8A0">
            <w:pPr>
              <w:adjustRightInd w:val="0"/>
              <w:jc w:val="center"/>
              <w:rPr>
                <w:color w:val="auto"/>
                <w:sz w:val="26"/>
                <w:szCs w:val="26"/>
              </w:rPr>
            </w:pPr>
            <w:r>
              <w:rPr>
                <w:rFonts w:hint="eastAsia"/>
                <w:color w:val="auto"/>
                <w:sz w:val="26"/>
                <w:szCs w:val="26"/>
              </w:rPr>
              <w:t>表3-4</w:t>
            </w:r>
            <w:r>
              <w:rPr>
                <w:color w:val="auto"/>
                <w:sz w:val="26"/>
                <w:szCs w:val="26"/>
              </w:rPr>
              <w:t xml:space="preserve">  </w:t>
            </w:r>
            <w:r>
              <w:rPr>
                <w:rFonts w:hint="eastAsia"/>
                <w:color w:val="auto"/>
                <w:sz w:val="26"/>
                <w:szCs w:val="26"/>
              </w:rPr>
              <w:t>电磁环境质量标准</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4"/>
              <w:gridCol w:w="819"/>
              <w:gridCol w:w="1811"/>
              <w:gridCol w:w="1151"/>
              <w:gridCol w:w="2932"/>
            </w:tblGrid>
            <w:tr w14:paraId="2B0080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275" w:type="dxa"/>
                  <w:vMerge w:val="restart"/>
                  <w:tcBorders>
                    <w:top w:val="single" w:color="auto" w:sz="4" w:space="0"/>
                    <w:left w:val="single" w:color="auto" w:sz="4" w:space="0"/>
                    <w:bottom w:val="single" w:color="auto" w:sz="4" w:space="0"/>
                    <w:right w:val="single" w:color="auto" w:sz="4" w:space="0"/>
                  </w:tcBorders>
                  <w:vAlign w:val="center"/>
                </w:tcPr>
                <w:p w14:paraId="6F91909E">
                  <w:pPr>
                    <w:snapToGrid w:val="0"/>
                    <w:jc w:val="center"/>
                    <w:rPr>
                      <w:color w:val="auto"/>
                      <w:sz w:val="22"/>
                      <w:szCs w:val="22"/>
                    </w:rPr>
                  </w:pPr>
                  <w:r>
                    <w:rPr>
                      <w:rFonts w:hint="eastAsia"/>
                      <w:color w:val="auto"/>
                      <w:sz w:val="22"/>
                      <w:szCs w:val="22"/>
                    </w:rPr>
                    <w:t>标准名称</w:t>
                  </w:r>
                </w:p>
              </w:tc>
              <w:tc>
                <w:tcPr>
                  <w:tcW w:w="794" w:type="dxa"/>
                  <w:vMerge w:val="restart"/>
                  <w:tcBorders>
                    <w:top w:val="single" w:color="auto" w:sz="4" w:space="0"/>
                    <w:left w:val="single" w:color="auto" w:sz="4" w:space="0"/>
                    <w:bottom w:val="single" w:color="auto" w:sz="4" w:space="0"/>
                    <w:right w:val="single" w:color="auto" w:sz="4" w:space="0"/>
                  </w:tcBorders>
                  <w:vAlign w:val="center"/>
                </w:tcPr>
                <w:p w14:paraId="66490DCD">
                  <w:pPr>
                    <w:snapToGrid w:val="0"/>
                    <w:jc w:val="center"/>
                    <w:rPr>
                      <w:color w:val="auto"/>
                      <w:sz w:val="22"/>
                      <w:szCs w:val="22"/>
                    </w:rPr>
                  </w:pPr>
                  <w:r>
                    <w:rPr>
                      <w:rFonts w:hint="eastAsia"/>
                      <w:color w:val="auto"/>
                      <w:sz w:val="22"/>
                      <w:szCs w:val="22"/>
                    </w:rPr>
                    <w:t>适用类别</w:t>
                  </w:r>
                </w:p>
              </w:tc>
              <w:tc>
                <w:tcPr>
                  <w:tcW w:w="2873" w:type="dxa"/>
                  <w:gridSpan w:val="2"/>
                  <w:tcBorders>
                    <w:top w:val="single" w:color="auto" w:sz="4" w:space="0"/>
                    <w:left w:val="single" w:color="auto" w:sz="4" w:space="0"/>
                    <w:bottom w:val="single" w:color="auto" w:sz="4" w:space="0"/>
                    <w:right w:val="single" w:color="auto" w:sz="4" w:space="0"/>
                  </w:tcBorders>
                  <w:vAlign w:val="center"/>
                </w:tcPr>
                <w:p w14:paraId="309DF2BF">
                  <w:pPr>
                    <w:snapToGrid w:val="0"/>
                    <w:jc w:val="center"/>
                    <w:rPr>
                      <w:color w:val="auto"/>
                      <w:sz w:val="22"/>
                      <w:szCs w:val="22"/>
                    </w:rPr>
                  </w:pPr>
                  <w:r>
                    <w:rPr>
                      <w:rFonts w:hint="eastAsia"/>
                      <w:color w:val="auto"/>
                      <w:sz w:val="22"/>
                      <w:szCs w:val="22"/>
                    </w:rPr>
                    <w:t>标准限值</w:t>
                  </w:r>
                </w:p>
              </w:tc>
              <w:tc>
                <w:tcPr>
                  <w:tcW w:w="2844" w:type="dxa"/>
                  <w:vMerge w:val="restart"/>
                  <w:tcBorders>
                    <w:top w:val="single" w:color="auto" w:sz="4" w:space="0"/>
                    <w:left w:val="single" w:color="auto" w:sz="4" w:space="0"/>
                    <w:bottom w:val="single" w:color="auto" w:sz="4" w:space="0"/>
                    <w:right w:val="single" w:color="auto" w:sz="4" w:space="0"/>
                  </w:tcBorders>
                  <w:vAlign w:val="center"/>
                </w:tcPr>
                <w:p w14:paraId="262A3B54">
                  <w:pPr>
                    <w:snapToGrid w:val="0"/>
                    <w:jc w:val="center"/>
                    <w:rPr>
                      <w:color w:val="auto"/>
                      <w:sz w:val="22"/>
                      <w:szCs w:val="22"/>
                    </w:rPr>
                  </w:pPr>
                  <w:r>
                    <w:rPr>
                      <w:rFonts w:hint="eastAsia"/>
                      <w:color w:val="auto"/>
                      <w:sz w:val="22"/>
                      <w:szCs w:val="22"/>
                    </w:rPr>
                    <w:t>评价对象</w:t>
                  </w:r>
                </w:p>
              </w:tc>
            </w:tr>
            <w:tr w14:paraId="2A63F2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275" w:type="dxa"/>
                  <w:vMerge w:val="continue"/>
                  <w:tcBorders>
                    <w:top w:val="single" w:color="auto" w:sz="4" w:space="0"/>
                    <w:left w:val="single" w:color="auto" w:sz="4" w:space="0"/>
                    <w:bottom w:val="single" w:color="auto" w:sz="4" w:space="0"/>
                    <w:right w:val="single" w:color="auto" w:sz="4" w:space="0"/>
                  </w:tcBorders>
                  <w:vAlign w:val="center"/>
                </w:tcPr>
                <w:p w14:paraId="41341949">
                  <w:pPr>
                    <w:jc w:val="left"/>
                    <w:rPr>
                      <w:color w:val="auto"/>
                      <w:sz w:val="22"/>
                      <w:szCs w:val="22"/>
                    </w:rPr>
                  </w:pPr>
                </w:p>
              </w:tc>
              <w:tc>
                <w:tcPr>
                  <w:tcW w:w="794" w:type="dxa"/>
                  <w:vMerge w:val="continue"/>
                  <w:tcBorders>
                    <w:top w:val="single" w:color="auto" w:sz="4" w:space="0"/>
                    <w:left w:val="single" w:color="auto" w:sz="4" w:space="0"/>
                    <w:bottom w:val="single" w:color="auto" w:sz="4" w:space="0"/>
                    <w:right w:val="single" w:color="auto" w:sz="4" w:space="0"/>
                  </w:tcBorders>
                  <w:vAlign w:val="center"/>
                </w:tcPr>
                <w:p w14:paraId="2012EA42">
                  <w:pPr>
                    <w:jc w:val="left"/>
                    <w:rPr>
                      <w:color w:val="auto"/>
                      <w:sz w:val="22"/>
                      <w:szCs w:val="22"/>
                    </w:rPr>
                  </w:pPr>
                </w:p>
              </w:tc>
              <w:tc>
                <w:tcPr>
                  <w:tcW w:w="1757" w:type="dxa"/>
                  <w:tcBorders>
                    <w:top w:val="single" w:color="auto" w:sz="4" w:space="0"/>
                    <w:left w:val="single" w:color="auto" w:sz="4" w:space="0"/>
                    <w:bottom w:val="single" w:color="auto" w:sz="4" w:space="0"/>
                    <w:right w:val="single" w:color="auto" w:sz="4" w:space="0"/>
                  </w:tcBorders>
                  <w:vAlign w:val="center"/>
                </w:tcPr>
                <w:p w14:paraId="6D5075A5">
                  <w:pPr>
                    <w:snapToGrid w:val="0"/>
                    <w:jc w:val="center"/>
                    <w:rPr>
                      <w:color w:val="auto"/>
                      <w:sz w:val="22"/>
                      <w:szCs w:val="22"/>
                    </w:rPr>
                  </w:pPr>
                  <w:r>
                    <w:rPr>
                      <w:rFonts w:hint="eastAsia"/>
                      <w:color w:val="auto"/>
                      <w:sz w:val="22"/>
                      <w:szCs w:val="22"/>
                    </w:rPr>
                    <w:t>参数名称</w:t>
                  </w:r>
                </w:p>
              </w:tc>
              <w:tc>
                <w:tcPr>
                  <w:tcW w:w="1116" w:type="dxa"/>
                  <w:tcBorders>
                    <w:top w:val="single" w:color="auto" w:sz="4" w:space="0"/>
                    <w:left w:val="single" w:color="auto" w:sz="4" w:space="0"/>
                    <w:bottom w:val="single" w:color="auto" w:sz="4" w:space="0"/>
                    <w:right w:val="single" w:color="auto" w:sz="4" w:space="0"/>
                  </w:tcBorders>
                  <w:vAlign w:val="center"/>
                </w:tcPr>
                <w:p w14:paraId="08CEF9C3">
                  <w:pPr>
                    <w:snapToGrid w:val="0"/>
                    <w:jc w:val="center"/>
                    <w:rPr>
                      <w:color w:val="auto"/>
                      <w:sz w:val="22"/>
                      <w:szCs w:val="22"/>
                    </w:rPr>
                  </w:pPr>
                  <w:r>
                    <w:rPr>
                      <w:rFonts w:hint="eastAsia"/>
                      <w:color w:val="auto"/>
                      <w:sz w:val="22"/>
                      <w:szCs w:val="22"/>
                    </w:rPr>
                    <w:t>浓度限值</w:t>
                  </w:r>
                </w:p>
              </w:tc>
              <w:tc>
                <w:tcPr>
                  <w:tcW w:w="2844" w:type="dxa"/>
                  <w:vMerge w:val="continue"/>
                  <w:tcBorders>
                    <w:top w:val="single" w:color="auto" w:sz="4" w:space="0"/>
                    <w:left w:val="single" w:color="auto" w:sz="4" w:space="0"/>
                    <w:bottom w:val="single" w:color="auto" w:sz="4" w:space="0"/>
                    <w:right w:val="single" w:color="auto" w:sz="4" w:space="0"/>
                  </w:tcBorders>
                  <w:vAlign w:val="center"/>
                </w:tcPr>
                <w:p w14:paraId="48E0E7FB">
                  <w:pPr>
                    <w:jc w:val="left"/>
                    <w:rPr>
                      <w:color w:val="auto"/>
                      <w:sz w:val="22"/>
                      <w:szCs w:val="22"/>
                    </w:rPr>
                  </w:pPr>
                </w:p>
              </w:tc>
            </w:tr>
            <w:tr w14:paraId="2AEA8F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275" w:type="dxa"/>
                  <w:vMerge w:val="restart"/>
                  <w:tcBorders>
                    <w:top w:val="single" w:color="auto" w:sz="4" w:space="0"/>
                    <w:left w:val="single" w:color="auto" w:sz="4" w:space="0"/>
                    <w:bottom w:val="single" w:color="auto" w:sz="4" w:space="0"/>
                    <w:right w:val="single" w:color="auto" w:sz="4" w:space="0"/>
                  </w:tcBorders>
                  <w:vAlign w:val="center"/>
                </w:tcPr>
                <w:p w14:paraId="4F9864E2">
                  <w:pPr>
                    <w:snapToGrid w:val="0"/>
                    <w:jc w:val="center"/>
                    <w:rPr>
                      <w:color w:val="auto"/>
                      <w:sz w:val="22"/>
                      <w:szCs w:val="22"/>
                    </w:rPr>
                  </w:pPr>
                  <w:r>
                    <w:rPr>
                      <w:rFonts w:hint="eastAsia"/>
                      <w:color w:val="auto"/>
                      <w:sz w:val="22"/>
                      <w:szCs w:val="22"/>
                    </w:rPr>
                    <w:t>《电磁环境控制限值》（</w:t>
                  </w:r>
                  <w:r>
                    <w:rPr>
                      <w:color w:val="auto"/>
                      <w:sz w:val="22"/>
                      <w:szCs w:val="22"/>
                    </w:rPr>
                    <w:t>GB8702-2014</w:t>
                  </w:r>
                  <w:r>
                    <w:rPr>
                      <w:rFonts w:hint="eastAsia"/>
                      <w:color w:val="auto"/>
                      <w:sz w:val="22"/>
                      <w:szCs w:val="22"/>
                    </w:rPr>
                    <w:t>）</w:t>
                  </w:r>
                </w:p>
              </w:tc>
              <w:tc>
                <w:tcPr>
                  <w:tcW w:w="794" w:type="dxa"/>
                  <w:vMerge w:val="restart"/>
                  <w:tcBorders>
                    <w:top w:val="single" w:color="auto" w:sz="4" w:space="0"/>
                    <w:left w:val="single" w:color="auto" w:sz="4" w:space="0"/>
                    <w:bottom w:val="single" w:color="auto" w:sz="4" w:space="0"/>
                    <w:right w:val="single" w:color="auto" w:sz="4" w:space="0"/>
                  </w:tcBorders>
                  <w:vAlign w:val="center"/>
                </w:tcPr>
                <w:p w14:paraId="778E65BB">
                  <w:pPr>
                    <w:snapToGrid w:val="0"/>
                    <w:jc w:val="center"/>
                    <w:rPr>
                      <w:color w:val="auto"/>
                      <w:sz w:val="22"/>
                      <w:szCs w:val="22"/>
                    </w:rPr>
                  </w:pPr>
                  <w:r>
                    <w:rPr>
                      <w:color w:val="auto"/>
                      <w:sz w:val="22"/>
                      <w:szCs w:val="22"/>
                    </w:rPr>
                    <w:t>50Hz</w:t>
                  </w:r>
                </w:p>
              </w:tc>
              <w:tc>
                <w:tcPr>
                  <w:tcW w:w="1757" w:type="dxa"/>
                  <w:tcBorders>
                    <w:top w:val="single" w:color="auto" w:sz="4" w:space="0"/>
                    <w:left w:val="single" w:color="auto" w:sz="4" w:space="0"/>
                    <w:bottom w:val="single" w:color="auto" w:sz="4" w:space="0"/>
                    <w:right w:val="single" w:color="auto" w:sz="4" w:space="0"/>
                  </w:tcBorders>
                  <w:vAlign w:val="center"/>
                </w:tcPr>
                <w:p w14:paraId="2448FA52">
                  <w:pPr>
                    <w:snapToGrid w:val="0"/>
                    <w:jc w:val="center"/>
                    <w:rPr>
                      <w:color w:val="auto"/>
                      <w:sz w:val="22"/>
                      <w:szCs w:val="22"/>
                    </w:rPr>
                  </w:pPr>
                  <w:r>
                    <w:rPr>
                      <w:rFonts w:hint="eastAsia"/>
                      <w:color w:val="auto"/>
                      <w:sz w:val="22"/>
                      <w:szCs w:val="22"/>
                    </w:rPr>
                    <w:t>工频电场强度</w:t>
                  </w:r>
                </w:p>
              </w:tc>
              <w:tc>
                <w:tcPr>
                  <w:tcW w:w="1116" w:type="dxa"/>
                  <w:tcBorders>
                    <w:top w:val="single" w:color="auto" w:sz="4" w:space="0"/>
                    <w:left w:val="single" w:color="auto" w:sz="4" w:space="0"/>
                    <w:bottom w:val="single" w:color="auto" w:sz="4" w:space="0"/>
                    <w:right w:val="single" w:color="auto" w:sz="4" w:space="0"/>
                  </w:tcBorders>
                  <w:vAlign w:val="center"/>
                </w:tcPr>
                <w:p w14:paraId="53F74739">
                  <w:pPr>
                    <w:snapToGrid w:val="0"/>
                    <w:jc w:val="center"/>
                    <w:rPr>
                      <w:color w:val="auto"/>
                      <w:sz w:val="22"/>
                      <w:szCs w:val="22"/>
                    </w:rPr>
                  </w:pPr>
                  <w:r>
                    <w:rPr>
                      <w:color w:val="auto"/>
                      <w:sz w:val="22"/>
                      <w:szCs w:val="22"/>
                    </w:rPr>
                    <w:t>4000V/m</w:t>
                  </w:r>
                </w:p>
              </w:tc>
              <w:tc>
                <w:tcPr>
                  <w:tcW w:w="2844" w:type="dxa"/>
                  <w:vMerge w:val="restart"/>
                  <w:tcBorders>
                    <w:top w:val="single" w:color="auto" w:sz="4" w:space="0"/>
                    <w:left w:val="single" w:color="auto" w:sz="4" w:space="0"/>
                    <w:bottom w:val="single" w:color="auto" w:sz="4" w:space="0"/>
                    <w:right w:val="single" w:color="auto" w:sz="4" w:space="0"/>
                  </w:tcBorders>
                  <w:vAlign w:val="center"/>
                </w:tcPr>
                <w:p w14:paraId="6BD1834C">
                  <w:pPr>
                    <w:snapToGrid w:val="0"/>
                    <w:jc w:val="center"/>
                    <w:rPr>
                      <w:color w:val="auto"/>
                      <w:sz w:val="22"/>
                      <w:szCs w:val="22"/>
                    </w:rPr>
                  </w:pPr>
                  <w:r>
                    <w:rPr>
                      <w:rFonts w:hint="eastAsia"/>
                      <w:color w:val="auto"/>
                      <w:sz w:val="22"/>
                      <w:szCs w:val="22"/>
                    </w:rPr>
                    <w:t>电磁评价范围内公众曝露控制限值</w:t>
                  </w:r>
                </w:p>
              </w:tc>
            </w:tr>
            <w:tr w14:paraId="374F2E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275" w:type="dxa"/>
                  <w:vMerge w:val="continue"/>
                  <w:tcBorders>
                    <w:top w:val="single" w:color="auto" w:sz="4" w:space="0"/>
                    <w:left w:val="single" w:color="auto" w:sz="4" w:space="0"/>
                    <w:bottom w:val="single" w:color="auto" w:sz="4" w:space="0"/>
                    <w:right w:val="single" w:color="auto" w:sz="4" w:space="0"/>
                  </w:tcBorders>
                  <w:vAlign w:val="center"/>
                </w:tcPr>
                <w:p w14:paraId="4A7AA61B">
                  <w:pPr>
                    <w:jc w:val="left"/>
                    <w:rPr>
                      <w:color w:val="auto"/>
                      <w:sz w:val="22"/>
                      <w:szCs w:val="22"/>
                    </w:rPr>
                  </w:pPr>
                </w:p>
              </w:tc>
              <w:tc>
                <w:tcPr>
                  <w:tcW w:w="794" w:type="dxa"/>
                  <w:vMerge w:val="continue"/>
                  <w:tcBorders>
                    <w:top w:val="single" w:color="auto" w:sz="4" w:space="0"/>
                    <w:left w:val="single" w:color="auto" w:sz="4" w:space="0"/>
                    <w:bottom w:val="single" w:color="auto" w:sz="4" w:space="0"/>
                    <w:right w:val="single" w:color="auto" w:sz="4" w:space="0"/>
                  </w:tcBorders>
                  <w:vAlign w:val="center"/>
                </w:tcPr>
                <w:p w14:paraId="6291AC5D">
                  <w:pPr>
                    <w:jc w:val="left"/>
                    <w:rPr>
                      <w:color w:val="auto"/>
                      <w:sz w:val="22"/>
                      <w:szCs w:val="22"/>
                    </w:rPr>
                  </w:pPr>
                </w:p>
              </w:tc>
              <w:tc>
                <w:tcPr>
                  <w:tcW w:w="1757" w:type="dxa"/>
                  <w:tcBorders>
                    <w:top w:val="single" w:color="auto" w:sz="4" w:space="0"/>
                    <w:left w:val="single" w:color="auto" w:sz="4" w:space="0"/>
                    <w:bottom w:val="single" w:color="auto" w:sz="4" w:space="0"/>
                    <w:right w:val="single" w:color="auto" w:sz="4" w:space="0"/>
                  </w:tcBorders>
                  <w:vAlign w:val="center"/>
                </w:tcPr>
                <w:p w14:paraId="03227996">
                  <w:pPr>
                    <w:snapToGrid w:val="0"/>
                    <w:jc w:val="center"/>
                    <w:rPr>
                      <w:color w:val="auto"/>
                      <w:w w:val="85"/>
                      <w:sz w:val="22"/>
                      <w:szCs w:val="22"/>
                    </w:rPr>
                  </w:pPr>
                  <w:r>
                    <w:rPr>
                      <w:rFonts w:hint="eastAsia"/>
                      <w:color w:val="auto"/>
                      <w:sz w:val="22"/>
                      <w:szCs w:val="22"/>
                    </w:rPr>
                    <w:t>工频磁感应强度</w:t>
                  </w:r>
                </w:p>
              </w:tc>
              <w:tc>
                <w:tcPr>
                  <w:tcW w:w="1116" w:type="dxa"/>
                  <w:tcBorders>
                    <w:top w:val="single" w:color="auto" w:sz="4" w:space="0"/>
                    <w:left w:val="single" w:color="auto" w:sz="4" w:space="0"/>
                    <w:bottom w:val="single" w:color="auto" w:sz="4" w:space="0"/>
                    <w:right w:val="single" w:color="auto" w:sz="4" w:space="0"/>
                  </w:tcBorders>
                  <w:vAlign w:val="center"/>
                </w:tcPr>
                <w:p w14:paraId="358E8FE1">
                  <w:pPr>
                    <w:snapToGrid w:val="0"/>
                    <w:jc w:val="center"/>
                    <w:rPr>
                      <w:color w:val="auto"/>
                      <w:sz w:val="22"/>
                      <w:szCs w:val="22"/>
                    </w:rPr>
                  </w:pPr>
                  <w:r>
                    <w:rPr>
                      <w:color w:val="auto"/>
                      <w:sz w:val="22"/>
                      <w:szCs w:val="22"/>
                    </w:rPr>
                    <w:t>100μT</w:t>
                  </w:r>
                </w:p>
              </w:tc>
              <w:tc>
                <w:tcPr>
                  <w:tcW w:w="2844" w:type="dxa"/>
                  <w:vMerge w:val="continue"/>
                  <w:tcBorders>
                    <w:top w:val="single" w:color="auto" w:sz="4" w:space="0"/>
                    <w:left w:val="single" w:color="auto" w:sz="4" w:space="0"/>
                    <w:bottom w:val="single" w:color="auto" w:sz="4" w:space="0"/>
                    <w:right w:val="single" w:color="auto" w:sz="4" w:space="0"/>
                  </w:tcBorders>
                  <w:vAlign w:val="center"/>
                </w:tcPr>
                <w:p w14:paraId="4DCDA959">
                  <w:pPr>
                    <w:jc w:val="center"/>
                    <w:rPr>
                      <w:color w:val="auto"/>
                      <w:sz w:val="22"/>
                      <w:szCs w:val="22"/>
                    </w:rPr>
                  </w:pPr>
                </w:p>
              </w:tc>
            </w:tr>
            <w:tr w14:paraId="09E7EE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275" w:type="dxa"/>
                  <w:vMerge w:val="continue"/>
                  <w:tcBorders>
                    <w:top w:val="single" w:color="auto" w:sz="4" w:space="0"/>
                    <w:left w:val="single" w:color="auto" w:sz="4" w:space="0"/>
                    <w:bottom w:val="single" w:color="auto" w:sz="4" w:space="0"/>
                    <w:right w:val="single" w:color="auto" w:sz="4" w:space="0"/>
                  </w:tcBorders>
                  <w:vAlign w:val="center"/>
                </w:tcPr>
                <w:p w14:paraId="4FD0C382">
                  <w:pPr>
                    <w:jc w:val="left"/>
                    <w:rPr>
                      <w:color w:val="auto"/>
                      <w:sz w:val="22"/>
                      <w:szCs w:val="22"/>
                    </w:rPr>
                  </w:pPr>
                </w:p>
              </w:tc>
              <w:tc>
                <w:tcPr>
                  <w:tcW w:w="794" w:type="dxa"/>
                  <w:vMerge w:val="continue"/>
                  <w:tcBorders>
                    <w:top w:val="single" w:color="auto" w:sz="4" w:space="0"/>
                    <w:left w:val="single" w:color="auto" w:sz="4" w:space="0"/>
                    <w:bottom w:val="single" w:color="auto" w:sz="4" w:space="0"/>
                    <w:right w:val="single" w:color="auto" w:sz="4" w:space="0"/>
                  </w:tcBorders>
                  <w:vAlign w:val="center"/>
                </w:tcPr>
                <w:p w14:paraId="49870382">
                  <w:pPr>
                    <w:jc w:val="left"/>
                    <w:rPr>
                      <w:color w:val="auto"/>
                      <w:sz w:val="22"/>
                      <w:szCs w:val="22"/>
                    </w:rPr>
                  </w:pPr>
                </w:p>
              </w:tc>
              <w:tc>
                <w:tcPr>
                  <w:tcW w:w="1757" w:type="dxa"/>
                  <w:tcBorders>
                    <w:top w:val="single" w:color="auto" w:sz="4" w:space="0"/>
                    <w:left w:val="single" w:color="auto" w:sz="4" w:space="0"/>
                    <w:bottom w:val="single" w:color="auto" w:sz="4" w:space="0"/>
                    <w:right w:val="single" w:color="auto" w:sz="4" w:space="0"/>
                  </w:tcBorders>
                  <w:vAlign w:val="center"/>
                </w:tcPr>
                <w:p w14:paraId="062BCE96">
                  <w:pPr>
                    <w:snapToGrid w:val="0"/>
                    <w:jc w:val="center"/>
                    <w:rPr>
                      <w:color w:val="auto"/>
                      <w:sz w:val="22"/>
                      <w:szCs w:val="22"/>
                    </w:rPr>
                  </w:pPr>
                  <w:r>
                    <w:rPr>
                      <w:rFonts w:hint="eastAsia"/>
                      <w:color w:val="auto"/>
                      <w:sz w:val="22"/>
                      <w:szCs w:val="22"/>
                    </w:rPr>
                    <w:t>工频电场强度</w:t>
                  </w:r>
                </w:p>
              </w:tc>
              <w:tc>
                <w:tcPr>
                  <w:tcW w:w="1116" w:type="dxa"/>
                  <w:tcBorders>
                    <w:top w:val="single" w:color="auto" w:sz="4" w:space="0"/>
                    <w:left w:val="single" w:color="auto" w:sz="4" w:space="0"/>
                    <w:bottom w:val="single" w:color="auto" w:sz="4" w:space="0"/>
                    <w:right w:val="single" w:color="auto" w:sz="4" w:space="0"/>
                  </w:tcBorders>
                  <w:vAlign w:val="center"/>
                </w:tcPr>
                <w:p w14:paraId="2385FA1A">
                  <w:pPr>
                    <w:snapToGrid w:val="0"/>
                    <w:jc w:val="center"/>
                    <w:rPr>
                      <w:color w:val="auto"/>
                      <w:sz w:val="22"/>
                      <w:szCs w:val="22"/>
                    </w:rPr>
                  </w:pPr>
                  <w:r>
                    <w:rPr>
                      <w:color w:val="auto"/>
                      <w:sz w:val="22"/>
                      <w:szCs w:val="22"/>
                    </w:rPr>
                    <w:t>10kV/m</w:t>
                  </w:r>
                </w:p>
              </w:tc>
              <w:tc>
                <w:tcPr>
                  <w:tcW w:w="2844" w:type="dxa"/>
                  <w:tcBorders>
                    <w:top w:val="single" w:color="auto" w:sz="4" w:space="0"/>
                    <w:left w:val="single" w:color="auto" w:sz="4" w:space="0"/>
                    <w:bottom w:val="single" w:color="auto" w:sz="4" w:space="0"/>
                    <w:right w:val="single" w:color="auto" w:sz="4" w:space="0"/>
                  </w:tcBorders>
                  <w:vAlign w:val="center"/>
                </w:tcPr>
                <w:p w14:paraId="7379A38D">
                  <w:pPr>
                    <w:snapToGrid w:val="0"/>
                    <w:jc w:val="center"/>
                    <w:rPr>
                      <w:color w:val="auto"/>
                      <w:sz w:val="22"/>
                      <w:szCs w:val="22"/>
                    </w:rPr>
                  </w:pPr>
                  <w:r>
                    <w:rPr>
                      <w:rFonts w:hint="eastAsia"/>
                      <w:color w:val="auto"/>
                      <w:sz w:val="22"/>
                      <w:szCs w:val="22"/>
                    </w:rPr>
                    <w:t>架空线路线下的耕地、园地、牧草地、畜禽饲养地、养殖水面、道路等场所的电磁环境</w:t>
                  </w:r>
                </w:p>
              </w:tc>
            </w:tr>
          </w:tbl>
          <w:p w14:paraId="566CCC7E">
            <w:pPr>
              <w:snapToGrid w:val="0"/>
              <w:rPr>
                <w:color w:val="auto"/>
              </w:rPr>
            </w:pPr>
          </w:p>
          <w:p w14:paraId="49F62A9F">
            <w:pPr>
              <w:spacing w:line="460" w:lineRule="exact"/>
              <w:rPr>
                <w:b/>
                <w:bCs/>
                <w:color w:val="auto"/>
                <w:sz w:val="26"/>
                <w:szCs w:val="26"/>
              </w:rPr>
            </w:pPr>
            <w:r>
              <w:rPr>
                <w:b/>
                <w:bCs/>
                <w:color w:val="auto"/>
                <w:sz w:val="26"/>
                <w:szCs w:val="26"/>
              </w:rPr>
              <w:t>3</w:t>
            </w:r>
            <w:r>
              <w:rPr>
                <w:rFonts w:hint="eastAsia"/>
                <w:b/>
                <w:bCs/>
                <w:color w:val="auto"/>
                <w:sz w:val="26"/>
                <w:szCs w:val="26"/>
              </w:rPr>
              <w:t>.</w:t>
            </w:r>
            <w:r>
              <w:rPr>
                <w:b/>
                <w:bCs/>
                <w:color w:val="auto"/>
                <w:sz w:val="26"/>
                <w:szCs w:val="26"/>
              </w:rPr>
              <w:t>7</w:t>
            </w:r>
            <w:r>
              <w:rPr>
                <w:rFonts w:hint="eastAsia"/>
                <w:b/>
                <w:bCs/>
                <w:color w:val="auto"/>
                <w:sz w:val="26"/>
                <w:szCs w:val="26"/>
              </w:rPr>
              <w:t>污染物排放标准</w:t>
            </w:r>
          </w:p>
          <w:p w14:paraId="70341AB4">
            <w:pPr>
              <w:spacing w:line="460" w:lineRule="exact"/>
              <w:ind w:firstLine="520" w:firstLineChars="200"/>
              <w:rPr>
                <w:color w:val="auto"/>
                <w:sz w:val="26"/>
                <w:szCs w:val="26"/>
              </w:rPr>
            </w:pPr>
            <w:r>
              <w:rPr>
                <w:rFonts w:hint="eastAsia"/>
                <w:color w:val="auto"/>
                <w:sz w:val="26"/>
                <w:szCs w:val="26"/>
              </w:rPr>
              <w:t>工程施工期执行《建筑施工场界环境噪声排放标准》（</w:t>
            </w:r>
            <w:r>
              <w:rPr>
                <w:color w:val="auto"/>
                <w:sz w:val="26"/>
                <w:szCs w:val="26"/>
              </w:rPr>
              <w:t>GB12523-2011</w:t>
            </w:r>
            <w:r>
              <w:rPr>
                <w:rFonts w:hint="eastAsia"/>
                <w:color w:val="auto"/>
                <w:sz w:val="26"/>
                <w:szCs w:val="26"/>
              </w:rPr>
              <w:t>）。标准值见表3-5。</w:t>
            </w:r>
          </w:p>
          <w:p w14:paraId="180A641D">
            <w:pPr>
              <w:rPr>
                <w:color w:val="auto"/>
              </w:rPr>
            </w:pPr>
          </w:p>
          <w:p w14:paraId="53EA1C01">
            <w:pPr>
              <w:jc w:val="center"/>
              <w:rPr>
                <w:color w:val="auto"/>
                <w:sz w:val="26"/>
                <w:szCs w:val="26"/>
              </w:rPr>
            </w:pPr>
            <w:r>
              <w:rPr>
                <w:rFonts w:hint="eastAsia"/>
                <w:color w:val="auto"/>
                <w:sz w:val="26"/>
                <w:szCs w:val="26"/>
              </w:rPr>
              <w:t>表3-5</w:t>
            </w:r>
            <w:r>
              <w:rPr>
                <w:color w:val="auto"/>
                <w:sz w:val="26"/>
                <w:szCs w:val="26"/>
              </w:rPr>
              <w:t xml:space="preserve">  </w:t>
            </w:r>
            <w:r>
              <w:rPr>
                <w:rFonts w:hint="eastAsia"/>
                <w:color w:val="auto"/>
                <w:sz w:val="26"/>
                <w:szCs w:val="26"/>
              </w:rPr>
              <w:t>建筑施工场界环境噪声排放限值</w:t>
            </w:r>
            <w:r>
              <w:rPr>
                <w:color w:val="auto"/>
                <w:sz w:val="26"/>
                <w:szCs w:val="26"/>
              </w:rPr>
              <w:t xml:space="preserve">  </w:t>
            </w:r>
            <w:r>
              <w:rPr>
                <w:rFonts w:hint="eastAsia"/>
                <w:color w:val="auto"/>
                <w:sz w:val="26"/>
                <w:szCs w:val="26"/>
              </w:rPr>
              <w:t>单位：</w:t>
            </w:r>
            <w:r>
              <w:rPr>
                <w:color w:val="auto"/>
                <w:sz w:val="26"/>
                <w:szCs w:val="26"/>
              </w:rPr>
              <w:t>dB(A)</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12"/>
              <w:gridCol w:w="4015"/>
            </w:tblGrid>
            <w:tr w14:paraId="50276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887" w:type="dxa"/>
                  <w:vAlign w:val="center"/>
                </w:tcPr>
                <w:p w14:paraId="23968FCF">
                  <w:pPr>
                    <w:jc w:val="center"/>
                    <w:rPr>
                      <w:color w:val="auto"/>
                      <w:sz w:val="22"/>
                      <w:szCs w:val="22"/>
                    </w:rPr>
                  </w:pPr>
                  <w:r>
                    <w:rPr>
                      <w:rFonts w:hint="eastAsia"/>
                      <w:color w:val="auto"/>
                      <w:sz w:val="22"/>
                      <w:szCs w:val="22"/>
                    </w:rPr>
                    <w:t>昼间</w:t>
                  </w:r>
                </w:p>
              </w:tc>
              <w:tc>
                <w:tcPr>
                  <w:tcW w:w="3889" w:type="dxa"/>
                  <w:vAlign w:val="center"/>
                </w:tcPr>
                <w:p w14:paraId="58E22557">
                  <w:pPr>
                    <w:jc w:val="center"/>
                    <w:rPr>
                      <w:color w:val="auto"/>
                      <w:sz w:val="22"/>
                      <w:szCs w:val="22"/>
                    </w:rPr>
                  </w:pPr>
                  <w:r>
                    <w:rPr>
                      <w:rFonts w:hint="eastAsia"/>
                      <w:color w:val="auto"/>
                      <w:sz w:val="22"/>
                      <w:szCs w:val="22"/>
                    </w:rPr>
                    <w:t>夜间</w:t>
                  </w:r>
                </w:p>
              </w:tc>
            </w:tr>
            <w:tr w14:paraId="2702D2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887" w:type="dxa"/>
                  <w:vAlign w:val="center"/>
                </w:tcPr>
                <w:p w14:paraId="580F82ED">
                  <w:pPr>
                    <w:jc w:val="center"/>
                    <w:rPr>
                      <w:color w:val="auto"/>
                      <w:sz w:val="22"/>
                      <w:szCs w:val="22"/>
                    </w:rPr>
                  </w:pPr>
                  <w:r>
                    <w:rPr>
                      <w:color w:val="auto"/>
                      <w:sz w:val="22"/>
                      <w:szCs w:val="22"/>
                    </w:rPr>
                    <w:t>70</w:t>
                  </w:r>
                </w:p>
              </w:tc>
              <w:tc>
                <w:tcPr>
                  <w:tcW w:w="3889" w:type="dxa"/>
                  <w:vAlign w:val="center"/>
                </w:tcPr>
                <w:p w14:paraId="215CB3C2">
                  <w:pPr>
                    <w:jc w:val="center"/>
                    <w:rPr>
                      <w:color w:val="auto"/>
                      <w:sz w:val="22"/>
                      <w:szCs w:val="22"/>
                    </w:rPr>
                  </w:pPr>
                  <w:r>
                    <w:rPr>
                      <w:color w:val="auto"/>
                      <w:sz w:val="22"/>
                      <w:szCs w:val="22"/>
                    </w:rPr>
                    <w:t>55</w:t>
                  </w:r>
                </w:p>
              </w:tc>
            </w:tr>
          </w:tbl>
          <w:p w14:paraId="422549B2">
            <w:pPr>
              <w:jc w:val="center"/>
              <w:rPr>
                <w:rFonts w:hint="eastAsia"/>
                <w:color w:val="auto"/>
                <w:sz w:val="26"/>
                <w:szCs w:val="26"/>
              </w:rPr>
            </w:pPr>
          </w:p>
          <w:p w14:paraId="18CC8045">
            <w:pPr>
              <w:spacing w:line="460" w:lineRule="exact"/>
              <w:ind w:firstLine="520" w:firstLineChars="200"/>
              <w:rPr>
                <w:rFonts w:hint="eastAsia" w:eastAsia="宋体"/>
                <w:color w:val="auto"/>
                <w:sz w:val="26"/>
                <w:szCs w:val="26"/>
                <w:lang w:val="en-US" w:eastAsia="zh-CN"/>
              </w:rPr>
            </w:pPr>
            <w:r>
              <w:rPr>
                <w:rFonts w:hint="eastAsia"/>
                <w:color w:val="auto"/>
                <w:sz w:val="26"/>
                <w:szCs w:val="26"/>
                <w:lang w:val="en-US" w:eastAsia="zh-CN"/>
              </w:rPr>
              <w:t>220kV铁甲变电站间隔扩建一侧执行</w:t>
            </w:r>
            <w:r>
              <w:rPr>
                <w:rFonts w:hint="eastAsia"/>
                <w:color w:val="auto"/>
                <w:sz w:val="26"/>
                <w:szCs w:val="26"/>
                <w:highlight w:val="none"/>
              </w:rPr>
              <w:t>《工业企业厂界环境噪声排放标准》（GB1234-2008）</w:t>
            </w:r>
            <w:r>
              <w:rPr>
                <w:rFonts w:hint="eastAsia"/>
                <w:color w:val="auto"/>
                <w:sz w:val="26"/>
                <w:szCs w:val="26"/>
                <w:highlight w:val="none"/>
                <w:lang w:val="en-US" w:eastAsia="zh-CN"/>
              </w:rPr>
              <w:t>2</w:t>
            </w:r>
            <w:r>
              <w:rPr>
                <w:rFonts w:hint="eastAsia"/>
                <w:color w:val="auto"/>
                <w:sz w:val="26"/>
                <w:szCs w:val="26"/>
                <w:highlight w:val="none"/>
              </w:rPr>
              <w:t>类标准</w:t>
            </w:r>
            <w:r>
              <w:rPr>
                <w:rFonts w:hint="eastAsia"/>
                <w:color w:val="auto"/>
                <w:sz w:val="26"/>
                <w:szCs w:val="26"/>
                <w:highlight w:val="none"/>
                <w:lang w:eastAsia="zh-CN"/>
              </w:rPr>
              <w:t>。</w:t>
            </w:r>
            <w:r>
              <w:rPr>
                <w:rFonts w:hint="eastAsia"/>
                <w:color w:val="auto"/>
                <w:sz w:val="26"/>
                <w:szCs w:val="26"/>
              </w:rPr>
              <w:t>标准值见表3-</w:t>
            </w:r>
            <w:r>
              <w:rPr>
                <w:rFonts w:hint="eastAsia"/>
                <w:color w:val="auto"/>
                <w:sz w:val="26"/>
                <w:szCs w:val="26"/>
                <w:lang w:val="en-US" w:eastAsia="zh-CN"/>
              </w:rPr>
              <w:t>6</w:t>
            </w:r>
            <w:r>
              <w:rPr>
                <w:rFonts w:hint="eastAsia"/>
                <w:color w:val="auto"/>
                <w:sz w:val="26"/>
                <w:szCs w:val="26"/>
              </w:rPr>
              <w:t>。</w:t>
            </w:r>
          </w:p>
          <w:p w14:paraId="7EBE0AEB">
            <w:pPr>
              <w:jc w:val="center"/>
              <w:rPr>
                <w:rFonts w:hint="eastAsia"/>
                <w:color w:val="auto"/>
                <w:sz w:val="26"/>
                <w:szCs w:val="26"/>
              </w:rPr>
            </w:pPr>
          </w:p>
          <w:p w14:paraId="342DC2A7">
            <w:pPr>
              <w:jc w:val="center"/>
              <w:rPr>
                <w:color w:val="auto"/>
                <w:sz w:val="26"/>
                <w:szCs w:val="26"/>
                <w:highlight w:val="none"/>
              </w:rPr>
            </w:pPr>
            <w:r>
              <w:rPr>
                <w:rFonts w:hint="eastAsia"/>
                <w:color w:val="auto"/>
                <w:sz w:val="26"/>
                <w:szCs w:val="26"/>
                <w:highlight w:val="none"/>
              </w:rPr>
              <w:t>表3-</w:t>
            </w:r>
            <w:r>
              <w:rPr>
                <w:rFonts w:hint="eastAsia"/>
                <w:color w:val="auto"/>
                <w:sz w:val="26"/>
                <w:szCs w:val="26"/>
                <w:highlight w:val="none"/>
                <w:lang w:val="en-US" w:eastAsia="zh-CN"/>
              </w:rPr>
              <w:t>6</w:t>
            </w:r>
            <w:r>
              <w:rPr>
                <w:color w:val="auto"/>
                <w:sz w:val="26"/>
                <w:szCs w:val="26"/>
                <w:highlight w:val="none"/>
              </w:rPr>
              <w:t xml:space="preserve">  </w:t>
            </w:r>
            <w:r>
              <w:rPr>
                <w:rFonts w:hint="eastAsia"/>
                <w:color w:val="auto"/>
                <w:sz w:val="26"/>
                <w:szCs w:val="26"/>
                <w:highlight w:val="none"/>
                <w:lang w:val="en-US" w:eastAsia="zh-CN"/>
              </w:rPr>
              <w:t>厂</w:t>
            </w:r>
            <w:r>
              <w:rPr>
                <w:rFonts w:hint="eastAsia"/>
                <w:color w:val="auto"/>
                <w:sz w:val="26"/>
                <w:szCs w:val="26"/>
                <w:highlight w:val="none"/>
              </w:rPr>
              <w:t>界环境噪声排放限值</w:t>
            </w:r>
            <w:r>
              <w:rPr>
                <w:color w:val="auto"/>
                <w:sz w:val="26"/>
                <w:szCs w:val="26"/>
                <w:highlight w:val="none"/>
              </w:rPr>
              <w:t xml:space="preserve">  </w:t>
            </w:r>
            <w:r>
              <w:rPr>
                <w:rFonts w:hint="eastAsia"/>
                <w:color w:val="auto"/>
                <w:sz w:val="26"/>
                <w:szCs w:val="26"/>
                <w:highlight w:val="none"/>
              </w:rPr>
              <w:t>单位：</w:t>
            </w:r>
            <w:r>
              <w:rPr>
                <w:color w:val="auto"/>
                <w:sz w:val="26"/>
                <w:szCs w:val="26"/>
                <w:highlight w:val="none"/>
              </w:rPr>
              <w:t>dB(A)</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12"/>
              <w:gridCol w:w="4015"/>
            </w:tblGrid>
            <w:tr w14:paraId="3CC994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887" w:type="dxa"/>
                  <w:vAlign w:val="center"/>
                </w:tcPr>
                <w:p w14:paraId="79294DC5">
                  <w:pPr>
                    <w:jc w:val="center"/>
                    <w:rPr>
                      <w:color w:val="auto"/>
                      <w:sz w:val="22"/>
                      <w:szCs w:val="22"/>
                      <w:highlight w:val="none"/>
                    </w:rPr>
                  </w:pPr>
                  <w:r>
                    <w:rPr>
                      <w:rFonts w:hint="eastAsia"/>
                      <w:color w:val="auto"/>
                      <w:sz w:val="22"/>
                      <w:szCs w:val="22"/>
                      <w:highlight w:val="none"/>
                    </w:rPr>
                    <w:t>昼间</w:t>
                  </w:r>
                </w:p>
              </w:tc>
              <w:tc>
                <w:tcPr>
                  <w:tcW w:w="3889" w:type="dxa"/>
                  <w:vAlign w:val="center"/>
                </w:tcPr>
                <w:p w14:paraId="5DDF6441">
                  <w:pPr>
                    <w:jc w:val="center"/>
                    <w:rPr>
                      <w:color w:val="auto"/>
                      <w:sz w:val="22"/>
                      <w:szCs w:val="22"/>
                      <w:highlight w:val="none"/>
                    </w:rPr>
                  </w:pPr>
                  <w:r>
                    <w:rPr>
                      <w:rFonts w:hint="eastAsia"/>
                      <w:color w:val="auto"/>
                      <w:sz w:val="22"/>
                      <w:szCs w:val="22"/>
                      <w:highlight w:val="none"/>
                    </w:rPr>
                    <w:t>夜间</w:t>
                  </w:r>
                </w:p>
              </w:tc>
            </w:tr>
            <w:tr w14:paraId="2D8BE7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887" w:type="dxa"/>
                  <w:vAlign w:val="center"/>
                </w:tcPr>
                <w:p w14:paraId="0C5F50BF">
                  <w:pPr>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60</w:t>
                  </w:r>
                </w:p>
              </w:tc>
              <w:tc>
                <w:tcPr>
                  <w:tcW w:w="3889" w:type="dxa"/>
                  <w:vAlign w:val="center"/>
                </w:tcPr>
                <w:p w14:paraId="150014FF">
                  <w:pPr>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50</w:t>
                  </w:r>
                </w:p>
              </w:tc>
            </w:tr>
          </w:tbl>
          <w:p w14:paraId="49BEFC66">
            <w:pPr>
              <w:pStyle w:val="8"/>
              <w:numPr>
                <w:ilvl w:val="0"/>
                <w:numId w:val="0"/>
              </w:numPr>
              <w:rPr>
                <w:color w:val="auto"/>
                <w:kern w:val="0"/>
                <w:szCs w:val="21"/>
              </w:rPr>
            </w:pPr>
          </w:p>
        </w:tc>
      </w:tr>
      <w:tr w14:paraId="2998D3C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40" w:hRule="atLeast"/>
          <w:jc w:val="center"/>
        </w:trPr>
        <w:tc>
          <w:tcPr>
            <w:tcW w:w="904" w:type="dxa"/>
            <w:vAlign w:val="center"/>
          </w:tcPr>
          <w:p w14:paraId="1F856C2D">
            <w:pPr>
              <w:adjustRightInd w:val="0"/>
              <w:snapToGrid w:val="0"/>
              <w:jc w:val="center"/>
              <w:rPr>
                <w:color w:val="auto"/>
                <w:kern w:val="0"/>
                <w:szCs w:val="21"/>
              </w:rPr>
            </w:pPr>
            <w:r>
              <w:rPr>
                <w:rFonts w:hint="eastAsia"/>
                <w:color w:val="auto"/>
                <w:kern w:val="0"/>
                <w:sz w:val="26"/>
                <w:szCs w:val="26"/>
              </w:rPr>
              <w:t>其他</w:t>
            </w:r>
          </w:p>
        </w:tc>
        <w:tc>
          <w:tcPr>
            <w:tcW w:w="8253" w:type="dxa"/>
            <w:vAlign w:val="center"/>
          </w:tcPr>
          <w:p w14:paraId="7F57EC72">
            <w:pPr>
              <w:adjustRightInd w:val="0"/>
              <w:snapToGrid w:val="0"/>
              <w:spacing w:line="460" w:lineRule="exact"/>
              <w:ind w:firstLine="520" w:firstLineChars="200"/>
              <w:rPr>
                <w:color w:val="auto"/>
                <w:kern w:val="0"/>
                <w:szCs w:val="21"/>
              </w:rPr>
            </w:pPr>
            <w:r>
              <w:rPr>
                <w:rFonts w:hint="eastAsia"/>
                <w:color w:val="auto"/>
                <w:kern w:val="0"/>
                <w:sz w:val="26"/>
                <w:szCs w:val="26"/>
              </w:rPr>
              <w:t>本项目为输变电项目，工程建成运行后其特征污染物主要为工频电场、工频磁场、噪声，均不属于总量控制指标。</w:t>
            </w:r>
          </w:p>
        </w:tc>
      </w:tr>
    </w:tbl>
    <w:p w14:paraId="0AB20BAD">
      <w:pPr>
        <w:pStyle w:val="21"/>
        <w:jc w:val="center"/>
        <w:outlineLvl w:val="0"/>
        <w:rPr>
          <w:rFonts w:ascii="Times New Roman" w:hAnsi="Times New Roman" w:eastAsia="黑体"/>
          <w:snapToGrid w:val="0"/>
          <w:color w:val="auto"/>
          <w:sz w:val="30"/>
          <w:szCs w:val="30"/>
        </w:rPr>
        <w:sectPr>
          <w:pgSz w:w="11906" w:h="16838"/>
          <w:pgMar w:top="1440" w:right="1800" w:bottom="1440" w:left="1800" w:header="851" w:footer="1077" w:gutter="0"/>
          <w:cols w:space="425" w:num="1"/>
          <w:docGrid w:linePitch="312" w:charSpace="0"/>
        </w:sectPr>
      </w:pPr>
    </w:p>
    <w:p w14:paraId="78B91DBE">
      <w:pPr>
        <w:pStyle w:val="21"/>
        <w:jc w:val="center"/>
        <w:outlineLvl w:val="0"/>
        <w:rPr>
          <w:rFonts w:ascii="Times New Roman" w:hAnsi="Times New Roman" w:eastAsia="黑体"/>
          <w:snapToGrid w:val="0"/>
          <w:color w:val="auto"/>
          <w:sz w:val="30"/>
          <w:szCs w:val="30"/>
        </w:rPr>
      </w:pPr>
      <w:bookmarkStart w:id="11" w:name="_Toc23422"/>
      <w:r>
        <w:rPr>
          <w:rFonts w:ascii="Times New Roman" w:hAnsi="Times New Roman" w:eastAsia="黑体"/>
          <w:snapToGrid w:val="0"/>
          <w:color w:val="auto"/>
          <w:sz w:val="30"/>
          <w:szCs w:val="30"/>
        </w:rPr>
        <w:t>四、生态环境影响分析</w:t>
      </w:r>
      <w:bookmarkEnd w:id="11"/>
    </w:p>
    <w:tbl>
      <w:tblPr>
        <w:tblStyle w:val="25"/>
        <w:tblW w:w="924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79"/>
        <w:gridCol w:w="8363"/>
      </w:tblGrid>
      <w:tr w14:paraId="3A0FC19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79" w:type="dxa"/>
            <w:tcMar>
              <w:left w:w="28" w:type="dxa"/>
              <w:right w:w="28" w:type="dxa"/>
            </w:tcMar>
            <w:vAlign w:val="center"/>
          </w:tcPr>
          <w:p w14:paraId="510478BA">
            <w:pPr>
              <w:pStyle w:val="21"/>
              <w:adjustRightInd w:val="0"/>
              <w:snapToGrid w:val="0"/>
              <w:spacing w:before="0" w:beforeAutospacing="0" w:after="0" w:afterAutospacing="0" w:line="460" w:lineRule="exact"/>
              <w:jc w:val="center"/>
              <w:rPr>
                <w:rFonts w:ascii="Times New Roman" w:hAnsi="Times New Roman"/>
                <w:bCs/>
                <w:color w:val="auto"/>
                <w:kern w:val="2"/>
                <w:sz w:val="21"/>
                <w:szCs w:val="21"/>
              </w:rPr>
            </w:pPr>
            <w:bookmarkStart w:id="12" w:name="_Hlk49796138"/>
            <w:r>
              <w:rPr>
                <w:rFonts w:ascii="Times New Roman" w:hAnsi="Times New Roman"/>
                <w:color w:val="auto"/>
                <w:sz w:val="26"/>
                <w:szCs w:val="26"/>
              </w:rPr>
              <w:t>施工期生态环境影响分析</w:t>
            </w:r>
            <w:bookmarkEnd w:id="12"/>
          </w:p>
        </w:tc>
        <w:tc>
          <w:tcPr>
            <w:tcW w:w="8363" w:type="dxa"/>
          </w:tcPr>
          <w:p w14:paraId="0420C34C">
            <w:pPr>
              <w:adjustRightInd w:val="0"/>
              <w:snapToGrid w:val="0"/>
              <w:spacing w:line="460" w:lineRule="exact"/>
              <w:jc w:val="left"/>
              <w:rPr>
                <w:b/>
                <w:bCs/>
                <w:color w:val="auto"/>
                <w:kern w:val="0"/>
                <w:sz w:val="26"/>
                <w:szCs w:val="26"/>
              </w:rPr>
            </w:pPr>
            <w:r>
              <w:rPr>
                <w:b/>
                <w:bCs/>
                <w:color w:val="auto"/>
                <w:sz w:val="26"/>
                <w:szCs w:val="26"/>
              </w:rPr>
              <w:t>4.1</w:t>
            </w:r>
            <w:r>
              <w:rPr>
                <w:rFonts w:hint="eastAsia"/>
                <w:b/>
                <w:bCs/>
                <w:color w:val="auto"/>
                <w:sz w:val="26"/>
                <w:szCs w:val="26"/>
              </w:rPr>
              <w:t>施工期主要污染工序及环节</w:t>
            </w:r>
          </w:p>
          <w:p w14:paraId="0E937469">
            <w:pPr>
              <w:adjustRightInd w:val="0"/>
              <w:snapToGrid w:val="0"/>
              <w:spacing w:line="460" w:lineRule="exact"/>
              <w:ind w:firstLine="520" w:firstLineChars="200"/>
              <w:rPr>
                <w:color w:val="auto"/>
                <w:sz w:val="26"/>
                <w:szCs w:val="26"/>
              </w:rPr>
            </w:pPr>
            <w:r>
              <w:rPr>
                <w:rFonts w:hint="eastAsia"/>
                <w:color w:val="auto"/>
                <w:sz w:val="26"/>
                <w:szCs w:val="26"/>
              </w:rPr>
              <w:t>（1）</w:t>
            </w:r>
            <w:r>
              <w:rPr>
                <w:rFonts w:hint="eastAsia"/>
                <w:bCs/>
                <w:color w:val="auto"/>
                <w:sz w:val="26"/>
                <w:szCs w:val="26"/>
              </w:rPr>
              <w:t>架空线路施工工艺及产污环节</w:t>
            </w:r>
          </w:p>
          <w:p w14:paraId="71FA5E5C">
            <w:pPr>
              <w:spacing w:line="360" w:lineRule="auto"/>
              <w:ind w:firstLine="420" w:firstLineChars="200"/>
              <w:rPr>
                <w:bCs/>
                <w:color w:val="auto"/>
              </w:rPr>
            </w:pPr>
          </w:p>
          <w:p w14:paraId="7C7CC29E">
            <w:pPr>
              <w:spacing w:line="360" w:lineRule="auto"/>
              <w:ind w:firstLine="420" w:firstLineChars="200"/>
              <w:rPr>
                <w:bCs/>
                <w:color w:val="auto"/>
              </w:rPr>
            </w:pPr>
            <w:r>
              <w:rPr>
                <w:color w:val="auto"/>
              </w:rPr>
              <mc:AlternateContent>
                <mc:Choice Requires="wps">
                  <w:drawing>
                    <wp:anchor distT="0" distB="0" distL="114300" distR="114300" simplePos="0" relativeHeight="251705344" behindDoc="0" locked="0" layoutInCell="1" allowOverlap="1">
                      <wp:simplePos x="0" y="0"/>
                      <wp:positionH relativeFrom="column">
                        <wp:posOffset>3801745</wp:posOffset>
                      </wp:positionH>
                      <wp:positionV relativeFrom="paragraph">
                        <wp:posOffset>163195</wp:posOffset>
                      </wp:positionV>
                      <wp:extent cx="744220" cy="289560"/>
                      <wp:effectExtent l="0" t="0" r="0" b="0"/>
                      <wp:wrapNone/>
                      <wp:docPr id="58" name="文本框 58"/>
                      <wp:cNvGraphicFramePr/>
                      <a:graphic xmlns:a="http://schemas.openxmlformats.org/drawingml/2006/main">
                        <a:graphicData uri="http://schemas.microsoft.com/office/word/2010/wordprocessingShape">
                          <wps:wsp>
                            <wps:cNvSpPr txBox="1"/>
                            <wps:spPr>
                              <a:xfrm>
                                <a:off x="0" y="0"/>
                                <a:ext cx="744220" cy="289560"/>
                              </a:xfrm>
                              <a:prstGeom prst="rect">
                                <a:avLst/>
                              </a:prstGeom>
                              <a:noFill/>
                              <a:ln>
                                <a:noFill/>
                              </a:ln>
                            </wps:spPr>
                            <wps:txbx>
                              <w:txbxContent>
                                <w:p w14:paraId="39B842DD">
                                  <w:pPr>
                                    <w:jc w:val="center"/>
                                  </w:pPr>
                                  <w:r>
                                    <w:rPr>
                                      <w:rFonts w:hint="eastAsia"/>
                                    </w:rPr>
                                    <w:t>营运期</w:t>
                                  </w:r>
                                </w:p>
                              </w:txbxContent>
                            </wps:txbx>
                            <wps:bodyPr lIns="91439" tIns="45720" rIns="91439" bIns="45720" upright="1"/>
                          </wps:wsp>
                        </a:graphicData>
                      </a:graphic>
                    </wp:anchor>
                  </w:drawing>
                </mc:Choice>
                <mc:Fallback>
                  <w:pict>
                    <v:shape id="_x0000_s1026" o:spid="_x0000_s1026" o:spt="202" type="#_x0000_t202" style="position:absolute;left:0pt;margin-left:299.35pt;margin-top:12.85pt;height:22.8pt;width:58.6pt;z-index:251705344;mso-width-relative:page;mso-height-relative:page;" filled="f" stroked="f" coordsize="21600,21600" o:gfxdata="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B9gkMd2QAAAAkBAAAPAAAAAAAAAAEAIAAAACIAAABkcnMvZG93&#10;bnJldi54bWxQSwECFAAUAAAACACHTuJAY0e1DsYBAACDAwAADgAAAAAAAAABACAAAAAoAQAAZHJz&#10;L2Uyb0RvYy54bWxQSwUGAAAAAAYABgBZAQAAYAUAAAAA&#10;">
                      <v:fill on="f" focussize="0,0"/>
                      <v:stroke on="f"/>
                      <v:imagedata o:title=""/>
                      <o:lock v:ext="edit" aspectratio="f"/>
                      <v:textbox inset="7.19992125984252pt,1.27mm,7.19992125984252pt,1.27mm">
                        <w:txbxContent>
                          <w:p w14:paraId="39B842DD">
                            <w:pPr>
                              <w:jc w:val="center"/>
                            </w:pPr>
                            <w:r>
                              <w:rPr>
                                <w:rFonts w:hint="eastAsia"/>
                              </w:rPr>
                              <w:t>营运期</w:t>
                            </w:r>
                          </w:p>
                        </w:txbxContent>
                      </v:textbox>
                    </v:shape>
                  </w:pict>
                </mc:Fallback>
              </mc:AlternateContent>
            </w:r>
            <w:r>
              <w:rPr>
                <w:color w:val="auto"/>
              </w:rPr>
              <mc:AlternateContent>
                <mc:Choice Requires="wps">
                  <w:drawing>
                    <wp:anchor distT="0" distB="0" distL="114300" distR="114300" simplePos="0" relativeHeight="251703296" behindDoc="0" locked="0" layoutInCell="1" allowOverlap="1">
                      <wp:simplePos x="0" y="0"/>
                      <wp:positionH relativeFrom="column">
                        <wp:posOffset>1649095</wp:posOffset>
                      </wp:positionH>
                      <wp:positionV relativeFrom="paragraph">
                        <wp:posOffset>83185</wp:posOffset>
                      </wp:positionV>
                      <wp:extent cx="744220" cy="336550"/>
                      <wp:effectExtent l="0" t="0" r="0" b="0"/>
                      <wp:wrapNone/>
                      <wp:docPr id="59" name="文本框 59"/>
                      <wp:cNvGraphicFramePr/>
                      <a:graphic xmlns:a="http://schemas.openxmlformats.org/drawingml/2006/main">
                        <a:graphicData uri="http://schemas.microsoft.com/office/word/2010/wordprocessingShape">
                          <wps:wsp>
                            <wps:cNvSpPr txBox="1"/>
                            <wps:spPr>
                              <a:xfrm>
                                <a:off x="0" y="0"/>
                                <a:ext cx="744220" cy="336550"/>
                              </a:xfrm>
                              <a:prstGeom prst="rect">
                                <a:avLst/>
                              </a:prstGeom>
                              <a:noFill/>
                              <a:ln>
                                <a:noFill/>
                              </a:ln>
                            </wps:spPr>
                            <wps:txbx>
                              <w:txbxContent>
                                <w:p w14:paraId="02C48243">
                                  <w:r>
                                    <w:rPr>
                                      <w:rFonts w:hint="eastAsia"/>
                                    </w:rPr>
                                    <w:t>施工期</w:t>
                                  </w:r>
                                </w:p>
                              </w:txbxContent>
                            </wps:txbx>
                            <wps:bodyPr lIns="91439" tIns="45720" rIns="91439" bIns="45720" upright="1"/>
                          </wps:wsp>
                        </a:graphicData>
                      </a:graphic>
                    </wp:anchor>
                  </w:drawing>
                </mc:Choice>
                <mc:Fallback>
                  <w:pict>
                    <v:shape id="_x0000_s1026" o:spid="_x0000_s1026" o:spt="202" type="#_x0000_t202" style="position:absolute;left:0pt;margin-left:129.85pt;margin-top:6.55pt;height:26.5pt;width:58.6pt;z-index:251703296;mso-width-relative:page;mso-height-relative:page;" filled="f" stroked="f" coordsize="21600,21600" o:gfxdata="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ZdXOT9kAAAAJAQAADwAAAAAAAAABACAAAAAiAAAAZHJzL2Rvd25y&#10;ZXYueG1sUEsBAhQAFAAAAAgAh07iQB+Pc17EAQAAgwMAAA4AAAAAAAAAAQAgAAAAKAEAAGRycy9l&#10;Mm9Eb2MueG1sUEsFBgAAAAAGAAYAWQEAAF4FAAAAAA==&#10;">
                      <v:fill on="f" focussize="0,0"/>
                      <v:stroke on="f"/>
                      <v:imagedata o:title=""/>
                      <o:lock v:ext="edit" aspectratio="f"/>
                      <v:textbox inset="7.19992125984252pt,1.27mm,7.19992125984252pt,1.27mm">
                        <w:txbxContent>
                          <w:p w14:paraId="02C48243">
                            <w:r>
                              <w:rPr>
                                <w:rFonts w:hint="eastAsia"/>
                              </w:rPr>
                              <w:t>施工期</w:t>
                            </w:r>
                          </w:p>
                        </w:txbxContent>
                      </v:textbox>
                    </v:shape>
                  </w:pict>
                </mc:Fallback>
              </mc:AlternateContent>
            </w:r>
          </w:p>
          <w:p w14:paraId="4AE87F5D">
            <w:pPr>
              <w:spacing w:line="360" w:lineRule="auto"/>
              <w:ind w:firstLine="420" w:firstLineChars="200"/>
              <w:rPr>
                <w:bCs/>
                <w:color w:val="auto"/>
              </w:rPr>
            </w:pPr>
            <w:r>
              <w:rPr>
                <w:color w:val="auto"/>
              </w:rPr>
              <mc:AlternateContent>
                <mc:Choice Requires="wps">
                  <w:drawing>
                    <wp:anchor distT="0" distB="0" distL="114300" distR="114300" simplePos="0" relativeHeight="251704320" behindDoc="0" locked="0" layoutInCell="1" allowOverlap="1">
                      <wp:simplePos x="0" y="0"/>
                      <wp:positionH relativeFrom="column">
                        <wp:posOffset>4098290</wp:posOffset>
                      </wp:positionH>
                      <wp:positionV relativeFrom="paragraph">
                        <wp:posOffset>-231775</wp:posOffset>
                      </wp:positionV>
                      <wp:extent cx="177800" cy="899160"/>
                      <wp:effectExtent l="7620" t="7620" r="26670" b="5080"/>
                      <wp:wrapNone/>
                      <wp:docPr id="60" name="左大括号 60"/>
                      <wp:cNvGraphicFramePr/>
                      <a:graphic xmlns:a="http://schemas.openxmlformats.org/drawingml/2006/main">
                        <a:graphicData uri="http://schemas.microsoft.com/office/word/2010/wordprocessingShape">
                          <wps:wsp>
                            <wps:cNvSpPr/>
                            <wps:spPr>
                              <a:xfrm rot="-5400000" flipH="1">
                                <a:off x="0" y="0"/>
                                <a:ext cx="177800" cy="899160"/>
                              </a:xfrm>
                              <a:prstGeom prst="leftBrace">
                                <a:avLst>
                                  <a:gd name="adj1" fmla="val 42142"/>
                                  <a:gd name="adj2" fmla="val 50000"/>
                                </a:avLst>
                              </a:prstGeom>
                              <a:noFill/>
                              <a:ln w="1587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87" type="#_x0000_t87" style="position:absolute;left:0pt;flip:x;margin-left:322.7pt;margin-top:-18.25pt;height:70.8pt;width:14pt;rotation:5898240f;z-index:251704320;mso-width-relative:page;mso-height-relative:page;" filled="f" stroked="t" coordsize="21600,21600" o:gfxdata="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CRPOdNoAAAALAQAADwAAAAAAAAABACAAAAAiAAAAZHJzL2Rvd25yZXYu&#10;eG1sUEsBAhQAFAAAAAgAh07iQF8avn0yAgAAYgQAAA4AAAAAAAAAAQAgAAAAKQEAAGRycy9lMm9E&#10;b2MueG1sUEsFBgAAAAAGAAYAWQEAAM0FAAAAAA==&#10;" adj="1799,10800">
                      <v:fill on="f" focussize="0,0"/>
                      <v:stroke weight="1.25pt" color="#000000" joinstyle="round"/>
                      <v:imagedata o:title=""/>
                      <o:lock v:ext="edit" aspectratio="f"/>
                    </v:shape>
                  </w:pict>
                </mc:Fallback>
              </mc:AlternateContent>
            </w:r>
            <w:r>
              <w:rPr>
                <w:color w:val="auto"/>
              </w:rPr>
              <mc:AlternateContent>
                <mc:Choice Requires="wps">
                  <w:drawing>
                    <wp:anchor distT="0" distB="0" distL="114300" distR="114300" simplePos="0" relativeHeight="251702272" behindDoc="0" locked="0" layoutInCell="1" allowOverlap="1">
                      <wp:simplePos x="0" y="0"/>
                      <wp:positionH relativeFrom="column">
                        <wp:posOffset>1812925</wp:posOffset>
                      </wp:positionH>
                      <wp:positionV relativeFrom="paragraph">
                        <wp:posOffset>-1577340</wp:posOffset>
                      </wp:positionV>
                      <wp:extent cx="271145" cy="3512185"/>
                      <wp:effectExtent l="7620" t="7620" r="23495" b="6985"/>
                      <wp:wrapNone/>
                      <wp:docPr id="61" name="左大括号 61"/>
                      <wp:cNvGraphicFramePr/>
                      <a:graphic xmlns:a="http://schemas.openxmlformats.org/drawingml/2006/main">
                        <a:graphicData uri="http://schemas.microsoft.com/office/word/2010/wordprocessingShape">
                          <wps:wsp>
                            <wps:cNvSpPr/>
                            <wps:spPr>
                              <a:xfrm rot="-5400000" flipH="1">
                                <a:off x="0" y="0"/>
                                <a:ext cx="271145" cy="3512185"/>
                              </a:xfrm>
                              <a:prstGeom prst="leftBrace">
                                <a:avLst>
                                  <a:gd name="adj1" fmla="val 107943"/>
                                  <a:gd name="adj2" fmla="val 50000"/>
                                </a:avLst>
                              </a:prstGeom>
                              <a:noFill/>
                              <a:ln w="15875" cap="flat" cmpd="sng">
                                <a:solidFill>
                                  <a:srgbClr val="000000"/>
                                </a:solidFill>
                                <a:prstDash val="solid"/>
                                <a:headEnd type="none" w="med" len="med"/>
                                <a:tailEnd type="none" w="med" len="med"/>
                              </a:ln>
                            </wps:spPr>
                            <wps:txbx>
                              <w:txbxContent>
                                <w:p w14:paraId="69FD1510"/>
                              </w:txbxContent>
                            </wps:txbx>
                            <wps:bodyPr upright="1"/>
                          </wps:wsp>
                        </a:graphicData>
                      </a:graphic>
                    </wp:anchor>
                  </w:drawing>
                </mc:Choice>
                <mc:Fallback>
                  <w:pict>
                    <v:shape id="_x0000_s1026" o:spid="_x0000_s1026" o:spt="87" type="#_x0000_t87" style="position:absolute;left:0pt;flip:x;margin-left:142.75pt;margin-top:-124.2pt;height:276.55pt;width:21.35pt;rotation:5898240f;z-index:251702272;mso-width-relative:page;mso-height-relative:page;" filled="f" stroked="t" coordsize="21600,21600" o:gfxdata="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ermoG3AAAAAwBAAAPAAAAAAAAAAEAIAAAACIAAABk&#10;cnMvZG93bnJldi54bWxQSwECFAAUAAAACACHTuJAjvt07jsCAABvBAAADgAAAAAAAAABACAAAAAr&#10;AQAAZHJzL2Uyb0RvYy54bWxQSwUGAAAAAAYABgBZAQAA2AUAAAAA&#10;" adj="1799,10800">
                      <v:fill on="f" focussize="0,0"/>
                      <v:stroke weight="1.25pt" color="#000000" joinstyle="round"/>
                      <v:imagedata o:title=""/>
                      <o:lock v:ext="edit" aspectratio="f"/>
                      <v:textbox>
                        <w:txbxContent>
                          <w:p w14:paraId="69FD1510"/>
                        </w:txbxContent>
                      </v:textbox>
                    </v:shape>
                  </w:pict>
                </mc:Fallback>
              </mc:AlternateContent>
            </w:r>
          </w:p>
          <w:p w14:paraId="08B7F850">
            <w:pPr>
              <w:spacing w:line="360" w:lineRule="auto"/>
              <w:ind w:firstLine="420" w:firstLineChars="200"/>
              <w:rPr>
                <w:bCs/>
                <w:color w:val="auto"/>
              </w:rPr>
            </w:pPr>
            <w:r>
              <w:rPr>
                <w:color w:val="auto"/>
              </w:rPr>
              <mc:AlternateContent>
                <mc:Choice Requires="wps">
                  <w:drawing>
                    <wp:anchor distT="0" distB="0" distL="114300" distR="114300" simplePos="0" relativeHeight="251684864" behindDoc="0" locked="0" layoutInCell="1" allowOverlap="1">
                      <wp:simplePos x="0" y="0"/>
                      <wp:positionH relativeFrom="column">
                        <wp:posOffset>1711960</wp:posOffset>
                      </wp:positionH>
                      <wp:positionV relativeFrom="paragraph">
                        <wp:posOffset>132715</wp:posOffset>
                      </wp:positionV>
                      <wp:extent cx="507365" cy="492125"/>
                      <wp:effectExtent l="4445" t="5080" r="21590" b="17145"/>
                      <wp:wrapNone/>
                      <wp:docPr id="62" name="文本框 62"/>
                      <wp:cNvGraphicFramePr/>
                      <a:graphic xmlns:a="http://schemas.openxmlformats.org/drawingml/2006/main">
                        <a:graphicData uri="http://schemas.microsoft.com/office/word/2010/wordprocessingShape">
                          <wps:wsp>
                            <wps:cNvSpPr txBox="1"/>
                            <wps:spPr>
                              <a:xfrm>
                                <a:off x="0" y="0"/>
                                <a:ext cx="507365" cy="49212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8B17609">
                                  <w:pPr>
                                    <w:jc w:val="center"/>
                                  </w:pPr>
                                  <w:r>
                                    <w:rPr>
                                      <w:rFonts w:hint="eastAsia"/>
                                    </w:rPr>
                                    <w:t>杆塔安装</w:t>
                                  </w:r>
                                </w:p>
                              </w:txbxContent>
                            </wps:txbx>
                            <wps:bodyPr upright="1"/>
                          </wps:wsp>
                        </a:graphicData>
                      </a:graphic>
                    </wp:anchor>
                  </w:drawing>
                </mc:Choice>
                <mc:Fallback>
                  <w:pict>
                    <v:shape id="_x0000_s1026" o:spid="_x0000_s1026" o:spt="202" type="#_x0000_t202" style="position:absolute;left:0pt;margin-left:134.8pt;margin-top:10.45pt;height:38.75pt;width:39.95pt;z-index:251684864;mso-width-relative:page;mso-height-relative:page;" fillcolor="#FFFFFF" filled="t" stroked="t" coordsize="21600,21600" o:gfxdata="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UsK6b2QAAAAkBAAAPAAAAAAAAAAEAIAAA&#10;ACIAAABkcnMvZG93bnJldi54bWxQSwECFAAUAAAACACHTuJA0dp0hQsCAAA3BAAADgAAAAAAAAAB&#10;ACAAAAAoAQAAZHJzL2Uyb0RvYy54bWxQSwUGAAAAAAYABgBZAQAApQUAAAAA&#10;">
                      <v:fill on="t" focussize="0,0"/>
                      <v:stroke color="#000000" joinstyle="miter"/>
                      <v:imagedata o:title=""/>
                      <o:lock v:ext="edit" aspectratio="f"/>
                      <v:textbox>
                        <w:txbxContent>
                          <w:p w14:paraId="18B17609">
                            <w:pPr>
                              <w:jc w:val="center"/>
                            </w:pPr>
                            <w:r>
                              <w:rPr>
                                <w:rFonts w:hint="eastAsia"/>
                              </w:rPr>
                              <w:t>杆塔安装</w:t>
                            </w:r>
                          </w:p>
                        </w:txbxContent>
                      </v:textbox>
                    </v:shape>
                  </w:pict>
                </mc:Fallback>
              </mc:AlternateContent>
            </w:r>
            <w:r>
              <w:rPr>
                <w:color w:val="auto"/>
              </w:rPr>
              <mc:AlternateContent>
                <mc:Choice Requires="wps">
                  <w:drawing>
                    <wp:anchor distT="0" distB="0" distL="114300" distR="114300" simplePos="0" relativeHeight="251687936" behindDoc="0" locked="0" layoutInCell="1" allowOverlap="1">
                      <wp:simplePos x="0" y="0"/>
                      <wp:positionH relativeFrom="column">
                        <wp:posOffset>4368165</wp:posOffset>
                      </wp:positionH>
                      <wp:positionV relativeFrom="paragraph">
                        <wp:posOffset>111125</wp:posOffset>
                      </wp:positionV>
                      <wp:extent cx="507365" cy="492125"/>
                      <wp:effectExtent l="4445" t="5080" r="21590" b="17145"/>
                      <wp:wrapNone/>
                      <wp:docPr id="63" name="文本框 63"/>
                      <wp:cNvGraphicFramePr/>
                      <a:graphic xmlns:a="http://schemas.openxmlformats.org/drawingml/2006/main">
                        <a:graphicData uri="http://schemas.microsoft.com/office/word/2010/wordprocessingShape">
                          <wps:wsp>
                            <wps:cNvSpPr txBox="1"/>
                            <wps:spPr>
                              <a:xfrm>
                                <a:off x="0" y="0"/>
                                <a:ext cx="507365" cy="49212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E76C277">
                                  <w:pPr>
                                    <w:jc w:val="center"/>
                                  </w:pPr>
                                  <w:r>
                                    <w:rPr>
                                      <w:rFonts w:hint="eastAsia"/>
                                    </w:rPr>
                                    <w:t>投产使用</w:t>
                                  </w:r>
                                </w:p>
                              </w:txbxContent>
                            </wps:txbx>
                            <wps:bodyPr upright="1"/>
                          </wps:wsp>
                        </a:graphicData>
                      </a:graphic>
                    </wp:anchor>
                  </w:drawing>
                </mc:Choice>
                <mc:Fallback>
                  <w:pict>
                    <v:shape id="_x0000_s1026" o:spid="_x0000_s1026" o:spt="202" type="#_x0000_t202" style="position:absolute;left:0pt;margin-left:343.95pt;margin-top:8.75pt;height:38.75pt;width:39.95pt;z-index:251687936;mso-width-relative:page;mso-height-relative:page;" fillcolor="#FFFFFF" filled="t" stroked="t" coordsize="21600,21600" o:gfxdata="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EwhCtXYAAAACQEAAA8AAAAAAAAAAQAgAAAA&#10;IgAAAGRycy9kb3ducmV2LnhtbFBLAQIUABQAAAAIAIdO4kCfRuxzCwIAADcEAAAOAAAAAAAAAAEA&#10;IAAAACcBAABkcnMvZTJvRG9jLnhtbFBLBQYAAAAABgAGAFkBAACkBQAAAAA=&#10;">
                      <v:fill on="t" focussize="0,0"/>
                      <v:stroke color="#000000" joinstyle="miter"/>
                      <v:imagedata o:title=""/>
                      <o:lock v:ext="edit" aspectratio="f"/>
                      <v:textbox>
                        <w:txbxContent>
                          <w:p w14:paraId="2E76C277">
                            <w:pPr>
                              <w:jc w:val="center"/>
                            </w:pPr>
                            <w:r>
                              <w:rPr>
                                <w:rFonts w:hint="eastAsia"/>
                              </w:rPr>
                              <w:t>投产使用</w:t>
                            </w:r>
                          </w:p>
                        </w:txbxContent>
                      </v:textbox>
                    </v:shape>
                  </w:pict>
                </mc:Fallback>
              </mc:AlternateContent>
            </w:r>
            <w:r>
              <w:rPr>
                <w:color w:val="auto"/>
              </w:rPr>
              <mc:AlternateContent>
                <mc:Choice Requires="wps">
                  <w:drawing>
                    <wp:anchor distT="0" distB="0" distL="114300" distR="114300" simplePos="0" relativeHeight="251686912" behindDoc="0" locked="0" layoutInCell="1" allowOverlap="1">
                      <wp:simplePos x="0" y="0"/>
                      <wp:positionH relativeFrom="column">
                        <wp:posOffset>3393440</wp:posOffset>
                      </wp:positionH>
                      <wp:positionV relativeFrom="paragraph">
                        <wp:posOffset>111125</wp:posOffset>
                      </wp:positionV>
                      <wp:extent cx="507365" cy="492125"/>
                      <wp:effectExtent l="4445" t="5080" r="21590" b="17145"/>
                      <wp:wrapNone/>
                      <wp:docPr id="64" name="文本框 64"/>
                      <wp:cNvGraphicFramePr/>
                      <a:graphic xmlns:a="http://schemas.openxmlformats.org/drawingml/2006/main">
                        <a:graphicData uri="http://schemas.microsoft.com/office/word/2010/wordprocessingShape">
                          <wps:wsp>
                            <wps:cNvSpPr txBox="1"/>
                            <wps:spPr>
                              <a:xfrm>
                                <a:off x="0" y="0"/>
                                <a:ext cx="507365" cy="49212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9D21B92">
                                  <w:pPr>
                                    <w:jc w:val="center"/>
                                  </w:pPr>
                                  <w:r>
                                    <w:rPr>
                                      <w:rFonts w:hint="eastAsia"/>
                                    </w:rPr>
                                    <w:t>接通线路</w:t>
                                  </w:r>
                                </w:p>
                              </w:txbxContent>
                            </wps:txbx>
                            <wps:bodyPr upright="1"/>
                          </wps:wsp>
                        </a:graphicData>
                      </a:graphic>
                    </wp:anchor>
                  </w:drawing>
                </mc:Choice>
                <mc:Fallback>
                  <w:pict>
                    <v:shape id="_x0000_s1026" o:spid="_x0000_s1026" o:spt="202" type="#_x0000_t202" style="position:absolute;left:0pt;margin-left:267.2pt;margin-top:8.75pt;height:38.75pt;width:39.95pt;z-index:251686912;mso-width-relative:page;mso-height-relative:page;" fillcolor="#FFFFFF" filled="t" stroked="t" coordsize="21600,21600" o:gfxdata="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5NMgs2QAAAAkBAAAPAAAAAAAAAAEAIAAA&#10;ACIAAABkcnMvZG93bnJldi54bWxQSwECFAAUAAAACACHTuJAtpm03wsCAAA3BAAADgAAAAAAAAAB&#10;ACAAAAAoAQAAZHJzL2Uyb0RvYy54bWxQSwUGAAAAAAYABgBZAQAApQUAAAAA&#10;">
                      <v:fill on="t" focussize="0,0"/>
                      <v:stroke color="#000000" joinstyle="miter"/>
                      <v:imagedata o:title=""/>
                      <o:lock v:ext="edit" aspectratio="f"/>
                      <v:textbox>
                        <w:txbxContent>
                          <w:p w14:paraId="39D21B92">
                            <w:pPr>
                              <w:jc w:val="center"/>
                            </w:pPr>
                            <w:r>
                              <w:rPr>
                                <w:rFonts w:hint="eastAsia"/>
                              </w:rPr>
                              <w:t>接通线路</w:t>
                            </w:r>
                          </w:p>
                        </w:txbxContent>
                      </v:textbox>
                    </v:shape>
                  </w:pict>
                </mc:Fallback>
              </mc:AlternateContent>
            </w:r>
            <w:r>
              <w:rPr>
                <w:color w:val="auto"/>
              </w:rPr>
              <mc:AlternateContent>
                <mc:Choice Requires="wps">
                  <w:drawing>
                    <wp:anchor distT="0" distB="0" distL="114300" distR="114300" simplePos="0" relativeHeight="251685888" behindDoc="0" locked="0" layoutInCell="1" allowOverlap="1">
                      <wp:simplePos x="0" y="0"/>
                      <wp:positionH relativeFrom="column">
                        <wp:posOffset>2552700</wp:posOffset>
                      </wp:positionH>
                      <wp:positionV relativeFrom="paragraph">
                        <wp:posOffset>118110</wp:posOffset>
                      </wp:positionV>
                      <wp:extent cx="507365" cy="492125"/>
                      <wp:effectExtent l="4445" t="5080" r="21590" b="17145"/>
                      <wp:wrapNone/>
                      <wp:docPr id="65" name="文本框 65"/>
                      <wp:cNvGraphicFramePr/>
                      <a:graphic xmlns:a="http://schemas.openxmlformats.org/drawingml/2006/main">
                        <a:graphicData uri="http://schemas.microsoft.com/office/word/2010/wordprocessingShape">
                          <wps:wsp>
                            <wps:cNvSpPr txBox="1"/>
                            <wps:spPr>
                              <a:xfrm>
                                <a:off x="0" y="0"/>
                                <a:ext cx="507365" cy="49212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1132D4A">
                                  <w:pPr>
                                    <w:jc w:val="center"/>
                                  </w:pPr>
                                  <w:r>
                                    <w:rPr>
                                      <w:rFonts w:hint="eastAsia"/>
                                    </w:rPr>
                                    <w:t>线路架设</w:t>
                                  </w:r>
                                </w:p>
                              </w:txbxContent>
                            </wps:txbx>
                            <wps:bodyPr upright="1"/>
                          </wps:wsp>
                        </a:graphicData>
                      </a:graphic>
                    </wp:anchor>
                  </w:drawing>
                </mc:Choice>
                <mc:Fallback>
                  <w:pict>
                    <v:shape id="_x0000_s1026" o:spid="_x0000_s1026" o:spt="202" type="#_x0000_t202" style="position:absolute;left:0pt;margin-left:201pt;margin-top:9.3pt;height:38.75pt;width:39.95pt;z-index:251685888;mso-width-relative:page;mso-height-relative:page;" fillcolor="#FFFFFF" filled="t" stroked="t" coordsize="21600,21600" o:gfxdata="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xzgBL2AAAAAkBAAAPAAAAAAAAAAEAIAAA&#10;ACIAAABkcnMvZG93bnJldi54bWxQSwECFAAUAAAACACHTuJA+AUsKQwCAAA3BAAADgAAAAAAAAAB&#10;ACAAAAAnAQAAZHJzL2Uyb0RvYy54bWxQSwUGAAAAAAYABgBZAQAApQUAAAAA&#10;">
                      <v:fill on="t" focussize="0,0"/>
                      <v:stroke color="#000000" joinstyle="miter"/>
                      <v:imagedata o:title=""/>
                      <o:lock v:ext="edit" aspectratio="f"/>
                      <v:textbox>
                        <w:txbxContent>
                          <w:p w14:paraId="01132D4A">
                            <w:pPr>
                              <w:jc w:val="center"/>
                            </w:pPr>
                            <w:r>
                              <w:rPr>
                                <w:rFonts w:hint="eastAsia"/>
                              </w:rPr>
                              <w:t>线路架设</w:t>
                            </w:r>
                          </w:p>
                        </w:txbxContent>
                      </v:textbox>
                    </v:shape>
                  </w:pict>
                </mc:Fallback>
              </mc:AlternateContent>
            </w:r>
            <w:r>
              <w:rPr>
                <w:color w:val="auto"/>
              </w:rPr>
              <mc:AlternateContent>
                <mc:Choice Requires="wps">
                  <w:drawing>
                    <wp:anchor distT="0" distB="0" distL="114300" distR="114300" simplePos="0" relativeHeight="251683840" behindDoc="0" locked="0" layoutInCell="1" allowOverlap="1">
                      <wp:simplePos x="0" y="0"/>
                      <wp:positionH relativeFrom="column">
                        <wp:posOffset>870585</wp:posOffset>
                      </wp:positionH>
                      <wp:positionV relativeFrom="paragraph">
                        <wp:posOffset>132715</wp:posOffset>
                      </wp:positionV>
                      <wp:extent cx="507365" cy="492125"/>
                      <wp:effectExtent l="4445" t="5080" r="21590" b="17145"/>
                      <wp:wrapNone/>
                      <wp:docPr id="66" name="文本框 66"/>
                      <wp:cNvGraphicFramePr/>
                      <a:graphic xmlns:a="http://schemas.openxmlformats.org/drawingml/2006/main">
                        <a:graphicData uri="http://schemas.microsoft.com/office/word/2010/wordprocessingShape">
                          <wps:wsp>
                            <wps:cNvSpPr txBox="1"/>
                            <wps:spPr>
                              <a:xfrm>
                                <a:off x="0" y="0"/>
                                <a:ext cx="507365" cy="49212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929AE95">
                                  <w:pPr>
                                    <w:jc w:val="center"/>
                                  </w:pPr>
                                  <w:r>
                                    <w:rPr>
                                      <w:rFonts w:hint="eastAsia"/>
                                    </w:rPr>
                                    <w:t>塔基建设</w:t>
                                  </w:r>
                                </w:p>
                              </w:txbxContent>
                            </wps:txbx>
                            <wps:bodyPr upright="1"/>
                          </wps:wsp>
                        </a:graphicData>
                      </a:graphic>
                    </wp:anchor>
                  </w:drawing>
                </mc:Choice>
                <mc:Fallback>
                  <w:pict>
                    <v:shape id="_x0000_s1026" o:spid="_x0000_s1026" o:spt="202" type="#_x0000_t202" style="position:absolute;left:0pt;margin-left:68.55pt;margin-top:10.45pt;height:38.75pt;width:39.95pt;z-index:251683840;mso-width-relative:page;mso-height-relative:page;" fillcolor="#FFFFFF" filled="t" stroked="t" coordsize="21600,21600" o:gfxdata="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JmVxMHYAAAACQEAAA8AAAAAAAAAAQAgAAAA&#10;IgAAAGRycy9kb3ducmV2LnhtbFBLAQIUABQAAAAIAIdO4kBrp/TpCwIAADcEAAAOAAAAAAAAAAEA&#10;IAAAACcBAABkcnMvZTJvRG9jLnhtbFBLBQYAAAAABgAGAFkBAACkBQAAAAA=&#10;">
                      <v:fill on="t" focussize="0,0"/>
                      <v:stroke color="#000000" joinstyle="miter"/>
                      <v:imagedata o:title=""/>
                      <o:lock v:ext="edit" aspectratio="f"/>
                      <v:textbox>
                        <w:txbxContent>
                          <w:p w14:paraId="6929AE95">
                            <w:pPr>
                              <w:jc w:val="center"/>
                            </w:pPr>
                            <w:r>
                              <w:rPr>
                                <w:rFonts w:hint="eastAsia"/>
                              </w:rPr>
                              <w:t>塔基建设</w:t>
                            </w:r>
                          </w:p>
                        </w:txbxContent>
                      </v:textbox>
                    </v:shape>
                  </w:pict>
                </mc:Fallback>
              </mc:AlternateContent>
            </w:r>
            <w:r>
              <w:rPr>
                <w:color w:val="auto"/>
              </w:rPr>
              <mc:AlternateContent>
                <mc:Choice Requires="wps">
                  <w:drawing>
                    <wp:anchor distT="0" distB="0" distL="114300" distR="114300" simplePos="0" relativeHeight="251682816" behindDoc="0" locked="0" layoutInCell="1" allowOverlap="1">
                      <wp:simplePos x="0" y="0"/>
                      <wp:positionH relativeFrom="column">
                        <wp:posOffset>29845</wp:posOffset>
                      </wp:positionH>
                      <wp:positionV relativeFrom="paragraph">
                        <wp:posOffset>136525</wp:posOffset>
                      </wp:positionV>
                      <wp:extent cx="507365" cy="492125"/>
                      <wp:effectExtent l="4445" t="5080" r="21590" b="17145"/>
                      <wp:wrapNone/>
                      <wp:docPr id="67" name="文本框 67"/>
                      <wp:cNvGraphicFramePr/>
                      <a:graphic xmlns:a="http://schemas.openxmlformats.org/drawingml/2006/main">
                        <a:graphicData uri="http://schemas.microsoft.com/office/word/2010/wordprocessingShape">
                          <wps:wsp>
                            <wps:cNvSpPr txBox="1"/>
                            <wps:spPr>
                              <a:xfrm>
                                <a:off x="0" y="0"/>
                                <a:ext cx="507365" cy="49212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5676F6A">
                                  <w:pPr>
                                    <w:jc w:val="center"/>
                                  </w:pPr>
                                  <w:r>
                                    <w:rPr>
                                      <w:rFonts w:hint="eastAsia"/>
                                    </w:rPr>
                                    <w:t>地表开挖</w:t>
                                  </w:r>
                                </w:p>
                              </w:txbxContent>
                            </wps:txbx>
                            <wps:bodyPr upright="1"/>
                          </wps:wsp>
                        </a:graphicData>
                      </a:graphic>
                    </wp:anchor>
                  </w:drawing>
                </mc:Choice>
                <mc:Fallback>
                  <w:pict>
                    <v:shape id="_x0000_s1026" o:spid="_x0000_s1026" o:spt="202" type="#_x0000_t202" style="position:absolute;left:0pt;margin-left:2.35pt;margin-top:10.75pt;height:38.75pt;width:39.95pt;z-index:251682816;mso-width-relative:page;mso-height-relative:page;" fillcolor="#FFFFFF" filled="t" stroked="t" coordsize="21600,21600" o:gfxdata="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JeDct1gAAAAYBAAAPAAAAAAAAAAEAIAAAACIA&#10;AABkcnMvZG93bnJldi54bWxQSwECFAAUAAAACACHTuJAJTtsHwsCAAA3BAAADgAAAAAAAAABACAA&#10;AAAlAQAAZHJzL2Uyb0RvYy54bWxQSwUGAAAAAAYABgBZAQAAogUAAAAA&#10;">
                      <v:fill on="t" focussize="0,0"/>
                      <v:stroke color="#000000" joinstyle="miter"/>
                      <v:imagedata o:title=""/>
                      <o:lock v:ext="edit" aspectratio="f"/>
                      <v:textbox>
                        <w:txbxContent>
                          <w:p w14:paraId="15676F6A">
                            <w:pPr>
                              <w:jc w:val="center"/>
                            </w:pPr>
                            <w:r>
                              <w:rPr>
                                <w:rFonts w:hint="eastAsia"/>
                              </w:rPr>
                              <w:t>地表开挖</w:t>
                            </w:r>
                          </w:p>
                        </w:txbxContent>
                      </v:textbox>
                    </v:shape>
                  </w:pict>
                </mc:Fallback>
              </mc:AlternateContent>
            </w:r>
          </w:p>
          <w:p w14:paraId="7A3D1A6C">
            <w:pPr>
              <w:spacing w:line="360" w:lineRule="auto"/>
              <w:ind w:firstLine="420" w:firstLineChars="200"/>
              <w:rPr>
                <w:bCs/>
                <w:color w:val="auto"/>
              </w:rPr>
            </w:pPr>
            <w:r>
              <w:rPr>
                <w:color w:val="auto"/>
              </w:rPr>
              <mc:AlternateContent>
                <mc:Choice Requires="wps">
                  <w:drawing>
                    <wp:anchor distT="0" distB="0" distL="114300" distR="114300" simplePos="0" relativeHeight="251693056" behindDoc="0" locked="0" layoutInCell="1" allowOverlap="1">
                      <wp:simplePos x="0" y="0"/>
                      <wp:positionH relativeFrom="column">
                        <wp:posOffset>3900805</wp:posOffset>
                      </wp:positionH>
                      <wp:positionV relativeFrom="paragraph">
                        <wp:posOffset>74295</wp:posOffset>
                      </wp:positionV>
                      <wp:extent cx="467360" cy="0"/>
                      <wp:effectExtent l="0" t="38100" r="8890" b="38100"/>
                      <wp:wrapNone/>
                      <wp:docPr id="68" name="直接连接符 68"/>
                      <wp:cNvGraphicFramePr/>
                      <a:graphic xmlns:a="http://schemas.openxmlformats.org/drawingml/2006/main">
                        <a:graphicData uri="http://schemas.microsoft.com/office/word/2010/wordprocessingShape">
                          <wps:wsp>
                            <wps:cNvCnPr/>
                            <wps:spPr>
                              <a:xfrm>
                                <a:off x="0" y="0"/>
                                <a:ext cx="467360" cy="0"/>
                              </a:xfrm>
                              <a:prstGeom prst="line">
                                <a:avLst/>
                              </a:prstGeom>
                              <a:ln w="15875" cap="flat" cmpd="sng">
                                <a:solidFill>
                                  <a:srgbClr val="000000"/>
                                </a:solidFill>
                                <a:prstDash val="solid"/>
                                <a:headEnd type="none" w="med" len="med"/>
                                <a:tailEnd type="triangle" w="med" len="med"/>
                              </a:ln>
                            </wps:spPr>
                            <wps:bodyPr/>
                          </wps:wsp>
                        </a:graphicData>
                      </a:graphic>
                    </wp:anchor>
                  </w:drawing>
                </mc:Choice>
                <mc:Fallback>
                  <w:pict>
                    <v:line id="_x0000_s1026" o:spid="_x0000_s1026" o:spt="20" style="position:absolute;left:0pt;margin-left:307.15pt;margin-top:5.85pt;height:0pt;width:36.8pt;z-index:251693056;mso-width-relative:page;mso-height-relative:page;" filled="f" stroked="t" coordsize="21600,21600" o:gfxdata="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GVYL01wAAAAkBAAAPAAAAAAAAAAEAIAAAACIAAABkcnMvZG93bnJldi54bWxQSwEC&#10;FAAUAAAACACHTuJAUhv3qfUBAADeAwAADgAAAAAAAAABACAAAAAmAQAAZHJzL2Uyb0RvYy54bWxQ&#10;SwUGAAAAAAYABgBZAQAAjQUAAAAA&#10;">
                      <v:fill on="f" focussize="0,0"/>
                      <v:stroke weight="1.25pt" color="#000000" joinstyle="round" endarrow="block"/>
                      <v:imagedata o:title=""/>
                      <o:lock v:ext="edit" aspectratio="f"/>
                    </v:line>
                  </w:pict>
                </mc:Fallback>
              </mc:AlternateContent>
            </w:r>
            <w:r>
              <w:rPr>
                <w:color w:val="auto"/>
              </w:rPr>
              <mc:AlternateContent>
                <mc:Choice Requires="wps">
                  <w:drawing>
                    <wp:anchor distT="0" distB="0" distL="114300" distR="114300" simplePos="0" relativeHeight="251692032" behindDoc="0" locked="0" layoutInCell="1" allowOverlap="1">
                      <wp:simplePos x="0" y="0"/>
                      <wp:positionH relativeFrom="column">
                        <wp:posOffset>3060065</wp:posOffset>
                      </wp:positionH>
                      <wp:positionV relativeFrom="paragraph">
                        <wp:posOffset>84455</wp:posOffset>
                      </wp:positionV>
                      <wp:extent cx="333375" cy="635"/>
                      <wp:effectExtent l="0" t="37465" r="9525" b="38100"/>
                      <wp:wrapNone/>
                      <wp:docPr id="69" name="直接连接符 69"/>
                      <wp:cNvGraphicFramePr/>
                      <a:graphic xmlns:a="http://schemas.openxmlformats.org/drawingml/2006/main">
                        <a:graphicData uri="http://schemas.microsoft.com/office/word/2010/wordprocessingShape">
                          <wps:wsp>
                            <wps:cNvCnPr/>
                            <wps:spPr>
                              <a:xfrm>
                                <a:off x="0" y="0"/>
                                <a:ext cx="333375" cy="635"/>
                              </a:xfrm>
                              <a:prstGeom prst="line">
                                <a:avLst/>
                              </a:prstGeom>
                              <a:ln w="15875" cap="flat" cmpd="sng">
                                <a:solidFill>
                                  <a:srgbClr val="000000"/>
                                </a:solidFill>
                                <a:prstDash val="solid"/>
                                <a:headEnd type="none" w="med" len="med"/>
                                <a:tailEnd type="triangle" w="med" len="med"/>
                              </a:ln>
                            </wps:spPr>
                            <wps:bodyPr/>
                          </wps:wsp>
                        </a:graphicData>
                      </a:graphic>
                    </wp:anchor>
                  </w:drawing>
                </mc:Choice>
                <mc:Fallback>
                  <w:pict>
                    <v:line id="_x0000_s1026" o:spid="_x0000_s1026" o:spt="20" style="position:absolute;left:0pt;margin-left:240.95pt;margin-top:6.65pt;height:0.05pt;width:26.25pt;z-index:251692032;mso-width-relative:page;mso-height-relative:page;" filled="f" stroked="t" coordsize="21600,21600" o:gfxdata="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XZSXhNcAAAAJAQAADwAAAAAAAAABACAAAAAiAAAAZHJzL2Rvd25yZXYueG1sUEsBAhQA&#10;FAAAAAgAh07iQFhbfTzzAQAA4AMAAA4AAAAAAAAAAQAgAAAAJgEAAGRycy9lMm9Eb2MueG1sUEsF&#10;BgAAAAAGAAYAWQEAAIsFAAAAAA==&#10;">
                      <v:fill on="f" focussize="0,0"/>
                      <v:stroke weight="1.25pt" color="#000000" joinstyle="round" endarrow="block"/>
                      <v:imagedata o:title=""/>
                      <o:lock v:ext="edit" aspectratio="f"/>
                    </v:line>
                  </w:pict>
                </mc:Fallback>
              </mc:AlternateContent>
            </w:r>
            <w:r>
              <w:rPr>
                <w:color w:val="auto"/>
              </w:rPr>
              <mc:AlternateContent>
                <mc:Choice Requires="wps">
                  <w:drawing>
                    <wp:anchor distT="0" distB="0" distL="114300" distR="114300" simplePos="0" relativeHeight="251691008" behindDoc="0" locked="0" layoutInCell="1" allowOverlap="1">
                      <wp:simplePos x="0" y="0"/>
                      <wp:positionH relativeFrom="column">
                        <wp:posOffset>2219325</wp:posOffset>
                      </wp:positionH>
                      <wp:positionV relativeFrom="paragraph">
                        <wp:posOffset>85725</wp:posOffset>
                      </wp:positionV>
                      <wp:extent cx="333375" cy="635"/>
                      <wp:effectExtent l="0" t="37465" r="9525" b="38100"/>
                      <wp:wrapNone/>
                      <wp:docPr id="70" name="直接连接符 70"/>
                      <wp:cNvGraphicFramePr/>
                      <a:graphic xmlns:a="http://schemas.openxmlformats.org/drawingml/2006/main">
                        <a:graphicData uri="http://schemas.microsoft.com/office/word/2010/wordprocessingShape">
                          <wps:wsp>
                            <wps:cNvCnPr/>
                            <wps:spPr>
                              <a:xfrm>
                                <a:off x="0" y="0"/>
                                <a:ext cx="333375" cy="635"/>
                              </a:xfrm>
                              <a:prstGeom prst="line">
                                <a:avLst/>
                              </a:prstGeom>
                              <a:ln w="15875" cap="flat" cmpd="sng">
                                <a:solidFill>
                                  <a:srgbClr val="000000"/>
                                </a:solidFill>
                                <a:prstDash val="solid"/>
                                <a:headEnd type="none" w="med" len="med"/>
                                <a:tailEnd type="triangle" w="med" len="med"/>
                              </a:ln>
                            </wps:spPr>
                            <wps:bodyPr/>
                          </wps:wsp>
                        </a:graphicData>
                      </a:graphic>
                    </wp:anchor>
                  </w:drawing>
                </mc:Choice>
                <mc:Fallback>
                  <w:pict>
                    <v:line id="_x0000_s1026" o:spid="_x0000_s1026" o:spt="20" style="position:absolute;left:0pt;margin-left:174.75pt;margin-top:6.75pt;height:0.05pt;width:26.25pt;z-index:251691008;mso-width-relative:page;mso-height-relative:page;" filled="f" stroked="t" coordsize="21600,21600" o:gfxdata="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sc+dT1gAAAAkBAAAPAAAAAAAAAAEAIAAAACIAAABkcnMvZG93bnJldi54bWxQSwECFAAU&#10;AAAACACHTuJAjurio/MBAADgAwAADgAAAAAAAAABACAAAAAlAQAAZHJzL2Uyb0RvYy54bWxQSwUG&#10;AAAAAAYABgBZAQAAigUAAAAA&#10;">
                      <v:fill on="f" focussize="0,0"/>
                      <v:stroke weight="1.25pt" color="#000000" joinstyle="round" endarrow="block"/>
                      <v:imagedata o:title=""/>
                      <o:lock v:ext="edit" aspectratio="f"/>
                    </v:line>
                  </w:pict>
                </mc:Fallback>
              </mc:AlternateContent>
            </w:r>
            <w:r>
              <w:rPr>
                <w:color w:val="auto"/>
              </w:rPr>
              <mc:AlternateContent>
                <mc:Choice Requires="wps">
                  <w:drawing>
                    <wp:anchor distT="0" distB="0" distL="114300" distR="114300" simplePos="0" relativeHeight="251689984" behindDoc="0" locked="0" layoutInCell="1" allowOverlap="1">
                      <wp:simplePos x="0" y="0"/>
                      <wp:positionH relativeFrom="column">
                        <wp:posOffset>1377950</wp:posOffset>
                      </wp:positionH>
                      <wp:positionV relativeFrom="paragraph">
                        <wp:posOffset>86360</wp:posOffset>
                      </wp:positionV>
                      <wp:extent cx="333375" cy="635"/>
                      <wp:effectExtent l="0" t="37465" r="9525" b="38100"/>
                      <wp:wrapNone/>
                      <wp:docPr id="71" name="直接连接符 71"/>
                      <wp:cNvGraphicFramePr/>
                      <a:graphic xmlns:a="http://schemas.openxmlformats.org/drawingml/2006/main">
                        <a:graphicData uri="http://schemas.microsoft.com/office/word/2010/wordprocessingShape">
                          <wps:wsp>
                            <wps:cNvCnPr/>
                            <wps:spPr>
                              <a:xfrm>
                                <a:off x="0" y="0"/>
                                <a:ext cx="333375" cy="635"/>
                              </a:xfrm>
                              <a:prstGeom prst="line">
                                <a:avLst/>
                              </a:prstGeom>
                              <a:ln w="15875" cap="flat" cmpd="sng">
                                <a:solidFill>
                                  <a:srgbClr val="000000"/>
                                </a:solidFill>
                                <a:prstDash val="solid"/>
                                <a:headEnd type="none" w="med" len="med"/>
                                <a:tailEnd type="triangle" w="med" len="med"/>
                              </a:ln>
                            </wps:spPr>
                            <wps:bodyPr/>
                          </wps:wsp>
                        </a:graphicData>
                      </a:graphic>
                    </wp:anchor>
                  </w:drawing>
                </mc:Choice>
                <mc:Fallback>
                  <w:pict>
                    <v:line id="_x0000_s1026" o:spid="_x0000_s1026" o:spt="20" style="position:absolute;left:0pt;margin-left:108.5pt;margin-top:6.8pt;height:0.05pt;width:26.25pt;z-index:251689984;mso-width-relative:page;mso-height-relative:page;" filled="f" stroked="t" coordsize="21600,21600" o:gfxdata="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dABlK9cAAAAJAQAADwAAAAAAAAABACAAAAAiAAAAZHJzL2Rvd25yZXYueG1sUEsBAhQA&#10;FAAAAAgAh07iQCvS4FfzAQAA4AMAAA4AAAAAAAAAAQAgAAAAJgEAAGRycy9lMm9Eb2MueG1sUEsF&#10;BgAAAAAGAAYAWQEAAIsFAAAAAA==&#10;">
                      <v:fill on="f" focussize="0,0"/>
                      <v:stroke weight="1.25pt" color="#000000" joinstyle="round" endarrow="block"/>
                      <v:imagedata o:title=""/>
                      <o:lock v:ext="edit" aspectratio="f"/>
                    </v:line>
                  </w:pict>
                </mc:Fallback>
              </mc:AlternateContent>
            </w:r>
            <w:r>
              <w:rPr>
                <w:color w:val="auto"/>
              </w:rPr>
              <mc:AlternateContent>
                <mc:Choice Requires="wps">
                  <w:drawing>
                    <wp:anchor distT="0" distB="0" distL="114300" distR="114300" simplePos="0" relativeHeight="251688960" behindDoc="0" locked="0" layoutInCell="1" allowOverlap="1">
                      <wp:simplePos x="0" y="0"/>
                      <wp:positionH relativeFrom="column">
                        <wp:posOffset>537210</wp:posOffset>
                      </wp:positionH>
                      <wp:positionV relativeFrom="paragraph">
                        <wp:posOffset>85725</wp:posOffset>
                      </wp:positionV>
                      <wp:extent cx="333375" cy="635"/>
                      <wp:effectExtent l="0" t="37465" r="9525" b="38100"/>
                      <wp:wrapNone/>
                      <wp:docPr id="72" name="直接连接符 72"/>
                      <wp:cNvGraphicFramePr/>
                      <a:graphic xmlns:a="http://schemas.openxmlformats.org/drawingml/2006/main">
                        <a:graphicData uri="http://schemas.microsoft.com/office/word/2010/wordprocessingShape">
                          <wps:wsp>
                            <wps:cNvCnPr/>
                            <wps:spPr>
                              <a:xfrm>
                                <a:off x="0" y="0"/>
                                <a:ext cx="333375" cy="635"/>
                              </a:xfrm>
                              <a:prstGeom prst="line">
                                <a:avLst/>
                              </a:prstGeom>
                              <a:ln w="15875" cap="flat" cmpd="sng">
                                <a:solidFill>
                                  <a:srgbClr val="000000"/>
                                </a:solidFill>
                                <a:prstDash val="solid"/>
                                <a:headEnd type="none" w="med" len="med"/>
                                <a:tailEnd type="triangle" w="med" len="med"/>
                              </a:ln>
                            </wps:spPr>
                            <wps:bodyPr/>
                          </wps:wsp>
                        </a:graphicData>
                      </a:graphic>
                    </wp:anchor>
                  </w:drawing>
                </mc:Choice>
                <mc:Fallback>
                  <w:pict>
                    <v:line id="_x0000_s1026" o:spid="_x0000_s1026" o:spt="20" style="position:absolute;left:0pt;margin-left:42.3pt;margin-top:6.75pt;height:0.05pt;width:26.25pt;z-index:251688960;mso-width-relative:page;mso-height-relative:page;" filled="f" stroked="t" coordsize="21600,21600" o:gfxdata="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DPQjw51gAAAAgBAAAPAAAAAAAAAAEAIAAAACIAAABkcnMvZG93bnJldi54bWxQSwECFAAU&#10;AAAACACHTuJAhZ2XkPMBAADgAwAADgAAAAAAAAABACAAAAAlAQAAZHJzL2Uyb0RvYy54bWxQSwUG&#10;AAAAAAYABgBZAQAAigUAAAAA&#10;">
                      <v:fill on="f" focussize="0,0"/>
                      <v:stroke weight="1.25pt" color="#000000" joinstyle="round" endarrow="block"/>
                      <v:imagedata o:title=""/>
                      <o:lock v:ext="edit" aspectratio="f"/>
                    </v:line>
                  </w:pict>
                </mc:Fallback>
              </mc:AlternateContent>
            </w:r>
          </w:p>
          <w:p w14:paraId="62D5DF54">
            <w:pPr>
              <w:spacing w:line="360" w:lineRule="auto"/>
              <w:ind w:firstLine="420" w:firstLineChars="200"/>
              <w:rPr>
                <w:bCs/>
                <w:color w:val="auto"/>
              </w:rPr>
            </w:pPr>
            <w:r>
              <w:rPr>
                <w:color w:val="auto"/>
              </w:rPr>
              <mc:AlternateContent>
                <mc:Choice Requires="wps">
                  <w:drawing>
                    <wp:anchor distT="0" distB="0" distL="114300" distR="114300" simplePos="0" relativeHeight="251699200" behindDoc="0" locked="0" layoutInCell="1" allowOverlap="1">
                      <wp:simplePos x="0" y="0"/>
                      <wp:positionH relativeFrom="column">
                        <wp:posOffset>4638040</wp:posOffset>
                      </wp:positionH>
                      <wp:positionV relativeFrom="paragraph">
                        <wp:posOffset>8890</wp:posOffset>
                      </wp:positionV>
                      <wp:extent cx="635" cy="373380"/>
                      <wp:effectExtent l="37465" t="0" r="38100" b="7620"/>
                      <wp:wrapNone/>
                      <wp:docPr id="73" name="直接连接符 73"/>
                      <wp:cNvGraphicFramePr/>
                      <a:graphic xmlns:a="http://schemas.openxmlformats.org/drawingml/2006/main">
                        <a:graphicData uri="http://schemas.microsoft.com/office/word/2010/wordprocessingShape">
                          <wps:wsp>
                            <wps:cNvCnPr/>
                            <wps:spPr>
                              <a:xfrm>
                                <a:off x="0" y="0"/>
                                <a:ext cx="635" cy="373380"/>
                              </a:xfrm>
                              <a:prstGeom prst="line">
                                <a:avLst/>
                              </a:prstGeom>
                              <a:ln w="15875" cap="flat" cmpd="sng">
                                <a:solidFill>
                                  <a:srgbClr val="000000"/>
                                </a:solidFill>
                                <a:prstDash val="dash"/>
                                <a:headEnd type="none" w="med" len="med"/>
                                <a:tailEnd type="triangle" w="med" len="med"/>
                              </a:ln>
                            </wps:spPr>
                            <wps:bodyPr/>
                          </wps:wsp>
                        </a:graphicData>
                      </a:graphic>
                    </wp:anchor>
                  </w:drawing>
                </mc:Choice>
                <mc:Fallback>
                  <w:pict>
                    <v:line id="_x0000_s1026" o:spid="_x0000_s1026" o:spt="20" style="position:absolute;left:0pt;margin-left:365.2pt;margin-top:0.7pt;height:29.4pt;width:0.05pt;z-index:251699200;mso-width-relative:page;mso-height-relative:page;" filled="f" stroked="t" coordsize="21600,21600" o:gfxdata="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Ko0SIdUAAAAIAQAADwAAAAAAAAABACAAAAAiAAAAZHJzL2Rvd25yZXYueG1sUEsB&#10;AhQAFAAAAAgAh07iQJNx6HD4AQAA3wMAAA4AAAAAAAAAAQAgAAAAJAEAAGRycy9lMm9Eb2MueG1s&#10;UEsFBgAAAAAGAAYAWQEAAI4FAAAAAA==&#10;">
                      <v:fill on="f" focussize="0,0"/>
                      <v:stroke weight="1.25pt" color="#000000" joinstyle="round" dashstyle="dash" endarrow="block"/>
                      <v:imagedata o:title=""/>
                      <o:lock v:ext="edit" aspectratio="f"/>
                    </v:line>
                  </w:pict>
                </mc:Fallback>
              </mc:AlternateContent>
            </w:r>
            <w:r>
              <w:rPr>
                <w:color w:val="auto"/>
              </w:rPr>
              <mc:AlternateContent>
                <mc:Choice Requires="wps">
                  <w:drawing>
                    <wp:anchor distT="0" distB="0" distL="114300" distR="114300" simplePos="0" relativeHeight="251701248" behindDoc="0" locked="0" layoutInCell="1" allowOverlap="1">
                      <wp:simplePos x="0" y="0"/>
                      <wp:positionH relativeFrom="column">
                        <wp:posOffset>3108325</wp:posOffset>
                      </wp:positionH>
                      <wp:positionV relativeFrom="paragraph">
                        <wp:posOffset>18415</wp:posOffset>
                      </wp:positionV>
                      <wp:extent cx="412750" cy="381635"/>
                      <wp:effectExtent l="0" t="5715" r="6350" b="12700"/>
                      <wp:wrapNone/>
                      <wp:docPr id="74" name="直接连接符 74"/>
                      <wp:cNvGraphicFramePr/>
                      <a:graphic xmlns:a="http://schemas.openxmlformats.org/drawingml/2006/main">
                        <a:graphicData uri="http://schemas.microsoft.com/office/word/2010/wordprocessingShape">
                          <wps:wsp>
                            <wps:cNvCnPr/>
                            <wps:spPr>
                              <a:xfrm flipH="1">
                                <a:off x="0" y="0"/>
                                <a:ext cx="412750" cy="381635"/>
                              </a:xfrm>
                              <a:prstGeom prst="line">
                                <a:avLst/>
                              </a:prstGeom>
                              <a:ln w="15875" cap="flat" cmpd="sng">
                                <a:solidFill>
                                  <a:srgbClr val="000000"/>
                                </a:solidFill>
                                <a:prstDash val="dash"/>
                                <a:headEnd type="none" w="med" len="med"/>
                                <a:tailEnd type="triangle" w="med" len="med"/>
                              </a:ln>
                            </wps:spPr>
                            <wps:bodyPr/>
                          </wps:wsp>
                        </a:graphicData>
                      </a:graphic>
                    </wp:anchor>
                  </w:drawing>
                </mc:Choice>
                <mc:Fallback>
                  <w:pict>
                    <v:line id="_x0000_s1026" o:spid="_x0000_s1026" o:spt="20" style="position:absolute;left:0pt;flip:x;margin-left:244.75pt;margin-top:1.45pt;height:30.05pt;width:32.5pt;z-index:251701248;mso-width-relative:page;mso-height-relative:page;" filled="f" stroked="t" coordsize="21600,21600" o:gfxdata="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FcN+VXWAAAACAEAAA8AAAAAAAAAAQAgAAAAIgAAAGRycy9kb3du&#10;cmV2LnhtbFBLAQIUABQAAAAIAIdO4kDO5hvwAQIAAOwDAAAOAAAAAAAAAAEAIAAAACUBAABkcnMv&#10;ZTJvRG9jLnhtbFBLBQYAAAAABgAGAFkBAACYBQAAAAA=&#10;">
                      <v:fill on="f" focussize="0,0"/>
                      <v:stroke weight="1.25pt" color="#000000" joinstyle="round" dashstyle="dash" endarrow="block"/>
                      <v:imagedata o:title=""/>
                      <o:lock v:ext="edit" aspectratio="f"/>
                    </v:line>
                  </w:pict>
                </mc:Fallback>
              </mc:AlternateContent>
            </w:r>
            <w:r>
              <w:rPr>
                <w:color w:val="auto"/>
              </w:rPr>
              <mc:AlternateContent>
                <mc:Choice Requires="wps">
                  <w:drawing>
                    <wp:anchor distT="0" distB="0" distL="114300" distR="114300" simplePos="0" relativeHeight="251697152" behindDoc="0" locked="0" layoutInCell="1" allowOverlap="1">
                      <wp:simplePos x="0" y="0"/>
                      <wp:positionH relativeFrom="column">
                        <wp:posOffset>2797175</wp:posOffset>
                      </wp:positionH>
                      <wp:positionV relativeFrom="paragraph">
                        <wp:posOffset>26670</wp:posOffset>
                      </wp:positionV>
                      <wp:extent cx="635" cy="373380"/>
                      <wp:effectExtent l="37465" t="0" r="38100" b="7620"/>
                      <wp:wrapNone/>
                      <wp:docPr id="75" name="直接连接符 75"/>
                      <wp:cNvGraphicFramePr/>
                      <a:graphic xmlns:a="http://schemas.openxmlformats.org/drawingml/2006/main">
                        <a:graphicData uri="http://schemas.microsoft.com/office/word/2010/wordprocessingShape">
                          <wps:wsp>
                            <wps:cNvCnPr/>
                            <wps:spPr>
                              <a:xfrm>
                                <a:off x="0" y="0"/>
                                <a:ext cx="635" cy="373380"/>
                              </a:xfrm>
                              <a:prstGeom prst="line">
                                <a:avLst/>
                              </a:prstGeom>
                              <a:ln w="15875" cap="flat" cmpd="sng">
                                <a:solidFill>
                                  <a:srgbClr val="000000"/>
                                </a:solidFill>
                                <a:prstDash val="dash"/>
                                <a:headEnd type="none" w="med" len="med"/>
                                <a:tailEnd type="triangle" w="med" len="med"/>
                              </a:ln>
                            </wps:spPr>
                            <wps:bodyPr/>
                          </wps:wsp>
                        </a:graphicData>
                      </a:graphic>
                    </wp:anchor>
                  </w:drawing>
                </mc:Choice>
                <mc:Fallback>
                  <w:pict>
                    <v:line id="_x0000_s1026" o:spid="_x0000_s1026" o:spt="20" style="position:absolute;left:0pt;margin-left:220.25pt;margin-top:2.1pt;height:29.4pt;width:0.05pt;z-index:251697152;mso-width-relative:page;mso-height-relative:page;" filled="f" stroked="t" coordsize="21600,21600" o:gfxdata="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D/nbD1QAAAAgBAAAPAAAAAAAAAAEAIAAAACIAAABkcnMvZG93bnJldi54bWxQSwEC&#10;FAAUAAAACACHTuJAJENX6vcBAADfAwAADgAAAAAAAAABACAAAAAkAQAAZHJzL2Uyb0RvYy54bWxQ&#10;SwUGAAAAAAYABgBZAQAAjQUAAAAA&#10;">
                      <v:fill on="f" focussize="0,0"/>
                      <v:stroke weight="1.25pt" color="#000000" joinstyle="round" dashstyle="dash" endarrow="block"/>
                      <v:imagedata o:title=""/>
                      <o:lock v:ext="edit" aspectratio="f"/>
                    </v:line>
                  </w:pict>
                </mc:Fallback>
              </mc:AlternateContent>
            </w:r>
            <w:r>
              <w:rPr>
                <w:color w:val="auto"/>
              </w:rPr>
              <mc:AlternateContent>
                <mc:Choice Requires="wps">
                  <w:drawing>
                    <wp:anchor distT="0" distB="0" distL="114300" distR="114300" simplePos="0" relativeHeight="251696128" behindDoc="0" locked="0" layoutInCell="1" allowOverlap="1">
                      <wp:simplePos x="0" y="0"/>
                      <wp:positionH relativeFrom="column">
                        <wp:posOffset>2001520</wp:posOffset>
                      </wp:positionH>
                      <wp:positionV relativeFrom="paragraph">
                        <wp:posOffset>26670</wp:posOffset>
                      </wp:positionV>
                      <wp:extent cx="635" cy="373380"/>
                      <wp:effectExtent l="37465" t="0" r="38100" b="7620"/>
                      <wp:wrapNone/>
                      <wp:docPr id="76" name="直接连接符 76"/>
                      <wp:cNvGraphicFramePr/>
                      <a:graphic xmlns:a="http://schemas.openxmlformats.org/drawingml/2006/main">
                        <a:graphicData uri="http://schemas.microsoft.com/office/word/2010/wordprocessingShape">
                          <wps:wsp>
                            <wps:cNvCnPr/>
                            <wps:spPr>
                              <a:xfrm>
                                <a:off x="0" y="0"/>
                                <a:ext cx="635" cy="373380"/>
                              </a:xfrm>
                              <a:prstGeom prst="line">
                                <a:avLst/>
                              </a:prstGeom>
                              <a:ln w="15875" cap="flat" cmpd="sng">
                                <a:solidFill>
                                  <a:srgbClr val="000000"/>
                                </a:solidFill>
                                <a:prstDash val="dash"/>
                                <a:headEnd type="none" w="med" len="med"/>
                                <a:tailEnd type="triangle" w="med" len="med"/>
                              </a:ln>
                            </wps:spPr>
                            <wps:bodyPr/>
                          </wps:wsp>
                        </a:graphicData>
                      </a:graphic>
                    </wp:anchor>
                  </w:drawing>
                </mc:Choice>
                <mc:Fallback>
                  <w:pict>
                    <v:line id="_x0000_s1026" o:spid="_x0000_s1026" o:spt="20" style="position:absolute;left:0pt;margin-left:157.6pt;margin-top:2.1pt;height:29.4pt;width:0.05pt;z-index:251696128;mso-width-relative:page;mso-height-relative:page;" filled="f" stroked="t" coordsize="21600,21600" o:gfxdata="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DuzUAi1QAAAAgBAAAPAAAAAAAAAAEAIAAAACIAAABkcnMvZG93bnJldi54bWxQSwEC&#10;FAAUAAAACACHTuJAX1mwSvcBAADfAwAADgAAAAAAAAABACAAAAAkAQAAZHJzL2Uyb0RvYy54bWxQ&#10;SwUGAAAAAAYABgBZAQAAjQUAAAAA&#10;">
                      <v:fill on="f" focussize="0,0"/>
                      <v:stroke weight="1.25pt" color="#000000" joinstyle="round" dashstyle="dash" endarrow="block"/>
                      <v:imagedata o:title=""/>
                      <o:lock v:ext="edit" aspectratio="f"/>
                    </v:line>
                  </w:pict>
                </mc:Fallback>
              </mc:AlternateContent>
            </w:r>
            <w:r>
              <w:rPr>
                <w:color w:val="auto"/>
              </w:rPr>
              <mc:AlternateContent>
                <mc:Choice Requires="wps">
                  <w:drawing>
                    <wp:anchor distT="0" distB="0" distL="114300" distR="114300" simplePos="0" relativeHeight="251695104" behindDoc="0" locked="0" layoutInCell="1" allowOverlap="1">
                      <wp:simplePos x="0" y="0"/>
                      <wp:positionH relativeFrom="column">
                        <wp:posOffset>1111885</wp:posOffset>
                      </wp:positionH>
                      <wp:positionV relativeFrom="paragraph">
                        <wp:posOffset>26670</wp:posOffset>
                      </wp:positionV>
                      <wp:extent cx="635" cy="373380"/>
                      <wp:effectExtent l="37465" t="0" r="38100" b="7620"/>
                      <wp:wrapNone/>
                      <wp:docPr id="77" name="直接连接符 77"/>
                      <wp:cNvGraphicFramePr/>
                      <a:graphic xmlns:a="http://schemas.openxmlformats.org/drawingml/2006/main">
                        <a:graphicData uri="http://schemas.microsoft.com/office/word/2010/wordprocessingShape">
                          <wps:wsp>
                            <wps:cNvCnPr/>
                            <wps:spPr>
                              <a:xfrm>
                                <a:off x="0" y="0"/>
                                <a:ext cx="635" cy="373380"/>
                              </a:xfrm>
                              <a:prstGeom prst="line">
                                <a:avLst/>
                              </a:prstGeom>
                              <a:ln w="15875" cap="flat" cmpd="sng">
                                <a:solidFill>
                                  <a:srgbClr val="000000"/>
                                </a:solidFill>
                                <a:prstDash val="dash"/>
                                <a:headEnd type="none" w="med" len="med"/>
                                <a:tailEnd type="triangle" w="med" len="med"/>
                              </a:ln>
                            </wps:spPr>
                            <wps:bodyPr/>
                          </wps:wsp>
                        </a:graphicData>
                      </a:graphic>
                    </wp:anchor>
                  </w:drawing>
                </mc:Choice>
                <mc:Fallback>
                  <w:pict>
                    <v:line id="_x0000_s1026" o:spid="_x0000_s1026" o:spt="20" style="position:absolute;left:0pt;margin-left:87.55pt;margin-top:2.1pt;height:29.4pt;width:0.05pt;z-index:251695104;mso-width-relative:page;mso-height-relative:page;" filled="f" stroked="t" coordsize="21600,21600" o:gfxdata="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CcRXezWAAAACAEAAA8AAAAAAAAAAQAgAAAAIgAAAGRycy9kb3ducmV2LnhtbFBL&#10;AQIUABQAAAAIAIdO4kBJrT2c+AEAAN8DAAAOAAAAAAAAAAEAIAAAACUBAABkcnMvZTJvRG9jLnht&#10;bFBLBQYAAAAABgAGAFkBAACPBQAAAAA=&#10;">
                      <v:fill on="f" focussize="0,0"/>
                      <v:stroke weight="1.25pt" color="#000000" joinstyle="round" dashstyle="dash" endarrow="block"/>
                      <v:imagedata o:title=""/>
                      <o:lock v:ext="edit" aspectratio="f"/>
                    </v:line>
                  </w:pict>
                </mc:Fallback>
              </mc:AlternateContent>
            </w:r>
            <w:r>
              <w:rPr>
                <w:color w:val="auto"/>
              </w:rPr>
              <mc:AlternateContent>
                <mc:Choice Requires="wps">
                  <w:drawing>
                    <wp:anchor distT="0" distB="0" distL="114300" distR="114300" simplePos="0" relativeHeight="251694080" behindDoc="0" locked="0" layoutInCell="1" allowOverlap="1">
                      <wp:simplePos x="0" y="0"/>
                      <wp:positionH relativeFrom="column">
                        <wp:posOffset>283845</wp:posOffset>
                      </wp:positionH>
                      <wp:positionV relativeFrom="paragraph">
                        <wp:posOffset>41910</wp:posOffset>
                      </wp:positionV>
                      <wp:extent cx="635" cy="373380"/>
                      <wp:effectExtent l="37465" t="0" r="38100" b="7620"/>
                      <wp:wrapNone/>
                      <wp:docPr id="78" name="直接连接符 78"/>
                      <wp:cNvGraphicFramePr/>
                      <a:graphic xmlns:a="http://schemas.openxmlformats.org/drawingml/2006/main">
                        <a:graphicData uri="http://schemas.microsoft.com/office/word/2010/wordprocessingShape">
                          <wps:wsp>
                            <wps:cNvCnPr/>
                            <wps:spPr>
                              <a:xfrm>
                                <a:off x="0" y="0"/>
                                <a:ext cx="635" cy="373380"/>
                              </a:xfrm>
                              <a:prstGeom prst="line">
                                <a:avLst/>
                              </a:prstGeom>
                              <a:ln w="15875" cap="flat" cmpd="sng">
                                <a:solidFill>
                                  <a:srgbClr val="000000"/>
                                </a:solidFill>
                                <a:prstDash val="dash"/>
                                <a:headEnd type="none" w="med" len="med"/>
                                <a:tailEnd type="triangle" w="med" len="med"/>
                              </a:ln>
                            </wps:spPr>
                            <wps:bodyPr/>
                          </wps:wsp>
                        </a:graphicData>
                      </a:graphic>
                    </wp:anchor>
                  </w:drawing>
                </mc:Choice>
                <mc:Fallback>
                  <w:pict>
                    <v:line id="_x0000_s1026" o:spid="_x0000_s1026" o:spt="20" style="position:absolute;left:0pt;margin-left:22.35pt;margin-top:3.3pt;height:29.4pt;width:0.05pt;z-index:251694080;mso-width-relative:page;mso-height-relative:page;" filled="f" stroked="t" coordsize="21600,21600" o:gfxdata="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D2e7S01AAAAAYBAAAPAAAAAAAAAAEAIAAAACIAAABkcnMvZG93bnJldi54bWxQSwEC&#10;FAAUAAAACACHTuJAHdTV0vgBAADfAwAADgAAAAAAAAABACAAAAAjAQAAZHJzL2Uyb0RvYy54bWxQ&#10;SwUGAAAAAAYABgBZAQAAjQUAAAAA&#10;">
                      <v:fill on="f" focussize="0,0"/>
                      <v:stroke weight="1.25pt" color="#000000" joinstyle="round" dashstyle="dash" endarrow="block"/>
                      <v:imagedata o:title=""/>
                      <o:lock v:ext="edit" aspectratio="f"/>
                    </v:line>
                  </w:pict>
                </mc:Fallback>
              </mc:AlternateContent>
            </w:r>
          </w:p>
          <w:p w14:paraId="3B8C612F">
            <w:pPr>
              <w:spacing w:line="360" w:lineRule="auto"/>
              <w:ind w:firstLine="420" w:firstLineChars="200"/>
              <w:rPr>
                <w:bCs/>
                <w:color w:val="auto"/>
              </w:rPr>
            </w:pPr>
            <w:r>
              <w:rPr>
                <w:color w:val="auto"/>
              </w:rPr>
              <mc:AlternateContent>
                <mc:Choice Requires="wps">
                  <w:drawing>
                    <wp:anchor distT="0" distB="0" distL="114300" distR="114300" simplePos="0" relativeHeight="251700224" behindDoc="0" locked="0" layoutInCell="1" allowOverlap="1">
                      <wp:simplePos x="0" y="0"/>
                      <wp:positionH relativeFrom="column">
                        <wp:posOffset>4318000</wp:posOffset>
                      </wp:positionH>
                      <wp:positionV relativeFrom="paragraph">
                        <wp:posOffset>179705</wp:posOffset>
                      </wp:positionV>
                      <wp:extent cx="807720" cy="492125"/>
                      <wp:effectExtent l="4445" t="5080" r="6985" b="17145"/>
                      <wp:wrapNone/>
                      <wp:docPr id="79" name="文本框 79"/>
                      <wp:cNvGraphicFramePr/>
                      <a:graphic xmlns:a="http://schemas.openxmlformats.org/drawingml/2006/main">
                        <a:graphicData uri="http://schemas.microsoft.com/office/word/2010/wordprocessingShape">
                          <wps:wsp>
                            <wps:cNvSpPr txBox="1"/>
                            <wps:spPr>
                              <a:xfrm>
                                <a:off x="0" y="0"/>
                                <a:ext cx="807720" cy="492125"/>
                              </a:xfrm>
                              <a:prstGeom prst="rect">
                                <a:avLst/>
                              </a:prstGeom>
                              <a:solidFill>
                                <a:srgbClr val="FFFFFF"/>
                              </a:solidFill>
                              <a:ln w="9525" cap="flat" cmpd="sng">
                                <a:solidFill>
                                  <a:srgbClr val="000000"/>
                                </a:solidFill>
                                <a:prstDash val="dash"/>
                                <a:miter/>
                                <a:headEnd type="none" w="med" len="med"/>
                                <a:tailEnd type="none" w="med" len="med"/>
                              </a:ln>
                            </wps:spPr>
                            <wps:txbx>
                              <w:txbxContent>
                                <w:p w14:paraId="70BC745C">
                                  <w:pPr>
                                    <w:jc w:val="center"/>
                                  </w:pPr>
                                  <w:r>
                                    <w:rPr>
                                      <w:rFonts w:hint="eastAsia"/>
                                    </w:rPr>
                                    <w:t>电磁环境可听噪声</w:t>
                                  </w:r>
                                </w:p>
                              </w:txbxContent>
                            </wps:txbx>
                            <wps:bodyPr lIns="91439" tIns="45720" rIns="91439" bIns="45720" upright="1"/>
                          </wps:wsp>
                        </a:graphicData>
                      </a:graphic>
                    </wp:anchor>
                  </w:drawing>
                </mc:Choice>
                <mc:Fallback>
                  <w:pict>
                    <v:shape id="_x0000_s1026" o:spid="_x0000_s1026" o:spt="202" type="#_x0000_t202" style="position:absolute;left:0pt;margin-left:340pt;margin-top:14.15pt;height:38.75pt;width:63.6pt;z-index:251700224;mso-width-relative:page;mso-height-relative:page;" fillcolor="#FFFFFF" filled="t" stroked="t" coordsize="21600,21600" o:gfxdata="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Aj&#10;uQKu2QAAAAoBAAAPAAAAAAAAAAEAIAAAACIAAABkcnMvZG93bnJldi54bWxQSwECFAAUAAAACACH&#10;TuJAAA67wCMCAABqBAAADgAAAAAAAAABACAAAAAoAQAAZHJzL2Uyb0RvYy54bWxQSwUGAAAAAAYA&#10;BgBZAQAAvQUAAAAA&#10;">
                      <v:fill on="t" focussize="0,0"/>
                      <v:stroke color="#000000" joinstyle="miter" dashstyle="dash"/>
                      <v:imagedata o:title=""/>
                      <o:lock v:ext="edit" aspectratio="f"/>
                      <v:textbox inset="7.19992125984252pt,1.27mm,7.19992125984252pt,1.27mm">
                        <w:txbxContent>
                          <w:p w14:paraId="70BC745C">
                            <w:pPr>
                              <w:jc w:val="center"/>
                            </w:pPr>
                            <w:r>
                              <w:rPr>
                                <w:rFonts w:hint="eastAsia"/>
                              </w:rPr>
                              <w:t>电磁环境可听噪声</w:t>
                            </w:r>
                          </w:p>
                        </w:txbxContent>
                      </v:textbox>
                    </v:shape>
                  </w:pict>
                </mc:Fallback>
              </mc:AlternateContent>
            </w:r>
            <w:r>
              <w:rPr>
                <w:color w:val="auto"/>
              </w:rPr>
              <mc:AlternateContent>
                <mc:Choice Requires="wps">
                  <w:drawing>
                    <wp:anchor distT="0" distB="0" distL="114300" distR="114300" simplePos="0" relativeHeight="251698176" behindDoc="0" locked="0" layoutInCell="1" allowOverlap="1">
                      <wp:simplePos x="0" y="0"/>
                      <wp:positionH relativeFrom="column">
                        <wp:posOffset>83820</wp:posOffset>
                      </wp:positionH>
                      <wp:positionV relativeFrom="paragraph">
                        <wp:posOffset>179705</wp:posOffset>
                      </wp:positionV>
                      <wp:extent cx="3024505" cy="431800"/>
                      <wp:effectExtent l="5080" t="4445" r="18415" b="20955"/>
                      <wp:wrapNone/>
                      <wp:docPr id="81" name="文本框 81"/>
                      <wp:cNvGraphicFramePr/>
                      <a:graphic xmlns:a="http://schemas.openxmlformats.org/drawingml/2006/main">
                        <a:graphicData uri="http://schemas.microsoft.com/office/word/2010/wordprocessingShape">
                          <wps:wsp>
                            <wps:cNvSpPr txBox="1"/>
                            <wps:spPr>
                              <a:xfrm>
                                <a:off x="0" y="0"/>
                                <a:ext cx="3024505" cy="431800"/>
                              </a:xfrm>
                              <a:prstGeom prst="rect">
                                <a:avLst/>
                              </a:prstGeom>
                              <a:solidFill>
                                <a:srgbClr val="FFFFFF"/>
                              </a:solidFill>
                              <a:ln w="9525" cap="flat" cmpd="sng">
                                <a:solidFill>
                                  <a:srgbClr val="000000"/>
                                </a:solidFill>
                                <a:prstDash val="dash"/>
                                <a:miter/>
                                <a:headEnd type="none" w="med" len="med"/>
                                <a:tailEnd type="none" w="med" len="med"/>
                              </a:ln>
                            </wps:spPr>
                            <wps:txbx>
                              <w:txbxContent>
                                <w:p w14:paraId="295CBBA9">
                                  <w:pPr>
                                    <w:jc w:val="center"/>
                                  </w:pPr>
                                  <w:r>
                                    <w:rPr>
                                      <w:rFonts w:hint="eastAsia"/>
                                    </w:rPr>
                                    <w:t>噪声、扬尘、施工机械燃油废气、水土流失、生活污水、生活垃圾</w:t>
                                  </w:r>
                                </w:p>
                              </w:txbxContent>
                            </wps:txbx>
                            <wps:bodyPr lIns="91439" tIns="45720" rIns="91439" bIns="45720" upright="1"/>
                          </wps:wsp>
                        </a:graphicData>
                      </a:graphic>
                    </wp:anchor>
                  </w:drawing>
                </mc:Choice>
                <mc:Fallback>
                  <w:pict>
                    <v:shape id="_x0000_s1026" o:spid="_x0000_s1026" o:spt="202" type="#_x0000_t202" style="position:absolute;left:0pt;margin-left:6.6pt;margin-top:14.15pt;height:34pt;width:238.15pt;z-index:251698176;mso-width-relative:page;mso-height-relative:page;" fillcolor="#FFFFFF" filled="t" stroked="t" coordsize="21600,21600" o:gfxdata="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AhzWvHZAAAACAEAAA8AAAAAAAAAAQAgAAAAIgAAAGRycy9kb3ducmV2LnhtbFBLAQIUABQA&#10;AAAIAIdO4kCbKby+KAIAAGsEAAAOAAAAAAAAAAEAIAAAACgBAABkcnMvZTJvRG9jLnhtbFBLBQYA&#10;AAAABgAGAFkBAADCBQAAAAA=&#10;">
                      <v:fill on="t" focussize="0,0"/>
                      <v:stroke color="#000000" joinstyle="miter" dashstyle="dash"/>
                      <v:imagedata o:title=""/>
                      <o:lock v:ext="edit" aspectratio="f"/>
                      <v:textbox inset="7.19992125984252pt,1.27mm,7.19992125984252pt,1.27mm">
                        <w:txbxContent>
                          <w:p w14:paraId="295CBBA9">
                            <w:pPr>
                              <w:jc w:val="center"/>
                            </w:pPr>
                            <w:r>
                              <w:rPr>
                                <w:rFonts w:hint="eastAsia"/>
                              </w:rPr>
                              <w:t>噪声、扬尘、施工机械燃油废气、水土流失、生活污水、生活垃圾</w:t>
                            </w:r>
                          </w:p>
                        </w:txbxContent>
                      </v:textbox>
                    </v:shape>
                  </w:pict>
                </mc:Fallback>
              </mc:AlternateContent>
            </w:r>
          </w:p>
          <w:p w14:paraId="5B0D0F26">
            <w:pPr>
              <w:spacing w:line="360" w:lineRule="auto"/>
              <w:ind w:firstLine="420" w:firstLineChars="200"/>
              <w:rPr>
                <w:bCs/>
                <w:color w:val="auto"/>
              </w:rPr>
            </w:pPr>
          </w:p>
          <w:p w14:paraId="4725394E">
            <w:pPr>
              <w:spacing w:line="360" w:lineRule="auto"/>
              <w:ind w:firstLine="420" w:firstLineChars="200"/>
              <w:rPr>
                <w:bCs/>
                <w:color w:val="auto"/>
              </w:rPr>
            </w:pPr>
          </w:p>
          <w:p w14:paraId="0163CF3B">
            <w:pPr>
              <w:snapToGrid w:val="0"/>
              <w:spacing w:line="460" w:lineRule="exact"/>
              <w:jc w:val="center"/>
              <w:rPr>
                <w:bCs/>
                <w:color w:val="auto"/>
                <w:sz w:val="26"/>
                <w:szCs w:val="26"/>
              </w:rPr>
            </w:pPr>
            <w:r>
              <w:rPr>
                <w:rFonts w:hint="eastAsia"/>
                <w:bCs/>
                <w:color w:val="auto"/>
                <w:sz w:val="26"/>
                <w:szCs w:val="26"/>
              </w:rPr>
              <w:t>图4-1  架空线路施工工艺流程及产污节点示意图</w:t>
            </w:r>
          </w:p>
          <w:p w14:paraId="6B12F8FE">
            <w:pPr>
              <w:adjustRightInd w:val="0"/>
              <w:snapToGrid w:val="0"/>
              <w:ind w:firstLine="520" w:firstLineChars="200"/>
              <w:rPr>
                <w:color w:val="auto"/>
                <w:sz w:val="26"/>
                <w:szCs w:val="26"/>
              </w:rPr>
            </w:pPr>
          </w:p>
          <w:p w14:paraId="3F20E89A">
            <w:pPr>
              <w:adjustRightInd w:val="0"/>
              <w:snapToGrid w:val="0"/>
              <w:spacing w:line="460" w:lineRule="exact"/>
              <w:ind w:firstLine="520" w:firstLineChars="200"/>
              <w:rPr>
                <w:color w:val="auto"/>
                <w:sz w:val="26"/>
                <w:szCs w:val="26"/>
              </w:rPr>
            </w:pPr>
            <w:r>
              <w:rPr>
                <w:rFonts w:hint="eastAsia"/>
                <w:color w:val="auto"/>
                <w:sz w:val="26"/>
                <w:szCs w:val="26"/>
              </w:rPr>
              <w:t>线路施工为塔基开挖回填、隧道开挖、砼浇铸、材料运输与清除、线路的架设、场地复原等工序。这些活动对环境和生态环境产生一定的影响，但随着施工期的结束而结束。</w:t>
            </w:r>
          </w:p>
          <w:p w14:paraId="27518ABF">
            <w:pPr>
              <w:adjustRightInd w:val="0"/>
              <w:snapToGrid w:val="0"/>
              <w:spacing w:line="460" w:lineRule="exact"/>
              <w:ind w:firstLine="520" w:firstLineChars="200"/>
              <w:rPr>
                <w:color w:val="auto"/>
                <w:sz w:val="26"/>
                <w:szCs w:val="26"/>
              </w:rPr>
            </w:pPr>
            <w:r>
              <w:rPr>
                <w:rFonts w:hint="eastAsia"/>
                <w:color w:val="auto"/>
                <w:sz w:val="26"/>
                <w:szCs w:val="26"/>
              </w:rPr>
              <w:t>（2）110kV间隔扩建工程施工工艺及产</w:t>
            </w:r>
            <w:r>
              <w:rPr>
                <w:rFonts w:hint="eastAsia"/>
                <w:bCs/>
                <w:color w:val="auto"/>
                <w:sz w:val="26"/>
                <w:szCs w:val="26"/>
              </w:rPr>
              <w:t>污环节</w:t>
            </w:r>
          </w:p>
          <w:p w14:paraId="18E177F5">
            <w:pPr>
              <w:snapToGrid w:val="0"/>
              <w:spacing w:line="460" w:lineRule="exact"/>
              <w:ind w:firstLine="520" w:firstLineChars="200"/>
              <w:rPr>
                <w:color w:val="auto"/>
                <w:sz w:val="26"/>
                <w:szCs w:val="26"/>
              </w:rPr>
            </w:pPr>
            <w:r>
              <w:rPr>
                <w:rFonts w:hint="eastAsia"/>
                <w:color w:val="auto"/>
                <w:sz w:val="26"/>
                <w:szCs w:val="26"/>
              </w:rPr>
              <w:t>铁甲</w:t>
            </w:r>
            <w:r>
              <w:rPr>
                <w:color w:val="auto"/>
                <w:sz w:val="26"/>
                <w:szCs w:val="26"/>
              </w:rPr>
              <w:t>220kV</w:t>
            </w:r>
            <w:r>
              <w:rPr>
                <w:rFonts w:hint="eastAsia"/>
                <w:color w:val="auto"/>
                <w:sz w:val="26"/>
                <w:szCs w:val="26"/>
              </w:rPr>
              <w:t>变电站110kV出线间隔基础已建成，本期仅进行电气安装，无需土建施工，施工方式较简单。</w:t>
            </w:r>
          </w:p>
          <w:p w14:paraId="63EE5499">
            <w:pPr>
              <w:adjustRightInd w:val="0"/>
              <w:snapToGrid w:val="0"/>
              <w:spacing w:line="460" w:lineRule="exact"/>
              <w:ind w:firstLine="520" w:firstLineChars="200"/>
              <w:rPr>
                <w:color w:val="auto"/>
                <w:sz w:val="26"/>
                <w:szCs w:val="26"/>
              </w:rPr>
            </w:pPr>
            <w:r>
              <w:rPr>
                <w:rFonts w:hint="eastAsia"/>
                <w:color w:val="auto"/>
                <w:sz w:val="26"/>
                <w:szCs w:val="26"/>
              </w:rPr>
              <w:t>工艺流程：设备采购</w:t>
            </w:r>
            <w:r>
              <w:rPr>
                <w:color w:val="auto"/>
                <w:sz w:val="26"/>
                <w:szCs w:val="26"/>
              </w:rPr>
              <w:t>→</w:t>
            </w:r>
            <w:r>
              <w:rPr>
                <w:rFonts w:hint="eastAsia"/>
                <w:color w:val="auto"/>
                <w:sz w:val="26"/>
                <w:szCs w:val="26"/>
              </w:rPr>
              <w:t>设备运输</w:t>
            </w:r>
            <w:r>
              <w:rPr>
                <w:color w:val="auto"/>
                <w:sz w:val="26"/>
                <w:szCs w:val="26"/>
              </w:rPr>
              <w:t>→</w:t>
            </w:r>
            <w:r>
              <w:rPr>
                <w:rFonts w:hint="eastAsia"/>
                <w:color w:val="auto"/>
                <w:sz w:val="26"/>
                <w:szCs w:val="26"/>
              </w:rPr>
              <w:t>设备安装</w:t>
            </w:r>
            <w:r>
              <w:rPr>
                <w:color w:val="auto"/>
                <w:sz w:val="26"/>
                <w:szCs w:val="26"/>
              </w:rPr>
              <w:t>→</w:t>
            </w:r>
            <w:r>
              <w:rPr>
                <w:rFonts w:hint="eastAsia"/>
                <w:color w:val="auto"/>
                <w:sz w:val="26"/>
                <w:szCs w:val="26"/>
              </w:rPr>
              <w:t>设备调试</w:t>
            </w:r>
            <w:r>
              <w:rPr>
                <w:color w:val="auto"/>
                <w:sz w:val="26"/>
                <w:szCs w:val="26"/>
              </w:rPr>
              <w:t>→</w:t>
            </w:r>
            <w:r>
              <w:rPr>
                <w:rFonts w:hint="eastAsia"/>
                <w:color w:val="auto"/>
                <w:sz w:val="26"/>
                <w:szCs w:val="26"/>
              </w:rPr>
              <w:t>投入运行。</w:t>
            </w:r>
          </w:p>
          <w:p w14:paraId="05501F0E">
            <w:pPr>
              <w:adjustRightInd w:val="0"/>
              <w:snapToGrid w:val="0"/>
              <w:spacing w:line="460" w:lineRule="exact"/>
              <w:ind w:firstLine="520" w:firstLineChars="200"/>
              <w:rPr>
                <w:color w:val="auto"/>
                <w:sz w:val="26"/>
                <w:szCs w:val="26"/>
              </w:rPr>
            </w:pPr>
            <w:r>
              <w:rPr>
                <w:rFonts w:hint="eastAsia"/>
                <w:color w:val="auto"/>
                <w:sz w:val="26"/>
                <w:szCs w:val="26"/>
              </w:rPr>
              <w:t>扩建工程施工主要产污环节为设备安装产生的噪声。</w:t>
            </w:r>
          </w:p>
          <w:p w14:paraId="5687B317">
            <w:pPr>
              <w:adjustRightInd w:val="0"/>
              <w:snapToGrid w:val="0"/>
              <w:spacing w:line="460" w:lineRule="exact"/>
              <w:ind w:firstLine="522" w:firstLineChars="200"/>
              <w:jc w:val="left"/>
              <w:rPr>
                <w:b/>
                <w:bCs/>
                <w:color w:val="auto"/>
                <w:sz w:val="26"/>
                <w:szCs w:val="26"/>
              </w:rPr>
            </w:pPr>
            <w:r>
              <w:rPr>
                <w:rFonts w:hint="eastAsia"/>
                <w:b/>
                <w:bCs/>
                <w:color w:val="auto"/>
                <w:sz w:val="26"/>
                <w:szCs w:val="26"/>
              </w:rPr>
              <w:t>4</w:t>
            </w:r>
            <w:r>
              <w:rPr>
                <w:b/>
                <w:bCs/>
                <w:color w:val="auto"/>
                <w:sz w:val="26"/>
                <w:szCs w:val="26"/>
              </w:rPr>
              <w:t>.1.1</w:t>
            </w:r>
            <w:r>
              <w:rPr>
                <w:rFonts w:hint="eastAsia"/>
                <w:b/>
                <w:bCs/>
                <w:color w:val="auto"/>
                <w:sz w:val="26"/>
                <w:szCs w:val="26"/>
              </w:rPr>
              <w:t>废水</w:t>
            </w:r>
          </w:p>
          <w:p w14:paraId="21F124DA">
            <w:pPr>
              <w:adjustRightInd w:val="0"/>
              <w:snapToGrid w:val="0"/>
              <w:spacing w:line="460" w:lineRule="exact"/>
              <w:ind w:firstLine="520" w:firstLineChars="200"/>
              <w:rPr>
                <w:color w:val="auto"/>
                <w:sz w:val="26"/>
                <w:szCs w:val="26"/>
              </w:rPr>
            </w:pPr>
            <w:r>
              <w:rPr>
                <w:color w:val="auto"/>
                <w:sz w:val="26"/>
                <w:szCs w:val="26"/>
              </w:rPr>
              <w:t>拟建项目施工期污水主要来自两个方面：一是施工废水，二是施工人员的生活污水。施工废水主要为施工设备的维修、冲洗废水，少量混凝土养护废水及线路塔基施工（主要采取人工开挖，少数采用使用机械钻孔灌注，产生的少量泥浆）时使用钻机产生的少量钻浆水及钻渣，废水量约2m</w:t>
            </w:r>
            <w:r>
              <w:rPr>
                <w:color w:val="auto"/>
                <w:sz w:val="26"/>
                <w:szCs w:val="26"/>
                <w:vertAlign w:val="superscript"/>
              </w:rPr>
              <w:t>3</w:t>
            </w:r>
            <w:r>
              <w:rPr>
                <w:color w:val="auto"/>
                <w:sz w:val="26"/>
                <w:szCs w:val="26"/>
              </w:rPr>
              <w:t>/d，pH值约为10，SS约1000～6000mg/L，石油类约15mg/L。施工人员每天最多时约</w:t>
            </w:r>
            <w:r>
              <w:rPr>
                <w:rFonts w:hint="eastAsia"/>
                <w:color w:val="auto"/>
                <w:sz w:val="26"/>
                <w:szCs w:val="26"/>
              </w:rPr>
              <w:t>2</w:t>
            </w:r>
            <w:r>
              <w:rPr>
                <w:color w:val="auto"/>
                <w:sz w:val="26"/>
                <w:szCs w:val="26"/>
              </w:rPr>
              <w:t>0人，其人均污水产生量按0.1m</w:t>
            </w:r>
            <w:r>
              <w:rPr>
                <w:color w:val="auto"/>
                <w:sz w:val="26"/>
                <w:szCs w:val="26"/>
                <w:vertAlign w:val="superscript"/>
              </w:rPr>
              <w:t>3</w:t>
            </w:r>
            <w:r>
              <w:rPr>
                <w:color w:val="auto"/>
                <w:sz w:val="26"/>
                <w:szCs w:val="26"/>
              </w:rPr>
              <w:t>/d计算，则废水产生量最大为</w:t>
            </w:r>
            <w:r>
              <w:rPr>
                <w:rFonts w:hint="eastAsia"/>
                <w:color w:val="auto"/>
                <w:sz w:val="26"/>
                <w:szCs w:val="26"/>
              </w:rPr>
              <w:t>2</w:t>
            </w:r>
            <w:r>
              <w:rPr>
                <w:color w:val="auto"/>
                <w:sz w:val="26"/>
                <w:szCs w:val="26"/>
              </w:rPr>
              <w:t>m</w:t>
            </w:r>
            <w:r>
              <w:rPr>
                <w:color w:val="auto"/>
                <w:sz w:val="26"/>
                <w:szCs w:val="26"/>
                <w:vertAlign w:val="superscript"/>
              </w:rPr>
              <w:t>3</w:t>
            </w:r>
            <w:r>
              <w:rPr>
                <w:color w:val="auto"/>
                <w:sz w:val="26"/>
                <w:szCs w:val="26"/>
              </w:rPr>
              <w:t>/d，主要污染物浓度COD浓度为300～500mg/L、NH3-N浓度为35mg/L、SS浓度为200～300mg/L。</w:t>
            </w:r>
          </w:p>
          <w:p w14:paraId="1FA6A1B0">
            <w:pPr>
              <w:adjustRightInd w:val="0"/>
              <w:snapToGrid w:val="0"/>
              <w:spacing w:line="460" w:lineRule="exact"/>
              <w:ind w:firstLine="520" w:firstLineChars="200"/>
              <w:rPr>
                <w:color w:val="auto"/>
                <w:sz w:val="26"/>
                <w:szCs w:val="26"/>
              </w:rPr>
            </w:pPr>
            <w:r>
              <w:rPr>
                <w:color w:val="auto"/>
                <w:sz w:val="26"/>
                <w:szCs w:val="26"/>
              </w:rPr>
              <w:t>项目工程量不大，施工人员少，施工集中作业地距离周围住户不远，不单独设临时厕所，生活污水依托周边已有公共设施或者民房化粪池。施工废水经简易沉淀池处理后上清液回用洒水，产生的少量泥浆、钻渣待沉淀干化后全部回填至塔基区，就地平整，少量混凝土养护废水自然蒸发。不直接将废水排入地表水，不会对环境造成明显影响</w:t>
            </w:r>
            <w:r>
              <w:rPr>
                <w:rFonts w:hint="eastAsia"/>
                <w:color w:val="auto"/>
                <w:sz w:val="26"/>
                <w:szCs w:val="26"/>
              </w:rPr>
              <w:t>。</w:t>
            </w:r>
          </w:p>
          <w:p w14:paraId="205FB17E">
            <w:pPr>
              <w:adjustRightInd w:val="0"/>
              <w:snapToGrid w:val="0"/>
              <w:spacing w:line="460" w:lineRule="exact"/>
              <w:ind w:firstLine="522" w:firstLineChars="200"/>
              <w:jc w:val="left"/>
              <w:rPr>
                <w:b/>
                <w:bCs/>
                <w:color w:val="auto"/>
                <w:sz w:val="26"/>
                <w:szCs w:val="26"/>
              </w:rPr>
            </w:pPr>
            <w:r>
              <w:rPr>
                <w:rFonts w:hint="eastAsia"/>
                <w:b/>
                <w:bCs/>
                <w:color w:val="auto"/>
                <w:sz w:val="26"/>
                <w:szCs w:val="26"/>
              </w:rPr>
              <w:t>4</w:t>
            </w:r>
            <w:r>
              <w:rPr>
                <w:b/>
                <w:bCs/>
                <w:color w:val="auto"/>
                <w:sz w:val="26"/>
                <w:szCs w:val="26"/>
              </w:rPr>
              <w:t>.1.2</w:t>
            </w:r>
            <w:r>
              <w:rPr>
                <w:rFonts w:hint="eastAsia"/>
                <w:b/>
                <w:bCs/>
                <w:color w:val="auto"/>
                <w:sz w:val="26"/>
                <w:szCs w:val="26"/>
              </w:rPr>
              <w:t>废气</w:t>
            </w:r>
          </w:p>
          <w:p w14:paraId="09B3984C">
            <w:pPr>
              <w:adjustRightInd w:val="0"/>
              <w:snapToGrid w:val="0"/>
              <w:spacing w:line="460" w:lineRule="exact"/>
              <w:ind w:firstLine="520" w:firstLineChars="200"/>
              <w:rPr>
                <w:color w:val="auto"/>
                <w:sz w:val="26"/>
                <w:szCs w:val="26"/>
              </w:rPr>
            </w:pPr>
            <w:r>
              <w:rPr>
                <w:color w:val="auto"/>
                <w:sz w:val="26"/>
                <w:szCs w:val="26"/>
              </w:rPr>
              <w:t>输电线路的施工对环境空气质量的影响主要为扬尘污染和施工机械尾气污染。铁塔</w:t>
            </w:r>
            <w:r>
              <w:rPr>
                <w:rFonts w:hint="eastAsia"/>
                <w:color w:val="auto"/>
                <w:sz w:val="26"/>
                <w:szCs w:val="26"/>
              </w:rPr>
              <w:t>、通道</w:t>
            </w:r>
            <w:r>
              <w:rPr>
                <w:color w:val="auto"/>
                <w:sz w:val="26"/>
                <w:szCs w:val="26"/>
              </w:rPr>
              <w:t>基础开挖、车辆运输等产生的扬尘在短期内将使局部区域空气中的TSP增加；施工机械（如载重汽车等）产生的尾气主要污染物为CO、NOx等，施工扬尘影响主要是在线路施工区塔基附近，对周围环境影响较小。线路施工为点状工程，环境空气污染源主要有各类燃油动力机械在进行施工活动时排放的CO和NO</w:t>
            </w:r>
            <w:r>
              <w:rPr>
                <w:color w:val="auto"/>
                <w:sz w:val="26"/>
                <w:szCs w:val="26"/>
                <w:vertAlign w:val="subscript"/>
              </w:rPr>
              <w:t>X</w:t>
            </w:r>
            <w:r>
              <w:rPr>
                <w:color w:val="auto"/>
                <w:sz w:val="26"/>
                <w:szCs w:val="26"/>
              </w:rPr>
              <w:t>废气，但由于施工场地较为分散，且施工时间较短，使用数量不多，产生的污染物较少。施工期对大气环境的影响是暂时的，只要施工期保持对干燥作业面进行洒水处理后，施工期对环境影响较小，工程施工结束后其大气环境影响可得以恢复。</w:t>
            </w:r>
          </w:p>
          <w:p w14:paraId="54F165D5">
            <w:pPr>
              <w:adjustRightInd w:val="0"/>
              <w:snapToGrid w:val="0"/>
              <w:spacing w:line="460" w:lineRule="exact"/>
              <w:ind w:firstLine="522" w:firstLineChars="200"/>
              <w:jc w:val="left"/>
              <w:rPr>
                <w:b/>
                <w:bCs/>
                <w:color w:val="auto"/>
                <w:sz w:val="26"/>
                <w:szCs w:val="26"/>
              </w:rPr>
            </w:pPr>
            <w:r>
              <w:rPr>
                <w:rFonts w:hint="eastAsia"/>
                <w:b/>
                <w:bCs/>
                <w:color w:val="auto"/>
                <w:sz w:val="26"/>
                <w:szCs w:val="26"/>
              </w:rPr>
              <w:t>4</w:t>
            </w:r>
            <w:r>
              <w:rPr>
                <w:b/>
                <w:bCs/>
                <w:color w:val="auto"/>
                <w:sz w:val="26"/>
                <w:szCs w:val="26"/>
              </w:rPr>
              <w:t>.1.3</w:t>
            </w:r>
            <w:r>
              <w:rPr>
                <w:rFonts w:hint="eastAsia"/>
                <w:b/>
                <w:bCs/>
                <w:color w:val="auto"/>
                <w:sz w:val="26"/>
                <w:szCs w:val="26"/>
              </w:rPr>
              <w:t>噪声</w:t>
            </w:r>
          </w:p>
          <w:p w14:paraId="6E199044">
            <w:pPr>
              <w:adjustRightInd w:val="0"/>
              <w:snapToGrid w:val="0"/>
              <w:spacing w:line="460" w:lineRule="exact"/>
              <w:ind w:firstLine="520" w:firstLineChars="200"/>
              <w:rPr>
                <w:color w:val="auto"/>
                <w:sz w:val="26"/>
                <w:szCs w:val="26"/>
              </w:rPr>
            </w:pPr>
            <w:r>
              <w:rPr>
                <w:rFonts w:hint="eastAsia"/>
                <w:color w:val="auto"/>
                <w:sz w:val="26"/>
                <w:szCs w:val="26"/>
              </w:rPr>
              <w:t>输电线架线施工主要采用张力放线，主要噪声有：架线施工中各种机械引起的噪声（如卷扬机、振动棒、运输车辆、牵引机、张力机等），主要集中在塔基附近及牵张场附近，其声级值一般小于</w:t>
            </w:r>
            <w:r>
              <w:rPr>
                <w:color w:val="auto"/>
                <w:sz w:val="26"/>
                <w:szCs w:val="26"/>
              </w:rPr>
              <w:t>70dB(A)</w:t>
            </w:r>
            <w:r>
              <w:rPr>
                <w:rFonts w:hint="eastAsia"/>
                <w:color w:val="auto"/>
                <w:sz w:val="26"/>
                <w:szCs w:val="26"/>
              </w:rPr>
              <w:t>。拟建线路塔基开挖采用人工开挖方式，基础施工时混凝土采用商品混凝土，其施工噪声不大于</w:t>
            </w:r>
            <w:r>
              <w:rPr>
                <w:color w:val="auto"/>
                <w:sz w:val="26"/>
                <w:szCs w:val="26"/>
              </w:rPr>
              <w:t>70dB</w:t>
            </w:r>
            <w:r>
              <w:rPr>
                <w:rFonts w:hint="eastAsia"/>
                <w:color w:val="auto"/>
                <w:sz w:val="26"/>
                <w:szCs w:val="26"/>
              </w:rPr>
              <w:t>（</w:t>
            </w:r>
            <w:r>
              <w:rPr>
                <w:color w:val="auto"/>
                <w:sz w:val="26"/>
                <w:szCs w:val="26"/>
              </w:rPr>
              <w:t>A</w:t>
            </w:r>
            <w:r>
              <w:rPr>
                <w:rFonts w:hint="eastAsia"/>
                <w:color w:val="auto"/>
                <w:sz w:val="26"/>
                <w:szCs w:val="26"/>
              </w:rPr>
              <w:t>）。变电站间隔扩建工程施工内容简单，施工时间较短，不涉及高噪声设备的持续使用、设备材料运输量较小，产生的噪声也相对较小，施工噪声通过围墙隔挡和距离衰减后，对变电站周边居民区影响较小施工量小。项目施工历时短，合理安排施工时段，可以避免对周围环境的影响。</w:t>
            </w:r>
          </w:p>
          <w:p w14:paraId="688006B0">
            <w:pPr>
              <w:adjustRightInd w:val="0"/>
              <w:snapToGrid w:val="0"/>
              <w:spacing w:line="460" w:lineRule="exact"/>
              <w:ind w:firstLine="522" w:firstLineChars="200"/>
              <w:jc w:val="left"/>
              <w:rPr>
                <w:b/>
                <w:bCs/>
                <w:color w:val="auto"/>
                <w:sz w:val="26"/>
                <w:szCs w:val="26"/>
              </w:rPr>
            </w:pPr>
            <w:r>
              <w:rPr>
                <w:rFonts w:hint="eastAsia"/>
                <w:b/>
                <w:bCs/>
                <w:color w:val="auto"/>
                <w:sz w:val="26"/>
                <w:szCs w:val="26"/>
              </w:rPr>
              <w:t>4</w:t>
            </w:r>
            <w:r>
              <w:rPr>
                <w:b/>
                <w:bCs/>
                <w:color w:val="auto"/>
                <w:sz w:val="26"/>
                <w:szCs w:val="26"/>
              </w:rPr>
              <w:t>.1.4</w:t>
            </w:r>
            <w:r>
              <w:rPr>
                <w:rFonts w:hint="eastAsia"/>
                <w:b/>
                <w:bCs/>
                <w:color w:val="auto"/>
                <w:sz w:val="26"/>
                <w:szCs w:val="26"/>
              </w:rPr>
              <w:t>固体废物</w:t>
            </w:r>
          </w:p>
          <w:p w14:paraId="37194616">
            <w:pPr>
              <w:adjustRightInd w:val="0"/>
              <w:snapToGrid w:val="0"/>
              <w:spacing w:line="460" w:lineRule="exact"/>
              <w:ind w:firstLine="520" w:firstLineChars="200"/>
              <w:rPr>
                <w:color w:val="auto"/>
                <w:sz w:val="26"/>
                <w:szCs w:val="26"/>
              </w:rPr>
            </w:pPr>
            <w:r>
              <w:rPr>
                <w:rFonts w:hint="eastAsia"/>
                <w:color w:val="auto"/>
                <w:sz w:val="26"/>
                <w:szCs w:val="26"/>
              </w:rPr>
              <w:t>线路工程单个铁塔涉及土石方量较少，多余土石方在塔基范围内处理，施工结束后全部用于回填及就地夯实，基本无弃土，无取（弃）土场。</w:t>
            </w:r>
          </w:p>
          <w:p w14:paraId="033011BA">
            <w:pPr>
              <w:adjustRightInd w:val="0"/>
              <w:snapToGrid w:val="0"/>
              <w:spacing w:line="460" w:lineRule="exact"/>
              <w:ind w:firstLine="520" w:firstLineChars="200"/>
              <w:rPr>
                <w:color w:val="auto"/>
                <w:sz w:val="26"/>
                <w:szCs w:val="26"/>
              </w:rPr>
            </w:pPr>
            <w:r>
              <w:rPr>
                <w:rFonts w:hint="eastAsia"/>
                <w:color w:val="auto"/>
                <w:sz w:val="26"/>
                <w:szCs w:val="26"/>
              </w:rPr>
              <w:t>施工人员的生活垃圾产生量以人均0.5kg/d计算，最大量为10kg/d，统一收集。</w:t>
            </w:r>
          </w:p>
          <w:p w14:paraId="1FA126BB">
            <w:pPr>
              <w:adjustRightInd w:val="0"/>
              <w:snapToGrid w:val="0"/>
              <w:spacing w:line="460" w:lineRule="exact"/>
              <w:ind w:firstLine="520" w:firstLineChars="200"/>
              <w:rPr>
                <w:color w:val="auto"/>
              </w:rPr>
            </w:pPr>
            <w:r>
              <w:rPr>
                <w:rFonts w:hint="eastAsia"/>
                <w:color w:val="auto"/>
                <w:sz w:val="26"/>
                <w:szCs w:val="26"/>
              </w:rPr>
              <w:t>采取上述措施后，项目施工期产生的固体废物对周围环境影响很小。</w:t>
            </w:r>
          </w:p>
          <w:p w14:paraId="411F4D16">
            <w:pPr>
              <w:spacing w:line="460" w:lineRule="exact"/>
              <w:ind w:firstLine="522" w:firstLineChars="200"/>
              <w:rPr>
                <w:b/>
                <w:bCs/>
                <w:color w:val="auto"/>
                <w:sz w:val="26"/>
                <w:szCs w:val="26"/>
              </w:rPr>
            </w:pPr>
            <w:r>
              <w:rPr>
                <w:rFonts w:hint="eastAsia"/>
                <w:b/>
                <w:bCs/>
                <w:color w:val="auto"/>
                <w:sz w:val="26"/>
                <w:szCs w:val="26"/>
              </w:rPr>
              <w:t>4</w:t>
            </w:r>
            <w:r>
              <w:rPr>
                <w:b/>
                <w:bCs/>
                <w:color w:val="auto"/>
                <w:sz w:val="26"/>
                <w:szCs w:val="26"/>
              </w:rPr>
              <w:t>.1.</w:t>
            </w:r>
            <w:r>
              <w:rPr>
                <w:rFonts w:hint="eastAsia"/>
                <w:b/>
                <w:bCs/>
                <w:color w:val="auto"/>
                <w:sz w:val="26"/>
                <w:szCs w:val="26"/>
              </w:rPr>
              <w:t>5生态环境</w:t>
            </w:r>
          </w:p>
          <w:p w14:paraId="31B59F85">
            <w:pPr>
              <w:spacing w:line="460" w:lineRule="exact"/>
              <w:ind w:firstLine="520" w:firstLineChars="200"/>
              <w:rPr>
                <w:color w:val="auto"/>
                <w:kern w:val="0"/>
                <w:sz w:val="26"/>
                <w:szCs w:val="26"/>
              </w:rPr>
            </w:pPr>
            <w:r>
              <w:rPr>
                <w:rFonts w:hint="eastAsia"/>
                <w:color w:val="auto"/>
                <w:sz w:val="26"/>
                <w:szCs w:val="26"/>
              </w:rPr>
              <w:t>（1）工程占地</w:t>
            </w:r>
          </w:p>
          <w:p w14:paraId="61F9F694">
            <w:pPr>
              <w:spacing w:line="460" w:lineRule="exact"/>
              <w:ind w:firstLine="520" w:firstLineChars="200"/>
              <w:rPr>
                <w:color w:val="auto"/>
                <w:sz w:val="26"/>
                <w:szCs w:val="26"/>
                <w:highlight w:val="yellow"/>
              </w:rPr>
            </w:pPr>
            <w:r>
              <w:rPr>
                <w:rFonts w:hint="eastAsia"/>
                <w:color w:val="auto"/>
                <w:sz w:val="26"/>
                <w:szCs w:val="26"/>
              </w:rPr>
              <w:t>工程占地分为</w:t>
            </w:r>
            <w:r>
              <w:rPr>
                <w:rFonts w:hint="eastAsia"/>
                <w:color w:val="auto"/>
                <w:sz w:val="26"/>
                <w:szCs w:val="26"/>
                <w:lang w:val="en-US" w:eastAsia="zh-CN"/>
              </w:rPr>
              <w:t>塔基</w:t>
            </w:r>
            <w:r>
              <w:rPr>
                <w:rFonts w:hint="eastAsia"/>
                <w:color w:val="auto"/>
                <w:sz w:val="26"/>
                <w:szCs w:val="26"/>
              </w:rPr>
              <w:t>占地和临时占地。临时占地主要为施工场地、施工便道及牵张场占地。根据建设单位提供的资料，本项目线路塔基占地约1536</w:t>
            </w:r>
            <w:r>
              <w:rPr>
                <w:color w:val="auto"/>
                <w:sz w:val="26"/>
                <w:szCs w:val="26"/>
              </w:rPr>
              <w:t>m</w:t>
            </w:r>
            <w:r>
              <w:rPr>
                <w:color w:val="auto"/>
                <w:sz w:val="26"/>
                <w:szCs w:val="26"/>
                <w:vertAlign w:val="superscript"/>
              </w:rPr>
              <w:t>2</w:t>
            </w:r>
            <w:r>
              <w:rPr>
                <w:rFonts w:hint="eastAsia"/>
                <w:color w:val="auto"/>
                <w:sz w:val="26"/>
                <w:szCs w:val="26"/>
                <w:vertAlign w:val="baseline"/>
                <w:lang w:eastAsia="zh-CN"/>
              </w:rPr>
              <w:t>，</w:t>
            </w:r>
            <w:r>
              <w:rPr>
                <w:rFonts w:hint="eastAsia"/>
                <w:color w:val="auto"/>
                <w:sz w:val="26"/>
                <w:szCs w:val="26"/>
              </w:rPr>
              <w:t>临时占地面积共约7590</w:t>
            </w:r>
            <w:r>
              <w:rPr>
                <w:color w:val="auto"/>
                <w:sz w:val="26"/>
                <w:szCs w:val="26"/>
              </w:rPr>
              <w:t>m</w:t>
            </w:r>
            <w:r>
              <w:rPr>
                <w:color w:val="auto"/>
                <w:sz w:val="26"/>
                <w:szCs w:val="26"/>
                <w:vertAlign w:val="superscript"/>
              </w:rPr>
              <w:t>2</w:t>
            </w:r>
            <w:r>
              <w:rPr>
                <w:rFonts w:hint="eastAsia"/>
                <w:color w:val="auto"/>
                <w:sz w:val="26"/>
                <w:szCs w:val="26"/>
              </w:rPr>
              <w:t>。</w:t>
            </w:r>
          </w:p>
          <w:p w14:paraId="241B1025">
            <w:pPr>
              <w:spacing w:line="460" w:lineRule="exact"/>
              <w:ind w:firstLine="520" w:firstLineChars="200"/>
              <w:rPr>
                <w:color w:val="auto"/>
                <w:sz w:val="26"/>
                <w:szCs w:val="26"/>
                <w:highlight w:val="yellow"/>
              </w:rPr>
            </w:pPr>
            <w:r>
              <w:rPr>
                <w:rFonts w:hint="eastAsia"/>
                <w:color w:val="auto"/>
                <w:sz w:val="26"/>
                <w:szCs w:val="26"/>
              </w:rPr>
              <w:t>工程</w:t>
            </w:r>
            <w:r>
              <w:rPr>
                <w:rFonts w:hint="eastAsia"/>
                <w:color w:val="auto"/>
                <w:sz w:val="26"/>
                <w:szCs w:val="26"/>
                <w:lang w:val="en-US" w:eastAsia="zh-CN"/>
              </w:rPr>
              <w:t>塔基</w:t>
            </w:r>
            <w:r>
              <w:rPr>
                <w:rFonts w:hint="eastAsia"/>
                <w:color w:val="auto"/>
                <w:sz w:val="26"/>
                <w:szCs w:val="26"/>
              </w:rPr>
              <w:t>占地将改变土地利用功能，临时占地会暂时改变其使用功能，破坏地表植被，占用完毕后如不及时恢复，会加剧周边水土流失。但本项目占地以旱地、林地及草地为主，并在设计阶段尽可能减少了土石方开挖量和工程占地。</w:t>
            </w:r>
          </w:p>
          <w:p w14:paraId="5ED80828">
            <w:pPr>
              <w:spacing w:line="460" w:lineRule="exact"/>
              <w:ind w:firstLine="520" w:firstLineChars="200"/>
              <w:rPr>
                <w:color w:val="auto"/>
                <w:sz w:val="26"/>
                <w:szCs w:val="26"/>
              </w:rPr>
            </w:pPr>
            <w:r>
              <w:rPr>
                <w:rFonts w:hint="eastAsia"/>
                <w:color w:val="auto"/>
                <w:sz w:val="26"/>
                <w:szCs w:val="26"/>
              </w:rPr>
              <w:t>（2）工程土石方</w:t>
            </w:r>
          </w:p>
          <w:p w14:paraId="17BD1569">
            <w:pPr>
              <w:adjustRightInd w:val="0"/>
              <w:snapToGrid w:val="0"/>
              <w:spacing w:line="460" w:lineRule="exact"/>
              <w:ind w:firstLine="520" w:firstLineChars="200"/>
              <w:rPr>
                <w:color w:val="auto"/>
                <w:sz w:val="26"/>
                <w:szCs w:val="26"/>
              </w:rPr>
            </w:pPr>
            <w:r>
              <w:rPr>
                <w:rFonts w:hint="eastAsia"/>
                <w:color w:val="auto"/>
                <w:sz w:val="26"/>
                <w:szCs w:val="26"/>
              </w:rPr>
              <w:t>本项目施工期挖方约2500m</w:t>
            </w:r>
            <w:r>
              <w:rPr>
                <w:rFonts w:hint="eastAsia"/>
                <w:color w:val="auto"/>
                <w:sz w:val="26"/>
                <w:szCs w:val="26"/>
                <w:vertAlign w:val="superscript"/>
              </w:rPr>
              <w:t>3</w:t>
            </w:r>
            <w:r>
              <w:rPr>
                <w:rFonts w:hint="eastAsia"/>
                <w:color w:val="auto"/>
                <w:sz w:val="26"/>
                <w:szCs w:val="26"/>
              </w:rPr>
              <w:t>，利用方约2500m</w:t>
            </w:r>
            <w:r>
              <w:rPr>
                <w:rFonts w:hint="eastAsia"/>
                <w:color w:val="auto"/>
                <w:sz w:val="26"/>
                <w:szCs w:val="26"/>
                <w:vertAlign w:val="superscript"/>
              </w:rPr>
              <w:t>3</w:t>
            </w:r>
            <w:r>
              <w:rPr>
                <w:rFonts w:hint="eastAsia"/>
                <w:color w:val="auto"/>
                <w:sz w:val="26"/>
                <w:szCs w:val="26"/>
              </w:rPr>
              <w:t>，无弃方产生。</w:t>
            </w:r>
          </w:p>
          <w:p w14:paraId="7AC03FED">
            <w:pPr>
              <w:spacing w:line="460" w:lineRule="exact"/>
              <w:ind w:firstLine="520" w:firstLineChars="200"/>
              <w:rPr>
                <w:color w:val="auto"/>
                <w:sz w:val="26"/>
                <w:szCs w:val="26"/>
              </w:rPr>
            </w:pPr>
            <w:r>
              <w:rPr>
                <w:rFonts w:hint="eastAsia"/>
                <w:color w:val="auto"/>
                <w:sz w:val="26"/>
                <w:szCs w:val="26"/>
              </w:rPr>
              <w:t>（3）植被影响</w:t>
            </w:r>
          </w:p>
          <w:p w14:paraId="0A7FA62C">
            <w:pPr>
              <w:spacing w:line="460" w:lineRule="exact"/>
              <w:ind w:firstLine="520" w:firstLineChars="200"/>
              <w:rPr>
                <w:color w:val="auto"/>
                <w:sz w:val="26"/>
                <w:szCs w:val="26"/>
              </w:rPr>
            </w:pPr>
            <w:r>
              <w:rPr>
                <w:color w:val="auto"/>
                <w:sz w:val="26"/>
                <w:szCs w:val="26"/>
              </w:rPr>
              <w:t>项目</w:t>
            </w:r>
            <w:r>
              <w:rPr>
                <w:rFonts w:hint="eastAsia"/>
                <w:color w:val="auto"/>
                <w:sz w:val="26"/>
                <w:szCs w:val="26"/>
              </w:rPr>
              <w:t>塔基占地</w:t>
            </w:r>
            <w:r>
              <w:rPr>
                <w:color w:val="auto"/>
                <w:sz w:val="26"/>
                <w:szCs w:val="26"/>
              </w:rPr>
              <w:t>内林地主要包括</w:t>
            </w:r>
            <w:r>
              <w:rPr>
                <w:rFonts w:hint="eastAsia"/>
                <w:color w:val="auto"/>
                <w:sz w:val="26"/>
                <w:szCs w:val="26"/>
              </w:rPr>
              <w:t>油松、华山松</w:t>
            </w:r>
            <w:r>
              <w:rPr>
                <w:color w:val="auto"/>
                <w:sz w:val="26"/>
                <w:szCs w:val="26"/>
              </w:rPr>
              <w:t>等常见种为主要物种。拟建工程在进行</w:t>
            </w:r>
            <w:r>
              <w:rPr>
                <w:rFonts w:hint="eastAsia"/>
                <w:color w:val="auto"/>
                <w:sz w:val="26"/>
                <w:szCs w:val="26"/>
              </w:rPr>
              <w:t>塔基</w:t>
            </w:r>
            <w:r>
              <w:rPr>
                <w:color w:val="auto"/>
                <w:sz w:val="26"/>
                <w:szCs w:val="26"/>
              </w:rPr>
              <w:t>地表清理及修建时，会砍伐林木约</w:t>
            </w:r>
            <w:r>
              <w:rPr>
                <w:rFonts w:hint="eastAsia"/>
                <w:color w:val="auto"/>
                <w:sz w:val="26"/>
                <w:szCs w:val="26"/>
              </w:rPr>
              <w:t>2500棵</w:t>
            </w:r>
            <w:r>
              <w:rPr>
                <w:color w:val="auto"/>
                <w:sz w:val="26"/>
                <w:szCs w:val="26"/>
              </w:rPr>
              <w:t>，砍伐的林木对评价区整个森林资源影响小。施工时人为</w:t>
            </w:r>
            <w:r>
              <w:rPr>
                <w:rFonts w:hint="eastAsia"/>
                <w:color w:val="auto"/>
                <w:sz w:val="26"/>
                <w:szCs w:val="26"/>
                <w:lang w:eastAsia="zh-CN"/>
              </w:rPr>
              <w:t>活动</w:t>
            </w:r>
            <w:r>
              <w:rPr>
                <w:color w:val="auto"/>
                <w:sz w:val="26"/>
                <w:szCs w:val="26"/>
              </w:rPr>
              <w:t>不会直接对占地范围外的林地产生影响，主要是施工期产生的颗粒物随风飘到附近区域，在植物叶子上凝聚，达到一定厚度将影响植物的光合作用，但工程所在地雨水较多，遇降雨即可把叶片上的粉尘冲洗掉，粉尘的影响主要在旱季。施工时加强保护和管理，就能降低施工对植被的影响，使其在工程竣工后易于恢复。</w:t>
            </w:r>
          </w:p>
          <w:p w14:paraId="2AD1C9E9">
            <w:pPr>
              <w:spacing w:line="460" w:lineRule="exact"/>
              <w:ind w:firstLine="520" w:firstLineChars="200"/>
              <w:rPr>
                <w:color w:val="auto"/>
                <w:sz w:val="26"/>
                <w:szCs w:val="26"/>
              </w:rPr>
            </w:pPr>
            <w:r>
              <w:rPr>
                <w:color w:val="auto"/>
                <w:sz w:val="26"/>
                <w:szCs w:val="26"/>
              </w:rPr>
              <w:t>施工用地主要为</w:t>
            </w:r>
            <w:r>
              <w:rPr>
                <w:rFonts w:hint="eastAsia"/>
                <w:color w:val="auto"/>
                <w:sz w:val="26"/>
                <w:szCs w:val="26"/>
              </w:rPr>
              <w:t>油松、华山松等</w:t>
            </w:r>
            <w:r>
              <w:rPr>
                <w:color w:val="auto"/>
                <w:sz w:val="26"/>
                <w:szCs w:val="26"/>
              </w:rPr>
              <w:t>，均为区域常见种，项目在进行地表占用及主体工程建设时，施工期机械运作及人为活动对植被的破坏较小，对植物多样性影响很小。</w:t>
            </w:r>
          </w:p>
          <w:p w14:paraId="4CA54A6A">
            <w:pPr>
              <w:spacing w:line="460" w:lineRule="exact"/>
              <w:ind w:firstLine="520" w:firstLineChars="200"/>
              <w:rPr>
                <w:color w:val="auto"/>
                <w:sz w:val="26"/>
                <w:szCs w:val="26"/>
              </w:rPr>
            </w:pPr>
            <w:r>
              <w:rPr>
                <w:rFonts w:hint="eastAsia"/>
                <w:color w:val="auto"/>
                <w:sz w:val="26"/>
                <w:szCs w:val="26"/>
              </w:rPr>
              <w:t>本工程</w:t>
            </w:r>
            <w:r>
              <w:rPr>
                <w:color w:val="auto"/>
                <w:sz w:val="26"/>
                <w:szCs w:val="26"/>
              </w:rPr>
              <w:t>砍伐树木主要集中于输电线路</w:t>
            </w:r>
            <w:r>
              <w:rPr>
                <w:rFonts w:hint="eastAsia"/>
                <w:color w:val="auto"/>
                <w:sz w:val="26"/>
                <w:szCs w:val="26"/>
              </w:rPr>
              <w:t>塔基</w:t>
            </w:r>
            <w:r>
              <w:rPr>
                <w:color w:val="auto"/>
                <w:sz w:val="26"/>
                <w:szCs w:val="26"/>
              </w:rPr>
              <w:t>施工，线路在工程上采取了绕行、加高塔身等措施，尽量减少对树木的砍伐。砍伐树木主要集中在塔基占地范围内。在临时占地区，工程完建后将进行修复，在一定程度上会减轻线路建设对植被资源的影响。因而施工期不会对沿线植被覆盖率、物种的多样性以及群落组成和演替产生较大影响，也不会对当地的植被资源造成较大破坏。</w:t>
            </w:r>
          </w:p>
          <w:p w14:paraId="56DB52A9">
            <w:pPr>
              <w:spacing w:line="460" w:lineRule="exact"/>
              <w:ind w:firstLine="520" w:firstLineChars="200"/>
              <w:rPr>
                <w:color w:val="auto"/>
                <w:sz w:val="26"/>
                <w:szCs w:val="26"/>
              </w:rPr>
            </w:pPr>
            <w:r>
              <w:rPr>
                <w:rFonts w:hint="eastAsia"/>
                <w:color w:val="auto"/>
                <w:sz w:val="26"/>
                <w:szCs w:val="26"/>
              </w:rPr>
              <w:t>（4）动物的影响</w:t>
            </w:r>
          </w:p>
          <w:p w14:paraId="1491780B">
            <w:pPr>
              <w:spacing w:line="460" w:lineRule="exact"/>
              <w:ind w:firstLine="520" w:firstLineChars="200"/>
              <w:rPr>
                <w:b/>
                <w:color w:val="auto"/>
                <w:szCs w:val="21"/>
              </w:rPr>
            </w:pPr>
            <w:r>
              <w:rPr>
                <w:color w:val="auto"/>
                <w:sz w:val="26"/>
                <w:szCs w:val="26"/>
              </w:rPr>
              <w:t>工程对陆生脊椎动物的直接影响主要为施工占地导致的生境破坏，但由于本工程施工占地面积不大，对动物的生境直接影响较小；施工期，由于车辆机具的运行及施工人员的活动等，施工影响范围内部分陆生动物将受到惊扰，离开原有栖息地。从理论上说，</w:t>
            </w:r>
            <w:r>
              <w:rPr>
                <w:rFonts w:hint="eastAsia"/>
                <w:color w:val="auto"/>
                <w:sz w:val="26"/>
                <w:szCs w:val="26"/>
              </w:rPr>
              <w:t>本工程</w:t>
            </w:r>
            <w:r>
              <w:rPr>
                <w:color w:val="auto"/>
                <w:sz w:val="26"/>
                <w:szCs w:val="26"/>
              </w:rPr>
              <w:t>的建设将使动物的栖息地和活动场所缩小，如小型穴居兽类和爬行类的洞穴的生境遭到破坏后，少数动物的繁殖将有可能受到一定影响</w:t>
            </w:r>
            <w:r>
              <w:rPr>
                <w:rFonts w:hint="eastAsia"/>
                <w:color w:val="auto"/>
                <w:sz w:val="26"/>
                <w:szCs w:val="26"/>
              </w:rPr>
              <w:t>，</w:t>
            </w:r>
            <w:r>
              <w:rPr>
                <w:color w:val="auto"/>
                <w:sz w:val="26"/>
                <w:szCs w:val="26"/>
              </w:rPr>
              <w:t>结果迫使原栖息在这一带的动物迁往其他生境适宜的地区，没有证据表明会造成这些动物的直接死亡，不会导致任何物种的消失。由于</w:t>
            </w:r>
            <w:r>
              <w:rPr>
                <w:rFonts w:hint="eastAsia"/>
                <w:color w:val="auto"/>
                <w:sz w:val="26"/>
                <w:szCs w:val="26"/>
              </w:rPr>
              <w:t>本工程</w:t>
            </w:r>
            <w:r>
              <w:rPr>
                <w:color w:val="auto"/>
                <w:sz w:val="26"/>
                <w:szCs w:val="26"/>
              </w:rPr>
              <w:t>输电线路建设占地点状分布，较为分散，且各处占地面积小，大多位于临近居民区的林地中</w:t>
            </w:r>
            <w:r>
              <w:rPr>
                <w:rFonts w:hint="eastAsia"/>
                <w:color w:val="auto"/>
                <w:sz w:val="26"/>
                <w:szCs w:val="26"/>
              </w:rPr>
              <w:t>，</w:t>
            </w:r>
            <w:r>
              <w:rPr>
                <w:color w:val="auto"/>
                <w:sz w:val="26"/>
                <w:szCs w:val="26"/>
              </w:rPr>
              <w:t>属于人为干扰较为严重的区域，按照当地陆栖脊椎动物种类和数量的分布状态估计，两栖类动物数量很少，对其影响很小；但施工开挖形成的碎石裸地和临时占地，在施工结束或新植被形成之前，可能会使蛇类减少，但蛇类活动性较强，且</w:t>
            </w:r>
            <w:r>
              <w:rPr>
                <w:rFonts w:hint="eastAsia"/>
                <w:color w:val="auto"/>
                <w:sz w:val="26"/>
                <w:szCs w:val="26"/>
              </w:rPr>
              <w:t>本工程</w:t>
            </w:r>
            <w:r>
              <w:rPr>
                <w:color w:val="auto"/>
                <w:sz w:val="26"/>
                <w:szCs w:val="26"/>
              </w:rPr>
              <w:t>生态随着施工期结束恢复。因此，工程施工对两栖和爬行动物的影响较小，主要是对鸟类和兽类的影响，但这种不良影响对种类和数量均不会产生明显的不利影响。</w:t>
            </w:r>
          </w:p>
        </w:tc>
      </w:tr>
      <w:tr w14:paraId="01B346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32" w:hRule="atLeast"/>
          <w:jc w:val="center"/>
        </w:trPr>
        <w:tc>
          <w:tcPr>
            <w:tcW w:w="879" w:type="dxa"/>
            <w:tcMar>
              <w:left w:w="28" w:type="dxa"/>
              <w:right w:w="28" w:type="dxa"/>
            </w:tcMar>
            <w:vAlign w:val="center"/>
          </w:tcPr>
          <w:p w14:paraId="3E65E50B">
            <w:pPr>
              <w:pStyle w:val="21"/>
              <w:adjustRightInd w:val="0"/>
              <w:snapToGrid w:val="0"/>
              <w:spacing w:before="0" w:beforeAutospacing="0" w:after="0" w:afterAutospacing="0" w:line="460" w:lineRule="exact"/>
              <w:jc w:val="center"/>
              <w:rPr>
                <w:rFonts w:ascii="Times New Roman" w:hAnsi="Times New Roman"/>
                <w:bCs/>
                <w:color w:val="auto"/>
                <w:kern w:val="2"/>
                <w:sz w:val="21"/>
                <w:szCs w:val="21"/>
              </w:rPr>
            </w:pPr>
            <w:r>
              <w:rPr>
                <w:rFonts w:ascii="Times New Roman" w:hAnsi="Times New Roman"/>
                <w:color w:val="auto"/>
                <w:sz w:val="26"/>
                <w:szCs w:val="26"/>
              </w:rPr>
              <w:t>运营期生态环境影响分析</w:t>
            </w:r>
          </w:p>
        </w:tc>
        <w:tc>
          <w:tcPr>
            <w:tcW w:w="8363" w:type="dxa"/>
          </w:tcPr>
          <w:p w14:paraId="02758E1A">
            <w:pPr>
              <w:snapToGrid w:val="0"/>
              <w:spacing w:line="460" w:lineRule="exact"/>
              <w:rPr>
                <w:b/>
                <w:bCs/>
                <w:color w:val="auto"/>
                <w:kern w:val="0"/>
                <w:sz w:val="26"/>
                <w:szCs w:val="26"/>
              </w:rPr>
            </w:pPr>
            <w:r>
              <w:rPr>
                <w:rFonts w:hint="eastAsia"/>
                <w:b/>
                <w:bCs/>
                <w:color w:val="auto"/>
                <w:sz w:val="26"/>
                <w:szCs w:val="26"/>
              </w:rPr>
              <w:t>4</w:t>
            </w:r>
            <w:r>
              <w:rPr>
                <w:b/>
                <w:bCs/>
                <w:color w:val="auto"/>
                <w:sz w:val="26"/>
                <w:szCs w:val="26"/>
              </w:rPr>
              <w:t>.</w:t>
            </w:r>
            <w:r>
              <w:rPr>
                <w:rFonts w:hint="eastAsia"/>
                <w:b/>
                <w:bCs/>
                <w:color w:val="auto"/>
                <w:sz w:val="26"/>
                <w:szCs w:val="26"/>
              </w:rPr>
              <w:t>2运营期的主要污染工序及环节</w:t>
            </w:r>
          </w:p>
          <w:p w14:paraId="3799B1FA">
            <w:pPr>
              <w:adjustRightInd w:val="0"/>
              <w:snapToGrid w:val="0"/>
              <w:spacing w:line="460" w:lineRule="exact"/>
              <w:ind w:firstLine="520" w:firstLineChars="200"/>
              <w:rPr>
                <w:color w:val="auto"/>
                <w:sz w:val="26"/>
                <w:szCs w:val="26"/>
              </w:rPr>
            </w:pPr>
            <w:r>
              <w:rPr>
                <w:rFonts w:hint="eastAsia"/>
                <w:color w:val="auto"/>
                <w:sz w:val="26"/>
                <w:szCs w:val="26"/>
              </w:rPr>
              <w:t>本工程为11</w:t>
            </w:r>
            <w:r>
              <w:rPr>
                <w:color w:val="auto"/>
                <w:sz w:val="26"/>
                <w:szCs w:val="26"/>
              </w:rPr>
              <w:t>0kV</w:t>
            </w:r>
            <w:r>
              <w:rPr>
                <w:rFonts w:hint="eastAsia"/>
                <w:color w:val="auto"/>
                <w:sz w:val="26"/>
                <w:szCs w:val="26"/>
              </w:rPr>
              <w:t>输电线路工程，其环保特点如下。</w:t>
            </w:r>
          </w:p>
          <w:p w14:paraId="0D45BD03">
            <w:pPr>
              <w:adjustRightInd w:val="0"/>
              <w:snapToGrid w:val="0"/>
              <w:spacing w:line="460" w:lineRule="exact"/>
              <w:ind w:firstLine="520" w:firstLineChars="200"/>
              <w:rPr>
                <w:color w:val="auto"/>
                <w:sz w:val="26"/>
                <w:szCs w:val="26"/>
              </w:rPr>
            </w:pPr>
            <w:r>
              <w:rPr>
                <w:rFonts w:hint="eastAsia"/>
                <w:color w:val="auto"/>
                <w:sz w:val="26"/>
                <w:szCs w:val="26"/>
              </w:rPr>
              <w:t>（</w:t>
            </w:r>
            <w:r>
              <w:rPr>
                <w:color w:val="auto"/>
                <w:sz w:val="26"/>
                <w:szCs w:val="26"/>
              </w:rPr>
              <w:t>1</w:t>
            </w:r>
            <w:r>
              <w:rPr>
                <w:rFonts w:hint="eastAsia"/>
                <w:color w:val="auto"/>
                <w:sz w:val="26"/>
                <w:szCs w:val="26"/>
              </w:rPr>
              <w:t>）运行期无废水、废气、固体废物产生；</w:t>
            </w:r>
          </w:p>
          <w:p w14:paraId="6363BB16">
            <w:pPr>
              <w:adjustRightInd w:val="0"/>
              <w:snapToGrid w:val="0"/>
              <w:spacing w:line="460" w:lineRule="exact"/>
              <w:ind w:firstLine="520" w:firstLineChars="200"/>
              <w:rPr>
                <w:color w:val="auto"/>
                <w:sz w:val="26"/>
                <w:szCs w:val="26"/>
              </w:rPr>
            </w:pPr>
            <w:r>
              <w:rPr>
                <w:rFonts w:hint="eastAsia"/>
                <w:color w:val="auto"/>
                <w:sz w:val="26"/>
                <w:szCs w:val="26"/>
              </w:rPr>
              <w:t>（</w:t>
            </w:r>
            <w:r>
              <w:rPr>
                <w:color w:val="auto"/>
                <w:sz w:val="26"/>
                <w:szCs w:val="26"/>
              </w:rPr>
              <w:t>2</w:t>
            </w:r>
            <w:r>
              <w:rPr>
                <w:rFonts w:hint="eastAsia"/>
                <w:color w:val="auto"/>
                <w:sz w:val="26"/>
                <w:szCs w:val="26"/>
              </w:rPr>
              <w:t>）运行期对环境的影响以工频电、磁场和噪声影响为主。</w:t>
            </w:r>
          </w:p>
          <w:p w14:paraId="407EB3CF">
            <w:pPr>
              <w:adjustRightInd w:val="0"/>
              <w:snapToGrid w:val="0"/>
              <w:spacing w:line="460" w:lineRule="exact"/>
              <w:rPr>
                <w:b/>
                <w:bCs/>
                <w:color w:val="auto"/>
                <w:sz w:val="26"/>
                <w:szCs w:val="26"/>
              </w:rPr>
            </w:pPr>
            <w:r>
              <w:rPr>
                <w:b/>
                <w:bCs/>
                <w:color w:val="auto"/>
                <w:sz w:val="26"/>
                <w:szCs w:val="26"/>
              </w:rPr>
              <w:t>4.</w:t>
            </w:r>
            <w:r>
              <w:rPr>
                <w:rFonts w:hint="eastAsia"/>
                <w:b/>
                <w:bCs/>
                <w:color w:val="auto"/>
                <w:sz w:val="26"/>
                <w:szCs w:val="26"/>
              </w:rPr>
              <w:t>3运营期生态环境影响分析</w:t>
            </w:r>
          </w:p>
          <w:p w14:paraId="517CB5E8">
            <w:pPr>
              <w:spacing w:line="460" w:lineRule="exact"/>
              <w:ind w:firstLine="522" w:firstLineChars="200"/>
              <w:rPr>
                <w:color w:val="auto"/>
                <w:sz w:val="26"/>
                <w:szCs w:val="26"/>
              </w:rPr>
            </w:pPr>
            <w:r>
              <w:rPr>
                <w:b/>
                <w:bCs/>
                <w:color w:val="auto"/>
                <w:sz w:val="26"/>
                <w:szCs w:val="26"/>
              </w:rPr>
              <w:t>4.</w:t>
            </w:r>
            <w:r>
              <w:rPr>
                <w:rFonts w:hint="eastAsia"/>
                <w:b/>
                <w:bCs/>
                <w:color w:val="auto"/>
                <w:sz w:val="26"/>
                <w:szCs w:val="26"/>
              </w:rPr>
              <w:t>3</w:t>
            </w:r>
            <w:r>
              <w:rPr>
                <w:b/>
                <w:bCs/>
                <w:color w:val="auto"/>
                <w:sz w:val="26"/>
                <w:szCs w:val="26"/>
              </w:rPr>
              <w:t>.1</w:t>
            </w:r>
            <w:r>
              <w:rPr>
                <w:rFonts w:hint="eastAsia"/>
                <w:b/>
                <w:bCs/>
                <w:color w:val="auto"/>
                <w:sz w:val="26"/>
                <w:szCs w:val="26"/>
              </w:rPr>
              <w:t>工频电、磁场环境影响分析</w:t>
            </w:r>
          </w:p>
          <w:p w14:paraId="1FD9F663">
            <w:pPr>
              <w:spacing w:line="460" w:lineRule="exact"/>
              <w:ind w:firstLine="520" w:firstLineChars="200"/>
              <w:rPr>
                <w:color w:val="auto"/>
                <w:sz w:val="26"/>
                <w:szCs w:val="26"/>
              </w:rPr>
            </w:pPr>
            <w:r>
              <w:rPr>
                <w:rFonts w:hint="eastAsia"/>
                <w:color w:val="auto"/>
                <w:sz w:val="26"/>
                <w:szCs w:val="26"/>
              </w:rPr>
              <w:t>（1）</w:t>
            </w:r>
            <w:r>
              <w:rPr>
                <w:color w:val="auto"/>
                <w:sz w:val="26"/>
                <w:szCs w:val="26"/>
              </w:rPr>
              <w:t>1.5m</w:t>
            </w:r>
            <w:r>
              <w:rPr>
                <w:rFonts w:hint="eastAsia"/>
                <w:color w:val="auto"/>
                <w:sz w:val="26"/>
                <w:szCs w:val="26"/>
              </w:rPr>
              <w:t>高度处电磁预测结果</w:t>
            </w:r>
          </w:p>
          <w:p w14:paraId="794487DC">
            <w:pPr>
              <w:spacing w:line="460" w:lineRule="exact"/>
              <w:ind w:firstLine="520" w:firstLineChars="200"/>
              <w:rPr>
                <w:color w:val="auto"/>
                <w:sz w:val="26"/>
                <w:szCs w:val="26"/>
              </w:rPr>
            </w:pPr>
            <w:r>
              <w:rPr>
                <w:color w:val="auto"/>
                <w:sz w:val="26"/>
                <w:szCs w:val="26"/>
              </w:rPr>
              <w:t>经预测，</w:t>
            </w:r>
            <w:r>
              <w:rPr>
                <w:color w:val="auto"/>
                <w:kern w:val="0"/>
                <w:sz w:val="26"/>
                <w:szCs w:val="26"/>
              </w:rPr>
              <w:t>在采用</w:t>
            </w:r>
            <w:r>
              <w:rPr>
                <w:color w:val="auto"/>
                <w:sz w:val="26"/>
                <w:szCs w:val="26"/>
              </w:rPr>
              <w:t>110-DC42D-Z2塔型</w:t>
            </w:r>
            <w:r>
              <w:rPr>
                <w:color w:val="auto"/>
                <w:kern w:val="0"/>
                <w:sz w:val="26"/>
                <w:szCs w:val="26"/>
              </w:rPr>
              <w:t>、导线型号JLHA1/G1A-300/50，</w:t>
            </w:r>
            <w:r>
              <w:rPr>
                <w:color w:val="auto"/>
                <w:kern w:val="0"/>
                <w:sz w:val="26"/>
                <w:szCs w:val="26"/>
                <w:lang w:bidi="en-US"/>
              </w:rPr>
              <w:t>在</w:t>
            </w:r>
            <w:r>
              <w:rPr>
                <w:color w:val="auto"/>
                <w:kern w:val="0"/>
                <w:sz w:val="26"/>
                <w:szCs w:val="26"/>
              </w:rPr>
              <w:t>下相线导线对地高度11m时，距离地面高度1.5m高度处，工频电场强度最大值为944V/m，最大值出现在距离杆塔中心线约8m处，预测值小于</w:t>
            </w:r>
            <w:r>
              <w:rPr>
                <w:color w:val="auto"/>
                <w:sz w:val="26"/>
                <w:szCs w:val="26"/>
              </w:rPr>
              <w:t>电磁评价范围内公众曝露控制限值</w:t>
            </w:r>
            <w:r>
              <w:rPr>
                <w:color w:val="auto"/>
                <w:kern w:val="0"/>
                <w:sz w:val="26"/>
                <w:szCs w:val="26"/>
              </w:rPr>
              <w:t>4000V/m，同时也满足架空输电线路线下的耕地、园地、牧草地、畜禽饲养地、养殖水面、道路等场所电场强度控制限值10kV/m；工频磁感应强度最大值为11.98</w:t>
            </w:r>
            <w:r>
              <w:rPr>
                <w:color w:val="auto"/>
                <w:sz w:val="26"/>
                <w:szCs w:val="26"/>
              </w:rPr>
              <w:t>μT</w:t>
            </w:r>
            <w:r>
              <w:rPr>
                <w:color w:val="auto"/>
                <w:kern w:val="0"/>
                <w:sz w:val="26"/>
                <w:szCs w:val="26"/>
              </w:rPr>
              <w:t>，最大值出现在线路中心处，预测值均小于公众曝露控制限值100μT</w:t>
            </w:r>
            <w:r>
              <w:rPr>
                <w:color w:val="auto"/>
                <w:sz w:val="26"/>
                <w:szCs w:val="26"/>
              </w:rPr>
              <w:t>。</w:t>
            </w:r>
          </w:p>
          <w:p w14:paraId="0A9D5D26">
            <w:pPr>
              <w:spacing w:line="460" w:lineRule="exact"/>
              <w:ind w:firstLine="520" w:firstLineChars="200"/>
              <w:rPr>
                <w:color w:val="auto"/>
                <w:sz w:val="26"/>
                <w:szCs w:val="26"/>
              </w:rPr>
            </w:pPr>
            <w:r>
              <w:rPr>
                <w:color w:val="auto"/>
                <w:sz w:val="26"/>
                <w:szCs w:val="26"/>
              </w:rPr>
              <w:t>（2）电磁达标距离</w:t>
            </w:r>
          </w:p>
          <w:p w14:paraId="13BFD185">
            <w:pPr>
              <w:spacing w:line="460" w:lineRule="exact"/>
              <w:ind w:firstLine="520" w:firstLineChars="200"/>
              <w:rPr>
                <w:color w:val="auto"/>
                <w:sz w:val="26"/>
                <w:szCs w:val="26"/>
                <w:highlight w:val="yellow"/>
              </w:rPr>
            </w:pPr>
            <w:r>
              <w:rPr>
                <w:rFonts w:hint="eastAsia"/>
                <w:color w:val="auto"/>
                <w:sz w:val="26"/>
                <w:szCs w:val="26"/>
              </w:rPr>
              <w:t>综合考虑工频电场强度、工频磁感应强度预测结果，</w:t>
            </w:r>
            <w:r>
              <w:rPr>
                <w:color w:val="auto"/>
                <w:kern w:val="0"/>
                <w:sz w:val="26"/>
                <w:szCs w:val="26"/>
              </w:rPr>
              <w:t>以</w:t>
            </w:r>
            <w:r>
              <w:rPr>
                <w:rFonts w:hint="eastAsia"/>
                <w:color w:val="auto"/>
                <w:sz w:val="26"/>
                <w:szCs w:val="26"/>
              </w:rPr>
              <w:t>110-DC42D-Z2</w:t>
            </w:r>
            <w:r>
              <w:rPr>
                <w:color w:val="auto"/>
                <w:kern w:val="0"/>
                <w:sz w:val="26"/>
                <w:szCs w:val="26"/>
              </w:rPr>
              <w:t>塔型为预测塔型，在不考虑风偏的情况下，本项目</w:t>
            </w:r>
            <w:r>
              <w:rPr>
                <w:rFonts w:hint="eastAsia" w:ascii="宋体"/>
                <w:color w:val="auto"/>
                <w:sz w:val="26"/>
                <w:szCs w:val="26"/>
              </w:rPr>
              <w:t>架空线</w:t>
            </w:r>
            <w:r>
              <w:rPr>
                <w:color w:val="auto"/>
                <w:kern w:val="0"/>
                <w:sz w:val="26"/>
                <w:szCs w:val="26"/>
              </w:rPr>
              <w:t>需与沿线敏感点建筑保持以下距离：</w:t>
            </w:r>
            <w:r>
              <w:rPr>
                <w:color w:val="auto"/>
                <w:sz w:val="26"/>
                <w:szCs w:val="26"/>
              </w:rPr>
              <w:t>与边导线的水平距离至少为</w:t>
            </w:r>
            <w:r>
              <w:rPr>
                <w:rFonts w:hint="eastAsia"/>
                <w:color w:val="auto"/>
                <w:sz w:val="26"/>
                <w:szCs w:val="26"/>
              </w:rPr>
              <w:t>4</w:t>
            </w:r>
            <w:r>
              <w:rPr>
                <w:color w:val="auto"/>
                <w:sz w:val="26"/>
                <w:szCs w:val="26"/>
              </w:rPr>
              <w:t>m，或与下相导线线下垂直距离至少为</w:t>
            </w:r>
            <w:r>
              <w:rPr>
                <w:rFonts w:hint="eastAsia"/>
                <w:color w:val="auto"/>
                <w:sz w:val="26"/>
                <w:szCs w:val="26"/>
              </w:rPr>
              <w:t>3m</w:t>
            </w:r>
            <w:r>
              <w:rPr>
                <w:color w:val="auto"/>
                <w:sz w:val="26"/>
                <w:szCs w:val="26"/>
              </w:rPr>
              <w:t>（满足二者条件之一即可）</w:t>
            </w:r>
            <w:r>
              <w:rPr>
                <w:rFonts w:hint="eastAsia"/>
                <w:color w:val="auto"/>
                <w:sz w:val="26"/>
                <w:szCs w:val="26"/>
              </w:rPr>
              <w:t>，电磁环境即可满足《电磁环境控制限值》（GB8702-2014）中限值要求。</w:t>
            </w:r>
          </w:p>
          <w:p w14:paraId="3F3BD8FA">
            <w:pPr>
              <w:numPr>
                <w:ilvl w:val="0"/>
                <w:numId w:val="3"/>
              </w:numPr>
              <w:spacing w:line="460" w:lineRule="exact"/>
              <w:ind w:firstLine="520" w:firstLineChars="200"/>
              <w:rPr>
                <w:color w:val="auto"/>
                <w:sz w:val="26"/>
                <w:szCs w:val="26"/>
              </w:rPr>
            </w:pPr>
            <w:r>
              <w:rPr>
                <w:rFonts w:hint="eastAsia"/>
                <w:color w:val="auto"/>
                <w:sz w:val="26"/>
                <w:szCs w:val="26"/>
              </w:rPr>
              <w:t>根据理论预测结果，架空线路沿线各环境保护目标处的电场强度、磁感应强度均能满足《电磁环境控制限值》（GB8702-2014）的限值要求。</w:t>
            </w:r>
          </w:p>
          <w:p w14:paraId="14CBC4BE">
            <w:pPr>
              <w:numPr>
                <w:ilvl w:val="0"/>
                <w:numId w:val="3"/>
              </w:numPr>
              <w:spacing w:line="460" w:lineRule="exact"/>
              <w:ind w:firstLine="520" w:firstLineChars="200"/>
              <w:rPr>
                <w:color w:val="auto"/>
                <w:sz w:val="26"/>
                <w:szCs w:val="26"/>
              </w:rPr>
            </w:pPr>
            <w:r>
              <w:rPr>
                <w:rFonts w:hint="eastAsia"/>
                <w:color w:val="auto"/>
                <w:sz w:val="26"/>
                <w:szCs w:val="26"/>
              </w:rPr>
              <w:t>220kV铁甲变电站110kV间隔扩建工程不新增主变压器，本次间隔扩建在变电站围墙内进行，工程内容在站内预留位置装设相应的电气</w:t>
            </w:r>
            <w:r>
              <w:rPr>
                <w:color w:val="auto"/>
                <w:sz w:val="26"/>
                <w:szCs w:val="26"/>
              </w:rPr>
              <w:t>设备等，不会改变站内的主变、主母线等主要电气设备。增加的电气设备对围墙外的工频电场、工频磁场基本上不构成增量影响，扩建工程完成后变电站区域电磁环境水平与变电站前期工程建成后的电磁环境水平相当，因此本次评价采取同站进行类比分析。</w:t>
            </w:r>
          </w:p>
          <w:p w14:paraId="6EFEA3D9">
            <w:pPr>
              <w:spacing w:line="460" w:lineRule="exact"/>
              <w:ind w:firstLine="520" w:firstLineChars="200"/>
              <w:rPr>
                <w:color w:val="auto"/>
                <w:sz w:val="26"/>
                <w:szCs w:val="26"/>
              </w:rPr>
            </w:pPr>
            <w:r>
              <w:rPr>
                <w:color w:val="auto"/>
                <w:sz w:val="26"/>
                <w:szCs w:val="26"/>
              </w:rPr>
              <w:t>根据本次间隔扩建侧现状监测结果，铁甲220kV变电站110kV间隔扩建侧厂界处工频电场强度为13.366V/m，工频磁感应强度为0.48μT，低于《电磁环境控制限值》（GB8702-2014）中4000V和100μT的评价</w:t>
            </w:r>
            <w:r>
              <w:rPr>
                <w:rFonts w:hint="eastAsia"/>
                <w:color w:val="auto"/>
                <w:sz w:val="26"/>
                <w:szCs w:val="26"/>
                <w:lang w:val="en-US" w:eastAsia="zh-CN"/>
              </w:rPr>
              <w:t>限制</w:t>
            </w:r>
            <w:r>
              <w:rPr>
                <w:color w:val="auto"/>
                <w:sz w:val="26"/>
                <w:szCs w:val="26"/>
              </w:rPr>
              <w:t>要求；因此，通过类比该工程前期验收及现状监测结果，铁甲220kV变电站110kV间隔扩建完成后，变电站围墙外工频电场强度和工频磁感应强度仍满足相应的限值要求。</w:t>
            </w:r>
          </w:p>
          <w:p w14:paraId="0B938791">
            <w:pPr>
              <w:spacing w:line="460" w:lineRule="exact"/>
              <w:ind w:firstLine="522" w:firstLineChars="200"/>
              <w:rPr>
                <w:b/>
                <w:bCs/>
                <w:color w:val="auto"/>
                <w:sz w:val="26"/>
                <w:szCs w:val="26"/>
              </w:rPr>
            </w:pPr>
            <w:r>
              <w:rPr>
                <w:rFonts w:hint="eastAsia"/>
                <w:b/>
                <w:bCs/>
                <w:color w:val="auto"/>
                <w:sz w:val="26"/>
                <w:szCs w:val="26"/>
              </w:rPr>
              <w:t>4.3.2噪声环境影响分析</w:t>
            </w:r>
          </w:p>
          <w:p w14:paraId="521D4C3E">
            <w:pPr>
              <w:spacing w:line="460" w:lineRule="exact"/>
              <w:ind w:firstLine="522" w:firstLineChars="200"/>
              <w:rPr>
                <w:color w:val="auto"/>
                <w:sz w:val="26"/>
                <w:szCs w:val="26"/>
              </w:rPr>
            </w:pPr>
            <w:r>
              <w:rPr>
                <w:rFonts w:hint="eastAsia"/>
                <w:b/>
                <w:bCs/>
                <w:color w:val="auto"/>
                <w:sz w:val="26"/>
                <w:szCs w:val="26"/>
              </w:rPr>
              <w:t>4.3.2.1架空线路噪声环境影响分析</w:t>
            </w:r>
          </w:p>
          <w:p w14:paraId="491DD05C">
            <w:pPr>
              <w:spacing w:line="460" w:lineRule="exact"/>
              <w:ind w:firstLine="520" w:firstLineChars="200"/>
              <w:rPr>
                <w:color w:val="auto"/>
                <w:sz w:val="26"/>
                <w:szCs w:val="26"/>
              </w:rPr>
            </w:pPr>
            <w:r>
              <w:rPr>
                <w:rFonts w:hint="eastAsia"/>
                <w:color w:val="auto"/>
                <w:sz w:val="26"/>
                <w:szCs w:val="26"/>
              </w:rPr>
              <w:t>根据《环境影响评价技术导则</w:t>
            </w:r>
            <w:r>
              <w:rPr>
                <w:color w:val="auto"/>
                <w:sz w:val="26"/>
                <w:szCs w:val="26"/>
              </w:rPr>
              <w:t xml:space="preserve"> </w:t>
            </w:r>
            <w:r>
              <w:rPr>
                <w:rFonts w:hint="eastAsia"/>
                <w:color w:val="auto"/>
                <w:sz w:val="26"/>
                <w:szCs w:val="26"/>
              </w:rPr>
              <w:t>输变电》（</w:t>
            </w:r>
            <w:r>
              <w:rPr>
                <w:color w:val="auto"/>
                <w:sz w:val="26"/>
                <w:szCs w:val="26"/>
              </w:rPr>
              <w:t>HJ24-2020</w:t>
            </w:r>
            <w:r>
              <w:rPr>
                <w:rFonts w:hint="eastAsia"/>
                <w:color w:val="auto"/>
                <w:sz w:val="26"/>
                <w:szCs w:val="26"/>
              </w:rPr>
              <w:t>），本次线路评价声环境影响评价采取类比分析的方法。</w:t>
            </w:r>
          </w:p>
          <w:p w14:paraId="1EB0E65F">
            <w:pPr>
              <w:spacing w:line="460" w:lineRule="exact"/>
              <w:ind w:firstLine="520" w:firstLineChars="200"/>
              <w:rPr>
                <w:color w:val="auto"/>
                <w:sz w:val="26"/>
                <w:szCs w:val="26"/>
              </w:rPr>
            </w:pPr>
            <w:r>
              <w:rPr>
                <w:rFonts w:hint="eastAsia"/>
                <w:color w:val="auto"/>
                <w:sz w:val="26"/>
                <w:szCs w:val="26"/>
              </w:rPr>
              <w:t>（</w:t>
            </w:r>
            <w:r>
              <w:rPr>
                <w:color w:val="auto"/>
                <w:sz w:val="26"/>
                <w:szCs w:val="26"/>
              </w:rPr>
              <w:t>1</w:t>
            </w:r>
            <w:r>
              <w:rPr>
                <w:rFonts w:hint="eastAsia"/>
                <w:color w:val="auto"/>
                <w:sz w:val="26"/>
                <w:szCs w:val="26"/>
              </w:rPr>
              <w:t>）类比条件分析</w:t>
            </w:r>
          </w:p>
          <w:p w14:paraId="196508FC">
            <w:pPr>
              <w:spacing w:line="460" w:lineRule="exact"/>
              <w:ind w:firstLine="520" w:firstLineChars="200"/>
              <w:rPr>
                <w:color w:val="auto"/>
                <w:sz w:val="26"/>
                <w:szCs w:val="26"/>
              </w:rPr>
            </w:pPr>
            <w:r>
              <w:rPr>
                <w:rFonts w:hint="eastAsia"/>
                <w:color w:val="auto"/>
                <w:sz w:val="26"/>
                <w:szCs w:val="26"/>
              </w:rPr>
              <w:t>评价选择110kV浙河虎线作为拟建110kV线路的类比对象，类比参数见表4-1。</w:t>
            </w:r>
          </w:p>
          <w:p w14:paraId="1C8878B8">
            <w:pPr>
              <w:snapToGrid w:val="0"/>
              <w:ind w:firstLine="420" w:firstLineChars="200"/>
              <w:rPr>
                <w:bCs/>
                <w:color w:val="auto"/>
                <w:szCs w:val="21"/>
              </w:rPr>
            </w:pPr>
          </w:p>
          <w:p w14:paraId="0BDAC839">
            <w:pPr>
              <w:snapToGrid w:val="0"/>
              <w:jc w:val="center"/>
              <w:rPr>
                <w:color w:val="auto"/>
                <w:sz w:val="26"/>
                <w:szCs w:val="26"/>
              </w:rPr>
            </w:pPr>
          </w:p>
          <w:p w14:paraId="1C343D04">
            <w:pPr>
              <w:snapToGrid w:val="0"/>
              <w:jc w:val="center"/>
              <w:rPr>
                <w:color w:val="auto"/>
                <w:sz w:val="26"/>
                <w:szCs w:val="26"/>
              </w:rPr>
            </w:pPr>
            <w:r>
              <w:rPr>
                <w:rFonts w:hint="eastAsia"/>
                <w:color w:val="auto"/>
                <w:sz w:val="26"/>
                <w:szCs w:val="26"/>
              </w:rPr>
              <w:t>表</w:t>
            </w:r>
            <w:r>
              <w:rPr>
                <w:color w:val="auto"/>
                <w:sz w:val="26"/>
                <w:szCs w:val="26"/>
              </w:rPr>
              <w:t>4</w:t>
            </w:r>
            <w:r>
              <w:rPr>
                <w:rFonts w:hint="eastAsia"/>
                <w:color w:val="auto"/>
                <w:sz w:val="26"/>
                <w:szCs w:val="26"/>
              </w:rPr>
              <w:t>-1</w:t>
            </w:r>
            <w:r>
              <w:rPr>
                <w:color w:val="auto"/>
                <w:sz w:val="26"/>
                <w:szCs w:val="26"/>
              </w:rPr>
              <w:t xml:space="preserve"> </w:t>
            </w:r>
            <w:r>
              <w:rPr>
                <w:rFonts w:hint="eastAsia"/>
                <w:color w:val="auto"/>
                <w:sz w:val="26"/>
                <w:szCs w:val="26"/>
              </w:rPr>
              <w:t xml:space="preserve"> 类比参数一览表</w:t>
            </w:r>
          </w:p>
          <w:tbl>
            <w:tblPr>
              <w:tblStyle w:val="25"/>
              <w:tblW w:w="8147" w:type="dxa"/>
              <w:jc w:val="center"/>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490"/>
              <w:gridCol w:w="1351"/>
              <w:gridCol w:w="2778"/>
              <w:gridCol w:w="2245"/>
              <w:gridCol w:w="1283"/>
            </w:tblGrid>
            <w:tr w14:paraId="3FCFCC7D">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301" w:type="pct"/>
                  <w:tcBorders>
                    <w:top w:val="single" w:color="auto" w:sz="4" w:space="0"/>
                    <w:left w:val="single" w:color="auto" w:sz="4" w:space="0"/>
                    <w:bottom w:val="single" w:color="auto" w:sz="4" w:space="0"/>
                    <w:right w:val="single" w:color="auto" w:sz="4" w:space="0"/>
                  </w:tcBorders>
                  <w:vAlign w:val="center"/>
                </w:tcPr>
                <w:p w14:paraId="0E99F685">
                  <w:pPr>
                    <w:adjustRightInd w:val="0"/>
                    <w:snapToGrid w:val="0"/>
                    <w:jc w:val="center"/>
                    <w:rPr>
                      <w:color w:val="auto"/>
                      <w:sz w:val="22"/>
                      <w:szCs w:val="22"/>
                    </w:rPr>
                  </w:pPr>
                  <w:r>
                    <w:rPr>
                      <w:color w:val="auto"/>
                      <w:sz w:val="22"/>
                      <w:szCs w:val="22"/>
                    </w:rPr>
                    <w:t>序号</w:t>
                  </w:r>
                </w:p>
              </w:tc>
              <w:tc>
                <w:tcPr>
                  <w:tcW w:w="829" w:type="pct"/>
                  <w:tcBorders>
                    <w:top w:val="single" w:color="auto" w:sz="4" w:space="0"/>
                    <w:left w:val="single" w:color="auto" w:sz="4" w:space="0"/>
                    <w:bottom w:val="single" w:color="auto" w:sz="4" w:space="0"/>
                    <w:right w:val="single" w:color="auto" w:sz="4" w:space="0"/>
                  </w:tcBorders>
                  <w:vAlign w:val="center"/>
                </w:tcPr>
                <w:p w14:paraId="69C40B17">
                  <w:pPr>
                    <w:adjustRightInd w:val="0"/>
                    <w:snapToGrid w:val="0"/>
                    <w:jc w:val="center"/>
                    <w:rPr>
                      <w:color w:val="auto"/>
                      <w:sz w:val="22"/>
                      <w:szCs w:val="22"/>
                    </w:rPr>
                  </w:pPr>
                  <w:r>
                    <w:rPr>
                      <w:color w:val="auto"/>
                      <w:sz w:val="22"/>
                      <w:szCs w:val="22"/>
                    </w:rPr>
                    <w:t>线路名称</w:t>
                  </w:r>
                </w:p>
              </w:tc>
              <w:tc>
                <w:tcPr>
                  <w:tcW w:w="1704" w:type="pct"/>
                  <w:tcBorders>
                    <w:top w:val="single" w:color="auto" w:sz="4" w:space="0"/>
                    <w:left w:val="single" w:color="auto" w:sz="4" w:space="0"/>
                    <w:bottom w:val="single" w:color="auto" w:sz="4" w:space="0"/>
                    <w:right w:val="single" w:color="auto" w:sz="4" w:space="0"/>
                  </w:tcBorders>
                  <w:vAlign w:val="center"/>
                </w:tcPr>
                <w:p w14:paraId="1BE20084">
                  <w:pPr>
                    <w:jc w:val="center"/>
                    <w:rPr>
                      <w:color w:val="auto"/>
                      <w:sz w:val="22"/>
                      <w:szCs w:val="22"/>
                    </w:rPr>
                  </w:pPr>
                  <w:r>
                    <w:rPr>
                      <w:rFonts w:hint="eastAsia"/>
                      <w:color w:val="auto"/>
                      <w:sz w:val="22"/>
                      <w:szCs w:val="22"/>
                    </w:rPr>
                    <w:t>重庆</w:t>
                  </w:r>
                  <w:r>
                    <w:rPr>
                      <w:rFonts w:hint="eastAsia"/>
                      <w:color w:val="auto"/>
                      <w:sz w:val="22"/>
                      <w:szCs w:val="22"/>
                      <w:lang w:val="en-US" w:eastAsia="zh-CN"/>
                    </w:rPr>
                    <w:t>奉节</w:t>
                  </w:r>
                  <w:r>
                    <w:rPr>
                      <w:rFonts w:hint="eastAsia"/>
                      <w:color w:val="auto"/>
                      <w:sz w:val="22"/>
                      <w:szCs w:val="22"/>
                    </w:rPr>
                    <w:t>金凤山风电场扩建（望天坪）110千伏送出工程</w:t>
                  </w:r>
                </w:p>
              </w:tc>
              <w:tc>
                <w:tcPr>
                  <w:tcW w:w="1377" w:type="pct"/>
                  <w:tcBorders>
                    <w:top w:val="single" w:color="auto" w:sz="4" w:space="0"/>
                    <w:left w:val="single" w:color="auto" w:sz="4" w:space="0"/>
                    <w:bottom w:val="single" w:color="auto" w:sz="4" w:space="0"/>
                    <w:right w:val="single" w:color="auto" w:sz="4" w:space="0"/>
                  </w:tcBorders>
                  <w:vAlign w:val="center"/>
                </w:tcPr>
                <w:p w14:paraId="10E0572B">
                  <w:pPr>
                    <w:jc w:val="center"/>
                    <w:rPr>
                      <w:color w:val="auto"/>
                      <w:sz w:val="22"/>
                      <w:szCs w:val="22"/>
                    </w:rPr>
                  </w:pPr>
                  <w:r>
                    <w:rPr>
                      <w:color w:val="auto"/>
                      <w:sz w:val="22"/>
                      <w:szCs w:val="22"/>
                    </w:rPr>
                    <w:t>110kV</w:t>
                  </w:r>
                  <w:r>
                    <w:rPr>
                      <w:rFonts w:hint="eastAsia"/>
                      <w:color w:val="auto"/>
                      <w:sz w:val="22"/>
                      <w:szCs w:val="22"/>
                    </w:rPr>
                    <w:t>浙河虎线</w:t>
                  </w:r>
                </w:p>
              </w:tc>
              <w:tc>
                <w:tcPr>
                  <w:tcW w:w="787" w:type="pct"/>
                  <w:tcBorders>
                    <w:top w:val="single" w:color="auto" w:sz="4" w:space="0"/>
                    <w:left w:val="single" w:color="auto" w:sz="4" w:space="0"/>
                    <w:bottom w:val="single" w:color="auto" w:sz="4" w:space="0"/>
                    <w:right w:val="single" w:color="auto" w:sz="4" w:space="0"/>
                  </w:tcBorders>
                  <w:vAlign w:val="center"/>
                </w:tcPr>
                <w:p w14:paraId="503C1AFD">
                  <w:pPr>
                    <w:jc w:val="center"/>
                    <w:rPr>
                      <w:color w:val="auto"/>
                      <w:sz w:val="22"/>
                      <w:szCs w:val="22"/>
                    </w:rPr>
                  </w:pPr>
                  <w:r>
                    <w:rPr>
                      <w:rFonts w:hint="eastAsia"/>
                      <w:color w:val="auto"/>
                      <w:sz w:val="22"/>
                      <w:szCs w:val="22"/>
                    </w:rPr>
                    <w:t>相似性</w:t>
                  </w:r>
                </w:p>
              </w:tc>
            </w:tr>
            <w:tr w14:paraId="2B5C4AC5">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301" w:type="pct"/>
                  <w:tcBorders>
                    <w:top w:val="single" w:color="auto" w:sz="4" w:space="0"/>
                    <w:left w:val="single" w:color="auto" w:sz="4" w:space="0"/>
                    <w:bottom w:val="single" w:color="auto" w:sz="4" w:space="0"/>
                    <w:right w:val="single" w:color="auto" w:sz="4" w:space="0"/>
                  </w:tcBorders>
                  <w:vAlign w:val="center"/>
                </w:tcPr>
                <w:p w14:paraId="11C7EAB4">
                  <w:pPr>
                    <w:adjustRightInd w:val="0"/>
                    <w:snapToGrid w:val="0"/>
                    <w:jc w:val="center"/>
                    <w:rPr>
                      <w:color w:val="auto"/>
                      <w:sz w:val="22"/>
                      <w:szCs w:val="22"/>
                    </w:rPr>
                  </w:pPr>
                  <w:r>
                    <w:rPr>
                      <w:color w:val="auto"/>
                      <w:sz w:val="22"/>
                      <w:szCs w:val="22"/>
                    </w:rPr>
                    <w:t>1</w:t>
                  </w:r>
                </w:p>
              </w:tc>
              <w:tc>
                <w:tcPr>
                  <w:tcW w:w="829" w:type="pct"/>
                  <w:tcBorders>
                    <w:top w:val="single" w:color="auto" w:sz="4" w:space="0"/>
                    <w:left w:val="single" w:color="auto" w:sz="4" w:space="0"/>
                    <w:bottom w:val="single" w:color="auto" w:sz="4" w:space="0"/>
                    <w:right w:val="single" w:color="auto" w:sz="4" w:space="0"/>
                  </w:tcBorders>
                  <w:vAlign w:val="center"/>
                </w:tcPr>
                <w:p w14:paraId="094A7D34">
                  <w:pPr>
                    <w:adjustRightInd w:val="0"/>
                    <w:snapToGrid w:val="0"/>
                    <w:jc w:val="center"/>
                    <w:rPr>
                      <w:color w:val="auto"/>
                      <w:sz w:val="22"/>
                      <w:szCs w:val="22"/>
                    </w:rPr>
                  </w:pPr>
                  <w:r>
                    <w:rPr>
                      <w:color w:val="auto"/>
                      <w:sz w:val="22"/>
                      <w:szCs w:val="22"/>
                    </w:rPr>
                    <w:t>电压等级</w:t>
                  </w:r>
                </w:p>
              </w:tc>
              <w:tc>
                <w:tcPr>
                  <w:tcW w:w="1704" w:type="pct"/>
                  <w:tcBorders>
                    <w:top w:val="single" w:color="auto" w:sz="4" w:space="0"/>
                    <w:left w:val="single" w:color="auto" w:sz="4" w:space="0"/>
                    <w:bottom w:val="single" w:color="auto" w:sz="4" w:space="0"/>
                    <w:right w:val="single" w:color="auto" w:sz="4" w:space="0"/>
                  </w:tcBorders>
                  <w:vAlign w:val="center"/>
                </w:tcPr>
                <w:p w14:paraId="52A406F9">
                  <w:pPr>
                    <w:adjustRightInd w:val="0"/>
                    <w:snapToGrid w:val="0"/>
                    <w:jc w:val="center"/>
                    <w:rPr>
                      <w:color w:val="auto"/>
                      <w:sz w:val="22"/>
                      <w:szCs w:val="22"/>
                    </w:rPr>
                  </w:pPr>
                  <w:r>
                    <w:rPr>
                      <w:color w:val="auto"/>
                      <w:sz w:val="22"/>
                      <w:szCs w:val="22"/>
                    </w:rPr>
                    <w:t>110kV</w:t>
                  </w:r>
                </w:p>
              </w:tc>
              <w:tc>
                <w:tcPr>
                  <w:tcW w:w="1377" w:type="pct"/>
                  <w:tcBorders>
                    <w:top w:val="single" w:color="auto" w:sz="4" w:space="0"/>
                    <w:left w:val="single" w:color="auto" w:sz="4" w:space="0"/>
                    <w:bottom w:val="single" w:color="auto" w:sz="4" w:space="0"/>
                    <w:right w:val="single" w:color="auto" w:sz="4" w:space="0"/>
                  </w:tcBorders>
                  <w:vAlign w:val="center"/>
                </w:tcPr>
                <w:p w14:paraId="15A41C43">
                  <w:pPr>
                    <w:jc w:val="center"/>
                    <w:rPr>
                      <w:color w:val="auto"/>
                      <w:sz w:val="22"/>
                      <w:szCs w:val="22"/>
                    </w:rPr>
                  </w:pPr>
                  <w:r>
                    <w:rPr>
                      <w:color w:val="auto"/>
                      <w:sz w:val="22"/>
                      <w:szCs w:val="22"/>
                    </w:rPr>
                    <w:t>110kV</w:t>
                  </w:r>
                </w:p>
              </w:tc>
              <w:tc>
                <w:tcPr>
                  <w:tcW w:w="787" w:type="pct"/>
                  <w:tcBorders>
                    <w:top w:val="single" w:color="auto" w:sz="4" w:space="0"/>
                    <w:left w:val="single" w:color="auto" w:sz="4" w:space="0"/>
                    <w:bottom w:val="single" w:color="auto" w:sz="4" w:space="0"/>
                    <w:right w:val="single" w:color="auto" w:sz="4" w:space="0"/>
                  </w:tcBorders>
                  <w:vAlign w:val="center"/>
                </w:tcPr>
                <w:p w14:paraId="31C0C681">
                  <w:pPr>
                    <w:jc w:val="center"/>
                    <w:rPr>
                      <w:color w:val="auto"/>
                      <w:sz w:val="22"/>
                      <w:szCs w:val="22"/>
                    </w:rPr>
                  </w:pPr>
                  <w:r>
                    <w:rPr>
                      <w:rFonts w:hint="eastAsia"/>
                      <w:color w:val="auto"/>
                      <w:sz w:val="22"/>
                      <w:szCs w:val="22"/>
                    </w:rPr>
                    <w:t>相同</w:t>
                  </w:r>
                </w:p>
              </w:tc>
            </w:tr>
            <w:tr w14:paraId="0FF587B0">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301" w:type="pct"/>
                  <w:tcBorders>
                    <w:top w:val="single" w:color="auto" w:sz="4" w:space="0"/>
                    <w:left w:val="single" w:color="auto" w:sz="4" w:space="0"/>
                    <w:bottom w:val="single" w:color="auto" w:sz="4" w:space="0"/>
                    <w:right w:val="single" w:color="auto" w:sz="4" w:space="0"/>
                  </w:tcBorders>
                  <w:vAlign w:val="center"/>
                </w:tcPr>
                <w:p w14:paraId="07E5B0E3">
                  <w:pPr>
                    <w:adjustRightInd w:val="0"/>
                    <w:snapToGrid w:val="0"/>
                    <w:jc w:val="center"/>
                    <w:rPr>
                      <w:color w:val="auto"/>
                      <w:sz w:val="22"/>
                      <w:szCs w:val="22"/>
                    </w:rPr>
                  </w:pPr>
                  <w:r>
                    <w:rPr>
                      <w:color w:val="auto"/>
                      <w:sz w:val="22"/>
                      <w:szCs w:val="22"/>
                    </w:rPr>
                    <w:t>2</w:t>
                  </w:r>
                </w:p>
              </w:tc>
              <w:tc>
                <w:tcPr>
                  <w:tcW w:w="829" w:type="pct"/>
                  <w:tcBorders>
                    <w:top w:val="single" w:color="auto" w:sz="4" w:space="0"/>
                    <w:left w:val="single" w:color="auto" w:sz="4" w:space="0"/>
                    <w:bottom w:val="single" w:color="auto" w:sz="4" w:space="0"/>
                    <w:right w:val="single" w:color="auto" w:sz="4" w:space="0"/>
                  </w:tcBorders>
                  <w:vAlign w:val="center"/>
                </w:tcPr>
                <w:p w14:paraId="42E20FFE">
                  <w:pPr>
                    <w:adjustRightInd w:val="0"/>
                    <w:snapToGrid w:val="0"/>
                    <w:jc w:val="center"/>
                    <w:rPr>
                      <w:color w:val="auto"/>
                      <w:sz w:val="22"/>
                      <w:szCs w:val="22"/>
                    </w:rPr>
                  </w:pPr>
                  <w:r>
                    <w:rPr>
                      <w:rFonts w:hAnsi="宋体"/>
                      <w:snapToGrid w:val="0"/>
                      <w:color w:val="auto"/>
                      <w:sz w:val="22"/>
                      <w:szCs w:val="22"/>
                    </w:rPr>
                    <w:t>架设方式</w:t>
                  </w:r>
                </w:p>
              </w:tc>
              <w:tc>
                <w:tcPr>
                  <w:tcW w:w="1704" w:type="pct"/>
                  <w:tcBorders>
                    <w:top w:val="single" w:color="auto" w:sz="4" w:space="0"/>
                    <w:left w:val="single" w:color="auto" w:sz="4" w:space="0"/>
                    <w:bottom w:val="single" w:color="auto" w:sz="4" w:space="0"/>
                    <w:right w:val="single" w:color="auto" w:sz="4" w:space="0"/>
                  </w:tcBorders>
                  <w:vAlign w:val="center"/>
                </w:tcPr>
                <w:p w14:paraId="514F8788">
                  <w:pPr>
                    <w:adjustRightInd w:val="0"/>
                    <w:snapToGrid w:val="0"/>
                    <w:jc w:val="center"/>
                    <w:rPr>
                      <w:color w:val="auto"/>
                      <w:sz w:val="22"/>
                      <w:szCs w:val="22"/>
                    </w:rPr>
                  </w:pPr>
                  <w:r>
                    <w:rPr>
                      <w:rFonts w:hint="eastAsia"/>
                      <w:color w:val="auto"/>
                      <w:sz w:val="22"/>
                      <w:szCs w:val="22"/>
                    </w:rPr>
                    <w:t>单回架空线路</w:t>
                  </w:r>
                </w:p>
              </w:tc>
              <w:tc>
                <w:tcPr>
                  <w:tcW w:w="1377" w:type="pct"/>
                  <w:tcBorders>
                    <w:top w:val="single" w:color="auto" w:sz="4" w:space="0"/>
                    <w:left w:val="single" w:color="auto" w:sz="4" w:space="0"/>
                    <w:bottom w:val="single" w:color="auto" w:sz="4" w:space="0"/>
                    <w:right w:val="single" w:color="auto" w:sz="4" w:space="0"/>
                  </w:tcBorders>
                  <w:vAlign w:val="center"/>
                </w:tcPr>
                <w:p w14:paraId="6D0DAD3E">
                  <w:pPr>
                    <w:jc w:val="center"/>
                    <w:rPr>
                      <w:color w:val="auto"/>
                      <w:sz w:val="22"/>
                      <w:szCs w:val="22"/>
                    </w:rPr>
                  </w:pPr>
                  <w:r>
                    <w:rPr>
                      <w:rFonts w:hint="eastAsia"/>
                      <w:color w:val="auto"/>
                      <w:sz w:val="22"/>
                      <w:szCs w:val="22"/>
                    </w:rPr>
                    <w:t>单回架空线路</w:t>
                  </w:r>
                </w:p>
              </w:tc>
              <w:tc>
                <w:tcPr>
                  <w:tcW w:w="787" w:type="pct"/>
                  <w:tcBorders>
                    <w:top w:val="single" w:color="auto" w:sz="4" w:space="0"/>
                    <w:left w:val="single" w:color="auto" w:sz="4" w:space="0"/>
                    <w:bottom w:val="single" w:color="auto" w:sz="4" w:space="0"/>
                    <w:right w:val="single" w:color="auto" w:sz="4" w:space="0"/>
                  </w:tcBorders>
                  <w:vAlign w:val="center"/>
                </w:tcPr>
                <w:p w14:paraId="1F27B2DB">
                  <w:pPr>
                    <w:jc w:val="center"/>
                    <w:rPr>
                      <w:color w:val="auto"/>
                      <w:sz w:val="22"/>
                      <w:szCs w:val="22"/>
                    </w:rPr>
                  </w:pPr>
                  <w:r>
                    <w:rPr>
                      <w:rFonts w:hint="eastAsia"/>
                      <w:color w:val="auto"/>
                      <w:sz w:val="22"/>
                      <w:szCs w:val="22"/>
                    </w:rPr>
                    <w:t>相同</w:t>
                  </w:r>
                </w:p>
              </w:tc>
            </w:tr>
            <w:tr w14:paraId="25F9AD0C">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301" w:type="pct"/>
                  <w:tcBorders>
                    <w:top w:val="single" w:color="auto" w:sz="4" w:space="0"/>
                    <w:left w:val="single" w:color="auto" w:sz="4" w:space="0"/>
                    <w:bottom w:val="single" w:color="auto" w:sz="4" w:space="0"/>
                    <w:right w:val="single" w:color="auto" w:sz="4" w:space="0"/>
                  </w:tcBorders>
                  <w:vAlign w:val="center"/>
                </w:tcPr>
                <w:p w14:paraId="6BA94F18">
                  <w:pPr>
                    <w:adjustRightInd w:val="0"/>
                    <w:snapToGrid w:val="0"/>
                    <w:jc w:val="center"/>
                    <w:rPr>
                      <w:color w:val="auto"/>
                      <w:sz w:val="22"/>
                      <w:szCs w:val="22"/>
                    </w:rPr>
                  </w:pPr>
                  <w:r>
                    <w:rPr>
                      <w:color w:val="auto"/>
                      <w:sz w:val="22"/>
                      <w:szCs w:val="22"/>
                    </w:rPr>
                    <w:t>3</w:t>
                  </w:r>
                </w:p>
              </w:tc>
              <w:tc>
                <w:tcPr>
                  <w:tcW w:w="829" w:type="pct"/>
                  <w:tcBorders>
                    <w:top w:val="single" w:color="auto" w:sz="4" w:space="0"/>
                    <w:left w:val="single" w:color="auto" w:sz="4" w:space="0"/>
                    <w:bottom w:val="single" w:color="auto" w:sz="4" w:space="0"/>
                    <w:right w:val="single" w:color="auto" w:sz="4" w:space="0"/>
                  </w:tcBorders>
                  <w:vAlign w:val="center"/>
                </w:tcPr>
                <w:p w14:paraId="11BDD96B">
                  <w:pPr>
                    <w:adjustRightInd w:val="0"/>
                    <w:snapToGrid w:val="0"/>
                    <w:jc w:val="center"/>
                    <w:rPr>
                      <w:color w:val="auto"/>
                      <w:sz w:val="22"/>
                      <w:szCs w:val="22"/>
                    </w:rPr>
                  </w:pPr>
                  <w:r>
                    <w:rPr>
                      <w:color w:val="auto"/>
                      <w:sz w:val="22"/>
                      <w:szCs w:val="22"/>
                    </w:rPr>
                    <w:t>排列方式</w:t>
                  </w:r>
                </w:p>
              </w:tc>
              <w:tc>
                <w:tcPr>
                  <w:tcW w:w="1704" w:type="pct"/>
                  <w:tcBorders>
                    <w:top w:val="single" w:color="auto" w:sz="4" w:space="0"/>
                    <w:left w:val="single" w:color="auto" w:sz="4" w:space="0"/>
                    <w:bottom w:val="single" w:color="auto" w:sz="4" w:space="0"/>
                    <w:right w:val="single" w:color="auto" w:sz="4" w:space="0"/>
                  </w:tcBorders>
                  <w:vAlign w:val="center"/>
                </w:tcPr>
                <w:p w14:paraId="705F15FD">
                  <w:pPr>
                    <w:adjustRightInd w:val="0"/>
                    <w:snapToGrid w:val="0"/>
                    <w:jc w:val="center"/>
                    <w:rPr>
                      <w:color w:val="auto"/>
                      <w:sz w:val="22"/>
                      <w:szCs w:val="22"/>
                    </w:rPr>
                  </w:pPr>
                  <w:r>
                    <w:rPr>
                      <w:rFonts w:hint="eastAsia"/>
                      <w:color w:val="auto"/>
                      <w:sz w:val="22"/>
                      <w:szCs w:val="22"/>
                    </w:rPr>
                    <w:t>三角排列/水平排列</w:t>
                  </w:r>
                </w:p>
              </w:tc>
              <w:tc>
                <w:tcPr>
                  <w:tcW w:w="1377" w:type="pct"/>
                  <w:tcBorders>
                    <w:top w:val="single" w:color="auto" w:sz="4" w:space="0"/>
                    <w:left w:val="single" w:color="auto" w:sz="4" w:space="0"/>
                    <w:bottom w:val="single" w:color="auto" w:sz="4" w:space="0"/>
                    <w:right w:val="single" w:color="auto" w:sz="4" w:space="0"/>
                  </w:tcBorders>
                  <w:vAlign w:val="center"/>
                </w:tcPr>
                <w:p w14:paraId="51500A23">
                  <w:pPr>
                    <w:jc w:val="center"/>
                    <w:rPr>
                      <w:color w:val="auto"/>
                      <w:sz w:val="22"/>
                      <w:szCs w:val="22"/>
                    </w:rPr>
                  </w:pPr>
                  <w:r>
                    <w:rPr>
                      <w:rFonts w:hint="eastAsia"/>
                      <w:color w:val="auto"/>
                      <w:sz w:val="22"/>
                      <w:szCs w:val="22"/>
                    </w:rPr>
                    <w:t>三角排列</w:t>
                  </w:r>
                </w:p>
              </w:tc>
              <w:tc>
                <w:tcPr>
                  <w:tcW w:w="787" w:type="pct"/>
                  <w:tcBorders>
                    <w:top w:val="single" w:color="auto" w:sz="4" w:space="0"/>
                    <w:left w:val="single" w:color="auto" w:sz="4" w:space="0"/>
                    <w:bottom w:val="single" w:color="auto" w:sz="4" w:space="0"/>
                    <w:right w:val="single" w:color="auto" w:sz="4" w:space="0"/>
                  </w:tcBorders>
                  <w:vAlign w:val="center"/>
                </w:tcPr>
                <w:p w14:paraId="568201CA">
                  <w:pPr>
                    <w:jc w:val="center"/>
                    <w:rPr>
                      <w:color w:val="auto"/>
                      <w:sz w:val="22"/>
                      <w:szCs w:val="22"/>
                    </w:rPr>
                  </w:pPr>
                  <w:r>
                    <w:rPr>
                      <w:rFonts w:hint="eastAsia"/>
                      <w:color w:val="auto"/>
                      <w:sz w:val="22"/>
                      <w:szCs w:val="22"/>
                    </w:rPr>
                    <w:t>相同/相似</w:t>
                  </w:r>
                </w:p>
              </w:tc>
            </w:tr>
            <w:tr w14:paraId="170ED50E">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301" w:type="pct"/>
                  <w:tcBorders>
                    <w:top w:val="single" w:color="auto" w:sz="4" w:space="0"/>
                    <w:left w:val="single" w:color="auto" w:sz="4" w:space="0"/>
                    <w:bottom w:val="single" w:color="auto" w:sz="4" w:space="0"/>
                    <w:right w:val="single" w:color="auto" w:sz="4" w:space="0"/>
                  </w:tcBorders>
                  <w:vAlign w:val="center"/>
                </w:tcPr>
                <w:p w14:paraId="26063F93">
                  <w:pPr>
                    <w:adjustRightInd w:val="0"/>
                    <w:snapToGrid w:val="0"/>
                    <w:jc w:val="center"/>
                    <w:rPr>
                      <w:color w:val="auto"/>
                      <w:sz w:val="22"/>
                      <w:szCs w:val="22"/>
                    </w:rPr>
                  </w:pPr>
                  <w:r>
                    <w:rPr>
                      <w:color w:val="auto"/>
                      <w:sz w:val="22"/>
                      <w:szCs w:val="22"/>
                    </w:rPr>
                    <w:t>4</w:t>
                  </w:r>
                </w:p>
              </w:tc>
              <w:tc>
                <w:tcPr>
                  <w:tcW w:w="829" w:type="pct"/>
                  <w:tcBorders>
                    <w:top w:val="single" w:color="auto" w:sz="4" w:space="0"/>
                    <w:left w:val="single" w:color="auto" w:sz="4" w:space="0"/>
                    <w:bottom w:val="single" w:color="auto" w:sz="4" w:space="0"/>
                    <w:right w:val="single" w:color="auto" w:sz="4" w:space="0"/>
                  </w:tcBorders>
                  <w:vAlign w:val="center"/>
                </w:tcPr>
                <w:p w14:paraId="151DD292">
                  <w:pPr>
                    <w:adjustRightInd w:val="0"/>
                    <w:snapToGrid w:val="0"/>
                    <w:jc w:val="center"/>
                    <w:rPr>
                      <w:color w:val="auto"/>
                      <w:sz w:val="22"/>
                      <w:szCs w:val="22"/>
                    </w:rPr>
                  </w:pPr>
                  <w:r>
                    <w:rPr>
                      <w:color w:val="auto"/>
                      <w:sz w:val="22"/>
                      <w:szCs w:val="22"/>
                    </w:rPr>
                    <w:t>导线分裂形式</w:t>
                  </w:r>
                </w:p>
              </w:tc>
              <w:tc>
                <w:tcPr>
                  <w:tcW w:w="1704" w:type="pct"/>
                  <w:tcBorders>
                    <w:top w:val="single" w:color="auto" w:sz="4" w:space="0"/>
                    <w:left w:val="single" w:color="auto" w:sz="4" w:space="0"/>
                    <w:bottom w:val="single" w:color="auto" w:sz="4" w:space="0"/>
                    <w:right w:val="single" w:color="auto" w:sz="4" w:space="0"/>
                  </w:tcBorders>
                  <w:vAlign w:val="center"/>
                </w:tcPr>
                <w:p w14:paraId="5009CBCE">
                  <w:pPr>
                    <w:adjustRightInd w:val="0"/>
                    <w:snapToGrid w:val="0"/>
                    <w:jc w:val="center"/>
                    <w:rPr>
                      <w:color w:val="auto"/>
                      <w:sz w:val="22"/>
                      <w:szCs w:val="22"/>
                    </w:rPr>
                  </w:pPr>
                  <w:r>
                    <w:rPr>
                      <w:rFonts w:hint="eastAsia"/>
                      <w:color w:val="auto"/>
                      <w:sz w:val="22"/>
                      <w:szCs w:val="22"/>
                    </w:rPr>
                    <w:t>单</w:t>
                  </w:r>
                  <w:r>
                    <w:rPr>
                      <w:color w:val="auto"/>
                      <w:sz w:val="22"/>
                      <w:szCs w:val="22"/>
                    </w:rPr>
                    <w:t>分裂</w:t>
                  </w:r>
                </w:p>
              </w:tc>
              <w:tc>
                <w:tcPr>
                  <w:tcW w:w="1377" w:type="pct"/>
                  <w:tcBorders>
                    <w:top w:val="single" w:color="auto" w:sz="4" w:space="0"/>
                    <w:left w:val="single" w:color="auto" w:sz="4" w:space="0"/>
                    <w:bottom w:val="single" w:color="auto" w:sz="4" w:space="0"/>
                    <w:right w:val="single" w:color="auto" w:sz="4" w:space="0"/>
                  </w:tcBorders>
                  <w:vAlign w:val="center"/>
                </w:tcPr>
                <w:p w14:paraId="6ED72E71">
                  <w:pPr>
                    <w:jc w:val="center"/>
                    <w:rPr>
                      <w:color w:val="auto"/>
                      <w:sz w:val="22"/>
                      <w:szCs w:val="22"/>
                    </w:rPr>
                  </w:pPr>
                  <w:r>
                    <w:rPr>
                      <w:rFonts w:hint="eastAsia"/>
                      <w:color w:val="auto"/>
                      <w:sz w:val="22"/>
                      <w:szCs w:val="22"/>
                    </w:rPr>
                    <w:t>单分裂</w:t>
                  </w:r>
                </w:p>
              </w:tc>
              <w:tc>
                <w:tcPr>
                  <w:tcW w:w="787" w:type="pct"/>
                  <w:tcBorders>
                    <w:top w:val="single" w:color="auto" w:sz="4" w:space="0"/>
                    <w:left w:val="single" w:color="auto" w:sz="4" w:space="0"/>
                    <w:bottom w:val="single" w:color="auto" w:sz="4" w:space="0"/>
                    <w:right w:val="single" w:color="auto" w:sz="4" w:space="0"/>
                  </w:tcBorders>
                  <w:vAlign w:val="center"/>
                </w:tcPr>
                <w:p w14:paraId="64523C94">
                  <w:pPr>
                    <w:jc w:val="center"/>
                    <w:rPr>
                      <w:color w:val="auto"/>
                      <w:sz w:val="22"/>
                      <w:szCs w:val="22"/>
                    </w:rPr>
                  </w:pPr>
                  <w:r>
                    <w:rPr>
                      <w:rFonts w:hint="eastAsia"/>
                      <w:color w:val="auto"/>
                      <w:sz w:val="22"/>
                      <w:szCs w:val="22"/>
                    </w:rPr>
                    <w:t>相同</w:t>
                  </w:r>
                </w:p>
              </w:tc>
            </w:tr>
            <w:tr w14:paraId="793E2B30">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301" w:type="pct"/>
                  <w:tcBorders>
                    <w:top w:val="single" w:color="auto" w:sz="4" w:space="0"/>
                    <w:left w:val="single" w:color="auto" w:sz="4" w:space="0"/>
                    <w:bottom w:val="single" w:color="auto" w:sz="4" w:space="0"/>
                    <w:right w:val="single" w:color="auto" w:sz="4" w:space="0"/>
                  </w:tcBorders>
                  <w:vAlign w:val="center"/>
                </w:tcPr>
                <w:p w14:paraId="104EA1F8">
                  <w:pPr>
                    <w:adjustRightInd w:val="0"/>
                    <w:snapToGrid w:val="0"/>
                    <w:jc w:val="center"/>
                    <w:rPr>
                      <w:color w:val="auto"/>
                      <w:sz w:val="22"/>
                      <w:szCs w:val="22"/>
                    </w:rPr>
                  </w:pPr>
                  <w:r>
                    <w:rPr>
                      <w:color w:val="auto"/>
                      <w:sz w:val="22"/>
                      <w:szCs w:val="22"/>
                    </w:rPr>
                    <w:t>5</w:t>
                  </w:r>
                </w:p>
              </w:tc>
              <w:tc>
                <w:tcPr>
                  <w:tcW w:w="829" w:type="pct"/>
                  <w:tcBorders>
                    <w:top w:val="single" w:color="auto" w:sz="4" w:space="0"/>
                    <w:left w:val="single" w:color="auto" w:sz="4" w:space="0"/>
                    <w:bottom w:val="single" w:color="auto" w:sz="4" w:space="0"/>
                    <w:right w:val="single" w:color="auto" w:sz="4" w:space="0"/>
                  </w:tcBorders>
                  <w:vAlign w:val="center"/>
                </w:tcPr>
                <w:p w14:paraId="55BA8AE4">
                  <w:pPr>
                    <w:adjustRightInd w:val="0"/>
                    <w:snapToGrid w:val="0"/>
                    <w:jc w:val="center"/>
                    <w:rPr>
                      <w:color w:val="auto"/>
                      <w:sz w:val="22"/>
                      <w:szCs w:val="22"/>
                    </w:rPr>
                  </w:pPr>
                  <w:r>
                    <w:rPr>
                      <w:color w:val="auto"/>
                      <w:sz w:val="22"/>
                      <w:szCs w:val="22"/>
                    </w:rPr>
                    <w:t>导线型号</w:t>
                  </w:r>
                </w:p>
              </w:tc>
              <w:tc>
                <w:tcPr>
                  <w:tcW w:w="1704" w:type="pct"/>
                  <w:tcBorders>
                    <w:top w:val="single" w:color="auto" w:sz="4" w:space="0"/>
                    <w:left w:val="single" w:color="auto" w:sz="4" w:space="0"/>
                    <w:bottom w:val="single" w:color="auto" w:sz="4" w:space="0"/>
                    <w:right w:val="single" w:color="auto" w:sz="4" w:space="0"/>
                  </w:tcBorders>
                  <w:vAlign w:val="center"/>
                </w:tcPr>
                <w:p w14:paraId="67C74401">
                  <w:pPr>
                    <w:adjustRightInd w:val="0"/>
                    <w:snapToGrid w:val="0"/>
                    <w:jc w:val="center"/>
                    <w:rPr>
                      <w:color w:val="auto"/>
                      <w:sz w:val="22"/>
                      <w:szCs w:val="22"/>
                    </w:rPr>
                  </w:pPr>
                  <w:r>
                    <w:rPr>
                      <w:rFonts w:hint="eastAsia"/>
                      <w:color w:val="auto"/>
                      <w:sz w:val="22"/>
                      <w:szCs w:val="22"/>
                    </w:rPr>
                    <w:t>JLHA1/G1A-300/50</w:t>
                  </w:r>
                </w:p>
              </w:tc>
              <w:tc>
                <w:tcPr>
                  <w:tcW w:w="1377" w:type="pct"/>
                  <w:tcBorders>
                    <w:top w:val="single" w:color="auto" w:sz="4" w:space="0"/>
                    <w:left w:val="single" w:color="auto" w:sz="4" w:space="0"/>
                    <w:bottom w:val="single" w:color="auto" w:sz="4" w:space="0"/>
                    <w:right w:val="single" w:color="auto" w:sz="4" w:space="0"/>
                  </w:tcBorders>
                  <w:vAlign w:val="center"/>
                </w:tcPr>
                <w:p w14:paraId="6655B670">
                  <w:pPr>
                    <w:adjustRightInd w:val="0"/>
                    <w:snapToGrid w:val="0"/>
                    <w:jc w:val="center"/>
                    <w:rPr>
                      <w:color w:val="auto"/>
                      <w:sz w:val="22"/>
                      <w:szCs w:val="22"/>
                    </w:rPr>
                  </w:pPr>
                  <w:r>
                    <w:rPr>
                      <w:color w:val="auto"/>
                      <w:sz w:val="22"/>
                      <w:szCs w:val="22"/>
                    </w:rPr>
                    <w:t>JL/G1A-</w:t>
                  </w:r>
                  <w:r>
                    <w:rPr>
                      <w:rFonts w:hint="eastAsia"/>
                      <w:color w:val="auto"/>
                      <w:sz w:val="22"/>
                      <w:szCs w:val="22"/>
                    </w:rPr>
                    <w:t>240</w:t>
                  </w:r>
                  <w:r>
                    <w:rPr>
                      <w:color w:val="auto"/>
                      <w:sz w:val="22"/>
                      <w:szCs w:val="22"/>
                    </w:rPr>
                    <w:t>/30</w:t>
                  </w:r>
                </w:p>
              </w:tc>
              <w:tc>
                <w:tcPr>
                  <w:tcW w:w="787" w:type="pct"/>
                  <w:tcBorders>
                    <w:top w:val="single" w:color="auto" w:sz="4" w:space="0"/>
                    <w:left w:val="single" w:color="auto" w:sz="4" w:space="0"/>
                    <w:bottom w:val="single" w:color="auto" w:sz="4" w:space="0"/>
                    <w:right w:val="single" w:color="auto" w:sz="4" w:space="0"/>
                  </w:tcBorders>
                  <w:vAlign w:val="center"/>
                </w:tcPr>
                <w:p w14:paraId="27538D38">
                  <w:pPr>
                    <w:adjustRightInd w:val="0"/>
                    <w:snapToGrid w:val="0"/>
                    <w:jc w:val="center"/>
                    <w:rPr>
                      <w:rFonts w:hint="default"/>
                      <w:color w:val="auto"/>
                      <w:sz w:val="22"/>
                      <w:szCs w:val="22"/>
                      <w:lang w:val="en-US"/>
                    </w:rPr>
                  </w:pPr>
                  <w:r>
                    <w:rPr>
                      <w:rFonts w:hint="eastAsia"/>
                      <w:color w:val="auto"/>
                      <w:sz w:val="22"/>
                      <w:szCs w:val="22"/>
                      <w:lang w:val="en-US" w:eastAsia="zh-CN"/>
                    </w:rPr>
                    <w:t>本项目优</w:t>
                  </w:r>
                </w:p>
              </w:tc>
            </w:tr>
            <w:tr w14:paraId="46423C47">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301" w:type="pct"/>
                  <w:tcBorders>
                    <w:top w:val="single" w:color="auto" w:sz="4" w:space="0"/>
                    <w:left w:val="single" w:color="auto" w:sz="4" w:space="0"/>
                    <w:bottom w:val="single" w:color="auto" w:sz="4" w:space="0"/>
                    <w:right w:val="single" w:color="auto" w:sz="4" w:space="0"/>
                  </w:tcBorders>
                  <w:vAlign w:val="center"/>
                </w:tcPr>
                <w:p w14:paraId="0ACFC54C">
                  <w:pPr>
                    <w:adjustRightInd w:val="0"/>
                    <w:snapToGrid w:val="0"/>
                    <w:jc w:val="center"/>
                    <w:rPr>
                      <w:color w:val="auto"/>
                      <w:sz w:val="22"/>
                      <w:szCs w:val="22"/>
                    </w:rPr>
                  </w:pPr>
                  <w:r>
                    <w:rPr>
                      <w:color w:val="auto"/>
                      <w:sz w:val="22"/>
                      <w:szCs w:val="22"/>
                    </w:rPr>
                    <w:t>6</w:t>
                  </w:r>
                </w:p>
              </w:tc>
              <w:tc>
                <w:tcPr>
                  <w:tcW w:w="829" w:type="pct"/>
                  <w:tcBorders>
                    <w:top w:val="single" w:color="auto" w:sz="4" w:space="0"/>
                    <w:left w:val="single" w:color="auto" w:sz="4" w:space="0"/>
                    <w:bottom w:val="single" w:color="auto" w:sz="4" w:space="0"/>
                    <w:right w:val="single" w:color="auto" w:sz="4" w:space="0"/>
                  </w:tcBorders>
                  <w:vAlign w:val="center"/>
                </w:tcPr>
                <w:p w14:paraId="002D70E2">
                  <w:pPr>
                    <w:jc w:val="center"/>
                    <w:rPr>
                      <w:color w:val="auto"/>
                      <w:sz w:val="22"/>
                      <w:szCs w:val="22"/>
                    </w:rPr>
                  </w:pPr>
                  <w:r>
                    <w:rPr>
                      <w:rFonts w:hint="eastAsia"/>
                      <w:color w:val="auto"/>
                      <w:sz w:val="22"/>
                      <w:szCs w:val="22"/>
                    </w:rPr>
                    <w:t>最低挂高</w:t>
                  </w:r>
                </w:p>
              </w:tc>
              <w:tc>
                <w:tcPr>
                  <w:tcW w:w="1704" w:type="pct"/>
                  <w:tcBorders>
                    <w:top w:val="single" w:color="auto" w:sz="4" w:space="0"/>
                    <w:left w:val="single" w:color="auto" w:sz="4" w:space="0"/>
                    <w:bottom w:val="single" w:color="auto" w:sz="4" w:space="0"/>
                    <w:right w:val="single" w:color="auto" w:sz="4" w:space="0"/>
                  </w:tcBorders>
                  <w:vAlign w:val="center"/>
                </w:tcPr>
                <w:p w14:paraId="43DAD5BE">
                  <w:pPr>
                    <w:jc w:val="center"/>
                    <w:rPr>
                      <w:color w:val="auto"/>
                      <w:sz w:val="22"/>
                      <w:szCs w:val="22"/>
                    </w:rPr>
                  </w:pPr>
                  <w:r>
                    <w:rPr>
                      <w:rFonts w:hint="eastAsia"/>
                      <w:color w:val="auto"/>
                      <w:sz w:val="22"/>
                      <w:szCs w:val="22"/>
                    </w:rPr>
                    <w:t>11</w:t>
                  </w:r>
                  <w:r>
                    <w:rPr>
                      <w:color w:val="auto"/>
                      <w:sz w:val="22"/>
                      <w:szCs w:val="22"/>
                    </w:rPr>
                    <w:t>m</w:t>
                  </w:r>
                </w:p>
              </w:tc>
              <w:tc>
                <w:tcPr>
                  <w:tcW w:w="1377" w:type="pct"/>
                  <w:tcBorders>
                    <w:top w:val="single" w:color="auto" w:sz="4" w:space="0"/>
                    <w:left w:val="single" w:color="auto" w:sz="4" w:space="0"/>
                    <w:bottom w:val="single" w:color="auto" w:sz="4" w:space="0"/>
                    <w:right w:val="single" w:color="auto" w:sz="4" w:space="0"/>
                  </w:tcBorders>
                  <w:vAlign w:val="center"/>
                </w:tcPr>
                <w:p w14:paraId="74CF30C4">
                  <w:pPr>
                    <w:jc w:val="center"/>
                    <w:rPr>
                      <w:color w:val="auto"/>
                      <w:sz w:val="22"/>
                      <w:szCs w:val="22"/>
                    </w:rPr>
                  </w:pPr>
                  <w:r>
                    <w:rPr>
                      <w:rFonts w:hint="eastAsia"/>
                      <w:color w:val="auto"/>
                      <w:sz w:val="22"/>
                      <w:szCs w:val="22"/>
                    </w:rPr>
                    <w:t>11m</w:t>
                  </w:r>
                </w:p>
              </w:tc>
              <w:tc>
                <w:tcPr>
                  <w:tcW w:w="787" w:type="pct"/>
                  <w:tcBorders>
                    <w:top w:val="single" w:color="auto" w:sz="4" w:space="0"/>
                    <w:left w:val="single" w:color="auto" w:sz="4" w:space="0"/>
                    <w:bottom w:val="single" w:color="auto" w:sz="4" w:space="0"/>
                    <w:right w:val="single" w:color="auto" w:sz="4" w:space="0"/>
                  </w:tcBorders>
                  <w:vAlign w:val="center"/>
                </w:tcPr>
                <w:p w14:paraId="71FE9E78">
                  <w:pPr>
                    <w:jc w:val="center"/>
                    <w:rPr>
                      <w:color w:val="auto"/>
                      <w:sz w:val="22"/>
                      <w:szCs w:val="22"/>
                    </w:rPr>
                  </w:pPr>
                  <w:r>
                    <w:rPr>
                      <w:rFonts w:hint="eastAsia"/>
                      <w:color w:val="auto"/>
                      <w:sz w:val="22"/>
                      <w:szCs w:val="22"/>
                    </w:rPr>
                    <w:t>相同</w:t>
                  </w:r>
                </w:p>
              </w:tc>
            </w:tr>
            <w:tr w14:paraId="5702BC4D">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301" w:type="pct"/>
                  <w:tcBorders>
                    <w:top w:val="single" w:color="auto" w:sz="4" w:space="0"/>
                    <w:left w:val="single" w:color="auto" w:sz="4" w:space="0"/>
                    <w:bottom w:val="single" w:color="auto" w:sz="4" w:space="0"/>
                    <w:right w:val="single" w:color="auto" w:sz="4" w:space="0"/>
                  </w:tcBorders>
                  <w:vAlign w:val="center"/>
                </w:tcPr>
                <w:p w14:paraId="1D516B6F">
                  <w:pPr>
                    <w:adjustRightInd w:val="0"/>
                    <w:snapToGrid w:val="0"/>
                    <w:jc w:val="center"/>
                    <w:rPr>
                      <w:color w:val="auto"/>
                      <w:sz w:val="22"/>
                      <w:szCs w:val="22"/>
                    </w:rPr>
                  </w:pPr>
                  <w:r>
                    <w:rPr>
                      <w:rFonts w:hint="eastAsia"/>
                      <w:color w:val="auto"/>
                      <w:sz w:val="22"/>
                      <w:szCs w:val="22"/>
                    </w:rPr>
                    <w:t>7</w:t>
                  </w:r>
                </w:p>
              </w:tc>
              <w:tc>
                <w:tcPr>
                  <w:tcW w:w="829" w:type="pct"/>
                  <w:tcBorders>
                    <w:top w:val="single" w:color="auto" w:sz="4" w:space="0"/>
                    <w:left w:val="single" w:color="auto" w:sz="4" w:space="0"/>
                    <w:bottom w:val="single" w:color="auto" w:sz="4" w:space="0"/>
                    <w:right w:val="single" w:color="auto" w:sz="4" w:space="0"/>
                  </w:tcBorders>
                  <w:vAlign w:val="center"/>
                </w:tcPr>
                <w:p w14:paraId="0565956C">
                  <w:pPr>
                    <w:adjustRightInd w:val="0"/>
                    <w:snapToGrid w:val="0"/>
                    <w:jc w:val="center"/>
                    <w:rPr>
                      <w:color w:val="auto"/>
                      <w:sz w:val="22"/>
                      <w:szCs w:val="22"/>
                    </w:rPr>
                  </w:pPr>
                  <w:r>
                    <w:rPr>
                      <w:rFonts w:hint="eastAsia"/>
                      <w:color w:val="auto"/>
                      <w:sz w:val="22"/>
                      <w:szCs w:val="22"/>
                    </w:rPr>
                    <w:t>气候</w:t>
                  </w:r>
                </w:p>
              </w:tc>
              <w:tc>
                <w:tcPr>
                  <w:tcW w:w="1704" w:type="pct"/>
                  <w:tcBorders>
                    <w:top w:val="single" w:color="auto" w:sz="4" w:space="0"/>
                    <w:left w:val="single" w:color="auto" w:sz="4" w:space="0"/>
                    <w:bottom w:val="single" w:color="auto" w:sz="4" w:space="0"/>
                    <w:right w:val="single" w:color="auto" w:sz="4" w:space="0"/>
                  </w:tcBorders>
                  <w:vAlign w:val="center"/>
                </w:tcPr>
                <w:p w14:paraId="6E4623F7">
                  <w:pPr>
                    <w:adjustRightInd w:val="0"/>
                    <w:snapToGrid w:val="0"/>
                    <w:jc w:val="center"/>
                    <w:rPr>
                      <w:color w:val="auto"/>
                      <w:sz w:val="22"/>
                      <w:szCs w:val="22"/>
                    </w:rPr>
                  </w:pPr>
                  <w:r>
                    <w:rPr>
                      <w:rFonts w:hint="eastAsia"/>
                      <w:color w:val="auto"/>
                      <w:sz w:val="22"/>
                      <w:szCs w:val="22"/>
                    </w:rPr>
                    <w:t>属中亚热带湿润性季风性气候，常年平均气温15℃</w:t>
                  </w:r>
                </w:p>
              </w:tc>
              <w:tc>
                <w:tcPr>
                  <w:tcW w:w="1377" w:type="pct"/>
                  <w:tcBorders>
                    <w:top w:val="single" w:color="auto" w:sz="4" w:space="0"/>
                    <w:left w:val="single" w:color="auto" w:sz="4" w:space="0"/>
                    <w:bottom w:val="single" w:color="auto" w:sz="4" w:space="0"/>
                    <w:right w:val="single" w:color="auto" w:sz="4" w:space="0"/>
                  </w:tcBorders>
                  <w:vAlign w:val="center"/>
                </w:tcPr>
                <w:p w14:paraId="55F0B445">
                  <w:pPr>
                    <w:adjustRightInd w:val="0"/>
                    <w:snapToGrid w:val="0"/>
                    <w:jc w:val="center"/>
                    <w:rPr>
                      <w:color w:val="auto"/>
                      <w:sz w:val="22"/>
                      <w:szCs w:val="22"/>
                    </w:rPr>
                  </w:pPr>
                  <w:r>
                    <w:rPr>
                      <w:rFonts w:hint="eastAsia" w:hAnsi="宋体"/>
                      <w:color w:val="auto"/>
                      <w:sz w:val="22"/>
                      <w:szCs w:val="22"/>
                    </w:rPr>
                    <w:t>亚热带湿润温和型气候，年平均气温为</w:t>
                  </w:r>
                  <w:r>
                    <w:rPr>
                      <w:color w:val="auto"/>
                      <w:sz w:val="22"/>
                      <w:szCs w:val="22"/>
                    </w:rPr>
                    <w:t>15.3</w:t>
                  </w:r>
                  <w:r>
                    <w:rPr>
                      <w:rFonts w:hint="eastAsia" w:hAnsi="宋体"/>
                      <w:color w:val="auto"/>
                      <w:sz w:val="22"/>
                      <w:szCs w:val="22"/>
                    </w:rPr>
                    <w:t>℃</w:t>
                  </w:r>
                </w:p>
              </w:tc>
              <w:tc>
                <w:tcPr>
                  <w:tcW w:w="787" w:type="pct"/>
                  <w:tcBorders>
                    <w:top w:val="single" w:color="auto" w:sz="4" w:space="0"/>
                    <w:left w:val="single" w:color="auto" w:sz="4" w:space="0"/>
                    <w:bottom w:val="single" w:color="auto" w:sz="4" w:space="0"/>
                    <w:right w:val="single" w:color="auto" w:sz="4" w:space="0"/>
                  </w:tcBorders>
                  <w:vAlign w:val="center"/>
                </w:tcPr>
                <w:p w14:paraId="75C1C563">
                  <w:pPr>
                    <w:adjustRightInd w:val="0"/>
                    <w:snapToGrid w:val="0"/>
                    <w:jc w:val="center"/>
                    <w:rPr>
                      <w:color w:val="auto"/>
                      <w:sz w:val="22"/>
                      <w:szCs w:val="22"/>
                    </w:rPr>
                  </w:pPr>
                  <w:r>
                    <w:rPr>
                      <w:color w:val="auto"/>
                      <w:sz w:val="22"/>
                      <w:szCs w:val="22"/>
                    </w:rPr>
                    <w:t>相似</w:t>
                  </w:r>
                </w:p>
              </w:tc>
            </w:tr>
          </w:tbl>
          <w:p w14:paraId="352F4655">
            <w:pPr>
              <w:adjustRightInd w:val="0"/>
              <w:snapToGrid w:val="0"/>
              <w:ind w:firstLine="520" w:firstLineChars="200"/>
              <w:rPr>
                <w:color w:val="auto"/>
                <w:sz w:val="26"/>
                <w:szCs w:val="26"/>
              </w:rPr>
            </w:pPr>
          </w:p>
          <w:p w14:paraId="548F664C">
            <w:pPr>
              <w:spacing w:line="460" w:lineRule="exact"/>
              <w:ind w:firstLine="520" w:firstLineChars="200"/>
              <w:rPr>
                <w:bCs/>
                <w:color w:val="auto"/>
                <w:sz w:val="26"/>
                <w:szCs w:val="26"/>
              </w:rPr>
            </w:pPr>
            <w:r>
              <w:rPr>
                <w:rFonts w:hint="eastAsia"/>
                <w:bCs/>
                <w:color w:val="auto"/>
                <w:sz w:val="26"/>
                <w:szCs w:val="26"/>
              </w:rPr>
              <w:t>根据国内外相关研究结果表明，可听噪声随导线分裂数和直径的增加而减少，增加导线离地平均高度，对电晕可听噪声的影响较小。</w:t>
            </w:r>
          </w:p>
          <w:p w14:paraId="49C11C14">
            <w:pPr>
              <w:spacing w:line="460" w:lineRule="exact"/>
              <w:ind w:firstLine="520" w:firstLineChars="200"/>
              <w:rPr>
                <w:bCs/>
                <w:color w:val="auto"/>
                <w:sz w:val="26"/>
                <w:szCs w:val="26"/>
              </w:rPr>
            </w:pPr>
            <w:r>
              <w:rPr>
                <w:rFonts w:hint="eastAsia"/>
                <w:bCs/>
                <w:color w:val="auto"/>
                <w:sz w:val="26"/>
                <w:szCs w:val="26"/>
              </w:rPr>
              <w:t>由表</w:t>
            </w:r>
            <w:r>
              <w:rPr>
                <w:bCs/>
                <w:color w:val="auto"/>
                <w:sz w:val="26"/>
                <w:szCs w:val="26"/>
              </w:rPr>
              <w:t>4-1</w:t>
            </w:r>
            <w:r>
              <w:rPr>
                <w:rFonts w:hint="eastAsia"/>
                <w:bCs/>
                <w:color w:val="auto"/>
                <w:sz w:val="26"/>
                <w:szCs w:val="26"/>
              </w:rPr>
              <w:t>可知，本项目架空线路与类比线路电压等级、架设形式、分裂形式、导线挂高方面相同，</w:t>
            </w:r>
            <w:r>
              <w:rPr>
                <w:rFonts w:hint="eastAsia"/>
                <w:bCs/>
                <w:color w:val="auto"/>
                <w:sz w:val="26"/>
                <w:szCs w:val="26"/>
                <w:lang w:val="en-US" w:eastAsia="zh-CN"/>
              </w:rPr>
              <w:t>本项目</w:t>
            </w:r>
            <w:r>
              <w:rPr>
                <w:rFonts w:hint="eastAsia"/>
                <w:bCs/>
                <w:color w:val="auto"/>
                <w:sz w:val="26"/>
                <w:szCs w:val="26"/>
              </w:rPr>
              <w:t>导线型号</w:t>
            </w:r>
            <w:r>
              <w:rPr>
                <w:rFonts w:hint="eastAsia"/>
                <w:bCs/>
                <w:color w:val="auto"/>
                <w:sz w:val="26"/>
                <w:szCs w:val="26"/>
                <w:lang w:val="en-US" w:eastAsia="zh-CN"/>
              </w:rPr>
              <w:t>优于类比项目，在</w:t>
            </w:r>
            <w:r>
              <w:rPr>
                <w:rFonts w:hint="eastAsia"/>
                <w:bCs/>
                <w:color w:val="auto"/>
                <w:sz w:val="26"/>
                <w:szCs w:val="26"/>
              </w:rPr>
              <w:t>排列方式</w:t>
            </w:r>
            <w:r>
              <w:rPr>
                <w:rFonts w:hint="eastAsia"/>
                <w:bCs/>
                <w:color w:val="auto"/>
                <w:sz w:val="26"/>
                <w:szCs w:val="26"/>
                <w:lang w:eastAsia="zh-CN"/>
              </w:rPr>
              <w:t>及</w:t>
            </w:r>
            <w:r>
              <w:rPr>
                <w:rFonts w:hint="eastAsia"/>
                <w:bCs/>
                <w:color w:val="auto"/>
                <w:sz w:val="26"/>
                <w:szCs w:val="26"/>
              </w:rPr>
              <w:t>气候方面相似。因此，从类比条件角度来看，本项目线路与类比线路具有一定的可比性，类别线路运行时产生的可听噪声总体能够</w:t>
            </w:r>
            <w:r>
              <w:rPr>
                <w:rFonts w:hint="eastAsia"/>
                <w:bCs/>
                <w:color w:val="auto"/>
                <w:sz w:val="26"/>
                <w:szCs w:val="26"/>
                <w:lang w:eastAsia="zh-CN"/>
              </w:rPr>
              <w:t>反映本</w:t>
            </w:r>
            <w:r>
              <w:rPr>
                <w:rFonts w:hint="eastAsia"/>
                <w:bCs/>
                <w:color w:val="auto"/>
                <w:sz w:val="26"/>
                <w:szCs w:val="26"/>
              </w:rPr>
              <w:t>项目运行时对周围环境的影响。</w:t>
            </w:r>
          </w:p>
          <w:p w14:paraId="596C1BE3">
            <w:pPr>
              <w:spacing w:line="460" w:lineRule="exact"/>
              <w:ind w:firstLine="520" w:firstLineChars="200"/>
              <w:rPr>
                <w:color w:val="auto"/>
                <w:sz w:val="26"/>
                <w:szCs w:val="26"/>
              </w:rPr>
            </w:pPr>
            <w:r>
              <w:rPr>
                <w:rFonts w:hint="eastAsia"/>
                <w:color w:val="auto"/>
                <w:sz w:val="26"/>
                <w:szCs w:val="26"/>
              </w:rPr>
              <w:t>（2）类比监测结果</w:t>
            </w:r>
          </w:p>
          <w:p w14:paraId="03957897">
            <w:pPr>
              <w:spacing w:line="460" w:lineRule="exact"/>
              <w:ind w:firstLine="520" w:firstLineChars="200"/>
              <w:rPr>
                <w:color w:val="auto"/>
                <w:sz w:val="26"/>
                <w:szCs w:val="26"/>
              </w:rPr>
            </w:pPr>
            <w:r>
              <w:rPr>
                <w:rFonts w:hint="eastAsia"/>
                <w:color w:val="auto"/>
                <w:sz w:val="26"/>
                <w:szCs w:val="26"/>
              </w:rPr>
              <w:t>类比线路监测运行工况及噪声监测结果见表4-2~表4-3，类比监测报告见附件4。</w:t>
            </w:r>
          </w:p>
          <w:p w14:paraId="5CA1BD6F">
            <w:pPr>
              <w:ind w:firstLine="520" w:firstLineChars="200"/>
              <w:rPr>
                <w:color w:val="auto"/>
                <w:sz w:val="26"/>
                <w:szCs w:val="26"/>
              </w:rPr>
            </w:pPr>
          </w:p>
          <w:p w14:paraId="4F60EC37">
            <w:pPr>
              <w:jc w:val="center"/>
              <w:rPr>
                <w:color w:val="auto"/>
                <w:sz w:val="26"/>
                <w:szCs w:val="26"/>
              </w:rPr>
            </w:pPr>
            <w:r>
              <w:rPr>
                <w:rFonts w:hint="eastAsia"/>
                <w:color w:val="auto"/>
                <w:sz w:val="26"/>
                <w:szCs w:val="26"/>
              </w:rPr>
              <w:t>表4</w:t>
            </w:r>
            <w:r>
              <w:rPr>
                <w:color w:val="auto"/>
                <w:sz w:val="26"/>
                <w:szCs w:val="26"/>
              </w:rPr>
              <w:t xml:space="preserve">-2  </w:t>
            </w:r>
            <w:r>
              <w:rPr>
                <w:rFonts w:hint="eastAsia"/>
                <w:color w:val="auto"/>
                <w:sz w:val="26"/>
                <w:szCs w:val="26"/>
              </w:rPr>
              <w:t>类比监测负荷表</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54"/>
              <w:gridCol w:w="1355"/>
              <w:gridCol w:w="1356"/>
              <w:gridCol w:w="1357"/>
              <w:gridCol w:w="1357"/>
              <w:gridCol w:w="1358"/>
            </w:tblGrid>
            <w:tr w14:paraId="0672E0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54" w:type="dxa"/>
                  <w:vAlign w:val="center"/>
                </w:tcPr>
                <w:p w14:paraId="71F3E7B2">
                  <w:pPr>
                    <w:autoSpaceDN w:val="0"/>
                    <w:jc w:val="center"/>
                    <w:rPr>
                      <w:rFonts w:hAnsi="宋体"/>
                      <w:color w:val="auto"/>
                      <w:sz w:val="22"/>
                      <w:szCs w:val="22"/>
                    </w:rPr>
                  </w:pPr>
                  <w:r>
                    <w:rPr>
                      <w:rFonts w:hint="eastAsia" w:hAnsi="宋体"/>
                      <w:color w:val="auto"/>
                      <w:sz w:val="22"/>
                      <w:szCs w:val="22"/>
                    </w:rPr>
                    <w:t>名称</w:t>
                  </w:r>
                </w:p>
              </w:tc>
              <w:tc>
                <w:tcPr>
                  <w:tcW w:w="1355" w:type="dxa"/>
                  <w:vAlign w:val="center"/>
                </w:tcPr>
                <w:p w14:paraId="5995DA4E">
                  <w:pPr>
                    <w:autoSpaceDN w:val="0"/>
                    <w:jc w:val="center"/>
                    <w:rPr>
                      <w:rFonts w:hAnsi="宋体"/>
                      <w:color w:val="auto"/>
                      <w:sz w:val="22"/>
                      <w:szCs w:val="22"/>
                    </w:rPr>
                  </w:pPr>
                  <w:r>
                    <w:rPr>
                      <w:rFonts w:hAnsi="宋体"/>
                      <w:color w:val="auto"/>
                      <w:sz w:val="22"/>
                      <w:szCs w:val="22"/>
                    </w:rPr>
                    <w:t>日期</w:t>
                  </w:r>
                </w:p>
              </w:tc>
              <w:tc>
                <w:tcPr>
                  <w:tcW w:w="1356" w:type="dxa"/>
                  <w:vAlign w:val="center"/>
                </w:tcPr>
                <w:p w14:paraId="6B5EEA95">
                  <w:pPr>
                    <w:autoSpaceDN w:val="0"/>
                    <w:jc w:val="center"/>
                    <w:rPr>
                      <w:rFonts w:hAnsi="宋体"/>
                      <w:color w:val="auto"/>
                      <w:sz w:val="22"/>
                      <w:szCs w:val="22"/>
                    </w:rPr>
                  </w:pPr>
                  <w:r>
                    <w:rPr>
                      <w:rFonts w:hAnsi="宋体"/>
                      <w:color w:val="auto"/>
                      <w:sz w:val="22"/>
                      <w:szCs w:val="22"/>
                    </w:rPr>
                    <w:t>电流（A）</w:t>
                  </w:r>
                </w:p>
              </w:tc>
              <w:tc>
                <w:tcPr>
                  <w:tcW w:w="1357" w:type="dxa"/>
                  <w:vAlign w:val="center"/>
                </w:tcPr>
                <w:p w14:paraId="18692370">
                  <w:pPr>
                    <w:autoSpaceDN w:val="0"/>
                    <w:jc w:val="center"/>
                    <w:rPr>
                      <w:rFonts w:hAnsi="宋体"/>
                      <w:color w:val="auto"/>
                      <w:sz w:val="22"/>
                      <w:szCs w:val="22"/>
                    </w:rPr>
                  </w:pPr>
                  <w:r>
                    <w:rPr>
                      <w:rFonts w:hAnsi="宋体"/>
                      <w:color w:val="auto"/>
                      <w:sz w:val="22"/>
                      <w:szCs w:val="22"/>
                    </w:rPr>
                    <w:t>电压（kV）</w:t>
                  </w:r>
                </w:p>
              </w:tc>
              <w:tc>
                <w:tcPr>
                  <w:tcW w:w="1357" w:type="dxa"/>
                  <w:vAlign w:val="center"/>
                </w:tcPr>
                <w:p w14:paraId="5DD820FE">
                  <w:pPr>
                    <w:autoSpaceDN w:val="0"/>
                    <w:jc w:val="center"/>
                    <w:rPr>
                      <w:rFonts w:hAnsi="宋体"/>
                      <w:color w:val="auto"/>
                      <w:sz w:val="22"/>
                      <w:szCs w:val="22"/>
                    </w:rPr>
                  </w:pPr>
                  <w:r>
                    <w:rPr>
                      <w:rFonts w:hAnsi="宋体"/>
                      <w:color w:val="auto"/>
                      <w:sz w:val="22"/>
                      <w:szCs w:val="22"/>
                    </w:rPr>
                    <w:t>有功功率（MW）</w:t>
                  </w:r>
                </w:p>
              </w:tc>
              <w:tc>
                <w:tcPr>
                  <w:tcW w:w="1358" w:type="dxa"/>
                  <w:vAlign w:val="center"/>
                </w:tcPr>
                <w:p w14:paraId="76106E2A">
                  <w:pPr>
                    <w:autoSpaceDN w:val="0"/>
                    <w:jc w:val="center"/>
                    <w:rPr>
                      <w:rFonts w:hAnsi="宋体"/>
                      <w:color w:val="auto"/>
                      <w:sz w:val="22"/>
                      <w:szCs w:val="22"/>
                    </w:rPr>
                  </w:pPr>
                  <w:r>
                    <w:rPr>
                      <w:rFonts w:hAnsi="宋体"/>
                      <w:color w:val="auto"/>
                      <w:sz w:val="22"/>
                      <w:szCs w:val="22"/>
                    </w:rPr>
                    <w:t>无功功率（MVar）</w:t>
                  </w:r>
                </w:p>
              </w:tc>
            </w:tr>
            <w:tr w14:paraId="1814F6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1354" w:type="dxa"/>
                  <w:vMerge w:val="restart"/>
                  <w:vAlign w:val="center"/>
                </w:tcPr>
                <w:p w14:paraId="6A8E738E">
                  <w:pPr>
                    <w:autoSpaceDN w:val="0"/>
                    <w:jc w:val="center"/>
                    <w:rPr>
                      <w:rFonts w:hAnsi="宋体"/>
                      <w:color w:val="auto"/>
                      <w:sz w:val="22"/>
                      <w:szCs w:val="22"/>
                    </w:rPr>
                  </w:pPr>
                  <w:r>
                    <w:rPr>
                      <w:rFonts w:hAnsi="宋体"/>
                      <w:color w:val="auto"/>
                      <w:sz w:val="22"/>
                      <w:szCs w:val="22"/>
                    </w:rPr>
                    <w:t>110kV浙河虎线</w:t>
                  </w:r>
                </w:p>
              </w:tc>
              <w:tc>
                <w:tcPr>
                  <w:tcW w:w="1355" w:type="dxa"/>
                  <w:vAlign w:val="center"/>
                </w:tcPr>
                <w:p w14:paraId="1B0C6B4F">
                  <w:pPr>
                    <w:autoSpaceDN w:val="0"/>
                    <w:jc w:val="center"/>
                    <w:rPr>
                      <w:rFonts w:hAnsi="宋体"/>
                      <w:color w:val="auto"/>
                      <w:sz w:val="22"/>
                      <w:szCs w:val="22"/>
                    </w:rPr>
                  </w:pPr>
                  <w:r>
                    <w:rPr>
                      <w:rFonts w:hint="eastAsia" w:hAnsi="宋体"/>
                      <w:color w:val="auto"/>
                      <w:sz w:val="22"/>
                      <w:szCs w:val="22"/>
                    </w:rPr>
                    <w:t>2021.3.10</w:t>
                  </w:r>
                </w:p>
              </w:tc>
              <w:tc>
                <w:tcPr>
                  <w:tcW w:w="1356" w:type="dxa"/>
                  <w:vAlign w:val="center"/>
                </w:tcPr>
                <w:p w14:paraId="0A0E588F">
                  <w:pPr>
                    <w:autoSpaceDN w:val="0"/>
                    <w:jc w:val="center"/>
                    <w:rPr>
                      <w:rFonts w:hAnsi="宋体"/>
                      <w:color w:val="auto"/>
                      <w:sz w:val="22"/>
                      <w:szCs w:val="22"/>
                    </w:rPr>
                  </w:pPr>
                  <w:r>
                    <w:rPr>
                      <w:rFonts w:hint="eastAsia" w:hAnsi="宋体"/>
                      <w:color w:val="auto"/>
                      <w:sz w:val="22"/>
                      <w:szCs w:val="22"/>
                    </w:rPr>
                    <w:t>109.52</w:t>
                  </w:r>
                </w:p>
              </w:tc>
              <w:tc>
                <w:tcPr>
                  <w:tcW w:w="1357" w:type="dxa"/>
                  <w:vAlign w:val="center"/>
                </w:tcPr>
                <w:p w14:paraId="0FB085DB">
                  <w:pPr>
                    <w:autoSpaceDN w:val="0"/>
                    <w:jc w:val="center"/>
                    <w:rPr>
                      <w:rFonts w:hAnsi="宋体"/>
                      <w:color w:val="auto"/>
                      <w:sz w:val="22"/>
                      <w:szCs w:val="22"/>
                    </w:rPr>
                  </w:pPr>
                  <w:r>
                    <w:rPr>
                      <w:rFonts w:hint="eastAsia" w:hAnsi="宋体"/>
                      <w:color w:val="auto"/>
                      <w:sz w:val="22"/>
                      <w:szCs w:val="22"/>
                    </w:rPr>
                    <w:t>113.82</w:t>
                  </w:r>
                </w:p>
              </w:tc>
              <w:tc>
                <w:tcPr>
                  <w:tcW w:w="1357" w:type="dxa"/>
                  <w:vAlign w:val="center"/>
                </w:tcPr>
                <w:p w14:paraId="0F3A592D">
                  <w:pPr>
                    <w:autoSpaceDN w:val="0"/>
                    <w:jc w:val="center"/>
                    <w:rPr>
                      <w:rFonts w:hAnsi="宋体"/>
                      <w:color w:val="auto"/>
                      <w:sz w:val="22"/>
                      <w:szCs w:val="22"/>
                    </w:rPr>
                  </w:pPr>
                  <w:r>
                    <w:rPr>
                      <w:rFonts w:hint="eastAsia" w:hAnsi="宋体"/>
                      <w:color w:val="auto"/>
                      <w:sz w:val="22"/>
                      <w:szCs w:val="22"/>
                    </w:rPr>
                    <w:t>21.03</w:t>
                  </w:r>
                </w:p>
              </w:tc>
              <w:tc>
                <w:tcPr>
                  <w:tcW w:w="1358" w:type="dxa"/>
                  <w:vAlign w:val="center"/>
                </w:tcPr>
                <w:p w14:paraId="1E719BA2">
                  <w:pPr>
                    <w:autoSpaceDN w:val="0"/>
                    <w:jc w:val="center"/>
                    <w:rPr>
                      <w:rFonts w:hAnsi="宋体"/>
                      <w:color w:val="auto"/>
                      <w:sz w:val="22"/>
                      <w:szCs w:val="22"/>
                    </w:rPr>
                  </w:pPr>
                  <w:r>
                    <w:rPr>
                      <w:rFonts w:hint="eastAsia" w:hAnsi="宋体"/>
                      <w:color w:val="auto"/>
                      <w:sz w:val="22"/>
                      <w:szCs w:val="22"/>
                    </w:rPr>
                    <w:t>0.86</w:t>
                  </w:r>
                </w:p>
              </w:tc>
            </w:tr>
            <w:tr w14:paraId="3DDA04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1354" w:type="dxa"/>
                  <w:vMerge w:val="continue"/>
                  <w:vAlign w:val="center"/>
                </w:tcPr>
                <w:p w14:paraId="0A98C25E">
                  <w:pPr>
                    <w:autoSpaceDN w:val="0"/>
                    <w:jc w:val="center"/>
                    <w:rPr>
                      <w:rFonts w:hAnsi="宋体"/>
                      <w:color w:val="auto"/>
                      <w:sz w:val="22"/>
                      <w:szCs w:val="22"/>
                    </w:rPr>
                  </w:pPr>
                </w:p>
              </w:tc>
              <w:tc>
                <w:tcPr>
                  <w:tcW w:w="1355" w:type="dxa"/>
                  <w:vAlign w:val="center"/>
                </w:tcPr>
                <w:p w14:paraId="0871DF2C">
                  <w:pPr>
                    <w:autoSpaceDN w:val="0"/>
                    <w:jc w:val="center"/>
                    <w:rPr>
                      <w:rFonts w:hAnsi="宋体"/>
                      <w:color w:val="auto"/>
                      <w:sz w:val="22"/>
                      <w:szCs w:val="22"/>
                    </w:rPr>
                  </w:pPr>
                  <w:r>
                    <w:rPr>
                      <w:rFonts w:hint="eastAsia" w:hAnsi="宋体"/>
                      <w:color w:val="auto"/>
                      <w:sz w:val="22"/>
                      <w:szCs w:val="22"/>
                    </w:rPr>
                    <w:t>2021.3.11</w:t>
                  </w:r>
                </w:p>
              </w:tc>
              <w:tc>
                <w:tcPr>
                  <w:tcW w:w="1356" w:type="dxa"/>
                  <w:vAlign w:val="center"/>
                </w:tcPr>
                <w:p w14:paraId="56BEE4B8">
                  <w:pPr>
                    <w:autoSpaceDN w:val="0"/>
                    <w:jc w:val="center"/>
                    <w:rPr>
                      <w:rFonts w:hAnsi="宋体"/>
                      <w:color w:val="auto"/>
                      <w:sz w:val="22"/>
                      <w:szCs w:val="22"/>
                    </w:rPr>
                  </w:pPr>
                  <w:r>
                    <w:rPr>
                      <w:rFonts w:hint="eastAsia" w:hAnsi="宋体"/>
                      <w:color w:val="auto"/>
                      <w:sz w:val="22"/>
                      <w:szCs w:val="22"/>
                    </w:rPr>
                    <w:t>108.48</w:t>
                  </w:r>
                </w:p>
              </w:tc>
              <w:tc>
                <w:tcPr>
                  <w:tcW w:w="1357" w:type="dxa"/>
                  <w:vAlign w:val="center"/>
                </w:tcPr>
                <w:p w14:paraId="6198C71C">
                  <w:pPr>
                    <w:autoSpaceDN w:val="0"/>
                    <w:jc w:val="center"/>
                    <w:rPr>
                      <w:rFonts w:hAnsi="宋体"/>
                      <w:color w:val="auto"/>
                      <w:sz w:val="22"/>
                      <w:szCs w:val="22"/>
                    </w:rPr>
                  </w:pPr>
                  <w:r>
                    <w:rPr>
                      <w:rFonts w:hint="eastAsia" w:hAnsi="宋体"/>
                      <w:color w:val="auto"/>
                      <w:sz w:val="22"/>
                      <w:szCs w:val="22"/>
                    </w:rPr>
                    <w:t>113.80</w:t>
                  </w:r>
                </w:p>
              </w:tc>
              <w:tc>
                <w:tcPr>
                  <w:tcW w:w="1357" w:type="dxa"/>
                  <w:vAlign w:val="center"/>
                </w:tcPr>
                <w:p w14:paraId="09B0D307">
                  <w:pPr>
                    <w:autoSpaceDN w:val="0"/>
                    <w:jc w:val="center"/>
                    <w:rPr>
                      <w:rFonts w:hAnsi="宋体"/>
                      <w:color w:val="auto"/>
                      <w:sz w:val="22"/>
                      <w:szCs w:val="22"/>
                    </w:rPr>
                  </w:pPr>
                  <w:r>
                    <w:rPr>
                      <w:rFonts w:hint="eastAsia" w:hAnsi="宋体"/>
                      <w:color w:val="auto"/>
                      <w:sz w:val="22"/>
                      <w:szCs w:val="22"/>
                    </w:rPr>
                    <w:t>0.04</w:t>
                  </w:r>
                </w:p>
              </w:tc>
              <w:tc>
                <w:tcPr>
                  <w:tcW w:w="1358" w:type="dxa"/>
                  <w:vAlign w:val="center"/>
                </w:tcPr>
                <w:p w14:paraId="7AA96BBD">
                  <w:pPr>
                    <w:autoSpaceDN w:val="0"/>
                    <w:jc w:val="center"/>
                    <w:rPr>
                      <w:rFonts w:hAnsi="宋体"/>
                      <w:color w:val="auto"/>
                      <w:sz w:val="22"/>
                      <w:szCs w:val="22"/>
                    </w:rPr>
                  </w:pPr>
                  <w:r>
                    <w:rPr>
                      <w:rFonts w:hint="eastAsia" w:hAnsi="宋体"/>
                      <w:color w:val="auto"/>
                      <w:sz w:val="22"/>
                      <w:szCs w:val="22"/>
                    </w:rPr>
                    <w:t>-0.56</w:t>
                  </w:r>
                </w:p>
              </w:tc>
            </w:tr>
          </w:tbl>
          <w:p w14:paraId="71D20277">
            <w:pPr>
              <w:ind w:firstLine="520" w:firstLineChars="200"/>
              <w:rPr>
                <w:color w:val="auto"/>
                <w:sz w:val="26"/>
                <w:szCs w:val="26"/>
              </w:rPr>
            </w:pPr>
          </w:p>
          <w:p w14:paraId="04065B65">
            <w:pPr>
              <w:snapToGrid w:val="0"/>
              <w:jc w:val="center"/>
              <w:rPr>
                <w:color w:val="auto"/>
                <w:sz w:val="26"/>
                <w:szCs w:val="26"/>
              </w:rPr>
            </w:pPr>
            <w:r>
              <w:rPr>
                <w:rFonts w:hint="eastAsia"/>
                <w:color w:val="auto"/>
                <w:sz w:val="26"/>
                <w:szCs w:val="26"/>
              </w:rPr>
              <w:t>表4-3</w:t>
            </w:r>
            <w:r>
              <w:rPr>
                <w:color w:val="auto"/>
                <w:sz w:val="26"/>
                <w:szCs w:val="26"/>
              </w:rPr>
              <w:t xml:space="preserve">  </w:t>
            </w:r>
            <w:r>
              <w:rPr>
                <w:rFonts w:hint="eastAsia"/>
                <w:color w:val="auto"/>
                <w:sz w:val="26"/>
                <w:szCs w:val="26"/>
              </w:rPr>
              <w:t>类比线路噪声监测结果</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7"/>
              <w:gridCol w:w="724"/>
              <w:gridCol w:w="732"/>
              <w:gridCol w:w="732"/>
              <w:gridCol w:w="733"/>
              <w:gridCol w:w="734"/>
              <w:gridCol w:w="734"/>
              <w:gridCol w:w="734"/>
              <w:gridCol w:w="735"/>
              <w:gridCol w:w="736"/>
              <w:gridCol w:w="736"/>
            </w:tblGrid>
            <w:tr w14:paraId="616F88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80" w:type="dxa"/>
                  <w:vAlign w:val="center"/>
                </w:tcPr>
                <w:p w14:paraId="21938D57">
                  <w:pPr>
                    <w:autoSpaceDN w:val="0"/>
                    <w:snapToGrid w:val="0"/>
                    <w:jc w:val="center"/>
                    <w:rPr>
                      <w:rFonts w:hAnsi="宋体"/>
                      <w:color w:val="auto"/>
                      <w:sz w:val="22"/>
                      <w:szCs w:val="22"/>
                    </w:rPr>
                  </w:pPr>
                  <w:r>
                    <w:rPr>
                      <w:rFonts w:hint="eastAsia" w:hAnsi="宋体"/>
                      <w:color w:val="auto"/>
                      <w:sz w:val="22"/>
                      <w:szCs w:val="22"/>
                    </w:rPr>
                    <w:t>线路</w:t>
                  </w:r>
                </w:p>
              </w:tc>
              <w:tc>
                <w:tcPr>
                  <w:tcW w:w="730" w:type="dxa"/>
                  <w:vAlign w:val="center"/>
                </w:tcPr>
                <w:p w14:paraId="2E316EEC">
                  <w:pPr>
                    <w:autoSpaceDN w:val="0"/>
                    <w:snapToGrid w:val="0"/>
                    <w:jc w:val="center"/>
                    <w:rPr>
                      <w:rFonts w:hAnsi="宋体"/>
                      <w:color w:val="auto"/>
                      <w:sz w:val="22"/>
                      <w:szCs w:val="22"/>
                    </w:rPr>
                  </w:pPr>
                  <w:r>
                    <w:rPr>
                      <w:rFonts w:hint="eastAsia" w:hAnsi="宋体"/>
                      <w:color w:val="auto"/>
                      <w:sz w:val="22"/>
                      <w:szCs w:val="22"/>
                    </w:rPr>
                    <w:t>时段</w:t>
                  </w:r>
                </w:p>
              </w:tc>
              <w:tc>
                <w:tcPr>
                  <w:tcW w:w="735" w:type="dxa"/>
                  <w:vAlign w:val="center"/>
                </w:tcPr>
                <w:p w14:paraId="6DD2A64B">
                  <w:pPr>
                    <w:autoSpaceDN w:val="0"/>
                    <w:snapToGrid w:val="0"/>
                    <w:jc w:val="center"/>
                    <w:rPr>
                      <w:rFonts w:hAnsi="宋体"/>
                      <w:color w:val="auto"/>
                      <w:sz w:val="22"/>
                      <w:szCs w:val="22"/>
                    </w:rPr>
                  </w:pPr>
                  <w:r>
                    <w:rPr>
                      <w:rFonts w:hint="eastAsia" w:hAnsi="宋体"/>
                      <w:color w:val="auto"/>
                      <w:sz w:val="22"/>
                      <w:szCs w:val="22"/>
                    </w:rPr>
                    <w:t>0m*</w:t>
                  </w:r>
                </w:p>
              </w:tc>
              <w:tc>
                <w:tcPr>
                  <w:tcW w:w="735" w:type="dxa"/>
                  <w:vAlign w:val="center"/>
                </w:tcPr>
                <w:p w14:paraId="782FC9C1">
                  <w:pPr>
                    <w:autoSpaceDN w:val="0"/>
                    <w:snapToGrid w:val="0"/>
                    <w:jc w:val="center"/>
                    <w:rPr>
                      <w:rFonts w:hAnsi="宋体"/>
                      <w:color w:val="auto"/>
                      <w:sz w:val="22"/>
                      <w:szCs w:val="22"/>
                    </w:rPr>
                  </w:pPr>
                  <w:r>
                    <w:rPr>
                      <w:rFonts w:hint="eastAsia" w:hAnsi="宋体"/>
                      <w:color w:val="auto"/>
                      <w:sz w:val="22"/>
                      <w:szCs w:val="22"/>
                    </w:rPr>
                    <w:t>5m</w:t>
                  </w:r>
                </w:p>
              </w:tc>
              <w:tc>
                <w:tcPr>
                  <w:tcW w:w="736" w:type="dxa"/>
                  <w:vAlign w:val="center"/>
                </w:tcPr>
                <w:p w14:paraId="3C824369">
                  <w:pPr>
                    <w:autoSpaceDN w:val="0"/>
                    <w:snapToGrid w:val="0"/>
                    <w:jc w:val="center"/>
                    <w:rPr>
                      <w:rFonts w:hAnsi="宋体"/>
                      <w:color w:val="auto"/>
                      <w:sz w:val="22"/>
                      <w:szCs w:val="22"/>
                    </w:rPr>
                  </w:pPr>
                  <w:r>
                    <w:rPr>
                      <w:rFonts w:hint="eastAsia" w:hAnsi="宋体"/>
                      <w:color w:val="auto"/>
                      <w:sz w:val="22"/>
                      <w:szCs w:val="22"/>
                    </w:rPr>
                    <w:t>10m</w:t>
                  </w:r>
                </w:p>
              </w:tc>
              <w:tc>
                <w:tcPr>
                  <w:tcW w:w="736" w:type="dxa"/>
                  <w:vAlign w:val="center"/>
                </w:tcPr>
                <w:p w14:paraId="103AB88E">
                  <w:pPr>
                    <w:autoSpaceDN w:val="0"/>
                    <w:snapToGrid w:val="0"/>
                    <w:jc w:val="center"/>
                    <w:rPr>
                      <w:rFonts w:hAnsi="宋体"/>
                      <w:color w:val="auto"/>
                      <w:sz w:val="22"/>
                      <w:szCs w:val="22"/>
                    </w:rPr>
                  </w:pPr>
                  <w:r>
                    <w:rPr>
                      <w:rFonts w:hint="eastAsia" w:hAnsi="宋体"/>
                      <w:color w:val="auto"/>
                      <w:sz w:val="22"/>
                      <w:szCs w:val="22"/>
                    </w:rPr>
                    <w:t>15m</w:t>
                  </w:r>
                </w:p>
              </w:tc>
              <w:tc>
                <w:tcPr>
                  <w:tcW w:w="736" w:type="dxa"/>
                  <w:vAlign w:val="center"/>
                </w:tcPr>
                <w:p w14:paraId="3C4C0627">
                  <w:pPr>
                    <w:autoSpaceDN w:val="0"/>
                    <w:snapToGrid w:val="0"/>
                    <w:jc w:val="center"/>
                    <w:rPr>
                      <w:rFonts w:hAnsi="宋体"/>
                      <w:color w:val="auto"/>
                      <w:sz w:val="22"/>
                      <w:szCs w:val="22"/>
                    </w:rPr>
                  </w:pPr>
                  <w:r>
                    <w:rPr>
                      <w:rFonts w:hint="eastAsia" w:hAnsi="宋体"/>
                      <w:color w:val="auto"/>
                      <w:sz w:val="22"/>
                      <w:szCs w:val="22"/>
                    </w:rPr>
                    <w:t>20m</w:t>
                  </w:r>
                </w:p>
              </w:tc>
              <w:tc>
                <w:tcPr>
                  <w:tcW w:w="736" w:type="dxa"/>
                  <w:vAlign w:val="center"/>
                </w:tcPr>
                <w:p w14:paraId="09F76DF9">
                  <w:pPr>
                    <w:autoSpaceDN w:val="0"/>
                    <w:snapToGrid w:val="0"/>
                    <w:jc w:val="center"/>
                    <w:rPr>
                      <w:rFonts w:hAnsi="宋体"/>
                      <w:color w:val="auto"/>
                      <w:sz w:val="22"/>
                      <w:szCs w:val="22"/>
                    </w:rPr>
                  </w:pPr>
                  <w:r>
                    <w:rPr>
                      <w:rFonts w:hint="eastAsia" w:hAnsi="宋体"/>
                      <w:color w:val="auto"/>
                      <w:sz w:val="22"/>
                      <w:szCs w:val="22"/>
                    </w:rPr>
                    <w:t>25m</w:t>
                  </w:r>
                </w:p>
              </w:tc>
              <w:tc>
                <w:tcPr>
                  <w:tcW w:w="737" w:type="dxa"/>
                  <w:vAlign w:val="center"/>
                </w:tcPr>
                <w:p w14:paraId="30ECA279">
                  <w:pPr>
                    <w:autoSpaceDN w:val="0"/>
                    <w:snapToGrid w:val="0"/>
                    <w:jc w:val="center"/>
                    <w:rPr>
                      <w:rFonts w:hAnsi="宋体"/>
                      <w:color w:val="auto"/>
                      <w:sz w:val="22"/>
                      <w:szCs w:val="22"/>
                    </w:rPr>
                  </w:pPr>
                  <w:r>
                    <w:rPr>
                      <w:rFonts w:hint="eastAsia" w:hAnsi="宋体"/>
                      <w:color w:val="auto"/>
                      <w:sz w:val="22"/>
                      <w:szCs w:val="22"/>
                    </w:rPr>
                    <w:t>30m</w:t>
                  </w:r>
                </w:p>
              </w:tc>
              <w:tc>
                <w:tcPr>
                  <w:tcW w:w="738" w:type="dxa"/>
                  <w:vAlign w:val="center"/>
                </w:tcPr>
                <w:p w14:paraId="16294F25">
                  <w:pPr>
                    <w:autoSpaceDN w:val="0"/>
                    <w:snapToGrid w:val="0"/>
                    <w:jc w:val="center"/>
                    <w:rPr>
                      <w:rFonts w:hAnsi="宋体"/>
                      <w:color w:val="auto"/>
                      <w:sz w:val="22"/>
                      <w:szCs w:val="22"/>
                    </w:rPr>
                  </w:pPr>
                  <w:r>
                    <w:rPr>
                      <w:rFonts w:hint="eastAsia" w:hAnsi="宋体"/>
                      <w:color w:val="auto"/>
                      <w:sz w:val="22"/>
                      <w:szCs w:val="22"/>
                    </w:rPr>
                    <w:t>35m</w:t>
                  </w:r>
                </w:p>
              </w:tc>
              <w:tc>
                <w:tcPr>
                  <w:tcW w:w="738" w:type="dxa"/>
                  <w:vAlign w:val="center"/>
                </w:tcPr>
                <w:p w14:paraId="5BC7E241">
                  <w:pPr>
                    <w:autoSpaceDN w:val="0"/>
                    <w:snapToGrid w:val="0"/>
                    <w:jc w:val="center"/>
                    <w:rPr>
                      <w:rFonts w:hAnsi="宋体"/>
                      <w:color w:val="auto"/>
                      <w:sz w:val="22"/>
                      <w:szCs w:val="22"/>
                    </w:rPr>
                  </w:pPr>
                  <w:r>
                    <w:rPr>
                      <w:rFonts w:hint="eastAsia" w:hAnsi="宋体"/>
                      <w:color w:val="auto"/>
                      <w:sz w:val="22"/>
                      <w:szCs w:val="22"/>
                    </w:rPr>
                    <w:t>40m</w:t>
                  </w:r>
                </w:p>
              </w:tc>
            </w:tr>
            <w:tr w14:paraId="4EA2E0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80" w:type="dxa"/>
                  <w:vMerge w:val="restart"/>
                  <w:vAlign w:val="center"/>
                </w:tcPr>
                <w:p w14:paraId="629440F8">
                  <w:pPr>
                    <w:autoSpaceDN w:val="0"/>
                    <w:snapToGrid w:val="0"/>
                    <w:jc w:val="center"/>
                    <w:rPr>
                      <w:rFonts w:hAnsi="宋体"/>
                      <w:color w:val="auto"/>
                      <w:sz w:val="22"/>
                      <w:szCs w:val="22"/>
                    </w:rPr>
                  </w:pPr>
                  <w:r>
                    <w:rPr>
                      <w:rFonts w:hint="eastAsia" w:hAnsi="宋体"/>
                      <w:color w:val="auto"/>
                      <w:sz w:val="22"/>
                      <w:szCs w:val="22"/>
                    </w:rPr>
                    <w:t>110kV浙河虎线</w:t>
                  </w:r>
                </w:p>
              </w:tc>
              <w:tc>
                <w:tcPr>
                  <w:tcW w:w="730" w:type="dxa"/>
                  <w:vAlign w:val="center"/>
                </w:tcPr>
                <w:p w14:paraId="69AE5BA9">
                  <w:pPr>
                    <w:autoSpaceDN w:val="0"/>
                    <w:snapToGrid w:val="0"/>
                    <w:jc w:val="center"/>
                    <w:rPr>
                      <w:rFonts w:hAnsi="宋体"/>
                      <w:color w:val="auto"/>
                      <w:sz w:val="22"/>
                      <w:szCs w:val="22"/>
                    </w:rPr>
                  </w:pPr>
                  <w:r>
                    <w:rPr>
                      <w:rFonts w:hint="eastAsia" w:hAnsi="宋体"/>
                      <w:color w:val="auto"/>
                      <w:sz w:val="22"/>
                      <w:szCs w:val="22"/>
                    </w:rPr>
                    <w:t>昼间</w:t>
                  </w:r>
                </w:p>
              </w:tc>
              <w:tc>
                <w:tcPr>
                  <w:tcW w:w="735" w:type="dxa"/>
                  <w:vAlign w:val="center"/>
                </w:tcPr>
                <w:p w14:paraId="1AD3FE20">
                  <w:pPr>
                    <w:autoSpaceDN w:val="0"/>
                    <w:snapToGrid w:val="0"/>
                    <w:jc w:val="center"/>
                    <w:rPr>
                      <w:rFonts w:hAnsi="宋体"/>
                      <w:color w:val="auto"/>
                      <w:sz w:val="22"/>
                      <w:szCs w:val="22"/>
                    </w:rPr>
                  </w:pPr>
                  <w:r>
                    <w:rPr>
                      <w:rFonts w:hint="eastAsia" w:hAnsi="宋体"/>
                      <w:color w:val="auto"/>
                      <w:sz w:val="22"/>
                      <w:szCs w:val="22"/>
                    </w:rPr>
                    <w:t>41.2</w:t>
                  </w:r>
                </w:p>
              </w:tc>
              <w:tc>
                <w:tcPr>
                  <w:tcW w:w="735" w:type="dxa"/>
                  <w:vAlign w:val="center"/>
                </w:tcPr>
                <w:p w14:paraId="1EBCAFCC">
                  <w:pPr>
                    <w:autoSpaceDN w:val="0"/>
                    <w:snapToGrid w:val="0"/>
                    <w:jc w:val="center"/>
                    <w:rPr>
                      <w:rFonts w:hAnsi="宋体"/>
                      <w:color w:val="auto"/>
                      <w:sz w:val="22"/>
                      <w:szCs w:val="22"/>
                    </w:rPr>
                  </w:pPr>
                  <w:r>
                    <w:rPr>
                      <w:rFonts w:hint="eastAsia" w:hAnsi="宋体"/>
                      <w:color w:val="auto"/>
                      <w:sz w:val="22"/>
                      <w:szCs w:val="22"/>
                    </w:rPr>
                    <w:t>41.2</w:t>
                  </w:r>
                </w:p>
              </w:tc>
              <w:tc>
                <w:tcPr>
                  <w:tcW w:w="736" w:type="dxa"/>
                  <w:vAlign w:val="center"/>
                </w:tcPr>
                <w:p w14:paraId="7B678250">
                  <w:pPr>
                    <w:autoSpaceDN w:val="0"/>
                    <w:snapToGrid w:val="0"/>
                    <w:jc w:val="center"/>
                    <w:rPr>
                      <w:rFonts w:hAnsi="宋体"/>
                      <w:color w:val="auto"/>
                      <w:sz w:val="22"/>
                      <w:szCs w:val="22"/>
                    </w:rPr>
                  </w:pPr>
                  <w:r>
                    <w:rPr>
                      <w:rFonts w:hint="eastAsia" w:hAnsi="宋体"/>
                      <w:color w:val="auto"/>
                      <w:sz w:val="22"/>
                      <w:szCs w:val="22"/>
                    </w:rPr>
                    <w:t>41.5</w:t>
                  </w:r>
                </w:p>
              </w:tc>
              <w:tc>
                <w:tcPr>
                  <w:tcW w:w="736" w:type="dxa"/>
                  <w:vAlign w:val="center"/>
                </w:tcPr>
                <w:p w14:paraId="74BE541B">
                  <w:pPr>
                    <w:autoSpaceDN w:val="0"/>
                    <w:snapToGrid w:val="0"/>
                    <w:jc w:val="center"/>
                    <w:rPr>
                      <w:rFonts w:hAnsi="宋体"/>
                      <w:color w:val="auto"/>
                      <w:sz w:val="22"/>
                      <w:szCs w:val="22"/>
                    </w:rPr>
                  </w:pPr>
                  <w:r>
                    <w:rPr>
                      <w:rFonts w:hint="eastAsia" w:hAnsi="宋体"/>
                      <w:color w:val="auto"/>
                      <w:sz w:val="22"/>
                      <w:szCs w:val="22"/>
                    </w:rPr>
                    <w:t>42.0</w:t>
                  </w:r>
                </w:p>
              </w:tc>
              <w:tc>
                <w:tcPr>
                  <w:tcW w:w="736" w:type="dxa"/>
                  <w:vAlign w:val="center"/>
                </w:tcPr>
                <w:p w14:paraId="7FD21EC2">
                  <w:pPr>
                    <w:autoSpaceDN w:val="0"/>
                    <w:snapToGrid w:val="0"/>
                    <w:jc w:val="center"/>
                    <w:rPr>
                      <w:rFonts w:hAnsi="宋体"/>
                      <w:color w:val="auto"/>
                      <w:sz w:val="22"/>
                      <w:szCs w:val="22"/>
                    </w:rPr>
                  </w:pPr>
                  <w:r>
                    <w:rPr>
                      <w:rFonts w:hint="eastAsia" w:hAnsi="宋体"/>
                      <w:color w:val="auto"/>
                      <w:sz w:val="22"/>
                      <w:szCs w:val="22"/>
                    </w:rPr>
                    <w:t>41.5</w:t>
                  </w:r>
                </w:p>
              </w:tc>
              <w:tc>
                <w:tcPr>
                  <w:tcW w:w="736" w:type="dxa"/>
                  <w:vAlign w:val="center"/>
                </w:tcPr>
                <w:p w14:paraId="59EB783C">
                  <w:pPr>
                    <w:autoSpaceDN w:val="0"/>
                    <w:snapToGrid w:val="0"/>
                    <w:jc w:val="center"/>
                    <w:rPr>
                      <w:rFonts w:hAnsi="宋体"/>
                      <w:color w:val="auto"/>
                      <w:sz w:val="22"/>
                      <w:szCs w:val="22"/>
                    </w:rPr>
                  </w:pPr>
                  <w:r>
                    <w:rPr>
                      <w:rFonts w:hint="eastAsia" w:hAnsi="宋体"/>
                      <w:color w:val="auto"/>
                      <w:sz w:val="22"/>
                      <w:szCs w:val="22"/>
                    </w:rPr>
                    <w:t>41.4</w:t>
                  </w:r>
                </w:p>
              </w:tc>
              <w:tc>
                <w:tcPr>
                  <w:tcW w:w="737" w:type="dxa"/>
                  <w:vAlign w:val="center"/>
                </w:tcPr>
                <w:p w14:paraId="772303EB">
                  <w:pPr>
                    <w:autoSpaceDN w:val="0"/>
                    <w:snapToGrid w:val="0"/>
                    <w:jc w:val="center"/>
                    <w:rPr>
                      <w:rFonts w:hAnsi="宋体"/>
                      <w:color w:val="auto"/>
                      <w:sz w:val="22"/>
                      <w:szCs w:val="22"/>
                    </w:rPr>
                  </w:pPr>
                  <w:r>
                    <w:rPr>
                      <w:rFonts w:hint="eastAsia" w:hAnsi="宋体"/>
                      <w:color w:val="auto"/>
                      <w:sz w:val="22"/>
                      <w:szCs w:val="22"/>
                    </w:rPr>
                    <w:t>42.3</w:t>
                  </w:r>
                </w:p>
              </w:tc>
              <w:tc>
                <w:tcPr>
                  <w:tcW w:w="738" w:type="dxa"/>
                  <w:vAlign w:val="center"/>
                </w:tcPr>
                <w:p w14:paraId="58602D7C">
                  <w:pPr>
                    <w:autoSpaceDN w:val="0"/>
                    <w:snapToGrid w:val="0"/>
                    <w:jc w:val="center"/>
                    <w:rPr>
                      <w:rFonts w:hAnsi="宋体"/>
                      <w:color w:val="auto"/>
                      <w:sz w:val="22"/>
                      <w:szCs w:val="22"/>
                    </w:rPr>
                  </w:pPr>
                  <w:r>
                    <w:rPr>
                      <w:rFonts w:hint="eastAsia" w:hAnsi="宋体"/>
                      <w:color w:val="auto"/>
                      <w:sz w:val="22"/>
                      <w:szCs w:val="22"/>
                    </w:rPr>
                    <w:t>41.8</w:t>
                  </w:r>
                </w:p>
              </w:tc>
              <w:tc>
                <w:tcPr>
                  <w:tcW w:w="738" w:type="dxa"/>
                  <w:vAlign w:val="center"/>
                </w:tcPr>
                <w:p w14:paraId="412CA57A">
                  <w:pPr>
                    <w:autoSpaceDN w:val="0"/>
                    <w:snapToGrid w:val="0"/>
                    <w:jc w:val="center"/>
                    <w:rPr>
                      <w:rFonts w:hAnsi="宋体"/>
                      <w:color w:val="auto"/>
                      <w:sz w:val="22"/>
                      <w:szCs w:val="22"/>
                    </w:rPr>
                  </w:pPr>
                  <w:r>
                    <w:rPr>
                      <w:rFonts w:hint="eastAsia" w:hAnsi="宋体"/>
                      <w:color w:val="auto"/>
                      <w:sz w:val="22"/>
                      <w:szCs w:val="22"/>
                    </w:rPr>
                    <w:t>42.5</w:t>
                  </w:r>
                </w:p>
              </w:tc>
            </w:tr>
            <w:tr w14:paraId="08B6FA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0" w:type="dxa"/>
                  <w:vMerge w:val="continue"/>
                  <w:vAlign w:val="center"/>
                </w:tcPr>
                <w:p w14:paraId="4DF78314">
                  <w:pPr>
                    <w:autoSpaceDN w:val="0"/>
                    <w:snapToGrid w:val="0"/>
                    <w:jc w:val="center"/>
                    <w:rPr>
                      <w:rFonts w:hAnsi="宋体"/>
                      <w:color w:val="auto"/>
                      <w:sz w:val="22"/>
                      <w:szCs w:val="22"/>
                    </w:rPr>
                  </w:pPr>
                </w:p>
              </w:tc>
              <w:tc>
                <w:tcPr>
                  <w:tcW w:w="730" w:type="dxa"/>
                  <w:vAlign w:val="center"/>
                </w:tcPr>
                <w:p w14:paraId="4660770D">
                  <w:pPr>
                    <w:autoSpaceDN w:val="0"/>
                    <w:snapToGrid w:val="0"/>
                    <w:jc w:val="center"/>
                    <w:rPr>
                      <w:rFonts w:hAnsi="宋体"/>
                      <w:color w:val="auto"/>
                      <w:sz w:val="22"/>
                      <w:szCs w:val="22"/>
                    </w:rPr>
                  </w:pPr>
                  <w:r>
                    <w:rPr>
                      <w:rFonts w:hint="eastAsia" w:hAnsi="宋体"/>
                      <w:color w:val="auto"/>
                      <w:sz w:val="22"/>
                      <w:szCs w:val="22"/>
                    </w:rPr>
                    <w:t>夜间</w:t>
                  </w:r>
                </w:p>
              </w:tc>
              <w:tc>
                <w:tcPr>
                  <w:tcW w:w="735" w:type="dxa"/>
                  <w:vAlign w:val="center"/>
                </w:tcPr>
                <w:p w14:paraId="3D2FCB34">
                  <w:pPr>
                    <w:autoSpaceDN w:val="0"/>
                    <w:snapToGrid w:val="0"/>
                    <w:jc w:val="center"/>
                    <w:rPr>
                      <w:rFonts w:hAnsi="宋体"/>
                      <w:color w:val="auto"/>
                      <w:sz w:val="22"/>
                      <w:szCs w:val="22"/>
                    </w:rPr>
                  </w:pPr>
                  <w:r>
                    <w:rPr>
                      <w:rFonts w:hint="eastAsia" w:hAnsi="宋体"/>
                      <w:color w:val="auto"/>
                      <w:sz w:val="22"/>
                      <w:szCs w:val="22"/>
                    </w:rPr>
                    <w:t>38.5</w:t>
                  </w:r>
                </w:p>
              </w:tc>
              <w:tc>
                <w:tcPr>
                  <w:tcW w:w="735" w:type="dxa"/>
                  <w:vAlign w:val="center"/>
                </w:tcPr>
                <w:p w14:paraId="42D82815">
                  <w:pPr>
                    <w:autoSpaceDN w:val="0"/>
                    <w:snapToGrid w:val="0"/>
                    <w:jc w:val="center"/>
                    <w:rPr>
                      <w:rFonts w:hAnsi="宋体"/>
                      <w:color w:val="auto"/>
                      <w:sz w:val="22"/>
                      <w:szCs w:val="22"/>
                    </w:rPr>
                  </w:pPr>
                  <w:r>
                    <w:rPr>
                      <w:rFonts w:hint="eastAsia" w:hAnsi="宋体"/>
                      <w:color w:val="auto"/>
                      <w:sz w:val="22"/>
                      <w:szCs w:val="22"/>
                    </w:rPr>
                    <w:t>38.4</w:t>
                  </w:r>
                </w:p>
              </w:tc>
              <w:tc>
                <w:tcPr>
                  <w:tcW w:w="736" w:type="dxa"/>
                  <w:vAlign w:val="center"/>
                </w:tcPr>
                <w:p w14:paraId="08DBE689">
                  <w:pPr>
                    <w:autoSpaceDN w:val="0"/>
                    <w:snapToGrid w:val="0"/>
                    <w:jc w:val="center"/>
                    <w:rPr>
                      <w:rFonts w:hAnsi="宋体"/>
                      <w:color w:val="auto"/>
                      <w:sz w:val="22"/>
                      <w:szCs w:val="22"/>
                    </w:rPr>
                  </w:pPr>
                  <w:r>
                    <w:rPr>
                      <w:rFonts w:hint="eastAsia" w:hAnsi="宋体"/>
                      <w:color w:val="auto"/>
                      <w:sz w:val="22"/>
                      <w:szCs w:val="22"/>
                    </w:rPr>
                    <w:t>38.5</w:t>
                  </w:r>
                </w:p>
              </w:tc>
              <w:tc>
                <w:tcPr>
                  <w:tcW w:w="736" w:type="dxa"/>
                  <w:vAlign w:val="center"/>
                </w:tcPr>
                <w:p w14:paraId="09254E4F">
                  <w:pPr>
                    <w:autoSpaceDN w:val="0"/>
                    <w:snapToGrid w:val="0"/>
                    <w:jc w:val="center"/>
                    <w:rPr>
                      <w:rFonts w:hAnsi="宋体"/>
                      <w:color w:val="auto"/>
                      <w:sz w:val="22"/>
                      <w:szCs w:val="22"/>
                    </w:rPr>
                  </w:pPr>
                  <w:r>
                    <w:rPr>
                      <w:rFonts w:hint="eastAsia" w:hAnsi="宋体"/>
                      <w:color w:val="auto"/>
                      <w:sz w:val="22"/>
                      <w:szCs w:val="22"/>
                    </w:rPr>
                    <w:t>38.6</w:t>
                  </w:r>
                </w:p>
              </w:tc>
              <w:tc>
                <w:tcPr>
                  <w:tcW w:w="736" w:type="dxa"/>
                  <w:vAlign w:val="center"/>
                </w:tcPr>
                <w:p w14:paraId="679EE446">
                  <w:pPr>
                    <w:autoSpaceDN w:val="0"/>
                    <w:snapToGrid w:val="0"/>
                    <w:jc w:val="center"/>
                    <w:rPr>
                      <w:rFonts w:hAnsi="宋体"/>
                      <w:color w:val="auto"/>
                      <w:sz w:val="22"/>
                      <w:szCs w:val="22"/>
                    </w:rPr>
                  </w:pPr>
                  <w:r>
                    <w:rPr>
                      <w:rFonts w:hint="eastAsia" w:hAnsi="宋体"/>
                      <w:color w:val="auto"/>
                      <w:sz w:val="22"/>
                      <w:szCs w:val="22"/>
                    </w:rPr>
                    <w:t>39.0</w:t>
                  </w:r>
                </w:p>
              </w:tc>
              <w:tc>
                <w:tcPr>
                  <w:tcW w:w="736" w:type="dxa"/>
                  <w:vAlign w:val="center"/>
                </w:tcPr>
                <w:p w14:paraId="78FAF8E5">
                  <w:pPr>
                    <w:autoSpaceDN w:val="0"/>
                    <w:snapToGrid w:val="0"/>
                    <w:jc w:val="center"/>
                    <w:rPr>
                      <w:rFonts w:hAnsi="宋体"/>
                      <w:color w:val="auto"/>
                      <w:sz w:val="22"/>
                      <w:szCs w:val="22"/>
                    </w:rPr>
                  </w:pPr>
                  <w:r>
                    <w:rPr>
                      <w:rFonts w:hint="eastAsia" w:hAnsi="宋体"/>
                      <w:color w:val="auto"/>
                      <w:sz w:val="22"/>
                      <w:szCs w:val="22"/>
                    </w:rPr>
                    <w:t>38.7</w:t>
                  </w:r>
                </w:p>
              </w:tc>
              <w:tc>
                <w:tcPr>
                  <w:tcW w:w="737" w:type="dxa"/>
                  <w:vAlign w:val="center"/>
                </w:tcPr>
                <w:p w14:paraId="6862B294">
                  <w:pPr>
                    <w:autoSpaceDN w:val="0"/>
                    <w:snapToGrid w:val="0"/>
                    <w:jc w:val="center"/>
                    <w:rPr>
                      <w:rFonts w:hAnsi="宋体"/>
                      <w:color w:val="auto"/>
                      <w:sz w:val="22"/>
                      <w:szCs w:val="22"/>
                    </w:rPr>
                  </w:pPr>
                  <w:r>
                    <w:rPr>
                      <w:rFonts w:hint="eastAsia" w:hAnsi="宋体"/>
                      <w:color w:val="auto"/>
                      <w:sz w:val="22"/>
                      <w:szCs w:val="22"/>
                    </w:rPr>
                    <w:t>39.1</w:t>
                  </w:r>
                </w:p>
              </w:tc>
              <w:tc>
                <w:tcPr>
                  <w:tcW w:w="738" w:type="dxa"/>
                  <w:vAlign w:val="center"/>
                </w:tcPr>
                <w:p w14:paraId="2364E40D">
                  <w:pPr>
                    <w:autoSpaceDN w:val="0"/>
                    <w:snapToGrid w:val="0"/>
                    <w:jc w:val="center"/>
                    <w:rPr>
                      <w:rFonts w:hAnsi="宋体"/>
                      <w:color w:val="auto"/>
                      <w:sz w:val="22"/>
                      <w:szCs w:val="22"/>
                    </w:rPr>
                  </w:pPr>
                  <w:r>
                    <w:rPr>
                      <w:rFonts w:hint="eastAsia" w:hAnsi="宋体"/>
                      <w:color w:val="auto"/>
                      <w:sz w:val="22"/>
                      <w:szCs w:val="22"/>
                    </w:rPr>
                    <w:t>39.0</w:t>
                  </w:r>
                </w:p>
              </w:tc>
              <w:tc>
                <w:tcPr>
                  <w:tcW w:w="738" w:type="dxa"/>
                  <w:vAlign w:val="center"/>
                </w:tcPr>
                <w:p w14:paraId="10FA670C">
                  <w:pPr>
                    <w:autoSpaceDN w:val="0"/>
                    <w:snapToGrid w:val="0"/>
                    <w:jc w:val="center"/>
                    <w:rPr>
                      <w:rFonts w:hAnsi="宋体"/>
                      <w:color w:val="auto"/>
                      <w:sz w:val="22"/>
                      <w:szCs w:val="22"/>
                    </w:rPr>
                  </w:pPr>
                  <w:r>
                    <w:rPr>
                      <w:rFonts w:hint="eastAsia" w:hAnsi="宋体"/>
                      <w:color w:val="auto"/>
                      <w:sz w:val="22"/>
                      <w:szCs w:val="22"/>
                    </w:rPr>
                    <w:t>39.3</w:t>
                  </w:r>
                </w:p>
              </w:tc>
            </w:tr>
            <w:tr w14:paraId="59AABF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37" w:type="dxa"/>
                  <w:gridSpan w:val="11"/>
                  <w:vAlign w:val="center"/>
                </w:tcPr>
                <w:p w14:paraId="73BCA68D">
                  <w:pPr>
                    <w:snapToGrid w:val="0"/>
                    <w:rPr>
                      <w:rFonts w:hAnsi="宋体"/>
                      <w:color w:val="auto"/>
                      <w:sz w:val="22"/>
                      <w:szCs w:val="22"/>
                    </w:rPr>
                  </w:pPr>
                  <w:r>
                    <w:rPr>
                      <w:rFonts w:hint="eastAsia" w:hAnsi="宋体"/>
                      <w:bCs/>
                      <w:color w:val="auto"/>
                      <w:sz w:val="22"/>
                      <w:szCs w:val="22"/>
                    </w:rPr>
                    <w:t>*备注：与导线中心线地面投影距离。</w:t>
                  </w:r>
                </w:p>
              </w:tc>
            </w:tr>
          </w:tbl>
          <w:p w14:paraId="349572D6">
            <w:pPr>
              <w:snapToGrid w:val="0"/>
              <w:rPr>
                <w:bCs/>
                <w:color w:val="auto"/>
                <w:sz w:val="26"/>
                <w:szCs w:val="26"/>
              </w:rPr>
            </w:pPr>
          </w:p>
          <w:p w14:paraId="187F820E">
            <w:pPr>
              <w:spacing w:line="460" w:lineRule="exact"/>
              <w:ind w:firstLine="520" w:firstLineChars="200"/>
              <w:rPr>
                <w:color w:val="auto"/>
                <w:sz w:val="26"/>
                <w:szCs w:val="26"/>
              </w:rPr>
            </w:pPr>
            <w:r>
              <w:rPr>
                <w:rFonts w:hint="eastAsia"/>
                <w:color w:val="auto"/>
                <w:sz w:val="26"/>
                <w:szCs w:val="26"/>
              </w:rPr>
              <w:t>由表</w:t>
            </w:r>
            <w:r>
              <w:rPr>
                <w:color w:val="auto"/>
                <w:sz w:val="26"/>
                <w:szCs w:val="26"/>
              </w:rPr>
              <w:t>4-3</w:t>
            </w:r>
            <w:r>
              <w:rPr>
                <w:rFonts w:hint="eastAsia"/>
                <w:color w:val="auto"/>
                <w:sz w:val="26"/>
                <w:szCs w:val="26"/>
              </w:rPr>
              <w:t>类比监测结果可知，本工程类比的110kV浙河虎线运行期噪声断面监测值昼间在41.2</w:t>
            </w:r>
            <w:r>
              <w:rPr>
                <w:color w:val="auto"/>
                <w:sz w:val="26"/>
                <w:szCs w:val="26"/>
              </w:rPr>
              <w:t>dB</w:t>
            </w:r>
            <w:r>
              <w:rPr>
                <w:rFonts w:hint="eastAsia"/>
                <w:color w:val="auto"/>
                <w:sz w:val="26"/>
                <w:szCs w:val="26"/>
              </w:rPr>
              <w:t>（</w:t>
            </w:r>
            <w:r>
              <w:rPr>
                <w:color w:val="auto"/>
                <w:sz w:val="26"/>
                <w:szCs w:val="26"/>
              </w:rPr>
              <w:t>A</w:t>
            </w:r>
            <w:r>
              <w:rPr>
                <w:rFonts w:hint="eastAsia"/>
                <w:color w:val="auto"/>
                <w:sz w:val="26"/>
                <w:szCs w:val="26"/>
              </w:rPr>
              <w:t>）</w:t>
            </w:r>
            <w:r>
              <w:rPr>
                <w:color w:val="auto"/>
                <w:sz w:val="26"/>
                <w:szCs w:val="26"/>
              </w:rPr>
              <w:t>~</w:t>
            </w:r>
            <w:r>
              <w:rPr>
                <w:rFonts w:hint="eastAsia"/>
                <w:color w:val="auto"/>
                <w:sz w:val="26"/>
                <w:szCs w:val="26"/>
              </w:rPr>
              <w:t>42.5</w:t>
            </w:r>
            <w:r>
              <w:rPr>
                <w:color w:val="auto"/>
                <w:sz w:val="26"/>
                <w:szCs w:val="26"/>
              </w:rPr>
              <w:t>dB</w:t>
            </w:r>
            <w:r>
              <w:rPr>
                <w:rFonts w:hint="eastAsia"/>
                <w:color w:val="auto"/>
                <w:sz w:val="26"/>
                <w:szCs w:val="26"/>
              </w:rPr>
              <w:t>（</w:t>
            </w:r>
            <w:r>
              <w:rPr>
                <w:color w:val="auto"/>
                <w:sz w:val="26"/>
                <w:szCs w:val="26"/>
              </w:rPr>
              <w:t>A</w:t>
            </w:r>
            <w:r>
              <w:rPr>
                <w:rFonts w:hint="eastAsia"/>
                <w:color w:val="auto"/>
                <w:sz w:val="26"/>
                <w:szCs w:val="26"/>
              </w:rPr>
              <w:t>）之间，夜间在38.4</w:t>
            </w:r>
            <w:r>
              <w:rPr>
                <w:color w:val="auto"/>
                <w:sz w:val="26"/>
                <w:szCs w:val="26"/>
              </w:rPr>
              <w:t>dB</w:t>
            </w:r>
            <w:r>
              <w:rPr>
                <w:rFonts w:hint="eastAsia"/>
                <w:color w:val="auto"/>
                <w:sz w:val="26"/>
                <w:szCs w:val="26"/>
              </w:rPr>
              <w:t>（</w:t>
            </w:r>
            <w:r>
              <w:rPr>
                <w:color w:val="auto"/>
                <w:sz w:val="26"/>
                <w:szCs w:val="26"/>
              </w:rPr>
              <w:t>A</w:t>
            </w:r>
            <w:r>
              <w:rPr>
                <w:rFonts w:hint="eastAsia"/>
                <w:color w:val="auto"/>
                <w:sz w:val="26"/>
                <w:szCs w:val="26"/>
              </w:rPr>
              <w:t>）</w:t>
            </w:r>
            <w:r>
              <w:rPr>
                <w:color w:val="auto"/>
                <w:sz w:val="26"/>
                <w:szCs w:val="26"/>
              </w:rPr>
              <w:t>~</w:t>
            </w:r>
            <w:r>
              <w:rPr>
                <w:rFonts w:hint="eastAsia"/>
                <w:color w:val="auto"/>
                <w:sz w:val="26"/>
                <w:szCs w:val="26"/>
              </w:rPr>
              <w:t>39.3</w:t>
            </w:r>
            <w:r>
              <w:rPr>
                <w:color w:val="auto"/>
                <w:sz w:val="26"/>
                <w:szCs w:val="26"/>
              </w:rPr>
              <w:t>dB</w:t>
            </w:r>
            <w:r>
              <w:rPr>
                <w:rFonts w:hint="eastAsia"/>
                <w:color w:val="auto"/>
                <w:sz w:val="26"/>
                <w:szCs w:val="26"/>
              </w:rPr>
              <w:t>（</w:t>
            </w:r>
            <w:r>
              <w:rPr>
                <w:color w:val="auto"/>
                <w:sz w:val="26"/>
                <w:szCs w:val="26"/>
              </w:rPr>
              <w:t>A</w:t>
            </w:r>
            <w:r>
              <w:rPr>
                <w:rFonts w:hint="eastAsia"/>
                <w:color w:val="auto"/>
                <w:sz w:val="26"/>
                <w:szCs w:val="26"/>
              </w:rPr>
              <w:t>）之间，满足《声环境质量标准》（</w:t>
            </w:r>
            <w:r>
              <w:rPr>
                <w:color w:val="auto"/>
                <w:sz w:val="26"/>
                <w:szCs w:val="26"/>
              </w:rPr>
              <w:t>GB3096</w:t>
            </w:r>
            <w:r>
              <w:rPr>
                <w:rFonts w:hint="eastAsia"/>
                <w:color w:val="auto"/>
                <w:sz w:val="26"/>
                <w:szCs w:val="26"/>
              </w:rPr>
              <w:t>－</w:t>
            </w:r>
            <w:r>
              <w:rPr>
                <w:color w:val="auto"/>
                <w:sz w:val="26"/>
                <w:szCs w:val="26"/>
              </w:rPr>
              <w:t>2008</w:t>
            </w:r>
            <w:r>
              <w:rPr>
                <w:rFonts w:hint="eastAsia"/>
                <w:color w:val="auto"/>
                <w:sz w:val="26"/>
                <w:szCs w:val="26"/>
              </w:rPr>
              <w:t>）1类标准要求。从断面变化上分析，线路断面噪声总体受路线监测位置变动产生的变化并不大，线路噪声对环境噪声贡献不明显。</w:t>
            </w:r>
          </w:p>
          <w:p w14:paraId="3EDAA957">
            <w:pPr>
              <w:spacing w:line="460" w:lineRule="exact"/>
              <w:ind w:firstLine="520" w:firstLineChars="200"/>
              <w:rPr>
                <w:color w:val="auto"/>
                <w:sz w:val="26"/>
                <w:szCs w:val="26"/>
              </w:rPr>
            </w:pPr>
            <w:r>
              <w:rPr>
                <w:rFonts w:hint="eastAsia"/>
                <w:color w:val="auto"/>
                <w:sz w:val="26"/>
                <w:szCs w:val="26"/>
              </w:rPr>
              <w:t>同时，根据架空线路声环境现状监测数据（昼间44dB（A），夜间38dB（A））可知，110kV架空输电线路走廊下方的噪声值接近于周边声环境背景值，贡献值较小，对周边环境影响很小。</w:t>
            </w:r>
          </w:p>
          <w:p w14:paraId="048FBF13">
            <w:pPr>
              <w:adjustRightInd w:val="0"/>
              <w:snapToGrid w:val="0"/>
              <w:spacing w:line="460" w:lineRule="exact"/>
              <w:ind w:firstLine="520" w:firstLineChars="200"/>
              <w:rPr>
                <w:color w:val="auto"/>
                <w:sz w:val="26"/>
                <w:szCs w:val="26"/>
              </w:rPr>
            </w:pPr>
            <w:r>
              <w:rPr>
                <w:rFonts w:hint="eastAsia"/>
                <w:color w:val="auto"/>
                <w:sz w:val="26"/>
                <w:szCs w:val="26"/>
              </w:rPr>
              <w:t>结合以上结果可知，本项目架空线路投运后，线路运行期间对沿线声环境影响较小。</w:t>
            </w:r>
          </w:p>
          <w:p w14:paraId="6D8F33E8">
            <w:pPr>
              <w:adjustRightInd w:val="0"/>
              <w:snapToGrid w:val="0"/>
              <w:spacing w:line="460" w:lineRule="exact"/>
              <w:ind w:firstLine="520" w:firstLineChars="200"/>
              <w:rPr>
                <w:color w:val="auto"/>
                <w:sz w:val="26"/>
                <w:szCs w:val="26"/>
              </w:rPr>
            </w:pPr>
            <w:r>
              <w:rPr>
                <w:rFonts w:hint="eastAsia"/>
                <w:color w:val="auto"/>
                <w:sz w:val="26"/>
                <w:szCs w:val="26"/>
              </w:rPr>
              <w:t>（3）环境保护目标声环境影响分析</w:t>
            </w:r>
          </w:p>
          <w:p w14:paraId="34D41B26">
            <w:pPr>
              <w:snapToGrid w:val="0"/>
              <w:spacing w:line="460" w:lineRule="exact"/>
              <w:ind w:firstLine="520" w:firstLineChars="200"/>
              <w:rPr>
                <w:color w:val="auto"/>
                <w:sz w:val="26"/>
                <w:szCs w:val="26"/>
              </w:rPr>
            </w:pPr>
            <w:r>
              <w:rPr>
                <w:rFonts w:hint="eastAsia"/>
                <w:color w:val="auto"/>
                <w:sz w:val="26"/>
                <w:szCs w:val="26"/>
              </w:rPr>
              <w:t>噪声预测值为贡献值和背景值叠加按下式计算：</w:t>
            </w:r>
          </w:p>
          <w:p w14:paraId="22DC0F26">
            <w:pPr>
              <w:adjustRightInd w:val="0"/>
              <w:snapToGrid w:val="0"/>
              <w:spacing w:line="460" w:lineRule="exact"/>
              <w:jc w:val="center"/>
              <w:rPr>
                <w:color w:val="auto"/>
                <w:sz w:val="26"/>
                <w:szCs w:val="26"/>
              </w:rPr>
            </w:pPr>
            <w:r>
              <w:rPr>
                <w:color w:val="auto"/>
                <w:sz w:val="26"/>
                <w:szCs w:val="26"/>
              </w:rPr>
              <w:pict>
                <v:shape id="_x0000_s1027" o:spid="_x0000_s1027" o:spt="75" type="#_x0000_t75" style="position:absolute;left:0pt;margin-left:100.5pt;margin-top:2.4pt;height:21pt;width:204.75pt;z-index:251712512;mso-width-relative:page;mso-height-relative:page;" o:ole="t" filled="f" o:preferrelative="t" stroked="f" coordsize="21600,21600">
                  <v:path/>
                  <v:fill on="f" focussize="0,0"/>
                  <v:stroke on="f" joinstyle="miter"/>
                  <v:imagedata r:id="rId24" o:title=""/>
                  <o:lock v:ext="edit" aspectratio="t"/>
                </v:shape>
                <o:OLEObject Type="Embed" ProgID="Equation.3" ShapeID="_x0000_s1027" DrawAspect="Content" ObjectID="_1468075725" r:id="rId23">
                  <o:LockedField>false</o:LockedField>
                </o:OLEObject>
              </w:pict>
            </w:r>
          </w:p>
          <w:p w14:paraId="1B8141DF">
            <w:pPr>
              <w:snapToGrid w:val="0"/>
              <w:spacing w:line="460" w:lineRule="exact"/>
              <w:ind w:firstLine="520" w:firstLineChars="200"/>
              <w:rPr>
                <w:color w:val="auto"/>
                <w:sz w:val="26"/>
                <w:szCs w:val="26"/>
              </w:rPr>
            </w:pPr>
            <w:r>
              <w:rPr>
                <w:rFonts w:hint="eastAsia"/>
                <w:color w:val="auto"/>
                <w:sz w:val="26"/>
                <w:szCs w:val="26"/>
              </w:rPr>
              <w:t>式中：Leqg——声源在预测点产生的噪声贡献值，dB；</w:t>
            </w:r>
          </w:p>
          <w:p w14:paraId="3ED73707">
            <w:pPr>
              <w:snapToGrid w:val="0"/>
              <w:spacing w:line="460" w:lineRule="exact"/>
              <w:ind w:firstLine="1300" w:firstLineChars="500"/>
              <w:rPr>
                <w:color w:val="auto"/>
                <w:sz w:val="26"/>
                <w:szCs w:val="26"/>
              </w:rPr>
            </w:pPr>
            <w:r>
              <w:rPr>
                <w:rFonts w:hint="eastAsia"/>
                <w:color w:val="auto"/>
                <w:sz w:val="26"/>
                <w:szCs w:val="26"/>
              </w:rPr>
              <w:t>Leqb——预测点的背景噪声值，dB。</w:t>
            </w:r>
          </w:p>
          <w:p w14:paraId="367DA056">
            <w:pPr>
              <w:snapToGrid w:val="0"/>
              <w:spacing w:line="460" w:lineRule="exact"/>
              <w:ind w:firstLine="520" w:firstLineChars="200"/>
              <w:rPr>
                <w:color w:val="auto"/>
                <w:sz w:val="26"/>
                <w:szCs w:val="26"/>
              </w:rPr>
            </w:pPr>
            <w:r>
              <w:rPr>
                <w:rFonts w:hint="eastAsia"/>
                <w:color w:val="auto"/>
                <w:sz w:val="26"/>
                <w:szCs w:val="26"/>
              </w:rPr>
              <w:t>贡献值采用相近水平距离类比线路下噪声值，现状噪声值采用实测值。</w:t>
            </w:r>
          </w:p>
          <w:p w14:paraId="6E8074B4">
            <w:pPr>
              <w:snapToGrid w:val="0"/>
              <w:jc w:val="center"/>
              <w:rPr>
                <w:bCs/>
                <w:color w:val="auto"/>
                <w:sz w:val="26"/>
                <w:szCs w:val="26"/>
              </w:rPr>
            </w:pPr>
          </w:p>
          <w:p w14:paraId="037314ED">
            <w:pPr>
              <w:snapToGrid w:val="0"/>
              <w:jc w:val="center"/>
              <w:rPr>
                <w:bCs/>
                <w:color w:val="auto"/>
                <w:sz w:val="26"/>
                <w:szCs w:val="26"/>
              </w:rPr>
            </w:pPr>
            <w:r>
              <w:rPr>
                <w:bCs/>
                <w:color w:val="auto"/>
                <w:sz w:val="26"/>
                <w:szCs w:val="26"/>
              </w:rPr>
              <w:t>表4-</w:t>
            </w:r>
            <w:r>
              <w:rPr>
                <w:rFonts w:hint="eastAsia"/>
                <w:bCs/>
                <w:color w:val="auto"/>
                <w:sz w:val="26"/>
                <w:szCs w:val="26"/>
              </w:rPr>
              <w:t>4</w:t>
            </w:r>
            <w:r>
              <w:rPr>
                <w:bCs/>
                <w:color w:val="auto"/>
                <w:sz w:val="26"/>
                <w:szCs w:val="26"/>
              </w:rPr>
              <w:t xml:space="preserve">  主要声环境保护目标预测一览表</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93"/>
              <w:gridCol w:w="1033"/>
              <w:gridCol w:w="700"/>
              <w:gridCol w:w="733"/>
              <w:gridCol w:w="717"/>
              <w:gridCol w:w="683"/>
              <w:gridCol w:w="750"/>
              <w:gridCol w:w="800"/>
              <w:gridCol w:w="717"/>
              <w:gridCol w:w="811"/>
            </w:tblGrid>
            <w:tr w14:paraId="64530B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6" w:hRule="atLeast"/>
                <w:tblHeader/>
                <w:jc w:val="center"/>
              </w:trPr>
              <w:tc>
                <w:tcPr>
                  <w:tcW w:w="1193" w:type="dxa"/>
                  <w:vMerge w:val="restart"/>
                  <w:tcBorders>
                    <w:top w:val="single" w:color="auto" w:sz="4" w:space="0"/>
                    <w:left w:val="single" w:color="auto" w:sz="4" w:space="0"/>
                    <w:bottom w:val="single" w:color="auto" w:sz="4" w:space="0"/>
                    <w:right w:val="single" w:color="auto" w:sz="4" w:space="0"/>
                  </w:tcBorders>
                  <w:vAlign w:val="center"/>
                </w:tcPr>
                <w:p w14:paraId="0B35E371">
                  <w:pPr>
                    <w:spacing w:line="260" w:lineRule="exact"/>
                    <w:jc w:val="center"/>
                    <w:rPr>
                      <w:color w:val="auto"/>
                      <w:sz w:val="22"/>
                      <w:szCs w:val="22"/>
                    </w:rPr>
                  </w:pPr>
                  <w:r>
                    <w:rPr>
                      <w:color w:val="auto"/>
                      <w:sz w:val="22"/>
                      <w:szCs w:val="22"/>
                    </w:rPr>
                    <w:t>保护目标名称</w:t>
                  </w:r>
                </w:p>
              </w:tc>
              <w:tc>
                <w:tcPr>
                  <w:tcW w:w="1033" w:type="dxa"/>
                  <w:vMerge w:val="restart"/>
                  <w:tcBorders>
                    <w:top w:val="single" w:color="auto" w:sz="4" w:space="0"/>
                    <w:left w:val="single" w:color="auto" w:sz="4" w:space="0"/>
                    <w:bottom w:val="single" w:color="auto" w:sz="4" w:space="0"/>
                    <w:right w:val="single" w:color="auto" w:sz="4" w:space="0"/>
                  </w:tcBorders>
                  <w:vAlign w:val="center"/>
                </w:tcPr>
                <w:p w14:paraId="13518AAF">
                  <w:pPr>
                    <w:spacing w:line="260" w:lineRule="exact"/>
                    <w:jc w:val="center"/>
                    <w:rPr>
                      <w:color w:val="auto"/>
                      <w:sz w:val="22"/>
                      <w:szCs w:val="22"/>
                    </w:rPr>
                  </w:pPr>
                  <w:r>
                    <w:rPr>
                      <w:color w:val="auto"/>
                      <w:sz w:val="22"/>
                      <w:szCs w:val="22"/>
                    </w:rPr>
                    <w:t>与</w:t>
                  </w:r>
                  <w:r>
                    <w:rPr>
                      <w:rFonts w:hint="eastAsia"/>
                      <w:color w:val="auto"/>
                      <w:sz w:val="22"/>
                      <w:szCs w:val="22"/>
                    </w:rPr>
                    <w:t>边导线</w:t>
                  </w:r>
                  <w:r>
                    <w:rPr>
                      <w:color w:val="auto"/>
                      <w:sz w:val="22"/>
                      <w:szCs w:val="22"/>
                    </w:rPr>
                    <w:t>水平距离</w:t>
                  </w:r>
                </w:p>
              </w:tc>
              <w:tc>
                <w:tcPr>
                  <w:tcW w:w="1433" w:type="dxa"/>
                  <w:gridSpan w:val="2"/>
                  <w:tcBorders>
                    <w:top w:val="single" w:color="auto" w:sz="4" w:space="0"/>
                    <w:left w:val="single" w:color="auto" w:sz="4" w:space="0"/>
                    <w:bottom w:val="single" w:color="auto" w:sz="4" w:space="0"/>
                    <w:right w:val="single" w:color="auto" w:sz="4" w:space="0"/>
                  </w:tcBorders>
                  <w:vAlign w:val="center"/>
                </w:tcPr>
                <w:p w14:paraId="7ADAB478">
                  <w:pPr>
                    <w:spacing w:line="260" w:lineRule="exact"/>
                    <w:jc w:val="center"/>
                    <w:rPr>
                      <w:color w:val="auto"/>
                      <w:sz w:val="22"/>
                      <w:szCs w:val="22"/>
                    </w:rPr>
                  </w:pPr>
                  <w:r>
                    <w:rPr>
                      <w:color w:val="auto"/>
                      <w:sz w:val="22"/>
                      <w:szCs w:val="22"/>
                    </w:rPr>
                    <w:t>贡献值</w:t>
                  </w:r>
                </w:p>
              </w:tc>
              <w:tc>
                <w:tcPr>
                  <w:tcW w:w="1400" w:type="dxa"/>
                  <w:gridSpan w:val="2"/>
                  <w:tcBorders>
                    <w:top w:val="single" w:color="auto" w:sz="4" w:space="0"/>
                    <w:left w:val="single" w:color="auto" w:sz="4" w:space="0"/>
                    <w:bottom w:val="single" w:color="auto" w:sz="4" w:space="0"/>
                    <w:right w:val="single" w:color="auto" w:sz="4" w:space="0"/>
                  </w:tcBorders>
                  <w:vAlign w:val="center"/>
                </w:tcPr>
                <w:p w14:paraId="2E1F633A">
                  <w:pPr>
                    <w:spacing w:line="260" w:lineRule="exact"/>
                    <w:jc w:val="center"/>
                    <w:rPr>
                      <w:color w:val="auto"/>
                      <w:sz w:val="22"/>
                      <w:szCs w:val="22"/>
                    </w:rPr>
                  </w:pPr>
                  <w:r>
                    <w:rPr>
                      <w:rFonts w:hint="eastAsia"/>
                      <w:color w:val="auto"/>
                      <w:sz w:val="22"/>
                      <w:szCs w:val="22"/>
                    </w:rPr>
                    <w:t>现状</w:t>
                  </w:r>
                  <w:r>
                    <w:rPr>
                      <w:color w:val="auto"/>
                      <w:sz w:val="22"/>
                      <w:szCs w:val="22"/>
                    </w:rPr>
                    <w:t>值</w:t>
                  </w:r>
                </w:p>
              </w:tc>
              <w:tc>
                <w:tcPr>
                  <w:tcW w:w="1550" w:type="dxa"/>
                  <w:gridSpan w:val="2"/>
                  <w:tcBorders>
                    <w:top w:val="single" w:color="auto" w:sz="4" w:space="0"/>
                    <w:left w:val="single" w:color="auto" w:sz="4" w:space="0"/>
                    <w:bottom w:val="single" w:color="auto" w:sz="4" w:space="0"/>
                    <w:right w:val="single" w:color="auto" w:sz="4" w:space="0"/>
                  </w:tcBorders>
                  <w:vAlign w:val="center"/>
                </w:tcPr>
                <w:p w14:paraId="52F35F48">
                  <w:pPr>
                    <w:spacing w:line="260" w:lineRule="exact"/>
                    <w:jc w:val="center"/>
                    <w:rPr>
                      <w:color w:val="auto"/>
                      <w:sz w:val="22"/>
                      <w:szCs w:val="22"/>
                    </w:rPr>
                  </w:pPr>
                  <w:r>
                    <w:rPr>
                      <w:color w:val="auto"/>
                      <w:sz w:val="22"/>
                      <w:szCs w:val="22"/>
                    </w:rPr>
                    <w:t>预测值</w:t>
                  </w:r>
                </w:p>
              </w:tc>
              <w:tc>
                <w:tcPr>
                  <w:tcW w:w="1528" w:type="dxa"/>
                  <w:gridSpan w:val="2"/>
                  <w:tcBorders>
                    <w:top w:val="single" w:color="auto" w:sz="4" w:space="0"/>
                    <w:left w:val="single" w:color="auto" w:sz="4" w:space="0"/>
                    <w:bottom w:val="single" w:color="auto" w:sz="4" w:space="0"/>
                    <w:right w:val="single" w:color="auto" w:sz="4" w:space="0"/>
                  </w:tcBorders>
                  <w:vAlign w:val="center"/>
                </w:tcPr>
                <w:p w14:paraId="54A668F7">
                  <w:pPr>
                    <w:spacing w:line="260" w:lineRule="exact"/>
                    <w:jc w:val="center"/>
                    <w:rPr>
                      <w:color w:val="auto"/>
                      <w:sz w:val="22"/>
                      <w:szCs w:val="22"/>
                    </w:rPr>
                  </w:pPr>
                  <w:r>
                    <w:rPr>
                      <w:color w:val="auto"/>
                      <w:sz w:val="22"/>
                      <w:szCs w:val="22"/>
                    </w:rPr>
                    <w:t>标准限值</w:t>
                  </w:r>
                </w:p>
              </w:tc>
            </w:tr>
            <w:tr w14:paraId="743E83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4" w:hRule="atLeast"/>
                <w:tblHeader/>
                <w:jc w:val="center"/>
              </w:trPr>
              <w:tc>
                <w:tcPr>
                  <w:tcW w:w="1193" w:type="dxa"/>
                  <w:vMerge w:val="continue"/>
                  <w:tcBorders>
                    <w:top w:val="single" w:color="auto" w:sz="4" w:space="0"/>
                    <w:left w:val="single" w:color="auto" w:sz="4" w:space="0"/>
                    <w:bottom w:val="single" w:color="auto" w:sz="4" w:space="0"/>
                    <w:right w:val="single" w:color="auto" w:sz="4" w:space="0"/>
                  </w:tcBorders>
                  <w:vAlign w:val="center"/>
                </w:tcPr>
                <w:p w14:paraId="2DB22E38">
                  <w:pPr>
                    <w:widowControl/>
                    <w:spacing w:line="260" w:lineRule="exact"/>
                    <w:jc w:val="left"/>
                    <w:rPr>
                      <w:color w:val="auto"/>
                      <w:sz w:val="22"/>
                      <w:szCs w:val="22"/>
                    </w:rPr>
                  </w:pPr>
                </w:p>
              </w:tc>
              <w:tc>
                <w:tcPr>
                  <w:tcW w:w="1033" w:type="dxa"/>
                  <w:vMerge w:val="continue"/>
                  <w:tcBorders>
                    <w:top w:val="single" w:color="auto" w:sz="4" w:space="0"/>
                    <w:left w:val="single" w:color="auto" w:sz="4" w:space="0"/>
                    <w:bottom w:val="single" w:color="auto" w:sz="4" w:space="0"/>
                    <w:right w:val="single" w:color="auto" w:sz="4" w:space="0"/>
                  </w:tcBorders>
                  <w:vAlign w:val="center"/>
                </w:tcPr>
                <w:p w14:paraId="04EF7AC0">
                  <w:pPr>
                    <w:widowControl/>
                    <w:spacing w:line="260" w:lineRule="exact"/>
                    <w:jc w:val="left"/>
                    <w:rPr>
                      <w:color w:val="auto"/>
                      <w:sz w:val="22"/>
                      <w:szCs w:val="22"/>
                    </w:rPr>
                  </w:pPr>
                </w:p>
              </w:tc>
              <w:tc>
                <w:tcPr>
                  <w:tcW w:w="700" w:type="dxa"/>
                  <w:tcBorders>
                    <w:top w:val="single" w:color="auto" w:sz="4" w:space="0"/>
                    <w:left w:val="single" w:color="auto" w:sz="4" w:space="0"/>
                    <w:bottom w:val="single" w:color="auto" w:sz="4" w:space="0"/>
                    <w:right w:val="single" w:color="auto" w:sz="4" w:space="0"/>
                  </w:tcBorders>
                  <w:vAlign w:val="center"/>
                </w:tcPr>
                <w:p w14:paraId="7AFD93CE">
                  <w:pPr>
                    <w:spacing w:line="260" w:lineRule="exact"/>
                    <w:jc w:val="center"/>
                    <w:rPr>
                      <w:color w:val="auto"/>
                      <w:sz w:val="22"/>
                      <w:szCs w:val="22"/>
                    </w:rPr>
                  </w:pPr>
                  <w:r>
                    <w:rPr>
                      <w:color w:val="auto"/>
                      <w:sz w:val="22"/>
                      <w:szCs w:val="22"/>
                    </w:rPr>
                    <w:t>昼</w:t>
                  </w:r>
                </w:p>
              </w:tc>
              <w:tc>
                <w:tcPr>
                  <w:tcW w:w="733" w:type="dxa"/>
                  <w:tcBorders>
                    <w:top w:val="single" w:color="auto" w:sz="4" w:space="0"/>
                    <w:left w:val="single" w:color="auto" w:sz="4" w:space="0"/>
                    <w:bottom w:val="single" w:color="auto" w:sz="4" w:space="0"/>
                    <w:right w:val="single" w:color="auto" w:sz="4" w:space="0"/>
                  </w:tcBorders>
                  <w:vAlign w:val="center"/>
                </w:tcPr>
                <w:p w14:paraId="1E61646A">
                  <w:pPr>
                    <w:spacing w:line="260" w:lineRule="exact"/>
                    <w:jc w:val="center"/>
                    <w:rPr>
                      <w:color w:val="auto"/>
                      <w:sz w:val="22"/>
                      <w:szCs w:val="22"/>
                    </w:rPr>
                  </w:pPr>
                  <w:r>
                    <w:rPr>
                      <w:color w:val="auto"/>
                      <w:sz w:val="22"/>
                      <w:szCs w:val="22"/>
                    </w:rPr>
                    <w:t>夜</w:t>
                  </w:r>
                </w:p>
              </w:tc>
              <w:tc>
                <w:tcPr>
                  <w:tcW w:w="717" w:type="dxa"/>
                  <w:tcBorders>
                    <w:top w:val="single" w:color="auto" w:sz="4" w:space="0"/>
                    <w:left w:val="single" w:color="auto" w:sz="4" w:space="0"/>
                    <w:bottom w:val="single" w:color="auto" w:sz="4" w:space="0"/>
                    <w:right w:val="single" w:color="auto" w:sz="4" w:space="0"/>
                  </w:tcBorders>
                  <w:vAlign w:val="center"/>
                </w:tcPr>
                <w:p w14:paraId="14415D6C">
                  <w:pPr>
                    <w:spacing w:line="260" w:lineRule="exact"/>
                    <w:jc w:val="center"/>
                    <w:rPr>
                      <w:color w:val="auto"/>
                      <w:sz w:val="22"/>
                      <w:szCs w:val="22"/>
                    </w:rPr>
                  </w:pPr>
                  <w:r>
                    <w:rPr>
                      <w:color w:val="auto"/>
                      <w:sz w:val="22"/>
                      <w:szCs w:val="22"/>
                    </w:rPr>
                    <w:t>昼</w:t>
                  </w:r>
                </w:p>
              </w:tc>
              <w:tc>
                <w:tcPr>
                  <w:tcW w:w="683" w:type="dxa"/>
                  <w:tcBorders>
                    <w:top w:val="single" w:color="auto" w:sz="4" w:space="0"/>
                    <w:left w:val="single" w:color="auto" w:sz="4" w:space="0"/>
                    <w:bottom w:val="single" w:color="auto" w:sz="4" w:space="0"/>
                    <w:right w:val="single" w:color="auto" w:sz="4" w:space="0"/>
                  </w:tcBorders>
                  <w:vAlign w:val="center"/>
                </w:tcPr>
                <w:p w14:paraId="0E286432">
                  <w:pPr>
                    <w:spacing w:line="260" w:lineRule="exact"/>
                    <w:jc w:val="center"/>
                    <w:rPr>
                      <w:color w:val="auto"/>
                      <w:sz w:val="22"/>
                      <w:szCs w:val="22"/>
                    </w:rPr>
                  </w:pPr>
                  <w:r>
                    <w:rPr>
                      <w:color w:val="auto"/>
                      <w:sz w:val="22"/>
                      <w:szCs w:val="22"/>
                    </w:rPr>
                    <w:t>夜</w:t>
                  </w:r>
                </w:p>
              </w:tc>
              <w:tc>
                <w:tcPr>
                  <w:tcW w:w="750" w:type="dxa"/>
                  <w:tcBorders>
                    <w:top w:val="single" w:color="auto" w:sz="4" w:space="0"/>
                    <w:left w:val="single" w:color="auto" w:sz="4" w:space="0"/>
                    <w:bottom w:val="single" w:color="auto" w:sz="4" w:space="0"/>
                    <w:right w:val="single" w:color="auto" w:sz="4" w:space="0"/>
                  </w:tcBorders>
                  <w:vAlign w:val="center"/>
                </w:tcPr>
                <w:p w14:paraId="2D9F0A34">
                  <w:pPr>
                    <w:spacing w:line="260" w:lineRule="exact"/>
                    <w:jc w:val="center"/>
                    <w:rPr>
                      <w:color w:val="auto"/>
                      <w:sz w:val="22"/>
                      <w:szCs w:val="22"/>
                    </w:rPr>
                  </w:pPr>
                  <w:r>
                    <w:rPr>
                      <w:color w:val="auto"/>
                      <w:sz w:val="22"/>
                      <w:szCs w:val="22"/>
                    </w:rPr>
                    <w:t>昼</w:t>
                  </w:r>
                </w:p>
              </w:tc>
              <w:tc>
                <w:tcPr>
                  <w:tcW w:w="800" w:type="dxa"/>
                  <w:tcBorders>
                    <w:top w:val="single" w:color="auto" w:sz="4" w:space="0"/>
                    <w:left w:val="single" w:color="auto" w:sz="4" w:space="0"/>
                    <w:bottom w:val="single" w:color="auto" w:sz="4" w:space="0"/>
                    <w:right w:val="single" w:color="auto" w:sz="4" w:space="0"/>
                  </w:tcBorders>
                  <w:vAlign w:val="center"/>
                </w:tcPr>
                <w:p w14:paraId="3F1A6374">
                  <w:pPr>
                    <w:spacing w:line="260" w:lineRule="exact"/>
                    <w:jc w:val="center"/>
                    <w:rPr>
                      <w:color w:val="auto"/>
                      <w:sz w:val="22"/>
                      <w:szCs w:val="22"/>
                    </w:rPr>
                  </w:pPr>
                  <w:r>
                    <w:rPr>
                      <w:color w:val="auto"/>
                      <w:sz w:val="22"/>
                      <w:szCs w:val="22"/>
                    </w:rPr>
                    <w:t>夜</w:t>
                  </w:r>
                </w:p>
              </w:tc>
              <w:tc>
                <w:tcPr>
                  <w:tcW w:w="717" w:type="dxa"/>
                  <w:tcBorders>
                    <w:top w:val="single" w:color="auto" w:sz="4" w:space="0"/>
                    <w:left w:val="single" w:color="auto" w:sz="4" w:space="0"/>
                    <w:bottom w:val="single" w:color="auto" w:sz="4" w:space="0"/>
                    <w:right w:val="single" w:color="auto" w:sz="4" w:space="0"/>
                  </w:tcBorders>
                  <w:vAlign w:val="center"/>
                </w:tcPr>
                <w:p w14:paraId="6022DE4E">
                  <w:pPr>
                    <w:spacing w:line="260" w:lineRule="exact"/>
                    <w:jc w:val="center"/>
                    <w:rPr>
                      <w:color w:val="auto"/>
                      <w:sz w:val="22"/>
                      <w:szCs w:val="22"/>
                    </w:rPr>
                  </w:pPr>
                  <w:r>
                    <w:rPr>
                      <w:color w:val="auto"/>
                      <w:sz w:val="22"/>
                      <w:szCs w:val="22"/>
                    </w:rPr>
                    <w:t>昼</w:t>
                  </w:r>
                </w:p>
              </w:tc>
              <w:tc>
                <w:tcPr>
                  <w:tcW w:w="811" w:type="dxa"/>
                  <w:tcBorders>
                    <w:top w:val="single" w:color="auto" w:sz="4" w:space="0"/>
                    <w:left w:val="single" w:color="auto" w:sz="4" w:space="0"/>
                    <w:bottom w:val="single" w:color="auto" w:sz="4" w:space="0"/>
                    <w:right w:val="single" w:color="auto" w:sz="4" w:space="0"/>
                  </w:tcBorders>
                  <w:vAlign w:val="center"/>
                </w:tcPr>
                <w:p w14:paraId="13CFFF0A">
                  <w:pPr>
                    <w:spacing w:line="260" w:lineRule="exact"/>
                    <w:jc w:val="center"/>
                    <w:rPr>
                      <w:color w:val="auto"/>
                      <w:sz w:val="22"/>
                      <w:szCs w:val="22"/>
                    </w:rPr>
                  </w:pPr>
                  <w:r>
                    <w:rPr>
                      <w:color w:val="auto"/>
                      <w:sz w:val="22"/>
                      <w:szCs w:val="22"/>
                    </w:rPr>
                    <w:t>夜</w:t>
                  </w:r>
                </w:p>
              </w:tc>
            </w:tr>
            <w:tr w14:paraId="6E9773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193" w:type="dxa"/>
                  <w:tcBorders>
                    <w:top w:val="single" w:color="auto" w:sz="4" w:space="0"/>
                    <w:left w:val="single" w:color="auto" w:sz="4" w:space="0"/>
                    <w:bottom w:val="single" w:color="auto" w:sz="4" w:space="0"/>
                    <w:right w:val="single" w:color="auto" w:sz="4" w:space="0"/>
                  </w:tcBorders>
                  <w:vAlign w:val="center"/>
                </w:tcPr>
                <w:p w14:paraId="2A396CCA">
                  <w:pPr>
                    <w:widowControl/>
                    <w:adjustRightInd w:val="0"/>
                    <w:snapToGrid w:val="0"/>
                    <w:spacing w:line="260" w:lineRule="exact"/>
                    <w:jc w:val="center"/>
                    <w:rPr>
                      <w:color w:val="auto"/>
                      <w:sz w:val="22"/>
                      <w:szCs w:val="22"/>
                    </w:rPr>
                  </w:pPr>
                  <w:r>
                    <w:rPr>
                      <w:bCs/>
                      <w:color w:val="auto"/>
                      <w:sz w:val="22"/>
                      <w:szCs w:val="22"/>
                    </w:rPr>
                    <w:t>冯坪乡庙坝村潘桂英</w:t>
                  </w:r>
                  <w:r>
                    <w:rPr>
                      <w:rFonts w:hint="eastAsia"/>
                      <w:bCs/>
                      <w:color w:val="auto"/>
                      <w:sz w:val="22"/>
                      <w:szCs w:val="22"/>
                    </w:rPr>
                    <w:t>家</w:t>
                  </w:r>
                </w:p>
              </w:tc>
              <w:tc>
                <w:tcPr>
                  <w:tcW w:w="1033" w:type="dxa"/>
                  <w:tcBorders>
                    <w:top w:val="single" w:color="auto" w:sz="4" w:space="0"/>
                    <w:left w:val="single" w:color="auto" w:sz="4" w:space="0"/>
                    <w:bottom w:val="single" w:color="auto" w:sz="4" w:space="0"/>
                    <w:right w:val="single" w:color="auto" w:sz="4" w:space="0"/>
                  </w:tcBorders>
                  <w:vAlign w:val="center"/>
                </w:tcPr>
                <w:p w14:paraId="1C9ED871">
                  <w:pPr>
                    <w:widowControl/>
                    <w:adjustRightInd w:val="0"/>
                    <w:snapToGrid w:val="0"/>
                    <w:spacing w:line="260" w:lineRule="exact"/>
                    <w:jc w:val="center"/>
                    <w:rPr>
                      <w:color w:val="auto"/>
                      <w:sz w:val="22"/>
                      <w:szCs w:val="22"/>
                    </w:rPr>
                  </w:pPr>
                  <w:r>
                    <w:rPr>
                      <w:rFonts w:hint="eastAsia"/>
                      <w:color w:val="auto"/>
                      <w:kern w:val="0"/>
                      <w:sz w:val="22"/>
                      <w:szCs w:val="22"/>
                      <w:lang w:bidi="en-US"/>
                    </w:rPr>
                    <w:t>10</w:t>
                  </w:r>
                  <w:r>
                    <w:rPr>
                      <w:color w:val="auto"/>
                      <w:kern w:val="0"/>
                      <w:sz w:val="22"/>
                      <w:szCs w:val="22"/>
                      <w:lang w:bidi="en-US"/>
                    </w:rPr>
                    <w:t>m</w:t>
                  </w:r>
                </w:p>
              </w:tc>
              <w:tc>
                <w:tcPr>
                  <w:tcW w:w="700" w:type="dxa"/>
                  <w:tcBorders>
                    <w:top w:val="single" w:color="auto" w:sz="4" w:space="0"/>
                    <w:left w:val="single" w:color="auto" w:sz="4" w:space="0"/>
                    <w:bottom w:val="single" w:color="auto" w:sz="4" w:space="0"/>
                    <w:right w:val="single" w:color="auto" w:sz="4" w:space="0"/>
                  </w:tcBorders>
                  <w:vAlign w:val="center"/>
                </w:tcPr>
                <w:p w14:paraId="75B022E1">
                  <w:pPr>
                    <w:pStyle w:val="58"/>
                    <w:spacing w:line="260" w:lineRule="exact"/>
                    <w:ind w:firstLine="0" w:firstLineChars="0"/>
                    <w:jc w:val="center"/>
                    <w:rPr>
                      <w:rFonts w:hint="default" w:ascii="Times New Roman" w:hAnsi="Times New Roman" w:eastAsia="宋体" w:cs="Times New Roman"/>
                      <w:color w:val="auto"/>
                      <w:sz w:val="22"/>
                      <w:szCs w:val="22"/>
                      <w:lang w:val="en-US" w:eastAsia="zh-CN"/>
                    </w:rPr>
                  </w:pPr>
                  <w:r>
                    <w:rPr>
                      <w:rFonts w:hint="eastAsia" w:ascii="Times New Roman" w:hAnsi="Times New Roman" w:cs="Times New Roman"/>
                      <w:color w:val="auto"/>
                      <w:sz w:val="22"/>
                      <w:szCs w:val="22"/>
                      <w:lang w:val="en-US" w:eastAsia="zh-CN"/>
                    </w:rPr>
                    <w:t>42.0</w:t>
                  </w:r>
                </w:p>
              </w:tc>
              <w:tc>
                <w:tcPr>
                  <w:tcW w:w="733" w:type="dxa"/>
                  <w:tcBorders>
                    <w:top w:val="single" w:color="auto" w:sz="4" w:space="0"/>
                    <w:left w:val="single" w:color="auto" w:sz="4" w:space="0"/>
                    <w:bottom w:val="single" w:color="auto" w:sz="4" w:space="0"/>
                    <w:right w:val="single" w:color="auto" w:sz="4" w:space="0"/>
                  </w:tcBorders>
                  <w:vAlign w:val="center"/>
                </w:tcPr>
                <w:p w14:paraId="5022FBAD">
                  <w:pPr>
                    <w:pStyle w:val="58"/>
                    <w:spacing w:line="260" w:lineRule="exact"/>
                    <w:ind w:firstLine="0" w:firstLineChars="0"/>
                    <w:jc w:val="center"/>
                    <w:rPr>
                      <w:rFonts w:hint="eastAsia" w:ascii="Times New Roman" w:hAnsi="Times New Roman" w:eastAsia="宋体" w:cs="Times New Roman"/>
                      <w:color w:val="auto"/>
                      <w:sz w:val="22"/>
                      <w:szCs w:val="22"/>
                      <w:lang w:eastAsia="zh-CN"/>
                    </w:rPr>
                  </w:pPr>
                  <w:r>
                    <w:rPr>
                      <w:rFonts w:hint="eastAsia" w:ascii="Times New Roman" w:hAnsi="Times New Roman" w:cs="Times New Roman"/>
                      <w:color w:val="auto"/>
                      <w:sz w:val="22"/>
                      <w:szCs w:val="22"/>
                    </w:rPr>
                    <w:t>38.</w:t>
                  </w:r>
                  <w:r>
                    <w:rPr>
                      <w:rFonts w:hint="eastAsia" w:ascii="Times New Roman" w:hAnsi="Times New Roman" w:cs="Times New Roman"/>
                      <w:color w:val="auto"/>
                      <w:sz w:val="22"/>
                      <w:szCs w:val="22"/>
                      <w:lang w:val="en-US" w:eastAsia="zh-CN"/>
                    </w:rPr>
                    <w:t>6</w:t>
                  </w:r>
                </w:p>
              </w:tc>
              <w:tc>
                <w:tcPr>
                  <w:tcW w:w="717" w:type="dxa"/>
                  <w:tcBorders>
                    <w:top w:val="single" w:color="auto" w:sz="4" w:space="0"/>
                    <w:left w:val="single" w:color="auto" w:sz="4" w:space="0"/>
                    <w:bottom w:val="single" w:color="auto" w:sz="4" w:space="0"/>
                    <w:right w:val="single" w:color="auto" w:sz="4" w:space="0"/>
                  </w:tcBorders>
                  <w:vAlign w:val="center"/>
                </w:tcPr>
                <w:p w14:paraId="0E998A26">
                  <w:pPr>
                    <w:jc w:val="center"/>
                    <w:rPr>
                      <w:color w:val="auto"/>
                      <w:sz w:val="22"/>
                      <w:szCs w:val="22"/>
                      <w:highlight w:val="yellow"/>
                    </w:rPr>
                  </w:pPr>
                  <w:r>
                    <w:rPr>
                      <w:rFonts w:hint="eastAsia"/>
                      <w:color w:val="auto"/>
                      <w:sz w:val="22"/>
                      <w:szCs w:val="22"/>
                    </w:rPr>
                    <w:t>44</w:t>
                  </w:r>
                </w:p>
              </w:tc>
              <w:tc>
                <w:tcPr>
                  <w:tcW w:w="683" w:type="dxa"/>
                  <w:tcBorders>
                    <w:top w:val="single" w:color="auto" w:sz="4" w:space="0"/>
                    <w:left w:val="single" w:color="auto" w:sz="4" w:space="0"/>
                    <w:bottom w:val="single" w:color="auto" w:sz="4" w:space="0"/>
                    <w:right w:val="single" w:color="auto" w:sz="4" w:space="0"/>
                  </w:tcBorders>
                  <w:vAlign w:val="center"/>
                </w:tcPr>
                <w:p w14:paraId="447A39AD">
                  <w:pPr>
                    <w:jc w:val="center"/>
                    <w:rPr>
                      <w:color w:val="auto"/>
                      <w:sz w:val="22"/>
                      <w:szCs w:val="22"/>
                      <w:highlight w:val="yellow"/>
                    </w:rPr>
                  </w:pPr>
                  <w:r>
                    <w:rPr>
                      <w:rFonts w:hint="eastAsia"/>
                      <w:color w:val="auto"/>
                      <w:sz w:val="22"/>
                      <w:szCs w:val="22"/>
                    </w:rPr>
                    <w:t>38</w:t>
                  </w:r>
                </w:p>
              </w:tc>
              <w:tc>
                <w:tcPr>
                  <w:tcW w:w="750" w:type="dxa"/>
                  <w:tcBorders>
                    <w:top w:val="single" w:color="auto" w:sz="4" w:space="0"/>
                    <w:left w:val="single" w:color="auto" w:sz="4" w:space="0"/>
                    <w:bottom w:val="single" w:color="auto" w:sz="4" w:space="0"/>
                    <w:right w:val="single" w:color="auto" w:sz="4" w:space="0"/>
                  </w:tcBorders>
                  <w:vAlign w:val="center"/>
                </w:tcPr>
                <w:p w14:paraId="3AE77A6A">
                  <w:pPr>
                    <w:spacing w:line="260" w:lineRule="exact"/>
                    <w:jc w:val="center"/>
                    <w:rPr>
                      <w:rFonts w:hint="default" w:eastAsia="宋体"/>
                      <w:color w:val="auto"/>
                      <w:sz w:val="22"/>
                      <w:szCs w:val="22"/>
                      <w:lang w:val="en-US" w:eastAsia="zh-CN"/>
                    </w:rPr>
                  </w:pPr>
                  <w:r>
                    <w:rPr>
                      <w:rFonts w:hint="eastAsia"/>
                      <w:color w:val="auto"/>
                      <w:sz w:val="22"/>
                      <w:szCs w:val="22"/>
                      <w:lang w:val="en-US" w:eastAsia="zh-CN"/>
                    </w:rPr>
                    <w:t>46.1</w:t>
                  </w:r>
                </w:p>
              </w:tc>
              <w:tc>
                <w:tcPr>
                  <w:tcW w:w="800" w:type="dxa"/>
                  <w:tcBorders>
                    <w:top w:val="single" w:color="auto" w:sz="4" w:space="0"/>
                    <w:left w:val="single" w:color="auto" w:sz="4" w:space="0"/>
                    <w:bottom w:val="single" w:color="auto" w:sz="4" w:space="0"/>
                    <w:right w:val="single" w:color="auto" w:sz="4" w:space="0"/>
                  </w:tcBorders>
                  <w:vAlign w:val="center"/>
                </w:tcPr>
                <w:p w14:paraId="3F7ACB9E">
                  <w:pPr>
                    <w:spacing w:line="260" w:lineRule="exact"/>
                    <w:jc w:val="center"/>
                    <w:rPr>
                      <w:color w:val="auto"/>
                      <w:sz w:val="22"/>
                      <w:szCs w:val="22"/>
                    </w:rPr>
                  </w:pPr>
                  <w:r>
                    <w:rPr>
                      <w:rFonts w:hint="eastAsia"/>
                      <w:color w:val="auto"/>
                      <w:sz w:val="22"/>
                      <w:szCs w:val="22"/>
                    </w:rPr>
                    <w:t>41.3</w:t>
                  </w:r>
                </w:p>
              </w:tc>
              <w:tc>
                <w:tcPr>
                  <w:tcW w:w="717" w:type="dxa"/>
                  <w:tcBorders>
                    <w:top w:val="single" w:color="auto" w:sz="4" w:space="0"/>
                    <w:left w:val="single" w:color="auto" w:sz="4" w:space="0"/>
                    <w:bottom w:val="single" w:color="auto" w:sz="4" w:space="0"/>
                    <w:right w:val="single" w:color="auto" w:sz="4" w:space="0"/>
                  </w:tcBorders>
                  <w:vAlign w:val="center"/>
                </w:tcPr>
                <w:p w14:paraId="47BCD39C">
                  <w:pPr>
                    <w:spacing w:line="260" w:lineRule="exact"/>
                    <w:jc w:val="center"/>
                    <w:rPr>
                      <w:color w:val="auto"/>
                      <w:sz w:val="22"/>
                      <w:szCs w:val="22"/>
                    </w:rPr>
                  </w:pPr>
                  <w:r>
                    <w:rPr>
                      <w:rFonts w:hint="eastAsia"/>
                      <w:color w:val="auto"/>
                      <w:sz w:val="22"/>
                      <w:szCs w:val="22"/>
                    </w:rPr>
                    <w:t>55</w:t>
                  </w:r>
                </w:p>
              </w:tc>
              <w:tc>
                <w:tcPr>
                  <w:tcW w:w="811" w:type="dxa"/>
                  <w:tcBorders>
                    <w:top w:val="single" w:color="auto" w:sz="4" w:space="0"/>
                    <w:left w:val="single" w:color="auto" w:sz="4" w:space="0"/>
                    <w:bottom w:val="single" w:color="auto" w:sz="4" w:space="0"/>
                    <w:right w:val="single" w:color="auto" w:sz="4" w:space="0"/>
                  </w:tcBorders>
                  <w:vAlign w:val="center"/>
                </w:tcPr>
                <w:p w14:paraId="19103B41">
                  <w:pPr>
                    <w:spacing w:line="260" w:lineRule="exact"/>
                    <w:jc w:val="center"/>
                    <w:rPr>
                      <w:color w:val="auto"/>
                      <w:sz w:val="22"/>
                      <w:szCs w:val="22"/>
                    </w:rPr>
                  </w:pPr>
                  <w:r>
                    <w:rPr>
                      <w:rFonts w:hint="eastAsia"/>
                      <w:color w:val="auto"/>
                      <w:sz w:val="22"/>
                      <w:szCs w:val="22"/>
                    </w:rPr>
                    <w:t>45</w:t>
                  </w:r>
                </w:p>
              </w:tc>
            </w:tr>
            <w:tr w14:paraId="525C3B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137" w:type="dxa"/>
                  <w:gridSpan w:val="10"/>
                  <w:tcBorders>
                    <w:top w:val="single" w:color="auto" w:sz="4" w:space="0"/>
                    <w:left w:val="single" w:color="auto" w:sz="4" w:space="0"/>
                    <w:bottom w:val="single" w:color="auto" w:sz="4" w:space="0"/>
                    <w:right w:val="single" w:color="auto" w:sz="4" w:space="0"/>
                  </w:tcBorders>
                  <w:vAlign w:val="center"/>
                </w:tcPr>
                <w:p w14:paraId="006CAA2C">
                  <w:pPr>
                    <w:spacing w:line="260" w:lineRule="exact"/>
                    <w:jc w:val="both"/>
                    <w:rPr>
                      <w:rFonts w:hint="default" w:eastAsia="宋体"/>
                      <w:color w:val="auto"/>
                      <w:sz w:val="22"/>
                      <w:szCs w:val="22"/>
                      <w:lang w:val="en-US" w:eastAsia="zh-CN"/>
                    </w:rPr>
                  </w:pPr>
                  <w:r>
                    <w:rPr>
                      <w:rFonts w:hint="eastAsia"/>
                      <w:color w:val="auto"/>
                      <w:sz w:val="22"/>
                      <w:szCs w:val="22"/>
                      <w:lang w:val="en-US" w:eastAsia="zh-CN"/>
                    </w:rPr>
                    <w:t>注：保护目标与导线中心水平距离约15m，采用类比线路15m处噪声值作为贡献值。</w:t>
                  </w:r>
                </w:p>
              </w:tc>
            </w:tr>
          </w:tbl>
          <w:p w14:paraId="48EC022F">
            <w:pPr>
              <w:snapToGrid w:val="0"/>
              <w:ind w:firstLine="520" w:firstLineChars="200"/>
              <w:rPr>
                <w:color w:val="auto"/>
                <w:sz w:val="26"/>
                <w:szCs w:val="26"/>
              </w:rPr>
            </w:pPr>
          </w:p>
          <w:p w14:paraId="05205746">
            <w:pPr>
              <w:snapToGrid w:val="0"/>
              <w:spacing w:line="460" w:lineRule="exact"/>
              <w:ind w:firstLine="520" w:firstLineChars="200"/>
              <w:rPr>
                <w:color w:val="auto"/>
                <w:sz w:val="26"/>
                <w:szCs w:val="26"/>
              </w:rPr>
            </w:pPr>
            <w:r>
              <w:rPr>
                <w:rFonts w:hint="eastAsia"/>
                <w:color w:val="auto"/>
                <w:sz w:val="26"/>
                <w:szCs w:val="26"/>
              </w:rPr>
              <w:t>根据上表预测可知，项目拟建110kV架空线路可听噪声对周围现状声环境保护目标的影响可满足《声环境质量标准》（GB3096-2008）中1类标准。</w:t>
            </w:r>
          </w:p>
          <w:p w14:paraId="2A6580F9">
            <w:pPr>
              <w:spacing w:line="460" w:lineRule="exact"/>
              <w:ind w:firstLine="522" w:firstLineChars="200"/>
              <w:rPr>
                <w:color w:val="auto"/>
                <w:sz w:val="26"/>
                <w:szCs w:val="26"/>
              </w:rPr>
            </w:pPr>
            <w:r>
              <w:rPr>
                <w:rFonts w:hint="eastAsia"/>
                <w:b/>
                <w:bCs/>
                <w:color w:val="auto"/>
                <w:sz w:val="26"/>
                <w:szCs w:val="26"/>
              </w:rPr>
              <w:t>4.3.2.2 110kV间隔扩建工程噪声环境影响分析</w:t>
            </w:r>
          </w:p>
          <w:p w14:paraId="0DCE59A8">
            <w:pPr>
              <w:adjustRightInd w:val="0"/>
              <w:snapToGrid w:val="0"/>
              <w:spacing w:line="460" w:lineRule="exact"/>
              <w:ind w:firstLine="520" w:firstLineChars="200"/>
              <w:rPr>
                <w:color w:val="auto"/>
                <w:sz w:val="26"/>
                <w:szCs w:val="26"/>
              </w:rPr>
            </w:pPr>
            <w:r>
              <w:rPr>
                <w:rFonts w:hint="eastAsia"/>
                <w:color w:val="auto"/>
                <w:sz w:val="26"/>
                <w:szCs w:val="26"/>
              </w:rPr>
              <w:t>根据设计资料，本项目扩建110kV出线间隔1个，不新增主变压器等主要声源设备，扩建完成后变电站区域及厂界噪声能够维持前期工程水平，不会增加新的影响。</w:t>
            </w:r>
          </w:p>
          <w:p w14:paraId="7258D609">
            <w:pPr>
              <w:adjustRightInd w:val="0"/>
              <w:snapToGrid w:val="0"/>
              <w:spacing w:line="460" w:lineRule="exact"/>
              <w:ind w:firstLine="520" w:firstLineChars="200"/>
              <w:rPr>
                <w:color w:val="auto"/>
                <w:sz w:val="26"/>
                <w:szCs w:val="26"/>
              </w:rPr>
            </w:pPr>
            <w:r>
              <w:rPr>
                <w:rFonts w:hint="eastAsia"/>
                <w:color w:val="auto"/>
                <w:sz w:val="26"/>
                <w:szCs w:val="26"/>
              </w:rPr>
              <w:t>根据现状监测结果，220kV铁甲变电站间隔扩建一侧厂界噪声昼间监测值46dB（A），夜间监测值42dB（A），满足《工业企业厂界环境噪声排放标准》（GB1234-2008）</w:t>
            </w:r>
            <w:r>
              <w:rPr>
                <w:rFonts w:hint="eastAsia"/>
                <w:color w:val="auto"/>
                <w:sz w:val="26"/>
                <w:szCs w:val="26"/>
                <w:lang w:val="en-US" w:eastAsia="zh-CN"/>
              </w:rPr>
              <w:t>2</w:t>
            </w:r>
            <w:r>
              <w:rPr>
                <w:rFonts w:hint="eastAsia"/>
                <w:color w:val="auto"/>
                <w:sz w:val="26"/>
                <w:szCs w:val="26"/>
              </w:rPr>
              <w:t>类排放限值要求。</w:t>
            </w:r>
          </w:p>
          <w:p w14:paraId="5E0DB689">
            <w:pPr>
              <w:adjustRightInd w:val="0"/>
              <w:snapToGrid w:val="0"/>
              <w:spacing w:line="460" w:lineRule="exact"/>
              <w:ind w:firstLine="520" w:firstLineChars="200"/>
              <w:rPr>
                <w:color w:val="auto"/>
                <w:sz w:val="26"/>
                <w:szCs w:val="26"/>
              </w:rPr>
            </w:pPr>
            <w:r>
              <w:rPr>
                <w:rFonts w:hint="eastAsia"/>
                <w:color w:val="auto"/>
                <w:sz w:val="26"/>
                <w:szCs w:val="26"/>
              </w:rPr>
              <w:t>同时根据现场调查，间隔扩建一侧评价范围内分布3处声环境保护目标，因扩建完成后变电站区域及厂界噪声能够维持前期工程水平，可得出对周围保护目标处声环境影响较小，声环境保护目标处噪声可基本保持原有水平。根据各保护目标处监测结果，昼间噪声监测值在43~48dB（A）之间，夜间噪声监测值在38</w:t>
            </w:r>
            <w:r>
              <w:rPr>
                <w:color w:val="auto"/>
                <w:sz w:val="26"/>
                <w:szCs w:val="26"/>
              </w:rPr>
              <w:t>~</w:t>
            </w:r>
            <w:r>
              <w:rPr>
                <w:rFonts w:hint="eastAsia"/>
                <w:color w:val="auto"/>
                <w:sz w:val="26"/>
                <w:szCs w:val="26"/>
              </w:rPr>
              <w:t>40</w:t>
            </w:r>
            <w:r>
              <w:rPr>
                <w:color w:val="auto"/>
                <w:sz w:val="26"/>
                <w:szCs w:val="26"/>
              </w:rPr>
              <w:t>dB</w:t>
            </w:r>
            <w:r>
              <w:rPr>
                <w:rFonts w:hint="eastAsia"/>
                <w:color w:val="auto"/>
                <w:sz w:val="26"/>
                <w:szCs w:val="26"/>
              </w:rPr>
              <w:t>（</w:t>
            </w:r>
            <w:r>
              <w:rPr>
                <w:color w:val="auto"/>
                <w:sz w:val="26"/>
                <w:szCs w:val="26"/>
              </w:rPr>
              <w:t>A</w:t>
            </w:r>
            <w:r>
              <w:rPr>
                <w:rFonts w:hint="eastAsia"/>
                <w:color w:val="auto"/>
                <w:sz w:val="26"/>
                <w:szCs w:val="26"/>
              </w:rPr>
              <w:t>）之间，满足《声环境质量标准》（</w:t>
            </w:r>
            <w:r>
              <w:rPr>
                <w:color w:val="auto"/>
                <w:sz w:val="26"/>
                <w:szCs w:val="26"/>
              </w:rPr>
              <w:t>GB3096-2008</w:t>
            </w:r>
            <w:r>
              <w:rPr>
                <w:rFonts w:hint="eastAsia"/>
                <w:color w:val="auto"/>
                <w:sz w:val="26"/>
                <w:szCs w:val="26"/>
              </w:rPr>
              <w:t>）</w:t>
            </w:r>
            <w:r>
              <w:rPr>
                <w:rFonts w:hint="eastAsia"/>
                <w:color w:val="auto"/>
                <w:sz w:val="26"/>
                <w:szCs w:val="26"/>
                <w:lang w:val="en-US" w:eastAsia="zh-CN"/>
              </w:rPr>
              <w:t>2</w:t>
            </w:r>
            <w:r>
              <w:rPr>
                <w:rFonts w:hint="eastAsia"/>
                <w:color w:val="auto"/>
                <w:sz w:val="26"/>
                <w:szCs w:val="26"/>
              </w:rPr>
              <w:t>类标准限值要求。</w:t>
            </w:r>
          </w:p>
          <w:p w14:paraId="2CBDA70E">
            <w:pPr>
              <w:adjustRightInd w:val="0"/>
              <w:snapToGrid w:val="0"/>
              <w:spacing w:line="460" w:lineRule="exact"/>
              <w:ind w:firstLine="520" w:firstLineChars="200"/>
              <w:rPr>
                <w:color w:val="auto"/>
                <w:sz w:val="26"/>
                <w:szCs w:val="26"/>
              </w:rPr>
            </w:pPr>
            <w:r>
              <w:rPr>
                <w:rFonts w:hint="eastAsia"/>
                <w:color w:val="auto"/>
                <w:sz w:val="26"/>
                <w:szCs w:val="26"/>
              </w:rPr>
              <w:t>综上，可以预测110kV间隔扩建工程完成后，变电站间隔扩建一侧厂界能满足《工业企业厂界环境噪声排放标准》（GB1234-2008）</w:t>
            </w:r>
            <w:r>
              <w:rPr>
                <w:rFonts w:hint="eastAsia"/>
                <w:color w:val="auto"/>
                <w:sz w:val="26"/>
                <w:szCs w:val="26"/>
                <w:lang w:val="en-US" w:eastAsia="zh-CN"/>
              </w:rPr>
              <w:t>2</w:t>
            </w:r>
            <w:r>
              <w:rPr>
                <w:rFonts w:hint="eastAsia"/>
                <w:color w:val="auto"/>
                <w:sz w:val="26"/>
                <w:szCs w:val="26"/>
              </w:rPr>
              <w:t>类排放限值要求，各环境保护目标可满足《声环境质量标准》（</w:t>
            </w:r>
            <w:r>
              <w:rPr>
                <w:color w:val="auto"/>
                <w:sz w:val="26"/>
                <w:szCs w:val="26"/>
              </w:rPr>
              <w:t>GB3096-2008</w:t>
            </w:r>
            <w:r>
              <w:rPr>
                <w:rFonts w:hint="eastAsia"/>
                <w:color w:val="auto"/>
                <w:sz w:val="26"/>
                <w:szCs w:val="26"/>
              </w:rPr>
              <w:t>）</w:t>
            </w:r>
            <w:r>
              <w:rPr>
                <w:rFonts w:hint="eastAsia"/>
                <w:color w:val="auto"/>
                <w:sz w:val="26"/>
                <w:szCs w:val="26"/>
                <w:lang w:val="en-US" w:eastAsia="zh-CN"/>
              </w:rPr>
              <w:t>2</w:t>
            </w:r>
            <w:r>
              <w:rPr>
                <w:rFonts w:hint="eastAsia"/>
                <w:color w:val="auto"/>
                <w:sz w:val="26"/>
                <w:szCs w:val="26"/>
              </w:rPr>
              <w:t>类标准限值要求。</w:t>
            </w:r>
          </w:p>
          <w:p w14:paraId="6DF647CF">
            <w:pPr>
              <w:spacing w:line="460" w:lineRule="exact"/>
              <w:ind w:firstLine="522" w:firstLineChars="200"/>
              <w:rPr>
                <w:b/>
                <w:bCs/>
                <w:color w:val="auto"/>
                <w:sz w:val="26"/>
                <w:szCs w:val="26"/>
              </w:rPr>
            </w:pPr>
            <w:r>
              <w:rPr>
                <w:rFonts w:hint="eastAsia"/>
                <w:b/>
                <w:bCs/>
                <w:color w:val="auto"/>
                <w:sz w:val="26"/>
                <w:szCs w:val="26"/>
              </w:rPr>
              <w:t>4.3.3地表水环境影响分析</w:t>
            </w:r>
          </w:p>
          <w:p w14:paraId="7C2C65EE">
            <w:pPr>
              <w:adjustRightInd w:val="0"/>
              <w:snapToGrid w:val="0"/>
              <w:spacing w:line="460" w:lineRule="exact"/>
              <w:ind w:firstLine="520" w:firstLineChars="200"/>
              <w:rPr>
                <w:b/>
                <w:bCs/>
                <w:color w:val="auto"/>
                <w:sz w:val="26"/>
                <w:szCs w:val="26"/>
                <w:highlight w:val="yellow"/>
              </w:rPr>
            </w:pPr>
            <w:r>
              <w:rPr>
                <w:rFonts w:hint="eastAsia"/>
                <w:color w:val="auto"/>
                <w:sz w:val="26"/>
                <w:szCs w:val="26"/>
              </w:rPr>
              <w:t>本次工程仅扩建出线间隔，不新增运行人员，不新增生活污水的产生和排放，工程仍沿用站内</w:t>
            </w:r>
            <w:r>
              <w:rPr>
                <w:rFonts w:hint="eastAsia"/>
                <w:color w:val="auto"/>
                <w:sz w:val="26"/>
                <w:szCs w:val="26"/>
                <w:lang w:val="en-US" w:eastAsia="zh-CN"/>
              </w:rPr>
              <w:t>现有化粪池</w:t>
            </w:r>
            <w:r>
              <w:rPr>
                <w:rFonts w:hint="eastAsia"/>
                <w:color w:val="auto"/>
                <w:sz w:val="26"/>
                <w:szCs w:val="26"/>
              </w:rPr>
              <w:t>，不会对周围水环境产生影响。</w:t>
            </w:r>
          </w:p>
          <w:p w14:paraId="53FFA424">
            <w:pPr>
              <w:spacing w:line="460" w:lineRule="exact"/>
              <w:ind w:firstLine="522" w:firstLineChars="200"/>
              <w:rPr>
                <w:b/>
                <w:bCs/>
                <w:color w:val="auto"/>
                <w:sz w:val="26"/>
                <w:szCs w:val="26"/>
              </w:rPr>
            </w:pPr>
            <w:r>
              <w:rPr>
                <w:rFonts w:hint="eastAsia"/>
                <w:b/>
                <w:bCs/>
                <w:color w:val="auto"/>
                <w:sz w:val="26"/>
                <w:szCs w:val="26"/>
              </w:rPr>
              <w:t>4.3.4固体废物环境影响分析</w:t>
            </w:r>
          </w:p>
          <w:p w14:paraId="669FF66C">
            <w:pPr>
              <w:adjustRightInd w:val="0"/>
              <w:snapToGrid w:val="0"/>
              <w:spacing w:line="460" w:lineRule="exact"/>
              <w:ind w:firstLine="520" w:firstLineChars="200"/>
              <w:rPr>
                <w:color w:val="auto"/>
              </w:rPr>
            </w:pPr>
            <w:r>
              <w:rPr>
                <w:rFonts w:hint="eastAsia"/>
                <w:color w:val="auto"/>
                <w:sz w:val="26"/>
                <w:szCs w:val="26"/>
              </w:rPr>
              <w:t>变电站本次间隔扩建工程不新增含油设备，不新增运行人员，不新增生活垃圾及蓄电池总量，前期依托设施能满足处置要求，因此，不会对环境增加新的影响。</w:t>
            </w:r>
          </w:p>
        </w:tc>
      </w:tr>
      <w:tr w14:paraId="03DEEB9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31" w:hRule="atLeast"/>
          <w:jc w:val="center"/>
        </w:trPr>
        <w:tc>
          <w:tcPr>
            <w:tcW w:w="879" w:type="dxa"/>
            <w:vAlign w:val="center"/>
          </w:tcPr>
          <w:p w14:paraId="74354AAB">
            <w:pPr>
              <w:pStyle w:val="21"/>
              <w:adjustRightInd w:val="0"/>
              <w:snapToGrid w:val="0"/>
              <w:spacing w:before="0" w:beforeAutospacing="0" w:after="0" w:afterAutospacing="0" w:line="460" w:lineRule="exact"/>
              <w:jc w:val="center"/>
              <w:rPr>
                <w:rFonts w:ascii="Times New Roman" w:hAnsi="Times New Roman"/>
                <w:bCs/>
                <w:color w:val="auto"/>
                <w:kern w:val="2"/>
                <w:sz w:val="21"/>
                <w:szCs w:val="21"/>
              </w:rPr>
            </w:pPr>
            <w:r>
              <w:rPr>
                <w:rFonts w:hint="eastAsia" w:ascii="Times New Roman" w:hAnsi="Times New Roman"/>
                <w:color w:val="auto"/>
                <w:sz w:val="26"/>
                <w:szCs w:val="26"/>
              </w:rPr>
              <w:t>选址选线环境合理性分析</w:t>
            </w:r>
          </w:p>
        </w:tc>
        <w:tc>
          <w:tcPr>
            <w:tcW w:w="8363" w:type="dxa"/>
          </w:tcPr>
          <w:p w14:paraId="3CC09412">
            <w:pPr>
              <w:adjustRightInd w:val="0"/>
              <w:snapToGrid w:val="0"/>
              <w:spacing w:line="460" w:lineRule="exact"/>
              <w:rPr>
                <w:b/>
                <w:color w:val="auto"/>
                <w:sz w:val="26"/>
                <w:szCs w:val="26"/>
              </w:rPr>
            </w:pPr>
            <w:r>
              <w:rPr>
                <w:b/>
                <w:color w:val="auto"/>
                <w:sz w:val="26"/>
                <w:szCs w:val="26"/>
              </w:rPr>
              <w:t>4.</w:t>
            </w:r>
            <w:r>
              <w:rPr>
                <w:rFonts w:hint="eastAsia"/>
                <w:b/>
                <w:color w:val="auto"/>
                <w:sz w:val="26"/>
                <w:szCs w:val="26"/>
              </w:rPr>
              <w:t>4方案比选</w:t>
            </w:r>
          </w:p>
          <w:p w14:paraId="10DF0F5A">
            <w:pPr>
              <w:adjustRightInd w:val="0"/>
              <w:snapToGrid w:val="0"/>
              <w:spacing w:line="460" w:lineRule="exact"/>
              <w:ind w:firstLine="520" w:firstLineChars="200"/>
              <w:rPr>
                <w:bCs/>
                <w:color w:val="auto"/>
                <w:sz w:val="26"/>
                <w:szCs w:val="26"/>
              </w:rPr>
            </w:pPr>
            <w:r>
              <w:rPr>
                <w:rFonts w:hint="eastAsia"/>
                <w:bCs/>
                <w:color w:val="auto"/>
                <w:sz w:val="26"/>
                <w:szCs w:val="26"/>
              </w:rPr>
              <w:t>拟建项目穿越生态保护红线，红线类型为水土保持，项目已编制了《重庆金凤山风电场扩建（望天坪）110千伏送出工程符合生态保护红线内有限人为活动（穿越生态红线）论证报告》并取得相关会议纪要（奉节经信纪</w:t>
            </w:r>
            <w:r>
              <w:rPr>
                <w:bCs/>
                <w:color w:val="auto"/>
                <w:sz w:val="26"/>
                <w:szCs w:val="26"/>
              </w:rPr>
              <w:t>〔2024〕1</w:t>
            </w:r>
            <w:r>
              <w:rPr>
                <w:rFonts w:hint="eastAsia" w:ascii="宋体" w:hAnsi="宋体" w:cs="宋体"/>
                <w:bCs/>
                <w:color w:val="auto"/>
                <w:sz w:val="26"/>
                <w:szCs w:val="26"/>
              </w:rPr>
              <w:t>号）</w:t>
            </w:r>
            <w:r>
              <w:rPr>
                <w:rFonts w:hint="eastAsia"/>
                <w:bCs/>
                <w:color w:val="auto"/>
                <w:sz w:val="26"/>
                <w:szCs w:val="26"/>
              </w:rPr>
              <w:t>，本次评价引用论证报告相关结论进行分析。</w:t>
            </w:r>
          </w:p>
          <w:p w14:paraId="46CD536A">
            <w:pPr>
              <w:adjustRightInd w:val="0"/>
              <w:snapToGrid w:val="0"/>
              <w:spacing w:line="460" w:lineRule="exact"/>
              <w:ind w:firstLine="520" w:firstLineChars="200"/>
              <w:rPr>
                <w:bCs/>
                <w:color w:val="auto"/>
                <w:sz w:val="26"/>
                <w:szCs w:val="26"/>
              </w:rPr>
            </w:pPr>
            <w:r>
              <w:rPr>
                <w:rFonts w:hint="eastAsia"/>
                <w:bCs/>
                <w:color w:val="auto"/>
                <w:sz w:val="26"/>
                <w:szCs w:val="26"/>
              </w:rPr>
              <w:t>本项目110kV线路起于望天坪升压站，线路呈西南-东北走向，接入110kV茅铁线N46塔，最终形成望天坪110kV送出线路。</w:t>
            </w:r>
          </w:p>
          <w:p w14:paraId="19146FCC">
            <w:pPr>
              <w:adjustRightInd w:val="0"/>
              <w:snapToGrid w:val="0"/>
              <w:spacing w:line="460" w:lineRule="exact"/>
              <w:ind w:firstLine="520" w:firstLineChars="200"/>
              <w:rPr>
                <w:bCs/>
                <w:color w:val="auto"/>
                <w:sz w:val="26"/>
                <w:szCs w:val="26"/>
              </w:rPr>
            </w:pPr>
            <w:r>
              <w:rPr>
                <w:rFonts w:hint="eastAsia"/>
                <w:bCs/>
                <w:color w:val="auto"/>
                <w:sz w:val="26"/>
                <w:szCs w:val="26"/>
              </w:rPr>
              <w:t>本项目穿越生态保护红线段总长度约4.9km。若要尽可能</w:t>
            </w:r>
            <w:r>
              <w:rPr>
                <w:rFonts w:hint="eastAsia"/>
                <w:bCs/>
                <w:color w:val="auto"/>
                <w:sz w:val="26"/>
                <w:szCs w:val="26"/>
                <w:lang w:eastAsia="zh-CN"/>
              </w:rPr>
              <w:t>地</w:t>
            </w:r>
            <w:r>
              <w:rPr>
                <w:rFonts w:hint="eastAsia"/>
                <w:bCs/>
                <w:color w:val="auto"/>
                <w:sz w:val="26"/>
                <w:szCs w:val="26"/>
              </w:rPr>
              <w:t>避让生态保护红线，设计单位给出了2种比选方案，比选路径1和路径2；2个比选路径均无法避免穿越生态保护红线。拟建线路路径比选表详见表4-4。</w:t>
            </w:r>
          </w:p>
          <w:p w14:paraId="68EC9C5F">
            <w:pPr>
              <w:snapToGrid w:val="0"/>
              <w:jc w:val="center"/>
              <w:rPr>
                <w:rFonts w:hint="eastAsia"/>
                <w:color w:val="auto"/>
                <w:sz w:val="26"/>
                <w:szCs w:val="26"/>
              </w:rPr>
            </w:pPr>
          </w:p>
          <w:p w14:paraId="1969B1DA">
            <w:pPr>
              <w:snapToGrid w:val="0"/>
              <w:jc w:val="center"/>
              <w:rPr>
                <w:color w:val="auto"/>
                <w:sz w:val="26"/>
                <w:szCs w:val="26"/>
              </w:rPr>
            </w:pPr>
            <w:r>
              <w:rPr>
                <w:rFonts w:hint="eastAsia"/>
                <w:color w:val="auto"/>
                <w:sz w:val="26"/>
                <w:szCs w:val="26"/>
              </w:rPr>
              <w:t>表4-4</w:t>
            </w:r>
            <w:r>
              <w:rPr>
                <w:color w:val="auto"/>
                <w:sz w:val="26"/>
                <w:szCs w:val="26"/>
              </w:rPr>
              <w:t xml:space="preserve">  </w:t>
            </w:r>
            <w:r>
              <w:rPr>
                <w:rFonts w:hint="eastAsia"/>
                <w:color w:val="auto"/>
                <w:sz w:val="26"/>
                <w:szCs w:val="26"/>
              </w:rPr>
              <w:t>路径方案比选表</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9"/>
              <w:gridCol w:w="1467"/>
              <w:gridCol w:w="1574"/>
              <w:gridCol w:w="1746"/>
              <w:gridCol w:w="1580"/>
              <w:gridCol w:w="1111"/>
            </w:tblGrid>
            <w:tr w14:paraId="191334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29" w:hRule="atLeast"/>
                <w:jc w:val="center"/>
              </w:trPr>
              <w:tc>
                <w:tcPr>
                  <w:tcW w:w="659" w:type="dxa"/>
                  <w:vAlign w:val="center"/>
                </w:tcPr>
                <w:p w14:paraId="58BA6C31">
                  <w:pPr>
                    <w:autoSpaceDN w:val="0"/>
                    <w:snapToGrid w:val="0"/>
                    <w:jc w:val="center"/>
                    <w:rPr>
                      <w:rFonts w:hAnsi="宋体"/>
                      <w:color w:val="auto"/>
                      <w:szCs w:val="21"/>
                    </w:rPr>
                  </w:pPr>
                  <w:r>
                    <w:rPr>
                      <w:rFonts w:hint="eastAsia" w:hAnsi="宋体"/>
                      <w:color w:val="auto"/>
                      <w:szCs w:val="21"/>
                    </w:rPr>
                    <w:t>序号</w:t>
                  </w:r>
                </w:p>
              </w:tc>
              <w:tc>
                <w:tcPr>
                  <w:tcW w:w="1467" w:type="dxa"/>
                  <w:vAlign w:val="center"/>
                </w:tcPr>
                <w:p w14:paraId="4B558CB5">
                  <w:pPr>
                    <w:autoSpaceDN w:val="0"/>
                    <w:snapToGrid w:val="0"/>
                    <w:jc w:val="center"/>
                    <w:rPr>
                      <w:rFonts w:hAnsi="宋体"/>
                      <w:color w:val="auto"/>
                      <w:szCs w:val="21"/>
                    </w:rPr>
                  </w:pPr>
                  <w:r>
                    <w:rPr>
                      <w:rFonts w:hint="eastAsia" w:hAnsi="宋体"/>
                      <w:color w:val="auto"/>
                      <w:szCs w:val="21"/>
                    </w:rPr>
                    <w:t>项目</w:t>
                  </w:r>
                </w:p>
              </w:tc>
              <w:tc>
                <w:tcPr>
                  <w:tcW w:w="1574" w:type="dxa"/>
                  <w:vAlign w:val="center"/>
                </w:tcPr>
                <w:p w14:paraId="025CABE5">
                  <w:pPr>
                    <w:autoSpaceDN w:val="0"/>
                    <w:snapToGrid w:val="0"/>
                    <w:jc w:val="center"/>
                    <w:rPr>
                      <w:rFonts w:hAnsi="宋体"/>
                      <w:color w:val="auto"/>
                      <w:szCs w:val="21"/>
                    </w:rPr>
                  </w:pPr>
                  <w:r>
                    <w:rPr>
                      <w:rFonts w:hint="eastAsia" w:hAnsi="宋体"/>
                      <w:color w:val="auto"/>
                      <w:szCs w:val="21"/>
                    </w:rPr>
                    <w:t>拟建路线</w:t>
                  </w:r>
                </w:p>
              </w:tc>
              <w:tc>
                <w:tcPr>
                  <w:tcW w:w="1746" w:type="dxa"/>
                  <w:vAlign w:val="center"/>
                </w:tcPr>
                <w:p w14:paraId="11187E7A">
                  <w:pPr>
                    <w:autoSpaceDN w:val="0"/>
                    <w:snapToGrid w:val="0"/>
                    <w:jc w:val="center"/>
                    <w:rPr>
                      <w:rFonts w:hAnsi="宋体"/>
                      <w:color w:val="auto"/>
                      <w:szCs w:val="21"/>
                    </w:rPr>
                  </w:pPr>
                  <w:r>
                    <w:rPr>
                      <w:rFonts w:hint="eastAsia" w:hAnsi="宋体"/>
                      <w:color w:val="auto"/>
                      <w:szCs w:val="21"/>
                    </w:rPr>
                    <w:t>比选路径1</w:t>
                  </w:r>
                </w:p>
              </w:tc>
              <w:tc>
                <w:tcPr>
                  <w:tcW w:w="1580" w:type="dxa"/>
                  <w:vAlign w:val="center"/>
                </w:tcPr>
                <w:p w14:paraId="3C7FB0A4">
                  <w:pPr>
                    <w:autoSpaceDN w:val="0"/>
                    <w:snapToGrid w:val="0"/>
                    <w:jc w:val="center"/>
                    <w:rPr>
                      <w:rFonts w:hAnsi="宋体"/>
                      <w:color w:val="auto"/>
                      <w:szCs w:val="21"/>
                    </w:rPr>
                  </w:pPr>
                  <w:r>
                    <w:rPr>
                      <w:rFonts w:hint="eastAsia" w:hAnsi="宋体"/>
                      <w:color w:val="auto"/>
                      <w:szCs w:val="21"/>
                    </w:rPr>
                    <w:t>比选路径2</w:t>
                  </w:r>
                </w:p>
              </w:tc>
              <w:tc>
                <w:tcPr>
                  <w:tcW w:w="1111" w:type="dxa"/>
                  <w:vAlign w:val="center"/>
                </w:tcPr>
                <w:p w14:paraId="37D86932">
                  <w:pPr>
                    <w:autoSpaceDN w:val="0"/>
                    <w:snapToGrid w:val="0"/>
                    <w:jc w:val="center"/>
                    <w:rPr>
                      <w:rFonts w:hAnsi="宋体"/>
                      <w:color w:val="auto"/>
                      <w:szCs w:val="21"/>
                    </w:rPr>
                  </w:pPr>
                  <w:r>
                    <w:rPr>
                      <w:rFonts w:hint="eastAsia" w:hAnsi="宋体"/>
                      <w:color w:val="auto"/>
                      <w:szCs w:val="21"/>
                    </w:rPr>
                    <w:t>备注</w:t>
                  </w:r>
                </w:p>
              </w:tc>
            </w:tr>
            <w:tr w14:paraId="7EFD00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8137" w:type="dxa"/>
                  <w:gridSpan w:val="6"/>
                  <w:vAlign w:val="center"/>
                </w:tcPr>
                <w:p w14:paraId="329D5FC7">
                  <w:pPr>
                    <w:autoSpaceDN w:val="0"/>
                    <w:snapToGrid w:val="0"/>
                    <w:jc w:val="center"/>
                    <w:rPr>
                      <w:rFonts w:hAnsi="宋体"/>
                      <w:color w:val="auto"/>
                      <w:szCs w:val="21"/>
                    </w:rPr>
                  </w:pPr>
                  <w:r>
                    <w:rPr>
                      <w:rFonts w:hint="eastAsia" w:hAnsi="宋体"/>
                      <w:color w:val="auto"/>
                      <w:szCs w:val="21"/>
                    </w:rPr>
                    <w:t>生态环境指标</w:t>
                  </w:r>
                </w:p>
              </w:tc>
            </w:tr>
            <w:tr w14:paraId="3DCD0A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659" w:type="dxa"/>
                  <w:vAlign w:val="center"/>
                </w:tcPr>
                <w:p w14:paraId="4F9A5D65">
                  <w:pPr>
                    <w:autoSpaceDN w:val="0"/>
                    <w:snapToGrid w:val="0"/>
                    <w:jc w:val="center"/>
                    <w:rPr>
                      <w:rFonts w:hAnsi="宋体"/>
                      <w:color w:val="auto"/>
                      <w:szCs w:val="21"/>
                    </w:rPr>
                  </w:pPr>
                  <w:r>
                    <w:rPr>
                      <w:rFonts w:hint="eastAsia" w:hAnsi="宋体"/>
                      <w:color w:val="auto"/>
                      <w:szCs w:val="21"/>
                    </w:rPr>
                    <w:t>1</w:t>
                  </w:r>
                </w:p>
              </w:tc>
              <w:tc>
                <w:tcPr>
                  <w:tcW w:w="1467" w:type="dxa"/>
                  <w:vAlign w:val="center"/>
                </w:tcPr>
                <w:p w14:paraId="230DEF4B">
                  <w:pPr>
                    <w:autoSpaceDN w:val="0"/>
                    <w:snapToGrid w:val="0"/>
                    <w:jc w:val="center"/>
                    <w:rPr>
                      <w:rFonts w:hAnsi="宋体"/>
                      <w:color w:val="auto"/>
                      <w:szCs w:val="21"/>
                    </w:rPr>
                  </w:pPr>
                  <w:r>
                    <w:rPr>
                      <w:rFonts w:hint="eastAsia" w:hAnsi="宋体"/>
                      <w:color w:val="auto"/>
                      <w:szCs w:val="21"/>
                    </w:rPr>
                    <w:t>穿越生态保护红线</w:t>
                  </w:r>
                </w:p>
              </w:tc>
              <w:tc>
                <w:tcPr>
                  <w:tcW w:w="1574" w:type="dxa"/>
                  <w:vAlign w:val="center"/>
                </w:tcPr>
                <w:p w14:paraId="39BD349C">
                  <w:pPr>
                    <w:autoSpaceDN w:val="0"/>
                    <w:snapToGrid w:val="0"/>
                    <w:jc w:val="center"/>
                    <w:rPr>
                      <w:rFonts w:hAnsi="宋体"/>
                      <w:color w:val="auto"/>
                      <w:szCs w:val="21"/>
                    </w:rPr>
                  </w:pPr>
                  <w:r>
                    <w:rPr>
                      <w:rFonts w:hint="eastAsia" w:hAnsi="宋体"/>
                      <w:color w:val="auto"/>
                      <w:szCs w:val="21"/>
                    </w:rPr>
                    <w:t>穿越长度约4.9km</w:t>
                  </w:r>
                </w:p>
              </w:tc>
              <w:tc>
                <w:tcPr>
                  <w:tcW w:w="1746" w:type="dxa"/>
                  <w:vAlign w:val="center"/>
                </w:tcPr>
                <w:p w14:paraId="597B9C01">
                  <w:pPr>
                    <w:autoSpaceDN w:val="0"/>
                    <w:snapToGrid w:val="0"/>
                    <w:jc w:val="center"/>
                    <w:rPr>
                      <w:rFonts w:hAnsi="宋体"/>
                      <w:color w:val="auto"/>
                      <w:szCs w:val="21"/>
                    </w:rPr>
                  </w:pPr>
                  <w:r>
                    <w:rPr>
                      <w:rFonts w:hint="eastAsia" w:hAnsi="宋体"/>
                      <w:color w:val="auto"/>
                      <w:szCs w:val="21"/>
                    </w:rPr>
                    <w:t>穿越长度约2.1km</w:t>
                  </w:r>
                </w:p>
              </w:tc>
              <w:tc>
                <w:tcPr>
                  <w:tcW w:w="1580" w:type="dxa"/>
                  <w:vAlign w:val="center"/>
                </w:tcPr>
                <w:p w14:paraId="246FB211">
                  <w:pPr>
                    <w:autoSpaceDN w:val="0"/>
                    <w:snapToGrid w:val="0"/>
                    <w:jc w:val="center"/>
                    <w:rPr>
                      <w:rFonts w:hAnsi="宋体"/>
                      <w:color w:val="auto"/>
                      <w:szCs w:val="21"/>
                    </w:rPr>
                  </w:pPr>
                  <w:r>
                    <w:rPr>
                      <w:rFonts w:hint="eastAsia" w:hAnsi="宋体"/>
                      <w:color w:val="auto"/>
                      <w:szCs w:val="21"/>
                    </w:rPr>
                    <w:t>穿越长度约2.9km</w:t>
                  </w:r>
                </w:p>
              </w:tc>
              <w:tc>
                <w:tcPr>
                  <w:tcW w:w="1111" w:type="dxa"/>
                  <w:vAlign w:val="center"/>
                </w:tcPr>
                <w:p w14:paraId="19DCC682">
                  <w:pPr>
                    <w:autoSpaceDN w:val="0"/>
                    <w:snapToGrid w:val="0"/>
                    <w:jc w:val="center"/>
                    <w:rPr>
                      <w:rFonts w:hAnsi="宋体"/>
                      <w:color w:val="auto"/>
                      <w:szCs w:val="21"/>
                    </w:rPr>
                  </w:pPr>
                  <w:r>
                    <w:rPr>
                      <w:rFonts w:hint="eastAsia" w:hAnsi="宋体"/>
                      <w:color w:val="auto"/>
                      <w:szCs w:val="21"/>
                    </w:rPr>
                    <w:t>比选路径1优</w:t>
                  </w:r>
                </w:p>
              </w:tc>
            </w:tr>
            <w:tr w14:paraId="1B962B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659" w:type="dxa"/>
                  <w:vAlign w:val="center"/>
                </w:tcPr>
                <w:p w14:paraId="76F3DDD9">
                  <w:pPr>
                    <w:autoSpaceDN w:val="0"/>
                    <w:snapToGrid w:val="0"/>
                    <w:jc w:val="center"/>
                    <w:rPr>
                      <w:rFonts w:hAnsi="宋体"/>
                      <w:color w:val="auto"/>
                      <w:szCs w:val="21"/>
                    </w:rPr>
                  </w:pPr>
                  <w:r>
                    <w:rPr>
                      <w:rFonts w:hint="eastAsia" w:hAnsi="宋体"/>
                      <w:color w:val="auto"/>
                      <w:szCs w:val="21"/>
                    </w:rPr>
                    <w:t>2</w:t>
                  </w:r>
                </w:p>
              </w:tc>
              <w:tc>
                <w:tcPr>
                  <w:tcW w:w="1467" w:type="dxa"/>
                  <w:vAlign w:val="center"/>
                </w:tcPr>
                <w:p w14:paraId="6EEBB451">
                  <w:pPr>
                    <w:autoSpaceDN w:val="0"/>
                    <w:snapToGrid w:val="0"/>
                    <w:jc w:val="center"/>
                    <w:rPr>
                      <w:rFonts w:hAnsi="宋体"/>
                      <w:color w:val="auto"/>
                      <w:szCs w:val="21"/>
                    </w:rPr>
                  </w:pPr>
                  <w:r>
                    <w:rPr>
                      <w:rFonts w:hint="eastAsia" w:hAnsi="宋体"/>
                      <w:color w:val="auto"/>
                      <w:szCs w:val="21"/>
                    </w:rPr>
                    <w:t>林木砍伐</w:t>
                  </w:r>
                </w:p>
              </w:tc>
              <w:tc>
                <w:tcPr>
                  <w:tcW w:w="1574" w:type="dxa"/>
                  <w:vAlign w:val="center"/>
                </w:tcPr>
                <w:p w14:paraId="2128CC6E">
                  <w:pPr>
                    <w:autoSpaceDN w:val="0"/>
                    <w:snapToGrid w:val="0"/>
                    <w:jc w:val="center"/>
                    <w:rPr>
                      <w:rFonts w:hAnsi="宋体"/>
                      <w:color w:val="auto"/>
                      <w:szCs w:val="21"/>
                    </w:rPr>
                  </w:pPr>
                  <w:r>
                    <w:rPr>
                      <w:rFonts w:hint="eastAsia" w:hAnsi="宋体"/>
                      <w:color w:val="auto"/>
                      <w:szCs w:val="21"/>
                    </w:rPr>
                    <w:t>砍伐林木约5500棵，主要为松树和杂树</w:t>
                  </w:r>
                </w:p>
              </w:tc>
              <w:tc>
                <w:tcPr>
                  <w:tcW w:w="1746" w:type="dxa"/>
                  <w:vAlign w:val="center"/>
                </w:tcPr>
                <w:p w14:paraId="50A4DED4">
                  <w:pPr>
                    <w:autoSpaceDN w:val="0"/>
                    <w:snapToGrid w:val="0"/>
                    <w:jc w:val="center"/>
                    <w:rPr>
                      <w:rFonts w:hAnsi="宋体"/>
                      <w:color w:val="auto"/>
                      <w:szCs w:val="21"/>
                    </w:rPr>
                  </w:pPr>
                  <w:r>
                    <w:rPr>
                      <w:rFonts w:hint="eastAsia" w:hAnsi="宋体"/>
                      <w:color w:val="auto"/>
                      <w:szCs w:val="21"/>
                    </w:rPr>
                    <w:t>砍伐林木约2450棵，主要为松树和杂树</w:t>
                  </w:r>
                </w:p>
              </w:tc>
              <w:tc>
                <w:tcPr>
                  <w:tcW w:w="1580" w:type="dxa"/>
                  <w:vAlign w:val="center"/>
                </w:tcPr>
                <w:p w14:paraId="22D37B09">
                  <w:pPr>
                    <w:autoSpaceDN w:val="0"/>
                    <w:snapToGrid w:val="0"/>
                    <w:jc w:val="center"/>
                    <w:rPr>
                      <w:rFonts w:hAnsi="宋体"/>
                      <w:color w:val="auto"/>
                      <w:szCs w:val="21"/>
                    </w:rPr>
                  </w:pPr>
                  <w:r>
                    <w:rPr>
                      <w:rFonts w:hint="eastAsia" w:hAnsi="宋体"/>
                      <w:color w:val="auto"/>
                      <w:szCs w:val="21"/>
                    </w:rPr>
                    <w:t>砍伐林木约2100棵，主要为松树和杂树</w:t>
                  </w:r>
                </w:p>
              </w:tc>
              <w:tc>
                <w:tcPr>
                  <w:tcW w:w="1111" w:type="dxa"/>
                  <w:vAlign w:val="center"/>
                </w:tcPr>
                <w:p w14:paraId="30C5C827">
                  <w:pPr>
                    <w:autoSpaceDN w:val="0"/>
                    <w:snapToGrid w:val="0"/>
                    <w:jc w:val="center"/>
                    <w:rPr>
                      <w:rFonts w:hAnsi="宋体"/>
                      <w:color w:val="auto"/>
                      <w:szCs w:val="21"/>
                    </w:rPr>
                  </w:pPr>
                  <w:r>
                    <w:rPr>
                      <w:rFonts w:hint="eastAsia" w:hAnsi="宋体"/>
                      <w:color w:val="auto"/>
                      <w:szCs w:val="21"/>
                    </w:rPr>
                    <w:t>比选路径2优</w:t>
                  </w:r>
                </w:p>
              </w:tc>
            </w:tr>
            <w:tr w14:paraId="01971A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8137" w:type="dxa"/>
                  <w:gridSpan w:val="6"/>
                  <w:vAlign w:val="center"/>
                </w:tcPr>
                <w:p w14:paraId="586689EB">
                  <w:pPr>
                    <w:autoSpaceDN w:val="0"/>
                    <w:snapToGrid w:val="0"/>
                    <w:jc w:val="center"/>
                    <w:rPr>
                      <w:rFonts w:hAnsi="宋体"/>
                      <w:color w:val="auto"/>
                      <w:szCs w:val="21"/>
                    </w:rPr>
                  </w:pPr>
                  <w:r>
                    <w:rPr>
                      <w:rFonts w:hint="eastAsia" w:hAnsi="宋体"/>
                      <w:color w:val="auto"/>
                      <w:szCs w:val="21"/>
                    </w:rPr>
                    <w:t>工程指标</w:t>
                  </w:r>
                </w:p>
              </w:tc>
            </w:tr>
            <w:tr w14:paraId="04B063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659" w:type="dxa"/>
                  <w:vAlign w:val="center"/>
                </w:tcPr>
                <w:p w14:paraId="622C506C">
                  <w:pPr>
                    <w:autoSpaceDN w:val="0"/>
                    <w:snapToGrid w:val="0"/>
                    <w:jc w:val="center"/>
                    <w:rPr>
                      <w:rFonts w:hAnsi="宋体"/>
                      <w:color w:val="auto"/>
                      <w:szCs w:val="21"/>
                    </w:rPr>
                  </w:pPr>
                  <w:r>
                    <w:rPr>
                      <w:rFonts w:hint="eastAsia" w:hAnsi="宋体"/>
                      <w:color w:val="auto"/>
                      <w:szCs w:val="21"/>
                    </w:rPr>
                    <w:t>1</w:t>
                  </w:r>
                </w:p>
              </w:tc>
              <w:tc>
                <w:tcPr>
                  <w:tcW w:w="1467" w:type="dxa"/>
                  <w:vAlign w:val="center"/>
                </w:tcPr>
                <w:p w14:paraId="55212C38">
                  <w:pPr>
                    <w:autoSpaceDN w:val="0"/>
                    <w:snapToGrid w:val="0"/>
                    <w:jc w:val="center"/>
                    <w:rPr>
                      <w:rFonts w:hAnsi="宋体"/>
                      <w:color w:val="auto"/>
                      <w:szCs w:val="21"/>
                    </w:rPr>
                  </w:pPr>
                  <w:r>
                    <w:rPr>
                      <w:rFonts w:hint="eastAsia" w:hAnsi="宋体"/>
                      <w:color w:val="auto"/>
                      <w:szCs w:val="21"/>
                    </w:rPr>
                    <w:t>总长度</w:t>
                  </w:r>
                </w:p>
              </w:tc>
              <w:tc>
                <w:tcPr>
                  <w:tcW w:w="1574" w:type="dxa"/>
                  <w:vAlign w:val="center"/>
                </w:tcPr>
                <w:p w14:paraId="55B6BEB6">
                  <w:pPr>
                    <w:autoSpaceDN w:val="0"/>
                    <w:snapToGrid w:val="0"/>
                    <w:jc w:val="center"/>
                    <w:rPr>
                      <w:rFonts w:hAnsi="宋体"/>
                      <w:color w:val="auto"/>
                      <w:szCs w:val="21"/>
                    </w:rPr>
                  </w:pPr>
                  <w:r>
                    <w:rPr>
                      <w:rFonts w:hint="eastAsia" w:hAnsi="宋体"/>
                      <w:color w:val="auto"/>
                      <w:szCs w:val="21"/>
                    </w:rPr>
                    <w:t>5.9km</w:t>
                  </w:r>
                </w:p>
              </w:tc>
              <w:tc>
                <w:tcPr>
                  <w:tcW w:w="1746" w:type="dxa"/>
                  <w:vAlign w:val="center"/>
                </w:tcPr>
                <w:p w14:paraId="6B1AB985">
                  <w:pPr>
                    <w:autoSpaceDN w:val="0"/>
                    <w:snapToGrid w:val="0"/>
                    <w:jc w:val="center"/>
                    <w:rPr>
                      <w:rFonts w:hAnsi="宋体"/>
                      <w:color w:val="auto"/>
                      <w:szCs w:val="21"/>
                    </w:rPr>
                  </w:pPr>
                  <w:r>
                    <w:rPr>
                      <w:rFonts w:hint="eastAsia" w:hAnsi="宋体"/>
                      <w:color w:val="auto"/>
                      <w:szCs w:val="21"/>
                    </w:rPr>
                    <w:t>6.8km</w:t>
                  </w:r>
                </w:p>
              </w:tc>
              <w:tc>
                <w:tcPr>
                  <w:tcW w:w="1580" w:type="dxa"/>
                  <w:vAlign w:val="center"/>
                </w:tcPr>
                <w:p w14:paraId="51CE5A4B">
                  <w:pPr>
                    <w:autoSpaceDN w:val="0"/>
                    <w:snapToGrid w:val="0"/>
                    <w:jc w:val="center"/>
                    <w:rPr>
                      <w:rFonts w:hAnsi="宋体"/>
                      <w:color w:val="auto"/>
                      <w:szCs w:val="21"/>
                    </w:rPr>
                  </w:pPr>
                  <w:r>
                    <w:rPr>
                      <w:rFonts w:hint="eastAsia" w:hAnsi="宋体"/>
                      <w:color w:val="auto"/>
                      <w:szCs w:val="21"/>
                    </w:rPr>
                    <w:t>6.5km</w:t>
                  </w:r>
                </w:p>
              </w:tc>
              <w:tc>
                <w:tcPr>
                  <w:tcW w:w="1111" w:type="dxa"/>
                  <w:vAlign w:val="center"/>
                </w:tcPr>
                <w:p w14:paraId="2C9E80BE">
                  <w:pPr>
                    <w:autoSpaceDN w:val="0"/>
                    <w:snapToGrid w:val="0"/>
                    <w:jc w:val="center"/>
                    <w:rPr>
                      <w:rFonts w:hAnsi="宋体"/>
                      <w:color w:val="auto"/>
                      <w:szCs w:val="21"/>
                    </w:rPr>
                  </w:pPr>
                  <w:r>
                    <w:rPr>
                      <w:rFonts w:hint="eastAsia" w:hAnsi="宋体"/>
                      <w:color w:val="auto"/>
                      <w:szCs w:val="21"/>
                    </w:rPr>
                    <w:t>拟建路径优</w:t>
                  </w:r>
                </w:p>
              </w:tc>
            </w:tr>
            <w:tr w14:paraId="75916F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659" w:type="dxa"/>
                  <w:vAlign w:val="center"/>
                </w:tcPr>
                <w:p w14:paraId="0BF44E6A">
                  <w:pPr>
                    <w:autoSpaceDN w:val="0"/>
                    <w:snapToGrid w:val="0"/>
                    <w:jc w:val="center"/>
                    <w:rPr>
                      <w:rFonts w:hAnsi="宋体"/>
                      <w:color w:val="auto"/>
                      <w:szCs w:val="21"/>
                    </w:rPr>
                  </w:pPr>
                  <w:r>
                    <w:rPr>
                      <w:rFonts w:hint="eastAsia" w:hAnsi="宋体"/>
                      <w:color w:val="auto"/>
                      <w:szCs w:val="21"/>
                    </w:rPr>
                    <w:t>2</w:t>
                  </w:r>
                </w:p>
              </w:tc>
              <w:tc>
                <w:tcPr>
                  <w:tcW w:w="1467" w:type="dxa"/>
                  <w:vAlign w:val="center"/>
                </w:tcPr>
                <w:p w14:paraId="4B58BF79">
                  <w:pPr>
                    <w:autoSpaceDN w:val="0"/>
                    <w:snapToGrid w:val="0"/>
                    <w:jc w:val="center"/>
                    <w:rPr>
                      <w:rFonts w:hAnsi="宋体"/>
                      <w:color w:val="auto"/>
                      <w:szCs w:val="21"/>
                    </w:rPr>
                  </w:pPr>
                  <w:r>
                    <w:rPr>
                      <w:rFonts w:hint="eastAsia" w:hAnsi="宋体"/>
                      <w:color w:val="auto"/>
                      <w:szCs w:val="21"/>
                    </w:rPr>
                    <w:t>总投资</w:t>
                  </w:r>
                </w:p>
              </w:tc>
              <w:tc>
                <w:tcPr>
                  <w:tcW w:w="1574" w:type="dxa"/>
                  <w:vAlign w:val="center"/>
                </w:tcPr>
                <w:p w14:paraId="615C2ACE">
                  <w:pPr>
                    <w:autoSpaceDN w:val="0"/>
                    <w:snapToGrid w:val="0"/>
                    <w:jc w:val="center"/>
                    <w:rPr>
                      <w:rFonts w:hAnsi="宋体"/>
                      <w:color w:val="auto"/>
                      <w:szCs w:val="21"/>
                    </w:rPr>
                  </w:pPr>
                  <w:r>
                    <w:rPr>
                      <w:rFonts w:hint="eastAsia" w:hAnsi="宋体"/>
                      <w:color w:val="auto"/>
                      <w:szCs w:val="21"/>
                    </w:rPr>
                    <w:t>1333万元</w:t>
                  </w:r>
                </w:p>
              </w:tc>
              <w:tc>
                <w:tcPr>
                  <w:tcW w:w="1746" w:type="dxa"/>
                  <w:vAlign w:val="center"/>
                </w:tcPr>
                <w:p w14:paraId="690D6284">
                  <w:pPr>
                    <w:autoSpaceDN w:val="0"/>
                    <w:snapToGrid w:val="0"/>
                    <w:jc w:val="center"/>
                    <w:rPr>
                      <w:rFonts w:hAnsi="宋体"/>
                      <w:color w:val="auto"/>
                      <w:szCs w:val="21"/>
                    </w:rPr>
                  </w:pPr>
                  <w:r>
                    <w:rPr>
                      <w:rFonts w:hint="eastAsia" w:hAnsi="宋体"/>
                      <w:color w:val="auto"/>
                      <w:szCs w:val="21"/>
                    </w:rPr>
                    <w:t>1405万元</w:t>
                  </w:r>
                </w:p>
              </w:tc>
              <w:tc>
                <w:tcPr>
                  <w:tcW w:w="1580" w:type="dxa"/>
                  <w:vAlign w:val="center"/>
                </w:tcPr>
                <w:p w14:paraId="35ABE250">
                  <w:pPr>
                    <w:autoSpaceDN w:val="0"/>
                    <w:snapToGrid w:val="0"/>
                    <w:jc w:val="center"/>
                    <w:rPr>
                      <w:rFonts w:hAnsi="宋体"/>
                      <w:color w:val="auto"/>
                      <w:szCs w:val="21"/>
                    </w:rPr>
                  </w:pPr>
                  <w:r>
                    <w:rPr>
                      <w:rFonts w:hint="eastAsia" w:hAnsi="宋体"/>
                      <w:color w:val="auto"/>
                      <w:szCs w:val="21"/>
                    </w:rPr>
                    <w:t>1380万元</w:t>
                  </w:r>
                </w:p>
              </w:tc>
              <w:tc>
                <w:tcPr>
                  <w:tcW w:w="1111" w:type="dxa"/>
                  <w:vAlign w:val="center"/>
                </w:tcPr>
                <w:p w14:paraId="7F432246">
                  <w:pPr>
                    <w:autoSpaceDN w:val="0"/>
                    <w:snapToGrid w:val="0"/>
                    <w:jc w:val="center"/>
                    <w:rPr>
                      <w:rFonts w:hAnsi="宋体"/>
                      <w:color w:val="auto"/>
                      <w:szCs w:val="21"/>
                    </w:rPr>
                  </w:pPr>
                  <w:r>
                    <w:rPr>
                      <w:rFonts w:hint="eastAsia" w:hAnsi="宋体"/>
                      <w:color w:val="auto"/>
                      <w:szCs w:val="21"/>
                    </w:rPr>
                    <w:t>拟建路径优</w:t>
                  </w:r>
                </w:p>
              </w:tc>
            </w:tr>
            <w:tr w14:paraId="71AEF5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659" w:type="dxa"/>
                  <w:vAlign w:val="center"/>
                </w:tcPr>
                <w:p w14:paraId="318F5865">
                  <w:pPr>
                    <w:autoSpaceDN w:val="0"/>
                    <w:snapToGrid w:val="0"/>
                    <w:jc w:val="center"/>
                    <w:rPr>
                      <w:rFonts w:hAnsi="宋体"/>
                      <w:color w:val="auto"/>
                      <w:szCs w:val="21"/>
                    </w:rPr>
                  </w:pPr>
                  <w:r>
                    <w:rPr>
                      <w:rFonts w:hint="eastAsia" w:hAnsi="宋体"/>
                      <w:color w:val="auto"/>
                      <w:szCs w:val="21"/>
                    </w:rPr>
                    <w:t>3</w:t>
                  </w:r>
                </w:p>
              </w:tc>
              <w:tc>
                <w:tcPr>
                  <w:tcW w:w="1467" w:type="dxa"/>
                  <w:vAlign w:val="center"/>
                </w:tcPr>
                <w:p w14:paraId="6E32BBA6">
                  <w:pPr>
                    <w:autoSpaceDN w:val="0"/>
                    <w:snapToGrid w:val="0"/>
                    <w:jc w:val="center"/>
                    <w:rPr>
                      <w:rFonts w:hAnsi="宋体"/>
                      <w:color w:val="auto"/>
                      <w:szCs w:val="21"/>
                    </w:rPr>
                  </w:pPr>
                  <w:r>
                    <w:rPr>
                      <w:rFonts w:hint="eastAsia" w:hAnsi="宋体"/>
                      <w:color w:val="auto"/>
                      <w:szCs w:val="21"/>
                    </w:rPr>
                    <w:t>民房分布情况</w:t>
                  </w:r>
                </w:p>
              </w:tc>
              <w:tc>
                <w:tcPr>
                  <w:tcW w:w="1574" w:type="dxa"/>
                  <w:vAlign w:val="center"/>
                </w:tcPr>
                <w:p w14:paraId="2615FF46">
                  <w:pPr>
                    <w:autoSpaceDN w:val="0"/>
                    <w:snapToGrid w:val="0"/>
                    <w:jc w:val="center"/>
                    <w:rPr>
                      <w:rFonts w:hAnsi="宋体"/>
                      <w:color w:val="auto"/>
                      <w:szCs w:val="21"/>
                    </w:rPr>
                  </w:pPr>
                  <w:r>
                    <w:rPr>
                      <w:rFonts w:hint="eastAsia" w:hAnsi="宋体"/>
                      <w:color w:val="auto"/>
                      <w:szCs w:val="21"/>
                    </w:rPr>
                    <w:t>无跨越</w:t>
                  </w:r>
                </w:p>
              </w:tc>
              <w:tc>
                <w:tcPr>
                  <w:tcW w:w="1746" w:type="dxa"/>
                  <w:vAlign w:val="center"/>
                </w:tcPr>
                <w:p w14:paraId="7807A46E">
                  <w:pPr>
                    <w:autoSpaceDN w:val="0"/>
                    <w:snapToGrid w:val="0"/>
                    <w:jc w:val="center"/>
                    <w:rPr>
                      <w:rFonts w:hAnsi="宋体"/>
                      <w:color w:val="auto"/>
                      <w:szCs w:val="21"/>
                    </w:rPr>
                  </w:pPr>
                  <w:r>
                    <w:rPr>
                      <w:rFonts w:hint="eastAsia" w:hAnsi="宋体"/>
                      <w:color w:val="auto"/>
                      <w:szCs w:val="21"/>
                    </w:rPr>
                    <w:t>无跨越</w:t>
                  </w:r>
                </w:p>
              </w:tc>
              <w:tc>
                <w:tcPr>
                  <w:tcW w:w="1580" w:type="dxa"/>
                  <w:vAlign w:val="center"/>
                </w:tcPr>
                <w:p w14:paraId="02AA2E12">
                  <w:pPr>
                    <w:autoSpaceDN w:val="0"/>
                    <w:snapToGrid w:val="0"/>
                    <w:jc w:val="center"/>
                    <w:rPr>
                      <w:rFonts w:hAnsi="宋体"/>
                      <w:color w:val="auto"/>
                      <w:szCs w:val="21"/>
                    </w:rPr>
                  </w:pPr>
                  <w:r>
                    <w:rPr>
                      <w:rFonts w:hint="eastAsia" w:hAnsi="宋体"/>
                      <w:color w:val="auto"/>
                      <w:szCs w:val="21"/>
                    </w:rPr>
                    <w:t>沿线密集分布居民用房，跨越民房25处</w:t>
                  </w:r>
                </w:p>
              </w:tc>
              <w:tc>
                <w:tcPr>
                  <w:tcW w:w="1111" w:type="dxa"/>
                  <w:vAlign w:val="center"/>
                </w:tcPr>
                <w:p w14:paraId="6D24F615">
                  <w:pPr>
                    <w:autoSpaceDN w:val="0"/>
                    <w:snapToGrid w:val="0"/>
                    <w:jc w:val="center"/>
                    <w:rPr>
                      <w:rFonts w:hAnsi="宋体"/>
                      <w:color w:val="auto"/>
                      <w:szCs w:val="21"/>
                    </w:rPr>
                  </w:pPr>
                  <w:r>
                    <w:rPr>
                      <w:rFonts w:hint="eastAsia" w:hAnsi="宋体"/>
                      <w:color w:val="auto"/>
                      <w:szCs w:val="21"/>
                    </w:rPr>
                    <w:t>拟建路径和比选路径1均优</w:t>
                  </w:r>
                </w:p>
              </w:tc>
            </w:tr>
            <w:tr w14:paraId="0B0F0E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659" w:type="dxa"/>
                  <w:vAlign w:val="center"/>
                </w:tcPr>
                <w:p w14:paraId="17548F29">
                  <w:pPr>
                    <w:autoSpaceDN w:val="0"/>
                    <w:snapToGrid w:val="0"/>
                    <w:jc w:val="center"/>
                    <w:rPr>
                      <w:rFonts w:hAnsi="宋体"/>
                      <w:color w:val="auto"/>
                      <w:szCs w:val="21"/>
                    </w:rPr>
                  </w:pPr>
                  <w:r>
                    <w:rPr>
                      <w:rFonts w:hint="eastAsia" w:hAnsi="宋体"/>
                      <w:color w:val="auto"/>
                      <w:szCs w:val="21"/>
                    </w:rPr>
                    <w:t>4</w:t>
                  </w:r>
                </w:p>
              </w:tc>
              <w:tc>
                <w:tcPr>
                  <w:tcW w:w="1467" w:type="dxa"/>
                  <w:vAlign w:val="center"/>
                </w:tcPr>
                <w:p w14:paraId="41496A8E">
                  <w:pPr>
                    <w:autoSpaceDN w:val="0"/>
                    <w:snapToGrid w:val="0"/>
                    <w:jc w:val="center"/>
                    <w:rPr>
                      <w:rFonts w:hAnsi="宋体"/>
                      <w:color w:val="auto"/>
                      <w:szCs w:val="21"/>
                    </w:rPr>
                  </w:pPr>
                  <w:r>
                    <w:rPr>
                      <w:rFonts w:hint="eastAsia" w:hAnsi="宋体"/>
                      <w:color w:val="auto"/>
                      <w:szCs w:val="21"/>
                    </w:rPr>
                    <w:t>与风电场风机区位置关系</w:t>
                  </w:r>
                </w:p>
              </w:tc>
              <w:tc>
                <w:tcPr>
                  <w:tcW w:w="1574" w:type="dxa"/>
                  <w:vAlign w:val="center"/>
                </w:tcPr>
                <w:p w14:paraId="741B8720">
                  <w:pPr>
                    <w:autoSpaceDN w:val="0"/>
                    <w:snapToGrid w:val="0"/>
                    <w:jc w:val="center"/>
                    <w:rPr>
                      <w:rFonts w:hAnsi="宋体"/>
                      <w:color w:val="auto"/>
                      <w:szCs w:val="21"/>
                    </w:rPr>
                  </w:pPr>
                  <w:r>
                    <w:rPr>
                      <w:rFonts w:hint="eastAsia" w:hAnsi="宋体"/>
                      <w:color w:val="auto"/>
                      <w:szCs w:val="21"/>
                    </w:rPr>
                    <w:t>不穿越</w:t>
                  </w:r>
                </w:p>
              </w:tc>
              <w:tc>
                <w:tcPr>
                  <w:tcW w:w="1746" w:type="dxa"/>
                  <w:vAlign w:val="center"/>
                </w:tcPr>
                <w:p w14:paraId="54D29FC4">
                  <w:pPr>
                    <w:autoSpaceDN w:val="0"/>
                    <w:snapToGrid w:val="0"/>
                    <w:jc w:val="center"/>
                    <w:rPr>
                      <w:rFonts w:hAnsi="宋体"/>
                      <w:color w:val="auto"/>
                      <w:szCs w:val="21"/>
                    </w:rPr>
                  </w:pPr>
                  <w:r>
                    <w:rPr>
                      <w:rFonts w:hint="eastAsia" w:hAnsi="宋体"/>
                      <w:color w:val="auto"/>
                      <w:szCs w:val="21"/>
                    </w:rPr>
                    <w:t>穿越了风电场风机安全防范区</w:t>
                  </w:r>
                </w:p>
              </w:tc>
              <w:tc>
                <w:tcPr>
                  <w:tcW w:w="1580" w:type="dxa"/>
                  <w:vAlign w:val="center"/>
                </w:tcPr>
                <w:p w14:paraId="2C0BCCE4">
                  <w:pPr>
                    <w:autoSpaceDN w:val="0"/>
                    <w:snapToGrid w:val="0"/>
                    <w:jc w:val="center"/>
                    <w:rPr>
                      <w:rFonts w:hAnsi="宋体"/>
                      <w:color w:val="auto"/>
                      <w:szCs w:val="21"/>
                    </w:rPr>
                  </w:pPr>
                  <w:r>
                    <w:rPr>
                      <w:rFonts w:hint="eastAsia" w:hAnsi="宋体"/>
                      <w:color w:val="auto"/>
                      <w:szCs w:val="21"/>
                    </w:rPr>
                    <w:t>不穿越</w:t>
                  </w:r>
                </w:p>
              </w:tc>
              <w:tc>
                <w:tcPr>
                  <w:tcW w:w="1111" w:type="dxa"/>
                  <w:vAlign w:val="center"/>
                </w:tcPr>
                <w:p w14:paraId="26ABCE98">
                  <w:pPr>
                    <w:autoSpaceDN w:val="0"/>
                    <w:snapToGrid w:val="0"/>
                    <w:jc w:val="center"/>
                    <w:rPr>
                      <w:rFonts w:hAnsi="宋体"/>
                      <w:color w:val="auto"/>
                      <w:szCs w:val="21"/>
                    </w:rPr>
                  </w:pPr>
                  <w:r>
                    <w:rPr>
                      <w:rFonts w:hint="eastAsia" w:hAnsi="宋体"/>
                      <w:color w:val="auto"/>
                      <w:szCs w:val="21"/>
                    </w:rPr>
                    <w:t>拟建路径和比选路径2均优</w:t>
                  </w:r>
                </w:p>
              </w:tc>
            </w:tr>
            <w:tr w14:paraId="15E827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659" w:type="dxa"/>
                  <w:vAlign w:val="center"/>
                </w:tcPr>
                <w:p w14:paraId="45D666CB">
                  <w:pPr>
                    <w:autoSpaceDN w:val="0"/>
                    <w:snapToGrid w:val="0"/>
                    <w:jc w:val="center"/>
                    <w:rPr>
                      <w:rFonts w:hAnsi="宋体"/>
                      <w:color w:val="auto"/>
                      <w:szCs w:val="21"/>
                    </w:rPr>
                  </w:pPr>
                  <w:r>
                    <w:rPr>
                      <w:rFonts w:hint="eastAsia" w:hAnsi="宋体"/>
                      <w:color w:val="auto"/>
                      <w:szCs w:val="21"/>
                    </w:rPr>
                    <w:t>5</w:t>
                  </w:r>
                </w:p>
              </w:tc>
              <w:tc>
                <w:tcPr>
                  <w:tcW w:w="1467" w:type="dxa"/>
                  <w:vAlign w:val="center"/>
                </w:tcPr>
                <w:p w14:paraId="631598E2">
                  <w:pPr>
                    <w:autoSpaceDN w:val="0"/>
                    <w:snapToGrid w:val="0"/>
                    <w:jc w:val="center"/>
                    <w:rPr>
                      <w:rFonts w:hAnsi="宋体"/>
                      <w:color w:val="auto"/>
                      <w:szCs w:val="21"/>
                    </w:rPr>
                  </w:pPr>
                  <w:r>
                    <w:rPr>
                      <w:rFonts w:hint="eastAsia" w:hAnsi="宋体"/>
                      <w:color w:val="auto"/>
                      <w:szCs w:val="21"/>
                    </w:rPr>
                    <w:t>沿线高程</w:t>
                  </w:r>
                </w:p>
              </w:tc>
              <w:tc>
                <w:tcPr>
                  <w:tcW w:w="1574" w:type="dxa"/>
                  <w:vAlign w:val="center"/>
                </w:tcPr>
                <w:p w14:paraId="5FE4EF89">
                  <w:pPr>
                    <w:autoSpaceDN w:val="0"/>
                    <w:snapToGrid w:val="0"/>
                    <w:jc w:val="center"/>
                    <w:rPr>
                      <w:rFonts w:hAnsi="宋体"/>
                      <w:color w:val="auto"/>
                      <w:szCs w:val="21"/>
                    </w:rPr>
                  </w:pPr>
                  <w:r>
                    <w:rPr>
                      <w:rFonts w:hint="eastAsia"/>
                      <w:color w:val="auto"/>
                      <w:sz w:val="22"/>
                      <w:szCs w:val="22"/>
                    </w:rPr>
                    <w:t>1100</w:t>
                  </w:r>
                  <w:r>
                    <w:rPr>
                      <w:color w:val="auto"/>
                      <w:sz w:val="22"/>
                      <w:szCs w:val="22"/>
                    </w:rPr>
                    <w:t>-</w:t>
                  </w:r>
                  <w:r>
                    <w:rPr>
                      <w:rFonts w:hint="eastAsia"/>
                      <w:color w:val="auto"/>
                      <w:sz w:val="22"/>
                      <w:szCs w:val="22"/>
                    </w:rPr>
                    <w:t>16</w:t>
                  </w:r>
                  <w:r>
                    <w:rPr>
                      <w:color w:val="auto"/>
                      <w:sz w:val="22"/>
                      <w:szCs w:val="22"/>
                    </w:rPr>
                    <w:t>00m</w:t>
                  </w:r>
                </w:p>
              </w:tc>
              <w:tc>
                <w:tcPr>
                  <w:tcW w:w="1746" w:type="dxa"/>
                  <w:vAlign w:val="center"/>
                </w:tcPr>
                <w:p w14:paraId="29A7159E">
                  <w:pPr>
                    <w:autoSpaceDN w:val="0"/>
                    <w:snapToGrid w:val="0"/>
                    <w:jc w:val="center"/>
                    <w:rPr>
                      <w:rFonts w:hAnsi="宋体"/>
                      <w:color w:val="auto"/>
                      <w:szCs w:val="21"/>
                    </w:rPr>
                  </w:pPr>
                  <w:r>
                    <w:rPr>
                      <w:rFonts w:hint="eastAsia" w:hAnsi="宋体"/>
                      <w:color w:val="auto"/>
                      <w:szCs w:val="21"/>
                    </w:rPr>
                    <w:t>1200-1750m</w:t>
                  </w:r>
                </w:p>
              </w:tc>
              <w:tc>
                <w:tcPr>
                  <w:tcW w:w="1580" w:type="dxa"/>
                  <w:vAlign w:val="center"/>
                </w:tcPr>
                <w:p w14:paraId="3B594837">
                  <w:pPr>
                    <w:autoSpaceDN w:val="0"/>
                    <w:snapToGrid w:val="0"/>
                    <w:jc w:val="center"/>
                    <w:rPr>
                      <w:rFonts w:hAnsi="宋体"/>
                      <w:color w:val="auto"/>
                      <w:szCs w:val="21"/>
                    </w:rPr>
                  </w:pPr>
                  <w:r>
                    <w:rPr>
                      <w:rFonts w:hint="eastAsia" w:hAnsi="宋体"/>
                      <w:color w:val="auto"/>
                      <w:szCs w:val="21"/>
                    </w:rPr>
                    <w:t>700-900m</w:t>
                  </w:r>
                </w:p>
              </w:tc>
              <w:tc>
                <w:tcPr>
                  <w:tcW w:w="1111" w:type="dxa"/>
                  <w:vAlign w:val="center"/>
                </w:tcPr>
                <w:p w14:paraId="20C1B762">
                  <w:pPr>
                    <w:autoSpaceDN w:val="0"/>
                    <w:snapToGrid w:val="0"/>
                    <w:jc w:val="center"/>
                    <w:rPr>
                      <w:rFonts w:hAnsi="宋体"/>
                      <w:color w:val="auto"/>
                      <w:szCs w:val="21"/>
                    </w:rPr>
                  </w:pPr>
                  <w:r>
                    <w:rPr>
                      <w:rFonts w:hint="eastAsia" w:hAnsi="宋体"/>
                      <w:color w:val="auto"/>
                      <w:szCs w:val="21"/>
                    </w:rPr>
                    <w:t>比选路径2优</w:t>
                  </w:r>
                </w:p>
              </w:tc>
            </w:tr>
            <w:tr w14:paraId="6AA8CC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659" w:type="dxa"/>
                  <w:vAlign w:val="center"/>
                </w:tcPr>
                <w:p w14:paraId="2CC851AF">
                  <w:pPr>
                    <w:autoSpaceDN w:val="0"/>
                    <w:snapToGrid w:val="0"/>
                    <w:jc w:val="center"/>
                    <w:rPr>
                      <w:rFonts w:hAnsi="宋体"/>
                      <w:color w:val="auto"/>
                      <w:szCs w:val="21"/>
                    </w:rPr>
                  </w:pPr>
                  <w:r>
                    <w:rPr>
                      <w:rFonts w:hint="eastAsia" w:hAnsi="宋体"/>
                      <w:color w:val="auto"/>
                      <w:szCs w:val="21"/>
                    </w:rPr>
                    <w:t>6</w:t>
                  </w:r>
                </w:p>
              </w:tc>
              <w:tc>
                <w:tcPr>
                  <w:tcW w:w="1467" w:type="dxa"/>
                  <w:vAlign w:val="center"/>
                </w:tcPr>
                <w:p w14:paraId="4B75F8CA">
                  <w:pPr>
                    <w:autoSpaceDN w:val="0"/>
                    <w:snapToGrid w:val="0"/>
                    <w:jc w:val="center"/>
                    <w:rPr>
                      <w:rFonts w:hAnsi="宋体"/>
                      <w:color w:val="auto"/>
                      <w:szCs w:val="21"/>
                    </w:rPr>
                  </w:pPr>
                  <w:r>
                    <w:rPr>
                      <w:rFonts w:hint="eastAsia" w:hAnsi="宋体"/>
                      <w:color w:val="auto"/>
                      <w:szCs w:val="21"/>
                    </w:rPr>
                    <w:t>与重冰区位置</w:t>
                  </w:r>
                </w:p>
              </w:tc>
              <w:tc>
                <w:tcPr>
                  <w:tcW w:w="1574" w:type="dxa"/>
                  <w:vAlign w:val="center"/>
                </w:tcPr>
                <w:p w14:paraId="78DCDA96">
                  <w:pPr>
                    <w:autoSpaceDN w:val="0"/>
                    <w:snapToGrid w:val="0"/>
                    <w:jc w:val="center"/>
                    <w:rPr>
                      <w:rFonts w:hAnsi="宋体"/>
                      <w:color w:val="auto"/>
                      <w:szCs w:val="21"/>
                    </w:rPr>
                  </w:pPr>
                  <w:r>
                    <w:rPr>
                      <w:rFonts w:hint="eastAsia" w:hAnsi="宋体"/>
                      <w:color w:val="auto"/>
                      <w:szCs w:val="21"/>
                    </w:rPr>
                    <w:t>不在重冰区</w:t>
                  </w:r>
                </w:p>
              </w:tc>
              <w:tc>
                <w:tcPr>
                  <w:tcW w:w="1746" w:type="dxa"/>
                  <w:vAlign w:val="center"/>
                </w:tcPr>
                <w:p w14:paraId="05E9F043">
                  <w:pPr>
                    <w:autoSpaceDN w:val="0"/>
                    <w:snapToGrid w:val="0"/>
                    <w:jc w:val="center"/>
                    <w:rPr>
                      <w:rFonts w:hAnsi="宋体"/>
                      <w:color w:val="auto"/>
                      <w:szCs w:val="21"/>
                    </w:rPr>
                  </w:pPr>
                  <w:r>
                    <w:rPr>
                      <w:rFonts w:hint="eastAsia" w:hAnsi="宋体"/>
                      <w:color w:val="auto"/>
                      <w:szCs w:val="21"/>
                    </w:rPr>
                    <w:t>部分路段位于重冰区</w:t>
                  </w:r>
                </w:p>
              </w:tc>
              <w:tc>
                <w:tcPr>
                  <w:tcW w:w="1580" w:type="dxa"/>
                  <w:vAlign w:val="center"/>
                </w:tcPr>
                <w:p w14:paraId="2700E6B6">
                  <w:pPr>
                    <w:autoSpaceDN w:val="0"/>
                    <w:snapToGrid w:val="0"/>
                    <w:jc w:val="center"/>
                    <w:rPr>
                      <w:rFonts w:hAnsi="宋体"/>
                      <w:color w:val="auto"/>
                      <w:szCs w:val="21"/>
                    </w:rPr>
                  </w:pPr>
                  <w:r>
                    <w:rPr>
                      <w:rFonts w:hint="eastAsia" w:hAnsi="宋体"/>
                      <w:color w:val="auto"/>
                      <w:szCs w:val="21"/>
                    </w:rPr>
                    <w:t>不在重冰区</w:t>
                  </w:r>
                </w:p>
              </w:tc>
              <w:tc>
                <w:tcPr>
                  <w:tcW w:w="1111" w:type="dxa"/>
                  <w:vAlign w:val="center"/>
                </w:tcPr>
                <w:p w14:paraId="6B5B372A">
                  <w:pPr>
                    <w:autoSpaceDN w:val="0"/>
                    <w:snapToGrid w:val="0"/>
                    <w:jc w:val="center"/>
                    <w:rPr>
                      <w:rFonts w:hAnsi="宋体"/>
                      <w:color w:val="auto"/>
                      <w:szCs w:val="21"/>
                    </w:rPr>
                  </w:pPr>
                  <w:r>
                    <w:rPr>
                      <w:rFonts w:hint="eastAsia" w:hAnsi="宋体"/>
                      <w:color w:val="auto"/>
                      <w:szCs w:val="21"/>
                    </w:rPr>
                    <w:t>拟建路径和比选路径2均优</w:t>
                  </w:r>
                </w:p>
              </w:tc>
            </w:tr>
            <w:tr w14:paraId="40E6AC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659" w:type="dxa"/>
                  <w:vAlign w:val="center"/>
                </w:tcPr>
                <w:p w14:paraId="021B0FA5">
                  <w:pPr>
                    <w:autoSpaceDN w:val="0"/>
                    <w:snapToGrid w:val="0"/>
                    <w:jc w:val="center"/>
                    <w:rPr>
                      <w:rFonts w:hAnsi="宋体"/>
                      <w:color w:val="auto"/>
                      <w:szCs w:val="21"/>
                    </w:rPr>
                  </w:pPr>
                  <w:r>
                    <w:rPr>
                      <w:rFonts w:hint="eastAsia" w:hAnsi="宋体"/>
                      <w:color w:val="auto"/>
                      <w:szCs w:val="21"/>
                    </w:rPr>
                    <w:t>7</w:t>
                  </w:r>
                </w:p>
              </w:tc>
              <w:tc>
                <w:tcPr>
                  <w:tcW w:w="1467" w:type="dxa"/>
                  <w:vAlign w:val="center"/>
                </w:tcPr>
                <w:p w14:paraId="06D56FB1">
                  <w:pPr>
                    <w:autoSpaceDN w:val="0"/>
                    <w:snapToGrid w:val="0"/>
                    <w:jc w:val="center"/>
                    <w:rPr>
                      <w:rFonts w:hAnsi="宋体"/>
                      <w:color w:val="auto"/>
                      <w:szCs w:val="21"/>
                    </w:rPr>
                  </w:pPr>
                  <w:r>
                    <w:rPr>
                      <w:rFonts w:hint="eastAsia" w:hAnsi="宋体"/>
                      <w:color w:val="auto"/>
                      <w:szCs w:val="21"/>
                    </w:rPr>
                    <w:t>与地质不良区位置关系</w:t>
                  </w:r>
                </w:p>
              </w:tc>
              <w:tc>
                <w:tcPr>
                  <w:tcW w:w="1574" w:type="dxa"/>
                  <w:vAlign w:val="center"/>
                </w:tcPr>
                <w:p w14:paraId="3AA60A1F">
                  <w:pPr>
                    <w:autoSpaceDN w:val="0"/>
                    <w:snapToGrid w:val="0"/>
                    <w:jc w:val="center"/>
                    <w:rPr>
                      <w:rFonts w:hAnsi="宋体"/>
                      <w:color w:val="auto"/>
                      <w:szCs w:val="21"/>
                    </w:rPr>
                  </w:pPr>
                  <w:r>
                    <w:rPr>
                      <w:rFonts w:hint="eastAsia" w:hAnsi="宋体"/>
                      <w:color w:val="auto"/>
                      <w:szCs w:val="21"/>
                    </w:rPr>
                    <w:t>不在地质不良区</w:t>
                  </w:r>
                </w:p>
              </w:tc>
              <w:tc>
                <w:tcPr>
                  <w:tcW w:w="1746" w:type="dxa"/>
                  <w:vAlign w:val="center"/>
                </w:tcPr>
                <w:p w14:paraId="7FB78315">
                  <w:pPr>
                    <w:autoSpaceDN w:val="0"/>
                    <w:snapToGrid w:val="0"/>
                    <w:jc w:val="center"/>
                    <w:rPr>
                      <w:rFonts w:hAnsi="宋体"/>
                      <w:color w:val="auto"/>
                      <w:szCs w:val="21"/>
                    </w:rPr>
                  </w:pPr>
                  <w:r>
                    <w:rPr>
                      <w:rFonts w:hint="eastAsia" w:hAnsi="宋体"/>
                      <w:color w:val="auto"/>
                      <w:szCs w:val="21"/>
                    </w:rPr>
                    <w:t>部分路段位于地质不良区（滑坡等）</w:t>
                  </w:r>
                </w:p>
              </w:tc>
              <w:tc>
                <w:tcPr>
                  <w:tcW w:w="1580" w:type="dxa"/>
                  <w:vAlign w:val="center"/>
                </w:tcPr>
                <w:p w14:paraId="1CF246A6">
                  <w:pPr>
                    <w:autoSpaceDN w:val="0"/>
                    <w:snapToGrid w:val="0"/>
                    <w:jc w:val="center"/>
                    <w:rPr>
                      <w:rFonts w:hAnsi="宋体"/>
                      <w:color w:val="auto"/>
                      <w:szCs w:val="21"/>
                    </w:rPr>
                  </w:pPr>
                  <w:r>
                    <w:rPr>
                      <w:rFonts w:hint="eastAsia" w:hAnsi="宋体"/>
                      <w:color w:val="auto"/>
                      <w:szCs w:val="21"/>
                    </w:rPr>
                    <w:t>不在地质不良区</w:t>
                  </w:r>
                </w:p>
              </w:tc>
              <w:tc>
                <w:tcPr>
                  <w:tcW w:w="1111" w:type="dxa"/>
                  <w:vAlign w:val="center"/>
                </w:tcPr>
                <w:p w14:paraId="6C4189D3">
                  <w:pPr>
                    <w:autoSpaceDN w:val="0"/>
                    <w:snapToGrid w:val="0"/>
                    <w:jc w:val="center"/>
                    <w:rPr>
                      <w:rFonts w:hAnsi="宋体"/>
                      <w:color w:val="auto"/>
                      <w:szCs w:val="21"/>
                    </w:rPr>
                  </w:pPr>
                  <w:r>
                    <w:rPr>
                      <w:rFonts w:hint="eastAsia" w:hAnsi="宋体"/>
                      <w:color w:val="auto"/>
                      <w:szCs w:val="21"/>
                    </w:rPr>
                    <w:t>拟建路径和比选路径2均优</w:t>
                  </w:r>
                </w:p>
              </w:tc>
            </w:tr>
            <w:tr w14:paraId="3F86B8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659" w:type="dxa"/>
                  <w:vAlign w:val="center"/>
                </w:tcPr>
                <w:p w14:paraId="3AB25D9C">
                  <w:pPr>
                    <w:autoSpaceDN w:val="0"/>
                    <w:snapToGrid w:val="0"/>
                    <w:jc w:val="center"/>
                    <w:rPr>
                      <w:rFonts w:hAnsi="宋体"/>
                      <w:color w:val="auto"/>
                      <w:szCs w:val="21"/>
                    </w:rPr>
                  </w:pPr>
                  <w:r>
                    <w:rPr>
                      <w:rFonts w:hint="eastAsia" w:hAnsi="宋体"/>
                      <w:color w:val="auto"/>
                      <w:szCs w:val="21"/>
                    </w:rPr>
                    <w:t>8</w:t>
                  </w:r>
                </w:p>
              </w:tc>
              <w:tc>
                <w:tcPr>
                  <w:tcW w:w="1467" w:type="dxa"/>
                  <w:vAlign w:val="center"/>
                </w:tcPr>
                <w:p w14:paraId="335A7318">
                  <w:pPr>
                    <w:autoSpaceDN w:val="0"/>
                    <w:snapToGrid w:val="0"/>
                    <w:jc w:val="center"/>
                    <w:rPr>
                      <w:rFonts w:hAnsi="宋体"/>
                      <w:color w:val="auto"/>
                      <w:szCs w:val="21"/>
                    </w:rPr>
                  </w:pPr>
                  <w:r>
                    <w:rPr>
                      <w:rFonts w:hint="eastAsia" w:hAnsi="宋体"/>
                      <w:color w:val="auto"/>
                      <w:szCs w:val="21"/>
                    </w:rPr>
                    <w:t>线路曲折系数</w:t>
                  </w:r>
                </w:p>
              </w:tc>
              <w:tc>
                <w:tcPr>
                  <w:tcW w:w="1574" w:type="dxa"/>
                  <w:vAlign w:val="center"/>
                </w:tcPr>
                <w:p w14:paraId="69ECCEF1">
                  <w:pPr>
                    <w:autoSpaceDN w:val="0"/>
                    <w:snapToGrid w:val="0"/>
                    <w:jc w:val="center"/>
                    <w:rPr>
                      <w:rFonts w:hAnsi="宋体"/>
                      <w:color w:val="auto"/>
                      <w:szCs w:val="21"/>
                    </w:rPr>
                  </w:pPr>
                  <w:r>
                    <w:rPr>
                      <w:rFonts w:hint="eastAsia" w:hAnsi="宋体"/>
                      <w:color w:val="auto"/>
                      <w:szCs w:val="21"/>
                    </w:rPr>
                    <w:t>1.04</w:t>
                  </w:r>
                </w:p>
              </w:tc>
              <w:tc>
                <w:tcPr>
                  <w:tcW w:w="1746" w:type="dxa"/>
                  <w:vAlign w:val="center"/>
                </w:tcPr>
                <w:p w14:paraId="48E6A137">
                  <w:pPr>
                    <w:autoSpaceDN w:val="0"/>
                    <w:snapToGrid w:val="0"/>
                    <w:jc w:val="center"/>
                    <w:rPr>
                      <w:rFonts w:hAnsi="宋体"/>
                      <w:color w:val="auto"/>
                      <w:szCs w:val="21"/>
                    </w:rPr>
                  </w:pPr>
                  <w:r>
                    <w:rPr>
                      <w:rFonts w:hint="eastAsia" w:hAnsi="宋体"/>
                      <w:color w:val="auto"/>
                      <w:szCs w:val="21"/>
                    </w:rPr>
                    <w:t>2.01</w:t>
                  </w:r>
                </w:p>
              </w:tc>
              <w:tc>
                <w:tcPr>
                  <w:tcW w:w="1580" w:type="dxa"/>
                  <w:vAlign w:val="center"/>
                </w:tcPr>
                <w:p w14:paraId="22B195B1">
                  <w:pPr>
                    <w:autoSpaceDN w:val="0"/>
                    <w:snapToGrid w:val="0"/>
                    <w:jc w:val="center"/>
                    <w:rPr>
                      <w:rFonts w:hAnsi="宋体"/>
                      <w:color w:val="auto"/>
                      <w:szCs w:val="21"/>
                    </w:rPr>
                  </w:pPr>
                  <w:r>
                    <w:rPr>
                      <w:rFonts w:hint="eastAsia" w:hAnsi="宋体"/>
                      <w:color w:val="auto"/>
                      <w:szCs w:val="21"/>
                    </w:rPr>
                    <w:t>2.12</w:t>
                  </w:r>
                </w:p>
              </w:tc>
              <w:tc>
                <w:tcPr>
                  <w:tcW w:w="1111" w:type="dxa"/>
                  <w:vAlign w:val="center"/>
                </w:tcPr>
                <w:p w14:paraId="2B9B1E6F">
                  <w:pPr>
                    <w:autoSpaceDN w:val="0"/>
                    <w:snapToGrid w:val="0"/>
                    <w:jc w:val="center"/>
                    <w:rPr>
                      <w:rFonts w:hAnsi="宋体"/>
                      <w:color w:val="auto"/>
                      <w:szCs w:val="21"/>
                    </w:rPr>
                  </w:pPr>
                  <w:r>
                    <w:rPr>
                      <w:rFonts w:hint="eastAsia" w:hAnsi="宋体"/>
                      <w:color w:val="auto"/>
                      <w:szCs w:val="21"/>
                    </w:rPr>
                    <w:t>拟建路径优</w:t>
                  </w:r>
                </w:p>
              </w:tc>
            </w:tr>
            <w:tr w14:paraId="6900FA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8137" w:type="dxa"/>
                  <w:gridSpan w:val="6"/>
                  <w:vAlign w:val="center"/>
                </w:tcPr>
                <w:p w14:paraId="7BF35227">
                  <w:pPr>
                    <w:autoSpaceDN w:val="0"/>
                    <w:snapToGrid w:val="0"/>
                    <w:rPr>
                      <w:rFonts w:hAnsi="宋体"/>
                      <w:color w:val="auto"/>
                      <w:szCs w:val="21"/>
                    </w:rPr>
                  </w:pPr>
                  <w:r>
                    <w:rPr>
                      <w:rFonts w:hint="eastAsia" w:hAnsi="宋体"/>
                      <w:color w:val="auto"/>
                      <w:szCs w:val="21"/>
                    </w:rPr>
                    <w:t>奉节县规划和自然资源局、奉节县林业局等相关部门均同意拟建路径方案。</w:t>
                  </w:r>
                </w:p>
              </w:tc>
            </w:tr>
          </w:tbl>
          <w:p w14:paraId="10AE6972">
            <w:pPr>
              <w:adjustRightInd w:val="0"/>
              <w:snapToGrid w:val="0"/>
              <w:spacing w:line="460" w:lineRule="exact"/>
              <w:ind w:firstLine="420" w:firstLineChars="200"/>
              <w:rPr>
                <w:bCs/>
                <w:color w:val="auto"/>
                <w:sz w:val="26"/>
                <w:szCs w:val="26"/>
              </w:rPr>
            </w:pPr>
            <w:r>
              <w:rPr>
                <w:color w:val="auto"/>
              </w:rPr>
              <w:drawing>
                <wp:anchor distT="0" distB="0" distL="114300" distR="114300" simplePos="0" relativeHeight="251709440" behindDoc="0" locked="0" layoutInCell="1" allowOverlap="1">
                  <wp:simplePos x="0" y="0"/>
                  <wp:positionH relativeFrom="column">
                    <wp:posOffset>28575</wp:posOffset>
                  </wp:positionH>
                  <wp:positionV relativeFrom="paragraph">
                    <wp:posOffset>67310</wp:posOffset>
                  </wp:positionV>
                  <wp:extent cx="5169535" cy="2859405"/>
                  <wp:effectExtent l="9525" t="9525" r="21590" b="2667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5"/>
                          <a:stretch>
                            <a:fillRect/>
                          </a:stretch>
                        </pic:blipFill>
                        <pic:spPr>
                          <a:xfrm>
                            <a:off x="0" y="0"/>
                            <a:ext cx="5169535" cy="2859405"/>
                          </a:xfrm>
                          <a:prstGeom prst="rect">
                            <a:avLst/>
                          </a:prstGeom>
                          <a:noFill/>
                          <a:ln>
                            <a:solidFill>
                              <a:schemeClr val="tx1"/>
                            </a:solidFill>
                          </a:ln>
                        </pic:spPr>
                      </pic:pic>
                    </a:graphicData>
                  </a:graphic>
                </wp:anchor>
              </w:drawing>
            </w:r>
          </w:p>
          <w:p w14:paraId="2B81412E">
            <w:pPr>
              <w:adjustRightInd w:val="0"/>
              <w:snapToGrid w:val="0"/>
              <w:spacing w:line="460" w:lineRule="exact"/>
              <w:ind w:firstLine="520" w:firstLineChars="200"/>
              <w:rPr>
                <w:bCs/>
                <w:color w:val="auto"/>
                <w:sz w:val="26"/>
                <w:szCs w:val="26"/>
              </w:rPr>
            </w:pPr>
          </w:p>
          <w:p w14:paraId="3E154ACB">
            <w:pPr>
              <w:adjustRightInd w:val="0"/>
              <w:snapToGrid w:val="0"/>
              <w:spacing w:line="460" w:lineRule="exact"/>
              <w:ind w:firstLine="520" w:firstLineChars="200"/>
              <w:rPr>
                <w:bCs/>
                <w:color w:val="auto"/>
                <w:sz w:val="26"/>
                <w:szCs w:val="26"/>
              </w:rPr>
            </w:pPr>
          </w:p>
          <w:p w14:paraId="3F2F11D0">
            <w:pPr>
              <w:adjustRightInd w:val="0"/>
              <w:snapToGrid w:val="0"/>
              <w:spacing w:line="460" w:lineRule="exact"/>
              <w:ind w:firstLine="520" w:firstLineChars="200"/>
              <w:rPr>
                <w:bCs/>
                <w:color w:val="auto"/>
                <w:sz w:val="26"/>
                <w:szCs w:val="26"/>
              </w:rPr>
            </w:pPr>
          </w:p>
          <w:p w14:paraId="5C897E39">
            <w:pPr>
              <w:adjustRightInd w:val="0"/>
              <w:snapToGrid w:val="0"/>
              <w:spacing w:line="460" w:lineRule="exact"/>
              <w:ind w:firstLine="520" w:firstLineChars="200"/>
              <w:rPr>
                <w:bCs/>
                <w:color w:val="auto"/>
                <w:sz w:val="26"/>
                <w:szCs w:val="26"/>
              </w:rPr>
            </w:pPr>
          </w:p>
          <w:p w14:paraId="5095762A">
            <w:pPr>
              <w:adjustRightInd w:val="0"/>
              <w:snapToGrid w:val="0"/>
              <w:spacing w:line="460" w:lineRule="exact"/>
              <w:ind w:firstLine="520" w:firstLineChars="200"/>
              <w:rPr>
                <w:bCs/>
                <w:color w:val="auto"/>
                <w:sz w:val="26"/>
                <w:szCs w:val="26"/>
              </w:rPr>
            </w:pPr>
          </w:p>
          <w:p w14:paraId="0C1336AC">
            <w:pPr>
              <w:adjustRightInd w:val="0"/>
              <w:snapToGrid w:val="0"/>
              <w:spacing w:line="460" w:lineRule="exact"/>
              <w:ind w:firstLine="520" w:firstLineChars="200"/>
              <w:rPr>
                <w:bCs/>
                <w:color w:val="auto"/>
                <w:sz w:val="26"/>
                <w:szCs w:val="26"/>
              </w:rPr>
            </w:pPr>
          </w:p>
          <w:p w14:paraId="31527092">
            <w:pPr>
              <w:adjustRightInd w:val="0"/>
              <w:snapToGrid w:val="0"/>
              <w:spacing w:line="460" w:lineRule="exact"/>
              <w:ind w:firstLine="520" w:firstLineChars="200"/>
              <w:rPr>
                <w:bCs/>
                <w:color w:val="auto"/>
                <w:sz w:val="26"/>
                <w:szCs w:val="26"/>
              </w:rPr>
            </w:pPr>
          </w:p>
          <w:p w14:paraId="7EB4D015">
            <w:pPr>
              <w:adjustRightInd w:val="0"/>
              <w:snapToGrid w:val="0"/>
              <w:spacing w:line="460" w:lineRule="exact"/>
              <w:ind w:firstLine="520" w:firstLineChars="200"/>
              <w:rPr>
                <w:bCs/>
                <w:color w:val="auto"/>
                <w:sz w:val="26"/>
                <w:szCs w:val="26"/>
              </w:rPr>
            </w:pPr>
          </w:p>
          <w:p w14:paraId="1CF72DD1">
            <w:pPr>
              <w:adjustRightInd w:val="0"/>
              <w:snapToGrid w:val="0"/>
              <w:spacing w:line="460" w:lineRule="exact"/>
              <w:ind w:firstLine="520" w:firstLineChars="200"/>
              <w:rPr>
                <w:bCs/>
                <w:color w:val="auto"/>
                <w:sz w:val="26"/>
                <w:szCs w:val="26"/>
              </w:rPr>
            </w:pPr>
          </w:p>
          <w:p w14:paraId="3C132A55">
            <w:pPr>
              <w:adjustRightInd w:val="0"/>
              <w:snapToGrid w:val="0"/>
              <w:spacing w:line="460" w:lineRule="exact"/>
              <w:jc w:val="center"/>
              <w:rPr>
                <w:bCs/>
                <w:color w:val="auto"/>
                <w:sz w:val="26"/>
                <w:szCs w:val="26"/>
              </w:rPr>
            </w:pPr>
            <w:r>
              <w:rPr>
                <w:rFonts w:hint="eastAsia"/>
                <w:bCs/>
                <w:color w:val="auto"/>
                <w:sz w:val="26"/>
                <w:szCs w:val="26"/>
              </w:rPr>
              <w:t>图4-1 拟建线路路径及比选路径与生态保护红线关系示意图</w:t>
            </w:r>
          </w:p>
          <w:p w14:paraId="18DF8DC3">
            <w:pPr>
              <w:adjustRightInd w:val="0"/>
              <w:snapToGrid w:val="0"/>
              <w:spacing w:line="460" w:lineRule="exact"/>
              <w:ind w:firstLine="520" w:firstLineChars="200"/>
              <w:rPr>
                <w:bCs/>
                <w:color w:val="auto"/>
                <w:sz w:val="26"/>
                <w:szCs w:val="26"/>
              </w:rPr>
            </w:pPr>
            <w:r>
              <w:rPr>
                <w:rFonts w:hint="eastAsia"/>
                <w:bCs/>
                <w:color w:val="auto"/>
                <w:sz w:val="26"/>
                <w:szCs w:val="26"/>
              </w:rPr>
              <w:t>根据表4-4可知：</w:t>
            </w:r>
          </w:p>
          <w:p w14:paraId="5865E62F">
            <w:pPr>
              <w:adjustRightInd w:val="0"/>
              <w:snapToGrid w:val="0"/>
              <w:spacing w:line="460" w:lineRule="exact"/>
              <w:ind w:firstLine="520" w:firstLineChars="200"/>
              <w:rPr>
                <w:bCs/>
                <w:color w:val="auto"/>
                <w:sz w:val="26"/>
                <w:szCs w:val="26"/>
              </w:rPr>
            </w:pPr>
            <w:r>
              <w:rPr>
                <w:rFonts w:hint="eastAsia"/>
                <w:bCs/>
                <w:color w:val="auto"/>
                <w:sz w:val="26"/>
                <w:szCs w:val="26"/>
              </w:rPr>
              <w:t>拟建路径、比选路径1和比选路径2均涉及生态保护红线，其中：</w:t>
            </w:r>
          </w:p>
          <w:p w14:paraId="24761AE7">
            <w:pPr>
              <w:adjustRightInd w:val="0"/>
              <w:snapToGrid w:val="0"/>
              <w:spacing w:line="460" w:lineRule="exact"/>
              <w:ind w:firstLine="520" w:firstLineChars="200"/>
              <w:rPr>
                <w:b/>
                <w:color w:val="auto"/>
                <w:sz w:val="26"/>
                <w:szCs w:val="26"/>
              </w:rPr>
            </w:pPr>
            <w:r>
              <w:rPr>
                <w:rFonts w:hint="eastAsia"/>
                <w:bCs/>
                <w:color w:val="auto"/>
                <w:sz w:val="26"/>
                <w:szCs w:val="26"/>
              </w:rPr>
              <w:t>比选路径1穿越生态保护红线路径长度约2.1km，线路林木砍伐及施工其他活动造成的生态环境影响相比拟建路径方案均较小，</w:t>
            </w:r>
            <w:r>
              <w:rPr>
                <w:rFonts w:hint="eastAsia"/>
                <w:b/>
                <w:color w:val="auto"/>
                <w:sz w:val="26"/>
                <w:szCs w:val="26"/>
              </w:rPr>
              <w:t>但穿越了风电场风机安全防范区、地质不良地区，存在明显安全问题，不满足电力安全设计规范要求。</w:t>
            </w:r>
          </w:p>
          <w:p w14:paraId="5321A905">
            <w:pPr>
              <w:adjustRightInd w:val="0"/>
              <w:snapToGrid w:val="0"/>
              <w:spacing w:line="460" w:lineRule="exact"/>
              <w:ind w:firstLine="520" w:firstLineChars="200"/>
              <w:rPr>
                <w:b/>
                <w:color w:val="auto"/>
                <w:sz w:val="26"/>
                <w:szCs w:val="26"/>
              </w:rPr>
            </w:pPr>
            <w:r>
              <w:rPr>
                <w:rFonts w:hint="eastAsia"/>
                <w:bCs/>
                <w:color w:val="auto"/>
                <w:sz w:val="26"/>
                <w:szCs w:val="26"/>
              </w:rPr>
              <w:t>比选路径2穿越生态保护红线路径长度约2.9km，相比拟建路径，穿越段长度更短，林木砍伐更少，</w:t>
            </w:r>
            <w:r>
              <w:rPr>
                <w:rFonts w:hint="eastAsia"/>
                <w:b/>
                <w:color w:val="auto"/>
                <w:sz w:val="26"/>
                <w:szCs w:val="26"/>
              </w:rPr>
              <w:t>但直接跨越冯坪乡密集分布的居民区，协调难度大，且高压线路跨越密集居民区存在安全隐患，社会稳定性影响较大，不满足安全要求。</w:t>
            </w:r>
          </w:p>
          <w:p w14:paraId="756EFE10">
            <w:pPr>
              <w:adjustRightInd w:val="0"/>
              <w:snapToGrid w:val="0"/>
              <w:spacing w:line="460" w:lineRule="exact"/>
              <w:ind w:firstLine="520" w:firstLineChars="200"/>
              <w:rPr>
                <w:bCs/>
                <w:color w:val="auto"/>
                <w:sz w:val="26"/>
                <w:szCs w:val="26"/>
              </w:rPr>
            </w:pPr>
            <w:r>
              <w:rPr>
                <w:rFonts w:hint="eastAsia"/>
                <w:bCs/>
                <w:color w:val="auto"/>
                <w:sz w:val="26"/>
                <w:szCs w:val="26"/>
              </w:rPr>
              <w:t>项目的实施存在生态保护红线不可避让性。拟建项目选线避开了重冰区、冯坪乡密集居住区、风电场风机禁止建设区、不良地质灾害区等，不涉及饮用水水源保护区、自然保护区、世界文化和自然遗产地等特殊生态敏感区等；选线同时最大限度</w:t>
            </w:r>
            <w:r>
              <w:rPr>
                <w:rFonts w:hint="eastAsia"/>
                <w:bCs/>
                <w:color w:val="auto"/>
                <w:sz w:val="26"/>
                <w:szCs w:val="26"/>
                <w:lang w:eastAsia="zh-CN"/>
              </w:rPr>
              <w:t>地</w:t>
            </w:r>
            <w:r>
              <w:rPr>
                <w:rFonts w:hint="eastAsia"/>
                <w:bCs/>
                <w:color w:val="auto"/>
                <w:sz w:val="26"/>
                <w:szCs w:val="26"/>
              </w:rPr>
              <w:t>避开了沿线居民民房，减少了社会稳定性的影响。综合考虑，推荐方案跨越生态保护红线是相对更为合理的。</w:t>
            </w:r>
          </w:p>
          <w:p w14:paraId="7BAD2A3F">
            <w:pPr>
              <w:adjustRightInd w:val="0"/>
              <w:snapToGrid w:val="0"/>
              <w:spacing w:line="460" w:lineRule="exact"/>
              <w:rPr>
                <w:b/>
                <w:color w:val="auto"/>
                <w:sz w:val="26"/>
                <w:szCs w:val="26"/>
              </w:rPr>
            </w:pPr>
            <w:r>
              <w:rPr>
                <w:rFonts w:hint="eastAsia"/>
                <w:b/>
                <w:color w:val="auto"/>
                <w:sz w:val="26"/>
                <w:szCs w:val="26"/>
              </w:rPr>
              <w:t>4.5选址选线环境合理性分析</w:t>
            </w:r>
          </w:p>
          <w:p w14:paraId="2BE2C881">
            <w:pPr>
              <w:adjustRightInd w:val="0"/>
              <w:snapToGrid w:val="0"/>
              <w:spacing w:line="460" w:lineRule="exact"/>
              <w:ind w:firstLine="520" w:firstLineChars="200"/>
              <w:rPr>
                <w:bCs/>
                <w:color w:val="auto"/>
                <w:sz w:val="26"/>
                <w:szCs w:val="26"/>
              </w:rPr>
            </w:pPr>
            <w:r>
              <w:rPr>
                <w:rFonts w:hint="eastAsia"/>
                <w:bCs/>
                <w:color w:val="auto"/>
                <w:sz w:val="26"/>
                <w:szCs w:val="26"/>
              </w:rPr>
              <w:t>本项目为输变电线路工程，不涉及变电站部分建设，根据《输变电建设项目环境保护技术要求》（</w:t>
            </w:r>
            <w:r>
              <w:rPr>
                <w:bCs/>
                <w:color w:val="auto"/>
                <w:sz w:val="26"/>
                <w:szCs w:val="26"/>
              </w:rPr>
              <w:t>HJ1113-2020</w:t>
            </w:r>
            <w:r>
              <w:rPr>
                <w:rFonts w:hint="eastAsia"/>
                <w:bCs/>
                <w:color w:val="auto"/>
                <w:sz w:val="26"/>
                <w:szCs w:val="26"/>
              </w:rPr>
              <w:t>）要求，本项目选址选线符合性分析见下表。</w:t>
            </w:r>
          </w:p>
          <w:p w14:paraId="5CFD091C">
            <w:pPr>
              <w:adjustRightInd w:val="0"/>
              <w:snapToGrid w:val="0"/>
              <w:ind w:firstLine="520" w:firstLineChars="200"/>
              <w:rPr>
                <w:bCs/>
                <w:color w:val="auto"/>
                <w:sz w:val="26"/>
                <w:szCs w:val="26"/>
              </w:rPr>
            </w:pPr>
          </w:p>
          <w:p w14:paraId="253DF63F">
            <w:pPr>
              <w:adjustRightInd w:val="0"/>
              <w:snapToGrid w:val="0"/>
              <w:jc w:val="center"/>
              <w:rPr>
                <w:color w:val="auto"/>
                <w:sz w:val="26"/>
                <w:szCs w:val="26"/>
              </w:rPr>
            </w:pPr>
            <w:r>
              <w:rPr>
                <w:rFonts w:hint="eastAsia"/>
                <w:color w:val="auto"/>
                <w:sz w:val="26"/>
                <w:szCs w:val="26"/>
              </w:rPr>
              <w:t>表4-5</w:t>
            </w:r>
            <w:r>
              <w:rPr>
                <w:color w:val="auto"/>
                <w:sz w:val="26"/>
                <w:szCs w:val="26"/>
              </w:rPr>
              <w:t xml:space="preserve"> </w:t>
            </w:r>
            <w:r>
              <w:rPr>
                <w:rFonts w:hint="eastAsia"/>
                <w:color w:val="auto"/>
                <w:sz w:val="26"/>
                <w:szCs w:val="26"/>
              </w:rPr>
              <w:t>选址选线符合性分析</w:t>
            </w:r>
          </w:p>
          <w:tbl>
            <w:tblPr>
              <w:tblStyle w:val="25"/>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853"/>
              <w:gridCol w:w="3726"/>
              <w:gridCol w:w="2865"/>
              <w:gridCol w:w="688"/>
            </w:tblGrid>
            <w:tr w14:paraId="1FCEC66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843" w:type="dxa"/>
                  <w:tcBorders>
                    <w:top w:val="single" w:color="auto" w:sz="6" w:space="0"/>
                    <w:left w:val="single" w:color="auto" w:sz="6" w:space="0"/>
                    <w:bottom w:val="single" w:color="auto" w:sz="6" w:space="0"/>
                    <w:right w:val="single" w:color="auto" w:sz="6" w:space="0"/>
                  </w:tcBorders>
                  <w:vAlign w:val="center"/>
                </w:tcPr>
                <w:p w14:paraId="79594ACA">
                  <w:pPr>
                    <w:widowControl/>
                    <w:tabs>
                      <w:tab w:val="left" w:pos="4"/>
                    </w:tabs>
                    <w:jc w:val="center"/>
                    <w:rPr>
                      <w:color w:val="auto"/>
                      <w:kern w:val="0"/>
                      <w:sz w:val="22"/>
                      <w:szCs w:val="22"/>
                      <w:lang w:eastAsia="en-US" w:bidi="en-US"/>
                    </w:rPr>
                  </w:pPr>
                  <w:r>
                    <w:rPr>
                      <w:rFonts w:hAnsi="宋体"/>
                      <w:color w:val="auto"/>
                      <w:kern w:val="0"/>
                      <w:sz w:val="22"/>
                      <w:szCs w:val="22"/>
                      <w:lang w:eastAsia="en-US" w:bidi="en-US"/>
                    </w:rPr>
                    <w:t>类型</w:t>
                  </w:r>
                </w:p>
              </w:tc>
              <w:tc>
                <w:tcPr>
                  <w:tcW w:w="3684" w:type="dxa"/>
                  <w:tcBorders>
                    <w:top w:val="single" w:color="auto" w:sz="6" w:space="0"/>
                    <w:left w:val="single" w:color="auto" w:sz="6" w:space="0"/>
                    <w:bottom w:val="single" w:color="auto" w:sz="6" w:space="0"/>
                    <w:right w:val="single" w:color="auto" w:sz="6" w:space="0"/>
                  </w:tcBorders>
                  <w:vAlign w:val="center"/>
                </w:tcPr>
                <w:p w14:paraId="32DAD53D">
                  <w:pPr>
                    <w:widowControl/>
                    <w:tabs>
                      <w:tab w:val="left" w:pos="4"/>
                    </w:tabs>
                    <w:jc w:val="center"/>
                    <w:rPr>
                      <w:color w:val="auto"/>
                      <w:kern w:val="0"/>
                      <w:sz w:val="22"/>
                      <w:szCs w:val="22"/>
                      <w:lang w:eastAsia="en-US" w:bidi="en-US"/>
                    </w:rPr>
                  </w:pPr>
                  <w:r>
                    <w:rPr>
                      <w:rFonts w:hAnsi="宋体"/>
                      <w:color w:val="auto"/>
                      <w:kern w:val="0"/>
                      <w:sz w:val="22"/>
                      <w:szCs w:val="22"/>
                      <w:lang w:eastAsia="en-US" w:bidi="en-US"/>
                    </w:rPr>
                    <w:t>涉及输电线路的要求</w:t>
                  </w:r>
                </w:p>
              </w:tc>
              <w:tc>
                <w:tcPr>
                  <w:tcW w:w="2833" w:type="dxa"/>
                  <w:tcBorders>
                    <w:top w:val="single" w:color="auto" w:sz="6" w:space="0"/>
                    <w:left w:val="single" w:color="auto" w:sz="6" w:space="0"/>
                    <w:bottom w:val="single" w:color="auto" w:sz="6" w:space="0"/>
                    <w:right w:val="single" w:color="auto" w:sz="6" w:space="0"/>
                  </w:tcBorders>
                  <w:vAlign w:val="center"/>
                </w:tcPr>
                <w:p w14:paraId="227A84CE">
                  <w:pPr>
                    <w:widowControl/>
                    <w:tabs>
                      <w:tab w:val="left" w:pos="4"/>
                    </w:tabs>
                    <w:jc w:val="center"/>
                    <w:rPr>
                      <w:color w:val="auto"/>
                      <w:kern w:val="0"/>
                      <w:sz w:val="22"/>
                      <w:szCs w:val="22"/>
                      <w:lang w:eastAsia="en-US" w:bidi="en-US"/>
                    </w:rPr>
                  </w:pPr>
                  <w:r>
                    <w:rPr>
                      <w:rFonts w:hAnsi="宋体"/>
                      <w:color w:val="auto"/>
                      <w:kern w:val="0"/>
                      <w:sz w:val="22"/>
                      <w:szCs w:val="22"/>
                      <w:lang w:eastAsia="en-US" w:bidi="en-US"/>
                    </w:rPr>
                    <w:t>拟建项目情况</w:t>
                  </w:r>
                </w:p>
              </w:tc>
              <w:tc>
                <w:tcPr>
                  <w:tcW w:w="680" w:type="dxa"/>
                  <w:tcBorders>
                    <w:top w:val="single" w:color="auto" w:sz="6" w:space="0"/>
                    <w:left w:val="single" w:color="auto" w:sz="6" w:space="0"/>
                    <w:bottom w:val="single" w:color="auto" w:sz="6" w:space="0"/>
                    <w:right w:val="single" w:color="auto" w:sz="6" w:space="0"/>
                  </w:tcBorders>
                  <w:vAlign w:val="center"/>
                </w:tcPr>
                <w:p w14:paraId="684401E9">
                  <w:pPr>
                    <w:widowControl/>
                    <w:tabs>
                      <w:tab w:val="left" w:pos="4"/>
                    </w:tabs>
                    <w:jc w:val="center"/>
                    <w:rPr>
                      <w:color w:val="auto"/>
                      <w:kern w:val="0"/>
                      <w:sz w:val="22"/>
                      <w:szCs w:val="22"/>
                      <w:lang w:eastAsia="en-US" w:bidi="en-US"/>
                    </w:rPr>
                  </w:pPr>
                  <w:r>
                    <w:rPr>
                      <w:rFonts w:hAnsi="宋体"/>
                      <w:color w:val="auto"/>
                      <w:kern w:val="0"/>
                      <w:sz w:val="22"/>
                      <w:szCs w:val="22"/>
                      <w:lang w:eastAsia="en-US" w:bidi="en-US"/>
                    </w:rPr>
                    <w:t>符合性</w:t>
                  </w:r>
                </w:p>
              </w:tc>
            </w:tr>
            <w:tr w14:paraId="2ACF9F0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843" w:type="dxa"/>
                  <w:vMerge w:val="restart"/>
                  <w:tcBorders>
                    <w:top w:val="single" w:color="auto" w:sz="4" w:space="0"/>
                    <w:left w:val="single" w:color="auto" w:sz="6" w:space="0"/>
                    <w:bottom w:val="single" w:color="auto" w:sz="6" w:space="0"/>
                    <w:right w:val="single" w:color="auto" w:sz="6" w:space="0"/>
                  </w:tcBorders>
                  <w:vAlign w:val="center"/>
                </w:tcPr>
                <w:p w14:paraId="5475419D">
                  <w:pPr>
                    <w:tabs>
                      <w:tab w:val="left" w:pos="4"/>
                    </w:tabs>
                    <w:jc w:val="center"/>
                    <w:rPr>
                      <w:color w:val="auto"/>
                      <w:kern w:val="0"/>
                      <w:sz w:val="22"/>
                      <w:szCs w:val="22"/>
                      <w:lang w:eastAsia="en-US" w:bidi="en-US"/>
                    </w:rPr>
                  </w:pPr>
                  <w:r>
                    <w:rPr>
                      <w:color w:val="auto"/>
                      <w:kern w:val="0"/>
                      <w:sz w:val="22"/>
                      <w:szCs w:val="22"/>
                      <w:lang w:bidi="en-US"/>
                    </w:rPr>
                    <w:t>5</w:t>
                  </w:r>
                  <w:r>
                    <w:rPr>
                      <w:rFonts w:hAnsi="宋体"/>
                      <w:color w:val="auto"/>
                      <w:kern w:val="0"/>
                      <w:sz w:val="22"/>
                      <w:szCs w:val="22"/>
                      <w:lang w:eastAsia="en-US" w:bidi="en-US"/>
                    </w:rPr>
                    <w:t>选址选线</w:t>
                  </w:r>
                </w:p>
              </w:tc>
              <w:tc>
                <w:tcPr>
                  <w:tcW w:w="3684" w:type="dxa"/>
                  <w:tcBorders>
                    <w:top w:val="single" w:color="auto" w:sz="4" w:space="0"/>
                    <w:left w:val="single" w:color="auto" w:sz="6" w:space="0"/>
                    <w:bottom w:val="single" w:color="auto" w:sz="4" w:space="0"/>
                    <w:right w:val="single" w:color="auto" w:sz="6" w:space="0"/>
                  </w:tcBorders>
                  <w:vAlign w:val="center"/>
                </w:tcPr>
                <w:p w14:paraId="454F4203">
                  <w:pPr>
                    <w:widowControl/>
                    <w:tabs>
                      <w:tab w:val="left" w:pos="4"/>
                    </w:tabs>
                    <w:rPr>
                      <w:color w:val="auto"/>
                      <w:kern w:val="0"/>
                      <w:sz w:val="22"/>
                      <w:szCs w:val="22"/>
                      <w:lang w:bidi="en-US"/>
                    </w:rPr>
                  </w:pPr>
                  <w:r>
                    <w:rPr>
                      <w:color w:val="auto"/>
                      <w:kern w:val="0"/>
                      <w:sz w:val="22"/>
                      <w:szCs w:val="22"/>
                      <w:lang w:bidi="en-US"/>
                    </w:rPr>
                    <w:t>5.1</w:t>
                  </w:r>
                  <w:r>
                    <w:rPr>
                      <w:rFonts w:hAnsi="宋体"/>
                      <w:color w:val="auto"/>
                      <w:kern w:val="0"/>
                      <w:sz w:val="22"/>
                      <w:szCs w:val="22"/>
                      <w:lang w:bidi="en-US"/>
                    </w:rPr>
                    <w:t>工程选址选线应符合规划环境影响评价文件的要求。</w:t>
                  </w:r>
                </w:p>
              </w:tc>
              <w:tc>
                <w:tcPr>
                  <w:tcW w:w="2833" w:type="dxa"/>
                  <w:tcBorders>
                    <w:top w:val="single" w:color="auto" w:sz="6" w:space="0"/>
                    <w:left w:val="single" w:color="auto" w:sz="6" w:space="0"/>
                    <w:bottom w:val="single" w:color="auto" w:sz="4" w:space="0"/>
                    <w:right w:val="single" w:color="auto" w:sz="6" w:space="0"/>
                  </w:tcBorders>
                  <w:vAlign w:val="center"/>
                </w:tcPr>
                <w:p w14:paraId="52711FC3">
                  <w:pPr>
                    <w:widowControl/>
                    <w:tabs>
                      <w:tab w:val="left" w:pos="4"/>
                    </w:tabs>
                    <w:jc w:val="center"/>
                    <w:rPr>
                      <w:color w:val="auto"/>
                      <w:kern w:val="0"/>
                      <w:sz w:val="22"/>
                      <w:szCs w:val="22"/>
                      <w:lang w:bidi="en-US"/>
                    </w:rPr>
                  </w:pPr>
                  <w:r>
                    <w:rPr>
                      <w:rFonts w:hAnsi="宋体"/>
                      <w:color w:val="auto"/>
                      <w:kern w:val="0"/>
                      <w:sz w:val="22"/>
                      <w:szCs w:val="22"/>
                    </w:rPr>
                    <w:t>根据前述分析，项目符合重庆市</w:t>
                  </w:r>
                  <w:r>
                    <w:rPr>
                      <w:color w:val="auto"/>
                      <w:kern w:val="0"/>
                      <w:sz w:val="22"/>
                      <w:szCs w:val="22"/>
                    </w:rPr>
                    <w:t>“</w:t>
                  </w:r>
                  <w:r>
                    <w:rPr>
                      <w:rFonts w:hAnsi="宋体"/>
                      <w:color w:val="auto"/>
                      <w:kern w:val="0"/>
                      <w:sz w:val="22"/>
                      <w:szCs w:val="22"/>
                    </w:rPr>
                    <w:t>十四五</w:t>
                  </w:r>
                  <w:r>
                    <w:rPr>
                      <w:color w:val="auto"/>
                      <w:kern w:val="0"/>
                      <w:sz w:val="22"/>
                      <w:szCs w:val="22"/>
                    </w:rPr>
                    <w:t>”</w:t>
                  </w:r>
                  <w:r>
                    <w:rPr>
                      <w:rFonts w:hAnsi="宋体"/>
                      <w:color w:val="auto"/>
                      <w:kern w:val="0"/>
                      <w:sz w:val="22"/>
                      <w:szCs w:val="22"/>
                    </w:rPr>
                    <w:t>电力发展规划环评及审查意见相关要求</w:t>
                  </w:r>
                </w:p>
              </w:tc>
              <w:tc>
                <w:tcPr>
                  <w:tcW w:w="680" w:type="dxa"/>
                  <w:tcBorders>
                    <w:top w:val="single" w:color="auto" w:sz="6" w:space="0"/>
                    <w:left w:val="single" w:color="auto" w:sz="6" w:space="0"/>
                    <w:bottom w:val="single" w:color="auto" w:sz="4" w:space="0"/>
                    <w:right w:val="single" w:color="auto" w:sz="6" w:space="0"/>
                  </w:tcBorders>
                  <w:vAlign w:val="center"/>
                </w:tcPr>
                <w:p w14:paraId="1B9BFE7A">
                  <w:pPr>
                    <w:widowControl/>
                    <w:tabs>
                      <w:tab w:val="left" w:pos="4"/>
                    </w:tabs>
                    <w:jc w:val="center"/>
                    <w:rPr>
                      <w:color w:val="auto"/>
                      <w:kern w:val="0"/>
                      <w:sz w:val="22"/>
                      <w:szCs w:val="22"/>
                      <w:lang w:bidi="en-US"/>
                    </w:rPr>
                  </w:pPr>
                  <w:r>
                    <w:rPr>
                      <w:rFonts w:hAnsi="宋体"/>
                      <w:color w:val="auto"/>
                      <w:kern w:val="0"/>
                      <w:sz w:val="22"/>
                      <w:szCs w:val="22"/>
                      <w:lang w:bidi="en-US"/>
                    </w:rPr>
                    <w:t>符合</w:t>
                  </w:r>
                </w:p>
              </w:tc>
            </w:tr>
            <w:tr w14:paraId="2671F5E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843" w:type="dxa"/>
                  <w:vMerge w:val="continue"/>
                  <w:tcBorders>
                    <w:top w:val="single" w:color="auto" w:sz="4" w:space="0"/>
                    <w:left w:val="single" w:color="auto" w:sz="6" w:space="0"/>
                    <w:bottom w:val="single" w:color="auto" w:sz="6" w:space="0"/>
                    <w:right w:val="single" w:color="auto" w:sz="6" w:space="0"/>
                  </w:tcBorders>
                  <w:vAlign w:val="center"/>
                </w:tcPr>
                <w:p w14:paraId="25BDB83A">
                  <w:pPr>
                    <w:tabs>
                      <w:tab w:val="left" w:pos="4"/>
                    </w:tabs>
                    <w:jc w:val="center"/>
                    <w:rPr>
                      <w:color w:val="auto"/>
                      <w:kern w:val="0"/>
                      <w:sz w:val="22"/>
                      <w:szCs w:val="22"/>
                      <w:lang w:bidi="en-US"/>
                    </w:rPr>
                  </w:pPr>
                </w:p>
              </w:tc>
              <w:tc>
                <w:tcPr>
                  <w:tcW w:w="3684" w:type="dxa"/>
                  <w:tcBorders>
                    <w:top w:val="single" w:color="auto" w:sz="4" w:space="0"/>
                    <w:left w:val="single" w:color="auto" w:sz="6" w:space="0"/>
                    <w:bottom w:val="single" w:color="auto" w:sz="4" w:space="0"/>
                    <w:right w:val="single" w:color="auto" w:sz="6" w:space="0"/>
                  </w:tcBorders>
                  <w:vAlign w:val="center"/>
                </w:tcPr>
                <w:p w14:paraId="796A415B">
                  <w:pPr>
                    <w:widowControl/>
                    <w:tabs>
                      <w:tab w:val="left" w:pos="4"/>
                    </w:tabs>
                    <w:rPr>
                      <w:color w:val="auto"/>
                      <w:kern w:val="0"/>
                      <w:sz w:val="22"/>
                      <w:szCs w:val="22"/>
                      <w:lang w:bidi="en-US"/>
                    </w:rPr>
                  </w:pPr>
                  <w:r>
                    <w:rPr>
                      <w:color w:val="auto"/>
                      <w:kern w:val="0"/>
                      <w:sz w:val="22"/>
                      <w:szCs w:val="22"/>
                      <w:lang w:bidi="en-US"/>
                    </w:rPr>
                    <w:t>5.2</w:t>
                  </w:r>
                  <w:r>
                    <w:rPr>
                      <w:rFonts w:hAnsi="宋体"/>
                      <w:color w:val="auto"/>
                      <w:kern w:val="0"/>
                      <w:sz w:val="22"/>
                      <w:szCs w:val="22"/>
                      <w:lang w:bidi="en-US"/>
                    </w:rPr>
                    <w:t>输变电建设项目选址选线应符合生态保护红线管控要求，避让自然保护区、饮用水水源保护区等环境敏感区。确实因自然条件等因素限制无法避让自然保护区实验区、饮用水水源二级保护区等环境敏感区的输电线路，应在满足相关法律法规及管理要求的前提下对线路方案进行唯一性论证，并采取无害化方式通过。</w:t>
                  </w:r>
                </w:p>
              </w:tc>
              <w:tc>
                <w:tcPr>
                  <w:tcW w:w="2833" w:type="dxa"/>
                  <w:tcBorders>
                    <w:top w:val="single" w:color="auto" w:sz="4" w:space="0"/>
                    <w:left w:val="single" w:color="auto" w:sz="6" w:space="0"/>
                    <w:bottom w:val="single" w:color="auto" w:sz="4" w:space="0"/>
                    <w:right w:val="single" w:color="auto" w:sz="6" w:space="0"/>
                  </w:tcBorders>
                  <w:vAlign w:val="center"/>
                </w:tcPr>
                <w:p w14:paraId="4FA5E522">
                  <w:pPr>
                    <w:widowControl/>
                    <w:tabs>
                      <w:tab w:val="left" w:pos="4"/>
                    </w:tabs>
                    <w:jc w:val="center"/>
                    <w:rPr>
                      <w:color w:val="auto"/>
                      <w:kern w:val="0"/>
                      <w:sz w:val="22"/>
                      <w:szCs w:val="22"/>
                      <w:lang w:bidi="en-US"/>
                    </w:rPr>
                  </w:pPr>
                  <w:r>
                    <w:rPr>
                      <w:rFonts w:hAnsi="宋体"/>
                      <w:color w:val="auto"/>
                      <w:sz w:val="22"/>
                      <w:szCs w:val="22"/>
                    </w:rPr>
                    <w:t>项目选址选线</w:t>
                  </w:r>
                  <w:r>
                    <w:rPr>
                      <w:rFonts w:hint="eastAsia" w:hAnsi="宋体"/>
                      <w:color w:val="auto"/>
                      <w:sz w:val="22"/>
                      <w:szCs w:val="22"/>
                    </w:rPr>
                    <w:t>穿越</w:t>
                  </w:r>
                  <w:r>
                    <w:rPr>
                      <w:rFonts w:hAnsi="宋体"/>
                      <w:color w:val="auto"/>
                      <w:sz w:val="22"/>
                      <w:szCs w:val="22"/>
                    </w:rPr>
                    <w:t>生态保护红线，已开展</w:t>
                  </w:r>
                  <w:r>
                    <w:rPr>
                      <w:rFonts w:hint="eastAsia" w:hAnsi="宋体"/>
                      <w:color w:val="auto"/>
                      <w:sz w:val="22"/>
                      <w:szCs w:val="22"/>
                    </w:rPr>
                    <w:t>有限人为活动</w:t>
                  </w:r>
                  <w:r>
                    <w:rPr>
                      <w:rFonts w:hAnsi="宋体"/>
                      <w:color w:val="auto"/>
                      <w:sz w:val="22"/>
                      <w:szCs w:val="22"/>
                    </w:rPr>
                    <w:t>论证并取得相关会议纪要</w:t>
                  </w:r>
                  <w:r>
                    <w:rPr>
                      <w:rFonts w:hint="eastAsia" w:hAnsi="宋体"/>
                      <w:color w:val="auto"/>
                      <w:sz w:val="22"/>
                      <w:szCs w:val="22"/>
                    </w:rPr>
                    <w:t>，</w:t>
                  </w:r>
                  <w:r>
                    <w:rPr>
                      <w:rFonts w:hAnsi="宋体"/>
                      <w:color w:val="auto"/>
                      <w:sz w:val="22"/>
                      <w:szCs w:val="22"/>
                    </w:rPr>
                    <w:t>满足相关法律法规及管理要求</w:t>
                  </w:r>
                </w:p>
              </w:tc>
              <w:tc>
                <w:tcPr>
                  <w:tcW w:w="680" w:type="dxa"/>
                  <w:tcBorders>
                    <w:top w:val="single" w:color="auto" w:sz="4" w:space="0"/>
                    <w:left w:val="single" w:color="auto" w:sz="6" w:space="0"/>
                    <w:bottom w:val="single" w:color="auto" w:sz="4" w:space="0"/>
                    <w:right w:val="single" w:color="auto" w:sz="6" w:space="0"/>
                  </w:tcBorders>
                  <w:vAlign w:val="center"/>
                </w:tcPr>
                <w:p w14:paraId="63C6F9B5">
                  <w:pPr>
                    <w:widowControl/>
                    <w:tabs>
                      <w:tab w:val="left" w:pos="4"/>
                    </w:tabs>
                    <w:jc w:val="center"/>
                    <w:rPr>
                      <w:color w:val="auto"/>
                      <w:kern w:val="0"/>
                      <w:sz w:val="22"/>
                      <w:szCs w:val="22"/>
                      <w:lang w:eastAsia="en-US" w:bidi="en-US"/>
                    </w:rPr>
                  </w:pPr>
                  <w:r>
                    <w:rPr>
                      <w:rFonts w:hAnsi="宋体"/>
                      <w:color w:val="auto"/>
                      <w:kern w:val="0"/>
                      <w:sz w:val="22"/>
                      <w:szCs w:val="22"/>
                      <w:lang w:eastAsia="en-US" w:bidi="en-US"/>
                    </w:rPr>
                    <w:t>符合</w:t>
                  </w:r>
                </w:p>
              </w:tc>
            </w:tr>
            <w:tr w14:paraId="724A051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843" w:type="dxa"/>
                  <w:vMerge w:val="continue"/>
                  <w:tcBorders>
                    <w:top w:val="single" w:color="auto" w:sz="4" w:space="0"/>
                    <w:left w:val="single" w:color="auto" w:sz="6" w:space="0"/>
                    <w:bottom w:val="single" w:color="auto" w:sz="6" w:space="0"/>
                    <w:right w:val="single" w:color="auto" w:sz="6" w:space="0"/>
                  </w:tcBorders>
                  <w:vAlign w:val="center"/>
                </w:tcPr>
                <w:p w14:paraId="5812FFD0">
                  <w:pPr>
                    <w:widowControl/>
                    <w:jc w:val="left"/>
                    <w:rPr>
                      <w:color w:val="auto"/>
                      <w:kern w:val="0"/>
                      <w:sz w:val="22"/>
                      <w:szCs w:val="22"/>
                      <w:lang w:eastAsia="en-US" w:bidi="en-US"/>
                    </w:rPr>
                  </w:pPr>
                </w:p>
              </w:tc>
              <w:tc>
                <w:tcPr>
                  <w:tcW w:w="3684" w:type="dxa"/>
                  <w:tcBorders>
                    <w:top w:val="single" w:color="auto" w:sz="6" w:space="0"/>
                    <w:left w:val="single" w:color="auto" w:sz="6" w:space="0"/>
                    <w:bottom w:val="single" w:color="auto" w:sz="4" w:space="0"/>
                    <w:right w:val="single" w:color="auto" w:sz="6" w:space="0"/>
                  </w:tcBorders>
                  <w:vAlign w:val="center"/>
                </w:tcPr>
                <w:p w14:paraId="23DABD0C">
                  <w:pPr>
                    <w:widowControl/>
                    <w:tabs>
                      <w:tab w:val="left" w:pos="4"/>
                    </w:tabs>
                    <w:rPr>
                      <w:color w:val="auto"/>
                      <w:kern w:val="0"/>
                      <w:sz w:val="22"/>
                      <w:szCs w:val="22"/>
                      <w:lang w:bidi="en-US"/>
                    </w:rPr>
                  </w:pPr>
                  <w:r>
                    <w:rPr>
                      <w:color w:val="auto"/>
                      <w:kern w:val="0"/>
                      <w:sz w:val="22"/>
                      <w:szCs w:val="22"/>
                      <w:lang w:bidi="en-US"/>
                    </w:rPr>
                    <w:t>5.5</w:t>
                  </w:r>
                  <w:r>
                    <w:rPr>
                      <w:rFonts w:hAnsi="宋体"/>
                      <w:color w:val="auto"/>
                      <w:kern w:val="0"/>
                      <w:sz w:val="22"/>
                      <w:szCs w:val="22"/>
                      <w:lang w:bidi="en-US"/>
                    </w:rPr>
                    <w:t>同一走廊内的多回输电线路，宜采取同塔多回架设、并行架设等形式，减少新开辟走廊，优化线路走廊间距，降低环境影响。</w:t>
                  </w:r>
                </w:p>
              </w:tc>
              <w:tc>
                <w:tcPr>
                  <w:tcW w:w="2833" w:type="dxa"/>
                  <w:tcBorders>
                    <w:top w:val="single" w:color="auto" w:sz="6" w:space="0"/>
                    <w:left w:val="single" w:color="auto" w:sz="6" w:space="0"/>
                    <w:bottom w:val="single" w:color="auto" w:sz="4" w:space="0"/>
                    <w:right w:val="single" w:color="auto" w:sz="6" w:space="0"/>
                  </w:tcBorders>
                  <w:vAlign w:val="center"/>
                </w:tcPr>
                <w:p w14:paraId="33E63FD6">
                  <w:pPr>
                    <w:widowControl/>
                    <w:tabs>
                      <w:tab w:val="left" w:pos="4"/>
                    </w:tabs>
                    <w:jc w:val="center"/>
                    <w:rPr>
                      <w:color w:val="auto"/>
                      <w:kern w:val="0"/>
                      <w:sz w:val="22"/>
                      <w:szCs w:val="22"/>
                      <w:lang w:bidi="en-US"/>
                    </w:rPr>
                  </w:pPr>
                  <w:r>
                    <w:rPr>
                      <w:rFonts w:hint="eastAsia" w:hAnsi="宋体"/>
                      <w:color w:val="auto"/>
                      <w:kern w:val="0"/>
                      <w:sz w:val="22"/>
                      <w:szCs w:val="22"/>
                      <w:lang w:bidi="en-US"/>
                    </w:rPr>
                    <w:t>项目</w:t>
                  </w:r>
                  <w:r>
                    <w:rPr>
                      <w:rFonts w:hint="eastAsia"/>
                      <w:color w:val="auto"/>
                      <w:sz w:val="22"/>
                      <w:szCs w:val="22"/>
                    </w:rPr>
                    <w:t>输电线路采用单回架设，沿线无可利用的走廊</w:t>
                  </w:r>
                </w:p>
              </w:tc>
              <w:tc>
                <w:tcPr>
                  <w:tcW w:w="680" w:type="dxa"/>
                  <w:tcBorders>
                    <w:top w:val="single" w:color="auto" w:sz="6" w:space="0"/>
                    <w:left w:val="single" w:color="auto" w:sz="6" w:space="0"/>
                    <w:bottom w:val="single" w:color="auto" w:sz="4" w:space="0"/>
                    <w:right w:val="single" w:color="auto" w:sz="6" w:space="0"/>
                  </w:tcBorders>
                  <w:vAlign w:val="center"/>
                </w:tcPr>
                <w:p w14:paraId="4091C79A">
                  <w:pPr>
                    <w:widowControl/>
                    <w:tabs>
                      <w:tab w:val="left" w:pos="4"/>
                    </w:tabs>
                    <w:jc w:val="center"/>
                    <w:rPr>
                      <w:color w:val="auto"/>
                      <w:kern w:val="0"/>
                      <w:sz w:val="22"/>
                      <w:szCs w:val="22"/>
                      <w:lang w:eastAsia="en-US" w:bidi="en-US"/>
                    </w:rPr>
                  </w:pPr>
                  <w:r>
                    <w:rPr>
                      <w:rFonts w:hAnsi="宋体"/>
                      <w:color w:val="auto"/>
                      <w:kern w:val="0"/>
                      <w:sz w:val="22"/>
                      <w:szCs w:val="22"/>
                      <w:lang w:eastAsia="en-US" w:bidi="en-US"/>
                    </w:rPr>
                    <w:t>符合</w:t>
                  </w:r>
                </w:p>
              </w:tc>
            </w:tr>
            <w:tr w14:paraId="2C0C8B2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843" w:type="dxa"/>
                  <w:vMerge w:val="continue"/>
                  <w:tcBorders>
                    <w:top w:val="single" w:color="auto" w:sz="4" w:space="0"/>
                    <w:left w:val="single" w:color="auto" w:sz="6" w:space="0"/>
                    <w:bottom w:val="single" w:color="auto" w:sz="6" w:space="0"/>
                    <w:right w:val="single" w:color="auto" w:sz="6" w:space="0"/>
                  </w:tcBorders>
                  <w:vAlign w:val="center"/>
                </w:tcPr>
                <w:p w14:paraId="0937C143">
                  <w:pPr>
                    <w:widowControl/>
                    <w:jc w:val="left"/>
                    <w:rPr>
                      <w:color w:val="auto"/>
                      <w:kern w:val="0"/>
                      <w:sz w:val="22"/>
                      <w:szCs w:val="22"/>
                      <w:lang w:eastAsia="en-US" w:bidi="en-US"/>
                    </w:rPr>
                  </w:pPr>
                </w:p>
              </w:tc>
              <w:tc>
                <w:tcPr>
                  <w:tcW w:w="3684" w:type="dxa"/>
                  <w:tcBorders>
                    <w:top w:val="single" w:color="auto" w:sz="4" w:space="0"/>
                    <w:left w:val="single" w:color="auto" w:sz="6" w:space="0"/>
                    <w:bottom w:val="single" w:color="auto" w:sz="4" w:space="0"/>
                    <w:right w:val="single" w:color="auto" w:sz="6" w:space="0"/>
                  </w:tcBorders>
                  <w:vAlign w:val="center"/>
                </w:tcPr>
                <w:p w14:paraId="2EA78E3B">
                  <w:pPr>
                    <w:tabs>
                      <w:tab w:val="left" w:pos="4"/>
                    </w:tabs>
                    <w:rPr>
                      <w:color w:val="auto"/>
                      <w:kern w:val="0"/>
                      <w:sz w:val="22"/>
                      <w:szCs w:val="22"/>
                      <w:lang w:val="zh-CN"/>
                    </w:rPr>
                  </w:pPr>
                  <w:r>
                    <w:rPr>
                      <w:color w:val="auto"/>
                      <w:kern w:val="0"/>
                      <w:sz w:val="22"/>
                      <w:szCs w:val="22"/>
                      <w:lang w:val="zh-CN"/>
                    </w:rPr>
                    <w:t>5.6</w:t>
                  </w:r>
                  <w:r>
                    <w:rPr>
                      <w:rFonts w:hAnsi="宋体"/>
                      <w:color w:val="auto"/>
                      <w:kern w:val="0"/>
                      <w:sz w:val="22"/>
                      <w:szCs w:val="22"/>
                      <w:lang w:val="zh-CN"/>
                    </w:rPr>
                    <w:t>原则上避免在</w:t>
                  </w:r>
                  <w:r>
                    <w:rPr>
                      <w:color w:val="auto"/>
                      <w:kern w:val="0"/>
                      <w:sz w:val="22"/>
                      <w:szCs w:val="22"/>
                      <w:lang w:val="zh-CN"/>
                    </w:rPr>
                    <w:t>0</w:t>
                  </w:r>
                  <w:r>
                    <w:rPr>
                      <w:rFonts w:hAnsi="宋体"/>
                      <w:color w:val="auto"/>
                      <w:kern w:val="0"/>
                      <w:sz w:val="22"/>
                      <w:szCs w:val="22"/>
                      <w:lang w:val="zh-CN"/>
                    </w:rPr>
                    <w:t>类声环境功能区建设变电工程。</w:t>
                  </w:r>
                </w:p>
              </w:tc>
              <w:tc>
                <w:tcPr>
                  <w:tcW w:w="2833" w:type="dxa"/>
                  <w:tcBorders>
                    <w:top w:val="single" w:color="auto" w:sz="4" w:space="0"/>
                    <w:left w:val="single" w:color="auto" w:sz="6" w:space="0"/>
                    <w:bottom w:val="single" w:color="auto" w:sz="4" w:space="0"/>
                    <w:right w:val="single" w:color="auto" w:sz="6" w:space="0"/>
                  </w:tcBorders>
                  <w:vAlign w:val="center"/>
                </w:tcPr>
                <w:p w14:paraId="42CA2013">
                  <w:pPr>
                    <w:tabs>
                      <w:tab w:val="left" w:pos="4"/>
                    </w:tabs>
                    <w:jc w:val="center"/>
                    <w:rPr>
                      <w:color w:val="auto"/>
                      <w:kern w:val="0"/>
                      <w:sz w:val="22"/>
                      <w:szCs w:val="22"/>
                      <w:lang w:bidi="en-US"/>
                    </w:rPr>
                  </w:pPr>
                  <w:r>
                    <w:rPr>
                      <w:rFonts w:hint="eastAsia"/>
                      <w:color w:val="auto"/>
                      <w:sz w:val="22"/>
                      <w:szCs w:val="22"/>
                    </w:rPr>
                    <w:t>项目输电线路位于农村地区，所在区域主要为</w:t>
                  </w:r>
                  <w:r>
                    <w:rPr>
                      <w:color w:val="auto"/>
                      <w:sz w:val="22"/>
                      <w:szCs w:val="22"/>
                    </w:rPr>
                    <w:t>1</w:t>
                  </w:r>
                  <w:r>
                    <w:rPr>
                      <w:rFonts w:hint="eastAsia"/>
                      <w:color w:val="auto"/>
                      <w:sz w:val="22"/>
                      <w:szCs w:val="22"/>
                    </w:rPr>
                    <w:t>类声环境功能区，项目建设不涉及</w:t>
                  </w:r>
                  <w:r>
                    <w:rPr>
                      <w:color w:val="auto"/>
                      <w:sz w:val="22"/>
                      <w:szCs w:val="22"/>
                    </w:rPr>
                    <w:t>0</w:t>
                  </w:r>
                  <w:r>
                    <w:rPr>
                      <w:rFonts w:hint="eastAsia"/>
                      <w:color w:val="auto"/>
                      <w:sz w:val="22"/>
                      <w:szCs w:val="22"/>
                    </w:rPr>
                    <w:t>类声环境功能区</w:t>
                  </w:r>
                </w:p>
              </w:tc>
              <w:tc>
                <w:tcPr>
                  <w:tcW w:w="680" w:type="dxa"/>
                  <w:tcBorders>
                    <w:top w:val="single" w:color="auto" w:sz="4" w:space="0"/>
                    <w:left w:val="single" w:color="auto" w:sz="6" w:space="0"/>
                    <w:bottom w:val="single" w:color="auto" w:sz="4" w:space="0"/>
                    <w:right w:val="single" w:color="auto" w:sz="6" w:space="0"/>
                  </w:tcBorders>
                  <w:vAlign w:val="center"/>
                </w:tcPr>
                <w:p w14:paraId="45D1BD74">
                  <w:pPr>
                    <w:tabs>
                      <w:tab w:val="left" w:pos="4"/>
                    </w:tabs>
                    <w:jc w:val="center"/>
                    <w:rPr>
                      <w:color w:val="auto"/>
                      <w:kern w:val="0"/>
                      <w:sz w:val="22"/>
                      <w:szCs w:val="22"/>
                      <w:lang w:eastAsia="en-US" w:bidi="en-US"/>
                    </w:rPr>
                  </w:pPr>
                  <w:r>
                    <w:rPr>
                      <w:rFonts w:hAnsi="宋体"/>
                      <w:color w:val="auto"/>
                      <w:kern w:val="0"/>
                      <w:sz w:val="22"/>
                      <w:szCs w:val="22"/>
                      <w:lang w:eastAsia="en-US" w:bidi="en-US"/>
                    </w:rPr>
                    <w:t>符合</w:t>
                  </w:r>
                </w:p>
              </w:tc>
            </w:tr>
            <w:tr w14:paraId="0F34C3D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843" w:type="dxa"/>
                  <w:vMerge w:val="continue"/>
                  <w:tcBorders>
                    <w:top w:val="single" w:color="auto" w:sz="4" w:space="0"/>
                    <w:left w:val="single" w:color="auto" w:sz="6" w:space="0"/>
                    <w:bottom w:val="single" w:color="auto" w:sz="6" w:space="0"/>
                    <w:right w:val="single" w:color="auto" w:sz="6" w:space="0"/>
                  </w:tcBorders>
                  <w:vAlign w:val="center"/>
                </w:tcPr>
                <w:p w14:paraId="376A25AC">
                  <w:pPr>
                    <w:widowControl/>
                    <w:jc w:val="left"/>
                    <w:rPr>
                      <w:color w:val="auto"/>
                      <w:kern w:val="0"/>
                      <w:sz w:val="22"/>
                      <w:szCs w:val="22"/>
                      <w:lang w:eastAsia="en-US" w:bidi="en-US"/>
                    </w:rPr>
                  </w:pPr>
                </w:p>
              </w:tc>
              <w:tc>
                <w:tcPr>
                  <w:tcW w:w="3684" w:type="dxa"/>
                  <w:tcBorders>
                    <w:top w:val="single" w:color="auto" w:sz="6" w:space="0"/>
                    <w:left w:val="single" w:color="auto" w:sz="6" w:space="0"/>
                    <w:bottom w:val="single" w:color="auto" w:sz="4" w:space="0"/>
                    <w:right w:val="single" w:color="auto" w:sz="6" w:space="0"/>
                  </w:tcBorders>
                  <w:vAlign w:val="center"/>
                </w:tcPr>
                <w:p w14:paraId="50183228">
                  <w:pPr>
                    <w:widowControl/>
                    <w:tabs>
                      <w:tab w:val="left" w:pos="4"/>
                    </w:tabs>
                    <w:rPr>
                      <w:color w:val="auto"/>
                      <w:kern w:val="0"/>
                      <w:sz w:val="22"/>
                      <w:szCs w:val="22"/>
                      <w:lang w:bidi="en-US"/>
                    </w:rPr>
                  </w:pPr>
                  <w:r>
                    <w:rPr>
                      <w:color w:val="auto"/>
                      <w:kern w:val="0"/>
                      <w:sz w:val="22"/>
                      <w:szCs w:val="22"/>
                      <w:lang w:bidi="en-US"/>
                    </w:rPr>
                    <w:t>5.8</w:t>
                  </w:r>
                  <w:r>
                    <w:rPr>
                      <w:rFonts w:hAnsi="宋体"/>
                      <w:color w:val="auto"/>
                      <w:kern w:val="0"/>
                      <w:sz w:val="22"/>
                      <w:szCs w:val="22"/>
                      <w:lang w:bidi="en-US"/>
                    </w:rPr>
                    <w:t>输电线路宜避让集中林区，以减少林木砍伐，保护生态环境。</w:t>
                  </w:r>
                </w:p>
              </w:tc>
              <w:tc>
                <w:tcPr>
                  <w:tcW w:w="2833" w:type="dxa"/>
                  <w:tcBorders>
                    <w:top w:val="single" w:color="auto" w:sz="6" w:space="0"/>
                    <w:left w:val="single" w:color="auto" w:sz="6" w:space="0"/>
                    <w:bottom w:val="single" w:color="auto" w:sz="4" w:space="0"/>
                    <w:right w:val="single" w:color="auto" w:sz="6" w:space="0"/>
                  </w:tcBorders>
                  <w:vAlign w:val="center"/>
                </w:tcPr>
                <w:p w14:paraId="1D449294">
                  <w:pPr>
                    <w:widowControl/>
                    <w:tabs>
                      <w:tab w:val="left" w:pos="4"/>
                    </w:tabs>
                    <w:jc w:val="center"/>
                    <w:rPr>
                      <w:color w:val="auto"/>
                      <w:kern w:val="0"/>
                      <w:sz w:val="22"/>
                      <w:szCs w:val="22"/>
                      <w:lang w:bidi="en-US"/>
                    </w:rPr>
                  </w:pPr>
                  <w:r>
                    <w:rPr>
                      <w:rFonts w:hAnsi="宋体"/>
                      <w:color w:val="auto"/>
                      <w:sz w:val="22"/>
                      <w:szCs w:val="22"/>
                    </w:rPr>
                    <w:t>项目不可避让</w:t>
                  </w:r>
                  <w:r>
                    <w:rPr>
                      <w:rFonts w:hint="eastAsia" w:hAnsi="宋体"/>
                      <w:color w:val="auto"/>
                      <w:sz w:val="22"/>
                      <w:szCs w:val="22"/>
                      <w:lang w:eastAsia="zh-CN"/>
                    </w:rPr>
                    <w:t>地</w:t>
                  </w:r>
                  <w:r>
                    <w:rPr>
                      <w:rFonts w:hAnsi="宋体"/>
                      <w:color w:val="auto"/>
                      <w:sz w:val="22"/>
                      <w:szCs w:val="22"/>
                    </w:rPr>
                    <w:t>跨越林区，涉及树种多为松杂树等。项目工程路径已优化走廊间距，减少了林木砍伐，降低环境影响</w:t>
                  </w:r>
                </w:p>
              </w:tc>
              <w:tc>
                <w:tcPr>
                  <w:tcW w:w="680" w:type="dxa"/>
                  <w:tcBorders>
                    <w:top w:val="single" w:color="auto" w:sz="6" w:space="0"/>
                    <w:left w:val="single" w:color="auto" w:sz="6" w:space="0"/>
                    <w:bottom w:val="single" w:color="auto" w:sz="4" w:space="0"/>
                    <w:right w:val="single" w:color="auto" w:sz="6" w:space="0"/>
                  </w:tcBorders>
                  <w:vAlign w:val="center"/>
                </w:tcPr>
                <w:p w14:paraId="17BB9EAD">
                  <w:pPr>
                    <w:widowControl/>
                    <w:tabs>
                      <w:tab w:val="left" w:pos="4"/>
                    </w:tabs>
                    <w:jc w:val="center"/>
                    <w:rPr>
                      <w:color w:val="auto"/>
                      <w:kern w:val="0"/>
                      <w:sz w:val="22"/>
                      <w:szCs w:val="22"/>
                      <w:lang w:eastAsia="en-US" w:bidi="en-US"/>
                    </w:rPr>
                  </w:pPr>
                  <w:r>
                    <w:rPr>
                      <w:rFonts w:hAnsi="宋体"/>
                      <w:color w:val="auto"/>
                      <w:kern w:val="0"/>
                      <w:sz w:val="22"/>
                      <w:szCs w:val="22"/>
                      <w:lang w:eastAsia="en-US" w:bidi="en-US"/>
                    </w:rPr>
                    <w:t>符合</w:t>
                  </w:r>
                </w:p>
              </w:tc>
            </w:tr>
            <w:tr w14:paraId="12156B3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843" w:type="dxa"/>
                  <w:vMerge w:val="continue"/>
                  <w:tcBorders>
                    <w:top w:val="single" w:color="auto" w:sz="4" w:space="0"/>
                    <w:left w:val="single" w:color="auto" w:sz="6" w:space="0"/>
                    <w:bottom w:val="single" w:color="auto" w:sz="6" w:space="0"/>
                    <w:right w:val="single" w:color="auto" w:sz="6" w:space="0"/>
                  </w:tcBorders>
                  <w:vAlign w:val="center"/>
                </w:tcPr>
                <w:p w14:paraId="0D170A07">
                  <w:pPr>
                    <w:widowControl/>
                    <w:jc w:val="left"/>
                    <w:rPr>
                      <w:color w:val="auto"/>
                      <w:kern w:val="0"/>
                      <w:sz w:val="22"/>
                      <w:szCs w:val="22"/>
                      <w:lang w:eastAsia="en-US" w:bidi="en-US"/>
                    </w:rPr>
                  </w:pPr>
                </w:p>
              </w:tc>
              <w:tc>
                <w:tcPr>
                  <w:tcW w:w="3684" w:type="dxa"/>
                  <w:tcBorders>
                    <w:top w:val="single" w:color="auto" w:sz="4" w:space="0"/>
                    <w:left w:val="single" w:color="auto" w:sz="6" w:space="0"/>
                    <w:bottom w:val="single" w:color="auto" w:sz="6" w:space="0"/>
                    <w:right w:val="single" w:color="auto" w:sz="6" w:space="0"/>
                  </w:tcBorders>
                  <w:vAlign w:val="center"/>
                </w:tcPr>
                <w:p w14:paraId="58F7EF71">
                  <w:pPr>
                    <w:widowControl/>
                    <w:tabs>
                      <w:tab w:val="left" w:pos="4"/>
                    </w:tabs>
                    <w:jc w:val="center"/>
                    <w:rPr>
                      <w:color w:val="auto"/>
                      <w:kern w:val="0"/>
                      <w:sz w:val="22"/>
                      <w:szCs w:val="22"/>
                      <w:lang w:bidi="en-US"/>
                    </w:rPr>
                  </w:pPr>
                  <w:r>
                    <w:rPr>
                      <w:color w:val="auto"/>
                      <w:kern w:val="0"/>
                      <w:sz w:val="22"/>
                      <w:szCs w:val="22"/>
                      <w:lang w:bidi="en-US"/>
                    </w:rPr>
                    <w:t>5.9</w:t>
                  </w:r>
                  <w:r>
                    <w:rPr>
                      <w:rFonts w:hAnsi="宋体"/>
                      <w:color w:val="auto"/>
                      <w:kern w:val="0"/>
                      <w:sz w:val="22"/>
                      <w:szCs w:val="22"/>
                      <w:lang w:bidi="en-US"/>
                    </w:rPr>
                    <w:t>进入自然保护区的输电线路，应按照</w:t>
                  </w:r>
                  <w:r>
                    <w:rPr>
                      <w:color w:val="auto"/>
                      <w:kern w:val="0"/>
                      <w:sz w:val="22"/>
                      <w:szCs w:val="22"/>
                      <w:lang w:bidi="en-US"/>
                    </w:rPr>
                    <w:t xml:space="preserve">HJ 19 </w:t>
                  </w:r>
                  <w:r>
                    <w:rPr>
                      <w:rFonts w:hAnsi="宋体"/>
                      <w:color w:val="auto"/>
                      <w:kern w:val="0"/>
                      <w:sz w:val="22"/>
                      <w:szCs w:val="22"/>
                      <w:lang w:bidi="en-US"/>
                    </w:rPr>
                    <w:t>的要求开展生态现状调查，避让保护对象的集中分布区。</w:t>
                  </w:r>
                </w:p>
              </w:tc>
              <w:tc>
                <w:tcPr>
                  <w:tcW w:w="2833" w:type="dxa"/>
                  <w:tcBorders>
                    <w:top w:val="single" w:color="auto" w:sz="4" w:space="0"/>
                    <w:left w:val="single" w:color="auto" w:sz="6" w:space="0"/>
                    <w:bottom w:val="single" w:color="auto" w:sz="6" w:space="0"/>
                    <w:right w:val="single" w:color="auto" w:sz="6" w:space="0"/>
                  </w:tcBorders>
                  <w:vAlign w:val="center"/>
                </w:tcPr>
                <w:p w14:paraId="63FD3984">
                  <w:pPr>
                    <w:widowControl/>
                    <w:tabs>
                      <w:tab w:val="left" w:pos="4"/>
                    </w:tabs>
                    <w:jc w:val="center"/>
                    <w:rPr>
                      <w:color w:val="auto"/>
                      <w:kern w:val="0"/>
                      <w:sz w:val="22"/>
                      <w:szCs w:val="22"/>
                      <w:lang w:bidi="en-US"/>
                    </w:rPr>
                  </w:pPr>
                  <w:r>
                    <w:rPr>
                      <w:rFonts w:hAnsi="宋体"/>
                      <w:color w:val="auto"/>
                      <w:kern w:val="0"/>
                      <w:sz w:val="22"/>
                      <w:szCs w:val="22"/>
                      <w:lang w:bidi="en-US"/>
                    </w:rPr>
                    <w:t>项目</w:t>
                  </w:r>
                  <w:r>
                    <w:rPr>
                      <w:rFonts w:hint="eastAsia" w:hAnsi="宋体"/>
                      <w:color w:val="auto"/>
                      <w:kern w:val="0"/>
                      <w:sz w:val="22"/>
                      <w:szCs w:val="22"/>
                      <w:lang w:bidi="en-US"/>
                    </w:rPr>
                    <w:t>已开展</w:t>
                  </w:r>
                  <w:r>
                    <w:rPr>
                      <w:rFonts w:hAnsi="宋体"/>
                      <w:color w:val="auto"/>
                      <w:kern w:val="0"/>
                      <w:sz w:val="22"/>
                      <w:szCs w:val="22"/>
                      <w:lang w:bidi="en-US"/>
                    </w:rPr>
                    <w:t>生态现状调查，并避让了保护对象的集中分布区</w:t>
                  </w:r>
                </w:p>
              </w:tc>
              <w:tc>
                <w:tcPr>
                  <w:tcW w:w="680" w:type="dxa"/>
                  <w:tcBorders>
                    <w:top w:val="single" w:color="auto" w:sz="4" w:space="0"/>
                    <w:left w:val="single" w:color="auto" w:sz="6" w:space="0"/>
                    <w:bottom w:val="single" w:color="auto" w:sz="6" w:space="0"/>
                    <w:right w:val="single" w:color="auto" w:sz="6" w:space="0"/>
                  </w:tcBorders>
                  <w:vAlign w:val="center"/>
                </w:tcPr>
                <w:p w14:paraId="6E6B0899">
                  <w:pPr>
                    <w:widowControl/>
                    <w:tabs>
                      <w:tab w:val="left" w:pos="4"/>
                    </w:tabs>
                    <w:jc w:val="center"/>
                    <w:rPr>
                      <w:color w:val="auto"/>
                      <w:kern w:val="0"/>
                      <w:sz w:val="22"/>
                      <w:szCs w:val="22"/>
                      <w:lang w:bidi="en-US"/>
                    </w:rPr>
                  </w:pPr>
                  <w:r>
                    <w:rPr>
                      <w:rFonts w:hAnsi="宋体"/>
                      <w:color w:val="auto"/>
                      <w:kern w:val="0"/>
                      <w:sz w:val="22"/>
                      <w:szCs w:val="22"/>
                      <w:lang w:bidi="en-US"/>
                    </w:rPr>
                    <w:t>符合</w:t>
                  </w:r>
                </w:p>
              </w:tc>
            </w:tr>
            <w:tr w14:paraId="7961F70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843" w:type="dxa"/>
                  <w:vMerge w:val="restart"/>
                  <w:tcBorders>
                    <w:top w:val="single" w:color="auto" w:sz="6" w:space="0"/>
                    <w:left w:val="single" w:color="auto" w:sz="6" w:space="0"/>
                    <w:bottom w:val="single" w:color="auto" w:sz="4" w:space="0"/>
                    <w:right w:val="single" w:color="auto" w:sz="6" w:space="0"/>
                  </w:tcBorders>
                  <w:vAlign w:val="center"/>
                </w:tcPr>
                <w:p w14:paraId="6CBB494B">
                  <w:pPr>
                    <w:widowControl/>
                    <w:tabs>
                      <w:tab w:val="left" w:pos="4"/>
                    </w:tabs>
                    <w:jc w:val="center"/>
                    <w:rPr>
                      <w:color w:val="auto"/>
                      <w:kern w:val="0"/>
                      <w:sz w:val="22"/>
                      <w:szCs w:val="22"/>
                      <w:lang w:bidi="en-US"/>
                    </w:rPr>
                  </w:pPr>
                  <w:r>
                    <w:rPr>
                      <w:color w:val="auto"/>
                      <w:kern w:val="0"/>
                      <w:sz w:val="22"/>
                      <w:szCs w:val="22"/>
                      <w:lang w:bidi="en-US"/>
                    </w:rPr>
                    <w:t>6</w:t>
                  </w:r>
                  <w:r>
                    <w:rPr>
                      <w:rFonts w:hAnsi="宋体"/>
                      <w:color w:val="auto"/>
                      <w:kern w:val="0"/>
                      <w:sz w:val="22"/>
                      <w:szCs w:val="22"/>
                      <w:lang w:bidi="en-US"/>
                    </w:rPr>
                    <w:t>设计</w:t>
                  </w:r>
                </w:p>
              </w:tc>
              <w:tc>
                <w:tcPr>
                  <w:tcW w:w="3684" w:type="dxa"/>
                  <w:tcBorders>
                    <w:top w:val="single" w:color="auto" w:sz="6" w:space="0"/>
                    <w:left w:val="single" w:color="auto" w:sz="6" w:space="0"/>
                    <w:bottom w:val="single" w:color="auto" w:sz="4" w:space="0"/>
                    <w:right w:val="single" w:color="auto" w:sz="6" w:space="0"/>
                  </w:tcBorders>
                  <w:vAlign w:val="center"/>
                </w:tcPr>
                <w:p w14:paraId="4A796942">
                  <w:pPr>
                    <w:rPr>
                      <w:color w:val="auto"/>
                      <w:sz w:val="22"/>
                      <w:szCs w:val="22"/>
                    </w:rPr>
                  </w:pPr>
                  <w:r>
                    <w:rPr>
                      <w:color w:val="auto"/>
                      <w:sz w:val="22"/>
                      <w:szCs w:val="22"/>
                    </w:rPr>
                    <w:t>6.1.3</w:t>
                  </w:r>
                  <w:r>
                    <w:rPr>
                      <w:rFonts w:hAnsi="宋体"/>
                      <w:color w:val="auto"/>
                      <w:sz w:val="22"/>
                      <w:szCs w:val="22"/>
                    </w:rPr>
                    <w:t>输电线路进入自然保护区实验区、饮用水水源二级保护区等环境敏感区时，应采取塔基定位避让、减少进入长度、控制导线高度等环境保护措施，减少对环境保护对象的不利影响。</w:t>
                  </w:r>
                </w:p>
              </w:tc>
              <w:tc>
                <w:tcPr>
                  <w:tcW w:w="2833" w:type="dxa"/>
                  <w:tcBorders>
                    <w:top w:val="single" w:color="auto" w:sz="6" w:space="0"/>
                    <w:left w:val="single" w:color="auto" w:sz="6" w:space="0"/>
                    <w:bottom w:val="single" w:color="auto" w:sz="4" w:space="0"/>
                    <w:right w:val="single" w:color="auto" w:sz="6" w:space="0"/>
                  </w:tcBorders>
                  <w:vAlign w:val="center"/>
                </w:tcPr>
                <w:p w14:paraId="5BD900E6">
                  <w:pPr>
                    <w:jc w:val="center"/>
                    <w:rPr>
                      <w:color w:val="auto"/>
                      <w:sz w:val="22"/>
                      <w:szCs w:val="22"/>
                    </w:rPr>
                  </w:pPr>
                  <w:r>
                    <w:rPr>
                      <w:rFonts w:hAnsi="宋体"/>
                      <w:color w:val="auto"/>
                      <w:sz w:val="22"/>
                      <w:szCs w:val="22"/>
                    </w:rPr>
                    <w:t>项目线路采取了塔基定位避让、减少进入长度、控制导线高度等环境保护措施</w:t>
                  </w:r>
                </w:p>
              </w:tc>
              <w:tc>
                <w:tcPr>
                  <w:tcW w:w="680" w:type="dxa"/>
                  <w:tcBorders>
                    <w:top w:val="single" w:color="auto" w:sz="6" w:space="0"/>
                    <w:left w:val="single" w:color="auto" w:sz="6" w:space="0"/>
                    <w:bottom w:val="single" w:color="auto" w:sz="4" w:space="0"/>
                    <w:right w:val="single" w:color="auto" w:sz="6" w:space="0"/>
                  </w:tcBorders>
                  <w:vAlign w:val="center"/>
                </w:tcPr>
                <w:p w14:paraId="6192617F">
                  <w:pPr>
                    <w:jc w:val="center"/>
                    <w:rPr>
                      <w:color w:val="auto"/>
                      <w:sz w:val="22"/>
                      <w:szCs w:val="22"/>
                    </w:rPr>
                  </w:pPr>
                  <w:r>
                    <w:rPr>
                      <w:rFonts w:hAnsi="宋体"/>
                      <w:color w:val="auto"/>
                      <w:kern w:val="0"/>
                      <w:sz w:val="22"/>
                      <w:szCs w:val="22"/>
                      <w:lang w:bidi="en-US"/>
                    </w:rPr>
                    <w:t>符合</w:t>
                  </w:r>
                </w:p>
              </w:tc>
            </w:tr>
            <w:tr w14:paraId="0E47117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843" w:type="dxa"/>
                  <w:vMerge w:val="continue"/>
                  <w:tcBorders>
                    <w:top w:val="single" w:color="auto" w:sz="6" w:space="0"/>
                    <w:left w:val="single" w:color="auto" w:sz="6" w:space="0"/>
                    <w:bottom w:val="single" w:color="auto" w:sz="4" w:space="0"/>
                    <w:right w:val="single" w:color="auto" w:sz="6" w:space="0"/>
                  </w:tcBorders>
                  <w:vAlign w:val="center"/>
                </w:tcPr>
                <w:p w14:paraId="67368D19">
                  <w:pPr>
                    <w:widowControl/>
                    <w:jc w:val="left"/>
                    <w:rPr>
                      <w:color w:val="auto"/>
                      <w:kern w:val="0"/>
                      <w:sz w:val="22"/>
                      <w:szCs w:val="22"/>
                      <w:lang w:bidi="en-US"/>
                    </w:rPr>
                  </w:pPr>
                </w:p>
              </w:tc>
              <w:tc>
                <w:tcPr>
                  <w:tcW w:w="3684" w:type="dxa"/>
                  <w:tcBorders>
                    <w:top w:val="single" w:color="auto" w:sz="4" w:space="0"/>
                    <w:left w:val="single" w:color="auto" w:sz="6" w:space="0"/>
                    <w:bottom w:val="single" w:color="auto" w:sz="4" w:space="0"/>
                    <w:right w:val="single" w:color="auto" w:sz="6" w:space="0"/>
                  </w:tcBorders>
                  <w:vAlign w:val="center"/>
                </w:tcPr>
                <w:p w14:paraId="0C62EB27">
                  <w:pPr>
                    <w:rPr>
                      <w:color w:val="auto"/>
                      <w:sz w:val="22"/>
                      <w:szCs w:val="22"/>
                    </w:rPr>
                  </w:pPr>
                  <w:r>
                    <w:rPr>
                      <w:color w:val="auto"/>
                      <w:sz w:val="22"/>
                      <w:szCs w:val="22"/>
                    </w:rPr>
                    <w:t>6.2.3</w:t>
                  </w:r>
                  <w:r>
                    <w:rPr>
                      <w:rFonts w:hAnsi="宋体"/>
                      <w:color w:val="auto"/>
                      <w:sz w:val="22"/>
                      <w:szCs w:val="22"/>
                    </w:rPr>
                    <w:t>架空输电线路经过电磁环境保护目标时，应采取避让或增加导线对地高度等措施，减少电磁环境影响。</w:t>
                  </w:r>
                </w:p>
              </w:tc>
              <w:tc>
                <w:tcPr>
                  <w:tcW w:w="2833" w:type="dxa"/>
                  <w:tcBorders>
                    <w:top w:val="single" w:color="auto" w:sz="4" w:space="0"/>
                    <w:left w:val="single" w:color="auto" w:sz="6" w:space="0"/>
                    <w:bottom w:val="single" w:color="auto" w:sz="4" w:space="0"/>
                    <w:right w:val="single" w:color="auto" w:sz="6" w:space="0"/>
                  </w:tcBorders>
                  <w:vAlign w:val="center"/>
                </w:tcPr>
                <w:p w14:paraId="23E77DCC">
                  <w:pPr>
                    <w:jc w:val="center"/>
                    <w:rPr>
                      <w:color w:val="auto"/>
                      <w:sz w:val="22"/>
                      <w:szCs w:val="22"/>
                    </w:rPr>
                  </w:pPr>
                  <w:r>
                    <w:rPr>
                      <w:rFonts w:hAnsi="宋体"/>
                      <w:color w:val="auto"/>
                      <w:sz w:val="22"/>
                      <w:szCs w:val="22"/>
                    </w:rPr>
                    <w:t>项目选线已尽量避开了集中居民区，经预测评价范围内的保护目标可达标</w:t>
                  </w:r>
                </w:p>
              </w:tc>
              <w:tc>
                <w:tcPr>
                  <w:tcW w:w="680" w:type="dxa"/>
                  <w:tcBorders>
                    <w:top w:val="single" w:color="auto" w:sz="4" w:space="0"/>
                    <w:left w:val="single" w:color="auto" w:sz="6" w:space="0"/>
                    <w:bottom w:val="single" w:color="auto" w:sz="4" w:space="0"/>
                    <w:right w:val="single" w:color="auto" w:sz="6" w:space="0"/>
                  </w:tcBorders>
                  <w:vAlign w:val="center"/>
                </w:tcPr>
                <w:p w14:paraId="59E3DD36">
                  <w:pPr>
                    <w:jc w:val="center"/>
                    <w:rPr>
                      <w:color w:val="auto"/>
                      <w:sz w:val="22"/>
                      <w:szCs w:val="22"/>
                    </w:rPr>
                  </w:pPr>
                  <w:r>
                    <w:rPr>
                      <w:rFonts w:hAnsi="宋体"/>
                      <w:color w:val="auto"/>
                      <w:kern w:val="0"/>
                      <w:sz w:val="22"/>
                      <w:szCs w:val="22"/>
                      <w:lang w:bidi="en-US"/>
                    </w:rPr>
                    <w:t>符合</w:t>
                  </w:r>
                </w:p>
              </w:tc>
            </w:tr>
            <w:tr w14:paraId="7214E8B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843" w:type="dxa"/>
                  <w:vMerge w:val="continue"/>
                  <w:tcBorders>
                    <w:top w:val="single" w:color="auto" w:sz="6" w:space="0"/>
                    <w:left w:val="single" w:color="auto" w:sz="6" w:space="0"/>
                    <w:bottom w:val="single" w:color="auto" w:sz="4" w:space="0"/>
                    <w:right w:val="single" w:color="auto" w:sz="6" w:space="0"/>
                  </w:tcBorders>
                  <w:vAlign w:val="center"/>
                </w:tcPr>
                <w:p w14:paraId="220D712F">
                  <w:pPr>
                    <w:widowControl/>
                    <w:jc w:val="left"/>
                    <w:rPr>
                      <w:color w:val="auto"/>
                      <w:kern w:val="0"/>
                      <w:sz w:val="22"/>
                      <w:szCs w:val="22"/>
                      <w:lang w:bidi="en-US"/>
                    </w:rPr>
                  </w:pPr>
                </w:p>
              </w:tc>
              <w:tc>
                <w:tcPr>
                  <w:tcW w:w="3684" w:type="dxa"/>
                  <w:tcBorders>
                    <w:top w:val="single" w:color="auto" w:sz="4" w:space="0"/>
                    <w:left w:val="single" w:color="auto" w:sz="6" w:space="0"/>
                    <w:bottom w:val="single" w:color="auto" w:sz="4" w:space="0"/>
                    <w:right w:val="single" w:color="auto" w:sz="6" w:space="0"/>
                  </w:tcBorders>
                  <w:vAlign w:val="center"/>
                </w:tcPr>
                <w:p w14:paraId="3E11812B">
                  <w:pPr>
                    <w:rPr>
                      <w:color w:val="auto"/>
                      <w:sz w:val="22"/>
                      <w:szCs w:val="22"/>
                    </w:rPr>
                  </w:pPr>
                  <w:r>
                    <w:rPr>
                      <w:color w:val="auto"/>
                      <w:sz w:val="22"/>
                      <w:szCs w:val="22"/>
                    </w:rPr>
                    <w:t>6.4.1</w:t>
                  </w:r>
                  <w:r>
                    <w:rPr>
                      <w:rFonts w:hAnsi="宋体"/>
                      <w:color w:val="auto"/>
                      <w:sz w:val="22"/>
                      <w:szCs w:val="22"/>
                    </w:rPr>
                    <w:t>输变电建设项目在设计过程中应按照避让、减缓、恢复的次序提出生态影响防护与恢复的措施。</w:t>
                  </w:r>
                </w:p>
              </w:tc>
              <w:tc>
                <w:tcPr>
                  <w:tcW w:w="2833" w:type="dxa"/>
                  <w:tcBorders>
                    <w:top w:val="single" w:color="auto" w:sz="4" w:space="0"/>
                    <w:left w:val="single" w:color="auto" w:sz="6" w:space="0"/>
                    <w:bottom w:val="single" w:color="auto" w:sz="4" w:space="0"/>
                    <w:right w:val="single" w:color="auto" w:sz="6" w:space="0"/>
                  </w:tcBorders>
                  <w:vAlign w:val="center"/>
                </w:tcPr>
                <w:p w14:paraId="555D5FE9">
                  <w:pPr>
                    <w:jc w:val="center"/>
                    <w:rPr>
                      <w:color w:val="auto"/>
                      <w:sz w:val="22"/>
                      <w:szCs w:val="22"/>
                    </w:rPr>
                  </w:pPr>
                  <w:r>
                    <w:rPr>
                      <w:rFonts w:hAnsi="宋体"/>
                      <w:color w:val="auto"/>
                      <w:sz w:val="22"/>
                      <w:szCs w:val="22"/>
                    </w:rPr>
                    <w:t>项目设计时已避让了相关生态敏感区，不能避让的采取了相关减缓及恢复措施</w:t>
                  </w:r>
                </w:p>
              </w:tc>
              <w:tc>
                <w:tcPr>
                  <w:tcW w:w="680" w:type="dxa"/>
                  <w:tcBorders>
                    <w:top w:val="single" w:color="auto" w:sz="4" w:space="0"/>
                    <w:left w:val="single" w:color="auto" w:sz="6" w:space="0"/>
                    <w:bottom w:val="single" w:color="auto" w:sz="4" w:space="0"/>
                    <w:right w:val="single" w:color="auto" w:sz="6" w:space="0"/>
                  </w:tcBorders>
                  <w:vAlign w:val="center"/>
                </w:tcPr>
                <w:p w14:paraId="3BECF70E">
                  <w:pPr>
                    <w:jc w:val="center"/>
                    <w:rPr>
                      <w:color w:val="auto"/>
                      <w:sz w:val="22"/>
                      <w:szCs w:val="22"/>
                    </w:rPr>
                  </w:pPr>
                  <w:r>
                    <w:rPr>
                      <w:rFonts w:hAnsi="宋体"/>
                      <w:color w:val="auto"/>
                      <w:kern w:val="0"/>
                      <w:sz w:val="22"/>
                      <w:szCs w:val="22"/>
                      <w:lang w:bidi="en-US"/>
                    </w:rPr>
                    <w:t>符合</w:t>
                  </w:r>
                </w:p>
              </w:tc>
            </w:tr>
            <w:tr w14:paraId="500389E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843" w:type="dxa"/>
                  <w:vMerge w:val="continue"/>
                  <w:tcBorders>
                    <w:top w:val="single" w:color="auto" w:sz="6" w:space="0"/>
                    <w:left w:val="single" w:color="auto" w:sz="6" w:space="0"/>
                    <w:bottom w:val="single" w:color="auto" w:sz="4" w:space="0"/>
                    <w:right w:val="single" w:color="auto" w:sz="6" w:space="0"/>
                  </w:tcBorders>
                  <w:vAlign w:val="center"/>
                </w:tcPr>
                <w:p w14:paraId="71C45734">
                  <w:pPr>
                    <w:widowControl/>
                    <w:jc w:val="left"/>
                    <w:rPr>
                      <w:color w:val="auto"/>
                      <w:kern w:val="0"/>
                      <w:sz w:val="22"/>
                      <w:szCs w:val="22"/>
                      <w:lang w:bidi="en-US"/>
                    </w:rPr>
                  </w:pPr>
                </w:p>
              </w:tc>
              <w:tc>
                <w:tcPr>
                  <w:tcW w:w="3684" w:type="dxa"/>
                  <w:tcBorders>
                    <w:top w:val="single" w:color="auto" w:sz="4" w:space="0"/>
                    <w:left w:val="single" w:color="auto" w:sz="6" w:space="0"/>
                    <w:bottom w:val="single" w:color="auto" w:sz="4" w:space="0"/>
                    <w:right w:val="single" w:color="auto" w:sz="6" w:space="0"/>
                  </w:tcBorders>
                  <w:vAlign w:val="center"/>
                </w:tcPr>
                <w:p w14:paraId="02BC2776">
                  <w:pPr>
                    <w:rPr>
                      <w:color w:val="auto"/>
                      <w:sz w:val="22"/>
                      <w:szCs w:val="22"/>
                    </w:rPr>
                  </w:pPr>
                  <w:r>
                    <w:rPr>
                      <w:color w:val="auto"/>
                      <w:sz w:val="22"/>
                      <w:szCs w:val="22"/>
                    </w:rPr>
                    <w:t>6.4.2</w:t>
                  </w:r>
                  <w:r>
                    <w:rPr>
                      <w:rFonts w:hAnsi="宋体"/>
                      <w:color w:val="auto"/>
                      <w:sz w:val="22"/>
                      <w:szCs w:val="22"/>
                    </w:rPr>
                    <w:t>输电线路应因地制宜合理选择塔基基础，在山丘区应采用全方位长短腿与不等高基础设计，以减少土石方开挖。输电线路无法避让集中林区时，应采取控制导线高度设计，以减少林木砍伐，保护生态环境。</w:t>
                  </w:r>
                </w:p>
              </w:tc>
              <w:tc>
                <w:tcPr>
                  <w:tcW w:w="2833" w:type="dxa"/>
                  <w:tcBorders>
                    <w:top w:val="single" w:color="auto" w:sz="4" w:space="0"/>
                    <w:left w:val="single" w:color="auto" w:sz="6" w:space="0"/>
                    <w:bottom w:val="single" w:color="auto" w:sz="4" w:space="0"/>
                    <w:right w:val="single" w:color="auto" w:sz="6" w:space="0"/>
                  </w:tcBorders>
                  <w:vAlign w:val="center"/>
                </w:tcPr>
                <w:p w14:paraId="2EC4487E">
                  <w:pPr>
                    <w:jc w:val="center"/>
                    <w:rPr>
                      <w:color w:val="auto"/>
                      <w:sz w:val="22"/>
                      <w:szCs w:val="22"/>
                    </w:rPr>
                  </w:pPr>
                  <w:r>
                    <w:rPr>
                      <w:rFonts w:hAnsi="宋体"/>
                      <w:color w:val="auto"/>
                      <w:sz w:val="22"/>
                      <w:szCs w:val="22"/>
                    </w:rPr>
                    <w:t>项目设计采用全方位长短腿与不等高基础，跨越林区导线离地高度设计较高，减少砍伐</w:t>
                  </w:r>
                </w:p>
              </w:tc>
              <w:tc>
                <w:tcPr>
                  <w:tcW w:w="680" w:type="dxa"/>
                  <w:tcBorders>
                    <w:top w:val="single" w:color="auto" w:sz="4" w:space="0"/>
                    <w:left w:val="single" w:color="auto" w:sz="6" w:space="0"/>
                    <w:bottom w:val="single" w:color="auto" w:sz="4" w:space="0"/>
                    <w:right w:val="single" w:color="auto" w:sz="6" w:space="0"/>
                  </w:tcBorders>
                  <w:vAlign w:val="center"/>
                </w:tcPr>
                <w:p w14:paraId="2B8E1581">
                  <w:pPr>
                    <w:jc w:val="center"/>
                    <w:rPr>
                      <w:color w:val="auto"/>
                      <w:sz w:val="22"/>
                      <w:szCs w:val="22"/>
                    </w:rPr>
                  </w:pPr>
                  <w:r>
                    <w:rPr>
                      <w:rFonts w:hAnsi="宋体"/>
                      <w:color w:val="auto"/>
                      <w:kern w:val="0"/>
                      <w:sz w:val="22"/>
                      <w:szCs w:val="22"/>
                      <w:lang w:bidi="en-US"/>
                    </w:rPr>
                    <w:t>符合</w:t>
                  </w:r>
                </w:p>
              </w:tc>
            </w:tr>
            <w:tr w14:paraId="4E26E41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843" w:type="dxa"/>
                  <w:vMerge w:val="continue"/>
                  <w:tcBorders>
                    <w:top w:val="single" w:color="auto" w:sz="6" w:space="0"/>
                    <w:left w:val="single" w:color="auto" w:sz="6" w:space="0"/>
                    <w:bottom w:val="single" w:color="auto" w:sz="4" w:space="0"/>
                    <w:right w:val="single" w:color="auto" w:sz="6" w:space="0"/>
                  </w:tcBorders>
                  <w:vAlign w:val="center"/>
                </w:tcPr>
                <w:p w14:paraId="2D45E46E">
                  <w:pPr>
                    <w:widowControl/>
                    <w:jc w:val="left"/>
                    <w:rPr>
                      <w:color w:val="auto"/>
                      <w:kern w:val="0"/>
                      <w:sz w:val="22"/>
                      <w:szCs w:val="22"/>
                      <w:lang w:bidi="en-US"/>
                    </w:rPr>
                  </w:pPr>
                </w:p>
              </w:tc>
              <w:tc>
                <w:tcPr>
                  <w:tcW w:w="3684" w:type="dxa"/>
                  <w:tcBorders>
                    <w:top w:val="single" w:color="auto" w:sz="4" w:space="0"/>
                    <w:left w:val="single" w:color="auto" w:sz="6" w:space="0"/>
                    <w:bottom w:val="single" w:color="auto" w:sz="4" w:space="0"/>
                    <w:right w:val="single" w:color="auto" w:sz="6" w:space="0"/>
                  </w:tcBorders>
                  <w:vAlign w:val="center"/>
                </w:tcPr>
                <w:p w14:paraId="2B06FC28">
                  <w:pPr>
                    <w:rPr>
                      <w:color w:val="auto"/>
                      <w:sz w:val="22"/>
                      <w:szCs w:val="22"/>
                    </w:rPr>
                  </w:pPr>
                  <w:r>
                    <w:rPr>
                      <w:color w:val="auto"/>
                      <w:sz w:val="22"/>
                      <w:szCs w:val="22"/>
                    </w:rPr>
                    <w:t>6.4.3</w:t>
                  </w:r>
                  <w:r>
                    <w:rPr>
                      <w:rFonts w:hAnsi="宋体"/>
                      <w:color w:val="auto"/>
                      <w:sz w:val="22"/>
                      <w:szCs w:val="22"/>
                    </w:rPr>
                    <w:t>输变电建设项目临时占地，应因地制宜进行土地功能恢复设计。</w:t>
                  </w:r>
                </w:p>
              </w:tc>
              <w:tc>
                <w:tcPr>
                  <w:tcW w:w="2833" w:type="dxa"/>
                  <w:tcBorders>
                    <w:top w:val="single" w:color="auto" w:sz="4" w:space="0"/>
                    <w:left w:val="single" w:color="auto" w:sz="6" w:space="0"/>
                    <w:bottom w:val="single" w:color="auto" w:sz="4" w:space="0"/>
                    <w:right w:val="single" w:color="auto" w:sz="6" w:space="0"/>
                  </w:tcBorders>
                  <w:vAlign w:val="center"/>
                </w:tcPr>
                <w:p w14:paraId="37482625">
                  <w:pPr>
                    <w:jc w:val="center"/>
                    <w:rPr>
                      <w:color w:val="auto"/>
                      <w:sz w:val="22"/>
                      <w:szCs w:val="22"/>
                    </w:rPr>
                  </w:pPr>
                  <w:r>
                    <w:rPr>
                      <w:rFonts w:hAnsi="宋体"/>
                      <w:color w:val="auto"/>
                      <w:sz w:val="22"/>
                      <w:szCs w:val="22"/>
                    </w:rPr>
                    <w:t>项目临时占地较少，且施工结束后</w:t>
                  </w:r>
                  <w:r>
                    <w:rPr>
                      <w:rFonts w:hint="eastAsia" w:hAnsi="宋体"/>
                      <w:color w:val="auto"/>
                      <w:sz w:val="22"/>
                      <w:szCs w:val="22"/>
                      <w:lang w:val="en-US" w:eastAsia="zh-CN"/>
                    </w:rPr>
                    <w:t>即刻</w:t>
                  </w:r>
                  <w:r>
                    <w:rPr>
                      <w:rFonts w:hAnsi="宋体"/>
                      <w:color w:val="auto"/>
                      <w:sz w:val="22"/>
                      <w:szCs w:val="22"/>
                    </w:rPr>
                    <w:t>恢复</w:t>
                  </w:r>
                </w:p>
              </w:tc>
              <w:tc>
                <w:tcPr>
                  <w:tcW w:w="680" w:type="dxa"/>
                  <w:tcBorders>
                    <w:top w:val="single" w:color="auto" w:sz="4" w:space="0"/>
                    <w:left w:val="single" w:color="auto" w:sz="6" w:space="0"/>
                    <w:bottom w:val="single" w:color="auto" w:sz="4" w:space="0"/>
                    <w:right w:val="single" w:color="auto" w:sz="6" w:space="0"/>
                  </w:tcBorders>
                  <w:vAlign w:val="center"/>
                </w:tcPr>
                <w:p w14:paraId="420C0E61">
                  <w:pPr>
                    <w:jc w:val="center"/>
                    <w:rPr>
                      <w:color w:val="auto"/>
                      <w:sz w:val="22"/>
                      <w:szCs w:val="22"/>
                    </w:rPr>
                  </w:pPr>
                  <w:r>
                    <w:rPr>
                      <w:rFonts w:hAnsi="宋体"/>
                      <w:color w:val="auto"/>
                      <w:kern w:val="0"/>
                      <w:sz w:val="22"/>
                      <w:szCs w:val="22"/>
                      <w:lang w:bidi="en-US"/>
                    </w:rPr>
                    <w:t>符合</w:t>
                  </w:r>
                </w:p>
              </w:tc>
            </w:tr>
            <w:tr w14:paraId="05C9A41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843" w:type="dxa"/>
                  <w:vMerge w:val="continue"/>
                  <w:tcBorders>
                    <w:top w:val="single" w:color="auto" w:sz="6" w:space="0"/>
                    <w:left w:val="single" w:color="auto" w:sz="6" w:space="0"/>
                    <w:bottom w:val="single" w:color="auto" w:sz="4" w:space="0"/>
                    <w:right w:val="single" w:color="auto" w:sz="6" w:space="0"/>
                  </w:tcBorders>
                  <w:vAlign w:val="center"/>
                </w:tcPr>
                <w:p w14:paraId="046077E0">
                  <w:pPr>
                    <w:widowControl/>
                    <w:jc w:val="left"/>
                    <w:rPr>
                      <w:color w:val="auto"/>
                      <w:kern w:val="0"/>
                      <w:sz w:val="22"/>
                      <w:szCs w:val="22"/>
                      <w:lang w:bidi="en-US"/>
                    </w:rPr>
                  </w:pPr>
                </w:p>
              </w:tc>
              <w:tc>
                <w:tcPr>
                  <w:tcW w:w="3684" w:type="dxa"/>
                  <w:tcBorders>
                    <w:top w:val="single" w:color="auto" w:sz="4" w:space="0"/>
                    <w:left w:val="single" w:color="auto" w:sz="6" w:space="0"/>
                    <w:bottom w:val="single" w:color="auto" w:sz="4" w:space="0"/>
                    <w:right w:val="single" w:color="auto" w:sz="6" w:space="0"/>
                  </w:tcBorders>
                  <w:vAlign w:val="center"/>
                </w:tcPr>
                <w:p w14:paraId="2794804D">
                  <w:pPr>
                    <w:rPr>
                      <w:color w:val="auto"/>
                      <w:sz w:val="22"/>
                      <w:szCs w:val="22"/>
                    </w:rPr>
                  </w:pPr>
                  <w:r>
                    <w:rPr>
                      <w:color w:val="auto"/>
                      <w:sz w:val="22"/>
                      <w:szCs w:val="22"/>
                    </w:rPr>
                    <w:t>6.4.4</w:t>
                  </w:r>
                  <w:r>
                    <w:rPr>
                      <w:rFonts w:hAnsi="宋体"/>
                      <w:color w:val="auto"/>
                      <w:sz w:val="22"/>
                      <w:szCs w:val="22"/>
                    </w:rPr>
                    <w:t>进入自然保护区的输电线路，应根据生态现状调查结果，制定相应的保护方案。塔基定位应避让珍稀濒危物种、保护植物和保护动物的栖息地，根据保护对象的特性设计相应的生态环境保护措施、设施等。</w:t>
                  </w:r>
                </w:p>
              </w:tc>
              <w:tc>
                <w:tcPr>
                  <w:tcW w:w="2833" w:type="dxa"/>
                  <w:tcBorders>
                    <w:top w:val="single" w:color="auto" w:sz="4" w:space="0"/>
                    <w:left w:val="single" w:color="auto" w:sz="6" w:space="0"/>
                    <w:bottom w:val="single" w:color="auto" w:sz="4" w:space="0"/>
                    <w:right w:val="single" w:color="auto" w:sz="6" w:space="0"/>
                  </w:tcBorders>
                  <w:vAlign w:val="center"/>
                </w:tcPr>
                <w:p w14:paraId="0948306F">
                  <w:pPr>
                    <w:jc w:val="center"/>
                    <w:rPr>
                      <w:color w:val="auto"/>
                      <w:sz w:val="22"/>
                      <w:szCs w:val="22"/>
                    </w:rPr>
                  </w:pPr>
                  <w:r>
                    <w:rPr>
                      <w:rFonts w:hAnsi="宋体"/>
                      <w:color w:val="auto"/>
                      <w:sz w:val="22"/>
                      <w:szCs w:val="22"/>
                    </w:rPr>
                    <w:t>项目线路</w:t>
                  </w:r>
                  <w:r>
                    <w:rPr>
                      <w:rFonts w:hint="eastAsia" w:hAnsi="宋体"/>
                      <w:color w:val="auto"/>
                      <w:sz w:val="22"/>
                      <w:szCs w:val="22"/>
                    </w:rPr>
                    <w:t>开展了</w:t>
                  </w:r>
                  <w:r>
                    <w:rPr>
                      <w:rFonts w:hAnsi="宋体"/>
                      <w:color w:val="auto"/>
                      <w:sz w:val="22"/>
                      <w:szCs w:val="22"/>
                    </w:rPr>
                    <w:t>生态现状调查，并制定了相应的保护方案</w:t>
                  </w:r>
                </w:p>
              </w:tc>
              <w:tc>
                <w:tcPr>
                  <w:tcW w:w="680" w:type="dxa"/>
                  <w:tcBorders>
                    <w:top w:val="single" w:color="auto" w:sz="4" w:space="0"/>
                    <w:left w:val="single" w:color="auto" w:sz="6" w:space="0"/>
                    <w:bottom w:val="single" w:color="auto" w:sz="4" w:space="0"/>
                    <w:right w:val="single" w:color="auto" w:sz="6" w:space="0"/>
                  </w:tcBorders>
                  <w:vAlign w:val="center"/>
                </w:tcPr>
                <w:p w14:paraId="374C338A">
                  <w:pPr>
                    <w:jc w:val="center"/>
                    <w:rPr>
                      <w:color w:val="auto"/>
                      <w:sz w:val="22"/>
                      <w:szCs w:val="22"/>
                    </w:rPr>
                  </w:pPr>
                  <w:r>
                    <w:rPr>
                      <w:rFonts w:hAnsi="宋体"/>
                      <w:color w:val="auto"/>
                      <w:kern w:val="0"/>
                      <w:sz w:val="22"/>
                      <w:szCs w:val="22"/>
                      <w:lang w:bidi="en-US"/>
                    </w:rPr>
                    <w:t>符合</w:t>
                  </w:r>
                </w:p>
              </w:tc>
            </w:tr>
            <w:tr w14:paraId="7C79F8A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843" w:type="dxa"/>
                  <w:tcBorders>
                    <w:top w:val="single" w:color="auto" w:sz="4" w:space="0"/>
                    <w:left w:val="single" w:color="auto" w:sz="6" w:space="0"/>
                    <w:bottom w:val="single" w:color="auto" w:sz="6" w:space="0"/>
                    <w:right w:val="single" w:color="auto" w:sz="6" w:space="0"/>
                  </w:tcBorders>
                  <w:vAlign w:val="center"/>
                </w:tcPr>
                <w:p w14:paraId="7D9315AB">
                  <w:pPr>
                    <w:tabs>
                      <w:tab w:val="left" w:pos="4"/>
                    </w:tabs>
                    <w:jc w:val="center"/>
                    <w:rPr>
                      <w:color w:val="auto"/>
                      <w:kern w:val="0"/>
                      <w:sz w:val="22"/>
                      <w:szCs w:val="22"/>
                      <w:lang w:bidi="en-US"/>
                    </w:rPr>
                  </w:pPr>
                  <w:r>
                    <w:rPr>
                      <w:color w:val="auto"/>
                      <w:kern w:val="0"/>
                      <w:sz w:val="22"/>
                      <w:szCs w:val="22"/>
                      <w:lang w:bidi="en-US"/>
                    </w:rPr>
                    <w:t>7</w:t>
                  </w:r>
                  <w:r>
                    <w:rPr>
                      <w:rFonts w:hAnsi="宋体"/>
                      <w:color w:val="auto"/>
                      <w:kern w:val="0"/>
                      <w:sz w:val="22"/>
                      <w:szCs w:val="22"/>
                      <w:lang w:bidi="en-US"/>
                    </w:rPr>
                    <w:t>施工</w:t>
                  </w:r>
                </w:p>
              </w:tc>
              <w:tc>
                <w:tcPr>
                  <w:tcW w:w="3684" w:type="dxa"/>
                  <w:tcBorders>
                    <w:top w:val="single" w:color="auto" w:sz="4" w:space="0"/>
                    <w:left w:val="single" w:color="auto" w:sz="6" w:space="0"/>
                    <w:bottom w:val="single" w:color="auto" w:sz="4" w:space="0"/>
                    <w:right w:val="single" w:color="auto" w:sz="6" w:space="0"/>
                  </w:tcBorders>
                  <w:vAlign w:val="center"/>
                </w:tcPr>
                <w:p w14:paraId="3917C6CC">
                  <w:pPr>
                    <w:rPr>
                      <w:color w:val="auto"/>
                      <w:sz w:val="22"/>
                      <w:szCs w:val="22"/>
                    </w:rPr>
                  </w:pPr>
                  <w:r>
                    <w:rPr>
                      <w:color w:val="auto"/>
                      <w:sz w:val="22"/>
                      <w:szCs w:val="22"/>
                    </w:rPr>
                    <w:t>7.1.2</w:t>
                  </w:r>
                  <w:r>
                    <w:rPr>
                      <w:rFonts w:hAnsi="宋体"/>
                      <w:color w:val="auto"/>
                      <w:sz w:val="22"/>
                      <w:szCs w:val="22"/>
                    </w:rPr>
                    <w:t>进入自然保护区和饮用水水源保护区等环境敏感区的输电线路，建设单位应加强施工过程的管理，开展环境保护培训，明确保护对象和保护要求，严格控制施工影响范围，确定适宜的施工季节和施工方式，减少对环境保护对象的不利影响。</w:t>
                  </w:r>
                </w:p>
              </w:tc>
              <w:tc>
                <w:tcPr>
                  <w:tcW w:w="2833" w:type="dxa"/>
                  <w:tcBorders>
                    <w:top w:val="single" w:color="auto" w:sz="4" w:space="0"/>
                    <w:left w:val="single" w:color="auto" w:sz="6" w:space="0"/>
                    <w:bottom w:val="single" w:color="auto" w:sz="4" w:space="0"/>
                    <w:right w:val="single" w:color="auto" w:sz="6" w:space="0"/>
                  </w:tcBorders>
                  <w:vAlign w:val="center"/>
                </w:tcPr>
                <w:p w14:paraId="7C963F27">
                  <w:pPr>
                    <w:jc w:val="center"/>
                    <w:rPr>
                      <w:color w:val="auto"/>
                      <w:sz w:val="22"/>
                      <w:szCs w:val="22"/>
                    </w:rPr>
                  </w:pPr>
                  <w:r>
                    <w:rPr>
                      <w:rFonts w:hAnsi="宋体"/>
                      <w:color w:val="auto"/>
                      <w:sz w:val="22"/>
                      <w:szCs w:val="22"/>
                    </w:rPr>
                    <w:t>评价在生态专题中提出了相关管理要求</w:t>
                  </w:r>
                </w:p>
              </w:tc>
              <w:tc>
                <w:tcPr>
                  <w:tcW w:w="680" w:type="dxa"/>
                  <w:tcBorders>
                    <w:top w:val="single" w:color="auto" w:sz="4" w:space="0"/>
                    <w:left w:val="single" w:color="auto" w:sz="6" w:space="0"/>
                    <w:bottom w:val="single" w:color="auto" w:sz="4" w:space="0"/>
                    <w:right w:val="single" w:color="auto" w:sz="6" w:space="0"/>
                  </w:tcBorders>
                  <w:vAlign w:val="center"/>
                </w:tcPr>
                <w:p w14:paraId="50417E17">
                  <w:pPr>
                    <w:jc w:val="center"/>
                    <w:rPr>
                      <w:color w:val="auto"/>
                      <w:sz w:val="22"/>
                      <w:szCs w:val="22"/>
                    </w:rPr>
                  </w:pPr>
                  <w:r>
                    <w:rPr>
                      <w:rFonts w:hAnsi="宋体"/>
                      <w:color w:val="auto"/>
                      <w:kern w:val="0"/>
                      <w:sz w:val="22"/>
                      <w:szCs w:val="22"/>
                      <w:lang w:bidi="en-US"/>
                    </w:rPr>
                    <w:t>符合</w:t>
                  </w:r>
                </w:p>
              </w:tc>
            </w:tr>
          </w:tbl>
          <w:p w14:paraId="087B532E">
            <w:pPr>
              <w:adjustRightInd w:val="0"/>
              <w:snapToGrid w:val="0"/>
              <w:spacing w:line="460" w:lineRule="exact"/>
              <w:rPr>
                <w:bCs/>
                <w:color w:val="auto"/>
                <w:sz w:val="26"/>
                <w:szCs w:val="26"/>
              </w:rPr>
            </w:pPr>
          </w:p>
        </w:tc>
      </w:tr>
    </w:tbl>
    <w:p w14:paraId="758C3C1A">
      <w:pPr>
        <w:pStyle w:val="21"/>
        <w:jc w:val="center"/>
        <w:rPr>
          <w:rFonts w:ascii="Times New Roman" w:hAnsi="Times New Roman" w:eastAsia="黑体"/>
          <w:snapToGrid w:val="0"/>
          <w:color w:val="auto"/>
          <w:sz w:val="36"/>
          <w:szCs w:val="36"/>
        </w:rPr>
        <w:sectPr>
          <w:pgSz w:w="11906" w:h="16838"/>
          <w:pgMar w:top="1440" w:right="1800" w:bottom="1440" w:left="1800" w:header="851" w:footer="1077" w:gutter="0"/>
          <w:cols w:space="425" w:num="1"/>
          <w:docGrid w:linePitch="312" w:charSpace="0"/>
        </w:sectPr>
      </w:pPr>
    </w:p>
    <w:p w14:paraId="15A7AC06">
      <w:pPr>
        <w:pStyle w:val="21"/>
        <w:jc w:val="center"/>
        <w:outlineLvl w:val="0"/>
        <w:rPr>
          <w:rFonts w:ascii="Times New Roman" w:hAnsi="Times New Roman" w:eastAsia="黑体"/>
          <w:snapToGrid w:val="0"/>
          <w:color w:val="auto"/>
          <w:sz w:val="30"/>
          <w:szCs w:val="30"/>
        </w:rPr>
      </w:pPr>
      <w:bookmarkStart w:id="13" w:name="_Toc25312"/>
      <w:r>
        <w:rPr>
          <w:rFonts w:ascii="Times New Roman" w:hAnsi="Times New Roman" w:eastAsia="黑体"/>
          <w:snapToGrid w:val="0"/>
          <w:color w:val="auto"/>
          <w:sz w:val="30"/>
          <w:szCs w:val="30"/>
        </w:rPr>
        <w:t>五、主要生态环境保护措施</w:t>
      </w:r>
      <w:bookmarkEnd w:id="13"/>
    </w:p>
    <w:tbl>
      <w:tblPr>
        <w:tblStyle w:val="25"/>
        <w:tblW w:w="921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53"/>
        <w:gridCol w:w="8457"/>
      </w:tblGrid>
      <w:tr w14:paraId="6DEAAF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72" w:hRule="atLeast"/>
          <w:jc w:val="center"/>
        </w:trPr>
        <w:tc>
          <w:tcPr>
            <w:tcW w:w="753" w:type="dxa"/>
            <w:tcMar>
              <w:left w:w="28" w:type="dxa"/>
              <w:right w:w="28" w:type="dxa"/>
            </w:tcMar>
            <w:vAlign w:val="center"/>
          </w:tcPr>
          <w:p w14:paraId="6DECD01A">
            <w:pPr>
              <w:adjustRightInd w:val="0"/>
              <w:snapToGrid w:val="0"/>
              <w:spacing w:line="460" w:lineRule="exact"/>
              <w:jc w:val="center"/>
              <w:rPr>
                <w:bCs/>
                <w:color w:val="auto"/>
                <w:szCs w:val="21"/>
              </w:rPr>
            </w:pPr>
            <w:r>
              <w:rPr>
                <w:rFonts w:hint="eastAsia"/>
                <w:color w:val="auto"/>
                <w:kern w:val="0"/>
                <w:sz w:val="26"/>
                <w:szCs w:val="26"/>
              </w:rPr>
              <w:t>施工期生态环境保护措施</w:t>
            </w:r>
          </w:p>
        </w:tc>
        <w:tc>
          <w:tcPr>
            <w:tcW w:w="8457" w:type="dxa"/>
          </w:tcPr>
          <w:p w14:paraId="688C06FC">
            <w:pPr>
              <w:spacing w:line="460" w:lineRule="exact"/>
              <w:rPr>
                <w:b/>
                <w:bCs/>
                <w:color w:val="auto"/>
                <w:sz w:val="26"/>
                <w:szCs w:val="26"/>
              </w:rPr>
            </w:pPr>
            <w:bookmarkStart w:id="14" w:name="_Toc272117062"/>
            <w:r>
              <w:rPr>
                <w:rFonts w:hint="eastAsia"/>
                <w:b/>
                <w:bCs/>
                <w:color w:val="auto"/>
                <w:sz w:val="26"/>
                <w:szCs w:val="26"/>
              </w:rPr>
              <w:t>5</w:t>
            </w:r>
            <w:r>
              <w:rPr>
                <w:b/>
                <w:bCs/>
                <w:color w:val="auto"/>
                <w:sz w:val="26"/>
                <w:szCs w:val="26"/>
              </w:rPr>
              <w:t>.1</w:t>
            </w:r>
            <w:r>
              <w:rPr>
                <w:rFonts w:hint="eastAsia"/>
                <w:b/>
                <w:bCs/>
                <w:color w:val="auto"/>
                <w:sz w:val="26"/>
                <w:szCs w:val="26"/>
              </w:rPr>
              <w:t>施工期生态环境保护措施</w:t>
            </w:r>
          </w:p>
          <w:p w14:paraId="7A9A041E">
            <w:pPr>
              <w:spacing w:line="460" w:lineRule="exact"/>
              <w:ind w:firstLine="522" w:firstLineChars="200"/>
              <w:rPr>
                <w:b/>
                <w:bCs/>
                <w:color w:val="auto"/>
                <w:sz w:val="26"/>
                <w:szCs w:val="26"/>
              </w:rPr>
            </w:pPr>
            <w:r>
              <w:rPr>
                <w:b/>
                <w:bCs/>
                <w:color w:val="auto"/>
                <w:sz w:val="26"/>
                <w:szCs w:val="26"/>
              </w:rPr>
              <w:t>5.1.1</w:t>
            </w:r>
            <w:bookmarkEnd w:id="14"/>
            <w:r>
              <w:rPr>
                <w:rFonts w:hint="eastAsia"/>
                <w:b/>
                <w:bCs/>
                <w:color w:val="auto"/>
                <w:sz w:val="26"/>
                <w:szCs w:val="26"/>
              </w:rPr>
              <w:t>地表水环境保护措施</w:t>
            </w:r>
          </w:p>
          <w:p w14:paraId="56F87C0F">
            <w:pPr>
              <w:spacing w:line="460" w:lineRule="exact"/>
              <w:ind w:firstLine="522" w:firstLineChars="200"/>
              <w:rPr>
                <w:b/>
                <w:bCs/>
                <w:color w:val="auto"/>
                <w:sz w:val="26"/>
                <w:szCs w:val="26"/>
              </w:rPr>
            </w:pPr>
            <w:r>
              <w:rPr>
                <w:rFonts w:hint="eastAsia"/>
                <w:b/>
                <w:bCs/>
                <w:color w:val="auto"/>
                <w:sz w:val="26"/>
                <w:szCs w:val="26"/>
              </w:rPr>
              <w:t>设计阶段：</w:t>
            </w:r>
          </w:p>
          <w:p w14:paraId="4F4C7572">
            <w:pPr>
              <w:spacing w:line="460" w:lineRule="exact"/>
              <w:ind w:firstLine="520" w:firstLineChars="200"/>
              <w:rPr>
                <w:color w:val="auto"/>
                <w:sz w:val="26"/>
                <w:szCs w:val="26"/>
              </w:rPr>
            </w:pPr>
            <w:r>
              <w:rPr>
                <w:rFonts w:hint="eastAsia"/>
                <w:color w:val="auto"/>
                <w:sz w:val="26"/>
                <w:szCs w:val="26"/>
              </w:rPr>
              <w:t>项目施工</w:t>
            </w:r>
            <w:r>
              <w:rPr>
                <w:rFonts w:hint="eastAsia"/>
                <w:color w:val="auto"/>
                <w:sz w:val="26"/>
                <w:szCs w:val="26"/>
                <w:lang w:val="en-US" w:eastAsia="zh-CN"/>
              </w:rPr>
              <w:t>期</w:t>
            </w:r>
            <w:r>
              <w:rPr>
                <w:rFonts w:hint="eastAsia"/>
                <w:color w:val="auto"/>
                <w:sz w:val="26"/>
                <w:szCs w:val="26"/>
              </w:rPr>
              <w:t>全部使用商品混凝土，现场不设混凝土搅拌机。</w:t>
            </w:r>
          </w:p>
          <w:p w14:paraId="67268CD9">
            <w:pPr>
              <w:spacing w:line="460" w:lineRule="exact"/>
              <w:ind w:firstLine="522" w:firstLineChars="200"/>
              <w:rPr>
                <w:b/>
                <w:bCs/>
                <w:color w:val="auto"/>
                <w:sz w:val="26"/>
                <w:szCs w:val="26"/>
              </w:rPr>
            </w:pPr>
            <w:r>
              <w:rPr>
                <w:rFonts w:hint="eastAsia"/>
                <w:b/>
                <w:bCs/>
                <w:color w:val="auto"/>
                <w:sz w:val="26"/>
                <w:szCs w:val="26"/>
              </w:rPr>
              <w:t>施工阶段：</w:t>
            </w:r>
          </w:p>
          <w:p w14:paraId="5ED939CD">
            <w:pPr>
              <w:spacing w:line="460" w:lineRule="exact"/>
              <w:ind w:firstLine="520" w:firstLineChars="200"/>
              <w:rPr>
                <w:color w:val="auto"/>
                <w:sz w:val="26"/>
                <w:szCs w:val="26"/>
              </w:rPr>
            </w:pPr>
            <w:r>
              <w:rPr>
                <w:rFonts w:hint="eastAsia"/>
                <w:color w:val="auto"/>
                <w:sz w:val="26"/>
                <w:szCs w:val="26"/>
              </w:rPr>
              <w:t>（1）施工期间做好施工场地周围的拦挡措施，尽量避免雨季开挖作业；</w:t>
            </w:r>
          </w:p>
          <w:p w14:paraId="6D07816C">
            <w:pPr>
              <w:spacing w:line="460" w:lineRule="exact"/>
              <w:ind w:firstLine="520" w:firstLineChars="200"/>
              <w:rPr>
                <w:color w:val="auto"/>
                <w:sz w:val="26"/>
                <w:szCs w:val="26"/>
              </w:rPr>
            </w:pPr>
            <w:r>
              <w:rPr>
                <w:rFonts w:hint="eastAsia"/>
                <w:color w:val="auto"/>
                <w:sz w:val="26"/>
                <w:szCs w:val="26"/>
              </w:rPr>
              <w:t>（2）施工人员生活污水全部依托周边已有的污水处理设施进行处理，不外排。</w:t>
            </w:r>
          </w:p>
          <w:p w14:paraId="05C35A1F">
            <w:pPr>
              <w:spacing w:line="460" w:lineRule="exact"/>
              <w:ind w:firstLine="522" w:firstLineChars="200"/>
              <w:rPr>
                <w:b/>
                <w:bCs/>
                <w:color w:val="auto"/>
                <w:sz w:val="26"/>
                <w:szCs w:val="26"/>
              </w:rPr>
            </w:pPr>
            <w:bookmarkStart w:id="15" w:name="_Toc272117063"/>
            <w:r>
              <w:rPr>
                <w:b/>
                <w:bCs/>
                <w:color w:val="auto"/>
                <w:sz w:val="26"/>
                <w:szCs w:val="26"/>
              </w:rPr>
              <w:t>5.1.2</w:t>
            </w:r>
            <w:r>
              <w:rPr>
                <w:rFonts w:hint="eastAsia"/>
                <w:b/>
                <w:bCs/>
                <w:color w:val="auto"/>
                <w:sz w:val="26"/>
                <w:szCs w:val="26"/>
              </w:rPr>
              <w:t>环境空气</w:t>
            </w:r>
            <w:bookmarkEnd w:id="15"/>
            <w:r>
              <w:rPr>
                <w:rFonts w:hint="eastAsia"/>
                <w:b/>
                <w:bCs/>
                <w:color w:val="auto"/>
                <w:sz w:val="26"/>
                <w:szCs w:val="26"/>
              </w:rPr>
              <w:t>保护措施</w:t>
            </w:r>
          </w:p>
          <w:p w14:paraId="76EA40E8">
            <w:pPr>
              <w:spacing w:line="460" w:lineRule="exact"/>
              <w:ind w:firstLine="522" w:firstLineChars="200"/>
              <w:rPr>
                <w:b/>
                <w:bCs/>
                <w:color w:val="auto"/>
                <w:sz w:val="26"/>
                <w:szCs w:val="26"/>
              </w:rPr>
            </w:pPr>
            <w:r>
              <w:rPr>
                <w:rFonts w:hint="eastAsia"/>
                <w:b/>
                <w:bCs/>
                <w:color w:val="auto"/>
                <w:sz w:val="26"/>
                <w:szCs w:val="26"/>
              </w:rPr>
              <w:t>设计阶段：</w:t>
            </w:r>
          </w:p>
          <w:p w14:paraId="348D5E2E">
            <w:pPr>
              <w:spacing w:line="460" w:lineRule="exact"/>
              <w:ind w:firstLine="520" w:firstLineChars="200"/>
              <w:rPr>
                <w:color w:val="auto"/>
                <w:sz w:val="26"/>
                <w:szCs w:val="26"/>
              </w:rPr>
            </w:pPr>
            <w:r>
              <w:rPr>
                <w:rFonts w:hint="eastAsia"/>
                <w:color w:val="auto"/>
                <w:sz w:val="26"/>
                <w:szCs w:val="26"/>
              </w:rPr>
              <w:t>（1）针对施工任务和施工场地环境状况，制定合理的施工计划，缩短施工周期，减少施工现场的作业面，减轻施工扬尘对环境的影响；</w:t>
            </w:r>
          </w:p>
          <w:p w14:paraId="47A96BA2">
            <w:pPr>
              <w:spacing w:line="460" w:lineRule="exact"/>
              <w:ind w:firstLine="520" w:firstLineChars="200"/>
              <w:rPr>
                <w:color w:val="auto"/>
                <w:sz w:val="26"/>
                <w:szCs w:val="26"/>
              </w:rPr>
            </w:pPr>
            <w:r>
              <w:rPr>
                <w:rFonts w:hint="eastAsia"/>
                <w:color w:val="auto"/>
                <w:sz w:val="26"/>
                <w:szCs w:val="26"/>
              </w:rPr>
              <w:t>（2）施工工艺选择上减少大型机械使用，确需使用的应采用先进的施工机械，选用低硫优质柴油作燃料，减少燃油机械废气排放；</w:t>
            </w:r>
          </w:p>
          <w:p w14:paraId="45BC51B5">
            <w:pPr>
              <w:spacing w:line="460" w:lineRule="exact"/>
              <w:ind w:firstLine="520" w:firstLineChars="200"/>
              <w:rPr>
                <w:color w:val="auto"/>
                <w:sz w:val="26"/>
                <w:szCs w:val="26"/>
              </w:rPr>
            </w:pPr>
            <w:r>
              <w:rPr>
                <w:rFonts w:hint="eastAsia"/>
                <w:color w:val="auto"/>
                <w:sz w:val="26"/>
                <w:szCs w:val="26"/>
              </w:rPr>
              <w:t>（3）合理规划运输车辆行驶路线。</w:t>
            </w:r>
          </w:p>
          <w:p w14:paraId="5FCD8ED6">
            <w:pPr>
              <w:spacing w:line="460" w:lineRule="exact"/>
              <w:ind w:firstLine="522" w:firstLineChars="200"/>
              <w:rPr>
                <w:b/>
                <w:bCs/>
                <w:color w:val="auto"/>
                <w:sz w:val="26"/>
                <w:szCs w:val="26"/>
              </w:rPr>
            </w:pPr>
            <w:r>
              <w:rPr>
                <w:rFonts w:hint="eastAsia"/>
                <w:b/>
                <w:bCs/>
                <w:color w:val="auto"/>
                <w:sz w:val="26"/>
                <w:szCs w:val="26"/>
              </w:rPr>
              <w:t>施工阶段：</w:t>
            </w:r>
          </w:p>
          <w:p w14:paraId="448A6732">
            <w:pPr>
              <w:spacing w:line="460" w:lineRule="exact"/>
              <w:ind w:firstLine="520" w:firstLineChars="200"/>
              <w:rPr>
                <w:color w:val="auto"/>
                <w:sz w:val="26"/>
                <w:szCs w:val="26"/>
              </w:rPr>
            </w:pPr>
            <w:r>
              <w:rPr>
                <w:rFonts w:hint="eastAsia"/>
                <w:color w:val="auto"/>
                <w:sz w:val="26"/>
                <w:szCs w:val="26"/>
              </w:rPr>
              <w:t>（1）施工期不设置生活营地，依托周边生活设施解决，不新增生活燃料烟气；选用符合国家有关标准的施工机械和运输工具，使用优质动力燃料；</w:t>
            </w:r>
          </w:p>
          <w:p w14:paraId="787CC4BB">
            <w:pPr>
              <w:spacing w:line="460" w:lineRule="exact"/>
              <w:ind w:firstLine="520" w:firstLineChars="200"/>
              <w:rPr>
                <w:color w:val="auto"/>
                <w:sz w:val="26"/>
                <w:szCs w:val="26"/>
              </w:rPr>
            </w:pPr>
            <w:r>
              <w:rPr>
                <w:rFonts w:hint="eastAsia"/>
                <w:color w:val="auto"/>
                <w:sz w:val="26"/>
                <w:szCs w:val="26"/>
              </w:rPr>
              <w:t>（2）加蓬密闭运输材料，严禁运输车辆超重、超高装载，轮胎清洗，及时清扫路面，洒水抑尘，在运输过程中尽量减速慢行等措施减轻扬尘污染；</w:t>
            </w:r>
          </w:p>
          <w:p w14:paraId="16FEBE2B">
            <w:pPr>
              <w:spacing w:line="460" w:lineRule="exact"/>
              <w:ind w:firstLine="520" w:firstLineChars="200"/>
              <w:rPr>
                <w:color w:val="auto"/>
                <w:sz w:val="26"/>
                <w:szCs w:val="26"/>
              </w:rPr>
            </w:pPr>
            <w:r>
              <w:rPr>
                <w:rFonts w:hint="eastAsia"/>
                <w:color w:val="auto"/>
                <w:sz w:val="26"/>
                <w:szCs w:val="26"/>
              </w:rPr>
              <w:t>（3）工程施工场地设置围挡，减少施工期扬尘扩散对周边环境的影响；</w:t>
            </w:r>
          </w:p>
          <w:p w14:paraId="5238ECF3">
            <w:pPr>
              <w:spacing w:line="460" w:lineRule="exact"/>
              <w:ind w:firstLine="520" w:firstLineChars="200"/>
              <w:rPr>
                <w:color w:val="auto"/>
                <w:sz w:val="26"/>
                <w:szCs w:val="26"/>
              </w:rPr>
            </w:pPr>
            <w:r>
              <w:rPr>
                <w:rFonts w:hint="eastAsia"/>
                <w:color w:val="auto"/>
                <w:sz w:val="26"/>
                <w:szCs w:val="26"/>
              </w:rPr>
              <w:t>（4）在气候较为干燥或风较大时，对施工道路和施工现场定时洒水，减少施工场地和运输道路扬尘。对易起尘的临时堆土等应采用密闭式防尘布（网）进行苫盖，施工面集中且有条件的地方宜采取洒水降尘等有效措施，减少易造成大气污染的施工作业；</w:t>
            </w:r>
          </w:p>
          <w:p w14:paraId="23B798B2">
            <w:pPr>
              <w:spacing w:line="460" w:lineRule="exact"/>
              <w:ind w:firstLine="520" w:firstLineChars="200"/>
              <w:rPr>
                <w:color w:val="auto"/>
                <w:sz w:val="26"/>
                <w:szCs w:val="26"/>
              </w:rPr>
            </w:pPr>
            <w:r>
              <w:rPr>
                <w:rFonts w:hint="eastAsia"/>
                <w:color w:val="auto"/>
                <w:sz w:val="26"/>
                <w:szCs w:val="26"/>
              </w:rPr>
              <w:t>（5）施工现场禁止将包装物、可燃垃圾等固体废弃物就地焚烧。</w:t>
            </w:r>
          </w:p>
          <w:p w14:paraId="09215F7E">
            <w:pPr>
              <w:spacing w:line="460" w:lineRule="exact"/>
              <w:ind w:firstLine="520" w:firstLineChars="200"/>
              <w:rPr>
                <w:color w:val="auto"/>
                <w:sz w:val="26"/>
                <w:szCs w:val="26"/>
              </w:rPr>
            </w:pPr>
            <w:r>
              <w:rPr>
                <w:rFonts w:hint="eastAsia"/>
                <w:color w:val="auto"/>
                <w:sz w:val="26"/>
                <w:szCs w:val="26"/>
              </w:rPr>
              <w:t>采取上述措施后，施工活动不会明显影响场地周围的环境空气质量。</w:t>
            </w:r>
          </w:p>
          <w:p w14:paraId="2646343D">
            <w:pPr>
              <w:spacing w:line="460" w:lineRule="exact"/>
              <w:ind w:firstLine="522" w:firstLineChars="200"/>
              <w:rPr>
                <w:b/>
                <w:bCs/>
                <w:color w:val="auto"/>
                <w:sz w:val="26"/>
                <w:szCs w:val="26"/>
              </w:rPr>
            </w:pPr>
            <w:bookmarkStart w:id="16" w:name="_Toc272117064"/>
            <w:r>
              <w:rPr>
                <w:b/>
                <w:bCs/>
                <w:color w:val="auto"/>
                <w:sz w:val="26"/>
                <w:szCs w:val="26"/>
              </w:rPr>
              <w:t>5.1.3</w:t>
            </w:r>
            <w:r>
              <w:rPr>
                <w:rFonts w:hint="eastAsia"/>
                <w:b/>
                <w:bCs/>
                <w:color w:val="auto"/>
                <w:sz w:val="26"/>
                <w:szCs w:val="26"/>
              </w:rPr>
              <w:t>声环境</w:t>
            </w:r>
            <w:bookmarkEnd w:id="16"/>
            <w:r>
              <w:rPr>
                <w:rFonts w:hint="eastAsia"/>
                <w:b/>
                <w:bCs/>
                <w:color w:val="auto"/>
                <w:sz w:val="26"/>
                <w:szCs w:val="26"/>
              </w:rPr>
              <w:t>保护措施</w:t>
            </w:r>
          </w:p>
          <w:p w14:paraId="2CB7F591">
            <w:pPr>
              <w:spacing w:line="460" w:lineRule="exact"/>
              <w:ind w:firstLine="522" w:firstLineChars="200"/>
              <w:rPr>
                <w:b/>
                <w:bCs/>
                <w:color w:val="auto"/>
                <w:sz w:val="26"/>
                <w:szCs w:val="26"/>
              </w:rPr>
            </w:pPr>
            <w:r>
              <w:rPr>
                <w:rFonts w:hint="eastAsia"/>
                <w:b/>
                <w:bCs/>
                <w:color w:val="auto"/>
                <w:sz w:val="26"/>
                <w:szCs w:val="26"/>
              </w:rPr>
              <w:t>设计阶段：</w:t>
            </w:r>
          </w:p>
          <w:p w14:paraId="5DCC49E3">
            <w:pPr>
              <w:spacing w:line="460" w:lineRule="exact"/>
              <w:ind w:firstLine="520" w:firstLineChars="200"/>
              <w:rPr>
                <w:color w:val="auto"/>
                <w:sz w:val="26"/>
                <w:szCs w:val="26"/>
              </w:rPr>
            </w:pPr>
            <w:r>
              <w:rPr>
                <w:rFonts w:hint="eastAsia"/>
                <w:color w:val="auto"/>
                <w:sz w:val="26"/>
                <w:szCs w:val="26"/>
              </w:rPr>
              <w:t>合理布置施工场地，选用低噪声施工设备和机具。</w:t>
            </w:r>
          </w:p>
          <w:p w14:paraId="7ACC4F24">
            <w:pPr>
              <w:spacing w:line="460" w:lineRule="exact"/>
              <w:ind w:firstLine="522" w:firstLineChars="200"/>
              <w:rPr>
                <w:b/>
                <w:bCs/>
                <w:color w:val="auto"/>
                <w:sz w:val="26"/>
                <w:szCs w:val="26"/>
              </w:rPr>
            </w:pPr>
            <w:r>
              <w:rPr>
                <w:rFonts w:hint="eastAsia"/>
                <w:b/>
                <w:bCs/>
                <w:color w:val="auto"/>
                <w:sz w:val="26"/>
                <w:szCs w:val="26"/>
              </w:rPr>
              <w:t>施工阶段：</w:t>
            </w:r>
          </w:p>
          <w:p w14:paraId="37B854A8">
            <w:pPr>
              <w:spacing w:line="460" w:lineRule="exact"/>
              <w:ind w:firstLine="520" w:firstLineChars="200"/>
              <w:rPr>
                <w:color w:val="auto"/>
                <w:sz w:val="26"/>
                <w:szCs w:val="26"/>
              </w:rPr>
            </w:pPr>
            <w:r>
              <w:rPr>
                <w:rFonts w:hint="eastAsia"/>
                <w:color w:val="auto"/>
                <w:sz w:val="26"/>
                <w:szCs w:val="26"/>
              </w:rPr>
              <w:t>（1）塔基开挖过程中，优选低噪声施工作业方式，严禁进行爆破作业；</w:t>
            </w:r>
          </w:p>
          <w:p w14:paraId="72DBB6B5">
            <w:pPr>
              <w:spacing w:line="460" w:lineRule="exact"/>
              <w:ind w:firstLine="520" w:firstLineChars="200"/>
              <w:rPr>
                <w:color w:val="auto"/>
                <w:sz w:val="26"/>
                <w:szCs w:val="26"/>
              </w:rPr>
            </w:pPr>
            <w:r>
              <w:rPr>
                <w:rFonts w:hint="eastAsia"/>
                <w:color w:val="auto"/>
                <w:sz w:val="26"/>
                <w:szCs w:val="26"/>
              </w:rPr>
              <w:t>（2）施工时合理布置施工场地，将高噪声设备尽量放置在远离居民点一侧；</w:t>
            </w:r>
          </w:p>
          <w:p w14:paraId="75DDE785">
            <w:pPr>
              <w:spacing w:line="460" w:lineRule="exact"/>
              <w:ind w:firstLine="520" w:firstLineChars="200"/>
              <w:rPr>
                <w:color w:val="auto"/>
                <w:sz w:val="26"/>
                <w:szCs w:val="26"/>
              </w:rPr>
            </w:pPr>
            <w:r>
              <w:rPr>
                <w:rFonts w:hint="eastAsia"/>
                <w:color w:val="auto"/>
                <w:sz w:val="26"/>
                <w:szCs w:val="26"/>
              </w:rPr>
              <w:t>（3）避免夜间施工，如因施工工艺需要夜间施工的，施工单位应提前向当地环境保护部门办理相关手续，并公告周边居民，尽可能将噪声级较高的设备工作安排在昼间进行。</w:t>
            </w:r>
          </w:p>
          <w:p w14:paraId="0F1A831C">
            <w:pPr>
              <w:spacing w:line="460" w:lineRule="exact"/>
              <w:ind w:firstLine="520" w:firstLineChars="200"/>
              <w:rPr>
                <w:color w:val="auto"/>
                <w:sz w:val="26"/>
                <w:szCs w:val="26"/>
              </w:rPr>
            </w:pPr>
            <w:r>
              <w:rPr>
                <w:rFonts w:hint="eastAsia"/>
                <w:color w:val="auto"/>
                <w:sz w:val="26"/>
                <w:szCs w:val="26"/>
              </w:rPr>
              <w:t>在采取以上措施后，项目施工期对沿线声环境质量的影响可以得到有效控制。</w:t>
            </w:r>
          </w:p>
          <w:p w14:paraId="31A32A28">
            <w:pPr>
              <w:spacing w:line="460" w:lineRule="exact"/>
              <w:ind w:firstLine="522" w:firstLineChars="200"/>
              <w:rPr>
                <w:b/>
                <w:bCs/>
                <w:color w:val="auto"/>
                <w:sz w:val="26"/>
                <w:szCs w:val="26"/>
              </w:rPr>
            </w:pPr>
            <w:bookmarkStart w:id="17" w:name="_Toc272117065"/>
            <w:r>
              <w:rPr>
                <w:b/>
                <w:bCs/>
                <w:color w:val="auto"/>
                <w:sz w:val="26"/>
                <w:szCs w:val="26"/>
              </w:rPr>
              <w:t>5.1.4</w:t>
            </w:r>
            <w:r>
              <w:rPr>
                <w:rFonts w:hint="eastAsia"/>
                <w:b/>
                <w:bCs/>
                <w:color w:val="auto"/>
                <w:sz w:val="26"/>
                <w:szCs w:val="26"/>
              </w:rPr>
              <w:t>固体废物</w:t>
            </w:r>
            <w:bookmarkEnd w:id="17"/>
            <w:r>
              <w:rPr>
                <w:rFonts w:hint="eastAsia"/>
                <w:b/>
                <w:bCs/>
                <w:color w:val="auto"/>
                <w:sz w:val="26"/>
                <w:szCs w:val="26"/>
              </w:rPr>
              <w:t>污染防治措施</w:t>
            </w:r>
          </w:p>
          <w:p w14:paraId="6C23C5FA">
            <w:pPr>
              <w:spacing w:line="460" w:lineRule="exact"/>
              <w:ind w:firstLine="522" w:firstLineChars="200"/>
              <w:rPr>
                <w:b/>
                <w:bCs/>
                <w:color w:val="auto"/>
                <w:sz w:val="26"/>
                <w:szCs w:val="26"/>
              </w:rPr>
            </w:pPr>
            <w:r>
              <w:rPr>
                <w:rFonts w:hint="eastAsia"/>
                <w:b/>
                <w:bCs/>
                <w:color w:val="auto"/>
                <w:sz w:val="26"/>
                <w:szCs w:val="26"/>
              </w:rPr>
              <w:t>设计阶段：</w:t>
            </w:r>
          </w:p>
          <w:p w14:paraId="27F59B7C">
            <w:pPr>
              <w:spacing w:line="460" w:lineRule="exact"/>
              <w:ind w:firstLine="520" w:firstLineChars="200"/>
              <w:rPr>
                <w:color w:val="auto"/>
                <w:kern w:val="0"/>
                <w:sz w:val="26"/>
                <w:szCs w:val="26"/>
              </w:rPr>
            </w:pPr>
            <w:r>
              <w:rPr>
                <w:rFonts w:hint="eastAsia"/>
                <w:color w:val="auto"/>
                <w:kern w:val="0"/>
                <w:sz w:val="26"/>
                <w:szCs w:val="26"/>
              </w:rPr>
              <w:t>尽可能减少开挖面积和开挖量，土方尽量回填。</w:t>
            </w:r>
          </w:p>
          <w:p w14:paraId="1766EACF">
            <w:pPr>
              <w:spacing w:line="460" w:lineRule="exact"/>
              <w:ind w:firstLine="522" w:firstLineChars="200"/>
              <w:rPr>
                <w:b/>
                <w:bCs/>
                <w:color w:val="auto"/>
                <w:kern w:val="0"/>
                <w:sz w:val="26"/>
                <w:szCs w:val="26"/>
              </w:rPr>
            </w:pPr>
            <w:r>
              <w:rPr>
                <w:rFonts w:hint="eastAsia"/>
                <w:b/>
                <w:bCs/>
                <w:color w:val="auto"/>
                <w:kern w:val="0"/>
                <w:sz w:val="26"/>
                <w:szCs w:val="26"/>
              </w:rPr>
              <w:t>施工阶段：</w:t>
            </w:r>
          </w:p>
          <w:p w14:paraId="63192168">
            <w:pPr>
              <w:spacing w:line="460" w:lineRule="exact"/>
              <w:ind w:firstLine="520" w:firstLineChars="200"/>
              <w:rPr>
                <w:color w:val="auto"/>
                <w:sz w:val="26"/>
                <w:szCs w:val="26"/>
              </w:rPr>
            </w:pPr>
            <w:r>
              <w:rPr>
                <w:rFonts w:hint="eastAsia"/>
                <w:color w:val="auto"/>
                <w:sz w:val="26"/>
                <w:szCs w:val="26"/>
              </w:rPr>
              <w:t>（1）合理安排施工进度，基础开挖应</w:t>
            </w:r>
            <w:r>
              <w:rPr>
                <w:rFonts w:hint="eastAsia"/>
                <w:color w:val="auto"/>
                <w:sz w:val="26"/>
                <w:szCs w:val="26"/>
                <w:lang w:eastAsia="zh-CN"/>
              </w:rPr>
              <w:t>避开</w:t>
            </w:r>
            <w:r>
              <w:rPr>
                <w:rFonts w:hint="eastAsia"/>
                <w:color w:val="auto"/>
                <w:sz w:val="26"/>
                <w:szCs w:val="26"/>
              </w:rPr>
              <w:t>暴雨季节，</w:t>
            </w:r>
            <w:r>
              <w:rPr>
                <w:rFonts w:hint="eastAsia"/>
                <w:color w:val="auto"/>
                <w:sz w:val="26"/>
                <w:szCs w:val="26"/>
                <w:lang w:eastAsia="zh-CN"/>
              </w:rPr>
              <w:t>防止</w:t>
            </w:r>
            <w:r>
              <w:rPr>
                <w:rFonts w:hint="eastAsia"/>
                <w:color w:val="auto"/>
                <w:sz w:val="26"/>
                <w:szCs w:val="26"/>
              </w:rPr>
              <w:t>水土流失；</w:t>
            </w:r>
          </w:p>
          <w:p w14:paraId="5E718795">
            <w:pPr>
              <w:spacing w:line="460" w:lineRule="exact"/>
              <w:ind w:firstLine="520" w:firstLineChars="200"/>
              <w:rPr>
                <w:color w:val="auto"/>
                <w:sz w:val="26"/>
                <w:szCs w:val="26"/>
              </w:rPr>
            </w:pPr>
            <w:r>
              <w:rPr>
                <w:rFonts w:hint="eastAsia"/>
                <w:color w:val="auto"/>
                <w:sz w:val="26"/>
                <w:szCs w:val="26"/>
              </w:rPr>
              <w:t>（2）工程挖方用于周边平场或回填，工程沿线不设置弃渣场。</w:t>
            </w:r>
          </w:p>
          <w:p w14:paraId="37B53F08">
            <w:pPr>
              <w:spacing w:line="460" w:lineRule="exact"/>
              <w:ind w:firstLine="522" w:firstLineChars="200"/>
              <w:rPr>
                <w:b/>
                <w:bCs/>
                <w:color w:val="auto"/>
                <w:sz w:val="26"/>
                <w:szCs w:val="26"/>
              </w:rPr>
            </w:pPr>
            <w:r>
              <w:rPr>
                <w:b/>
                <w:bCs/>
                <w:color w:val="auto"/>
                <w:sz w:val="26"/>
                <w:szCs w:val="26"/>
              </w:rPr>
              <w:t>5.1.5</w:t>
            </w:r>
            <w:r>
              <w:rPr>
                <w:rFonts w:hint="eastAsia"/>
                <w:b/>
                <w:bCs/>
                <w:color w:val="auto"/>
                <w:sz w:val="26"/>
                <w:szCs w:val="26"/>
              </w:rPr>
              <w:t>生态保护措施</w:t>
            </w:r>
          </w:p>
          <w:p w14:paraId="3CFC7A55">
            <w:pPr>
              <w:spacing w:line="460" w:lineRule="exact"/>
              <w:ind w:firstLine="520" w:firstLineChars="200"/>
              <w:rPr>
                <w:color w:val="auto"/>
                <w:sz w:val="26"/>
                <w:szCs w:val="26"/>
              </w:rPr>
            </w:pPr>
            <w:r>
              <w:rPr>
                <w:rFonts w:hint="eastAsia"/>
                <w:color w:val="auto"/>
                <w:sz w:val="26"/>
                <w:szCs w:val="26"/>
              </w:rPr>
              <w:t>本评价引用《重庆金凤山风电场扩建（望天坪）110千伏送出工程生态影响专题报告》相关结论。</w:t>
            </w:r>
          </w:p>
          <w:p w14:paraId="00F3C908">
            <w:pPr>
              <w:spacing w:line="460" w:lineRule="exact"/>
              <w:ind w:firstLine="522" w:firstLineChars="200"/>
              <w:rPr>
                <w:b/>
                <w:bCs/>
                <w:color w:val="auto"/>
                <w:sz w:val="26"/>
                <w:szCs w:val="26"/>
              </w:rPr>
            </w:pPr>
            <w:r>
              <w:rPr>
                <w:rFonts w:hint="eastAsia"/>
                <w:b/>
                <w:bCs/>
                <w:color w:val="auto"/>
                <w:sz w:val="26"/>
                <w:szCs w:val="26"/>
              </w:rPr>
              <w:t>设计阶段：</w:t>
            </w:r>
          </w:p>
          <w:p w14:paraId="36FFF6AC">
            <w:pPr>
              <w:spacing w:line="460" w:lineRule="exact"/>
              <w:ind w:firstLine="520" w:firstLineChars="200"/>
              <w:rPr>
                <w:color w:val="auto"/>
                <w:sz w:val="26"/>
                <w:szCs w:val="26"/>
              </w:rPr>
            </w:pPr>
            <w:r>
              <w:rPr>
                <w:rFonts w:hint="eastAsia"/>
                <w:color w:val="auto"/>
                <w:sz w:val="26"/>
                <w:szCs w:val="26"/>
              </w:rPr>
              <w:t>（1）</w:t>
            </w:r>
            <w:r>
              <w:rPr>
                <w:color w:val="auto"/>
                <w:sz w:val="26"/>
                <w:szCs w:val="26"/>
              </w:rPr>
              <w:t>在输电线路路径选择、设计时充分听取政府部门、环保部门、规划部门、城建部门、林业部门、生态敏感区相关部门等的意见，尽量优化设计，尽量减少项目的环境影响。</w:t>
            </w:r>
          </w:p>
          <w:p w14:paraId="7F069FDD">
            <w:pPr>
              <w:spacing w:line="460" w:lineRule="exact"/>
              <w:ind w:firstLine="520" w:firstLineChars="200"/>
              <w:rPr>
                <w:color w:val="auto"/>
                <w:sz w:val="26"/>
                <w:szCs w:val="26"/>
              </w:rPr>
            </w:pPr>
            <w:r>
              <w:rPr>
                <w:rFonts w:hint="eastAsia"/>
                <w:color w:val="auto"/>
                <w:sz w:val="26"/>
                <w:szCs w:val="26"/>
              </w:rPr>
              <w:t>（2）输电线路路径尽量选择在人口较为稀少的地区，或远离居民区、环境敏感目标及各类保护目标。尽量避让各类生态敏感区，对于无法避绕的生态保护红线区域，尽量少占地。选线和定位时，尽量避开陡坡和易发生塌方、滑坡、冲沟或其他地质灾害的不良地质段，尽量落在植被稀疏并便于施工区域；林区采用高跨方案（抬高架线高度、避让等措施），本工程跨树高度按树木自然生长平均高度考虑，对大部分林木留有一定安全裕度，仅对极少林木进行削尖处理，以减少林木砍伐；优先采用原状土基础，如掏挖式基础。</w:t>
            </w:r>
          </w:p>
          <w:p w14:paraId="70E73828">
            <w:pPr>
              <w:spacing w:line="460" w:lineRule="exact"/>
              <w:ind w:firstLine="520" w:firstLineChars="200"/>
              <w:rPr>
                <w:color w:val="auto"/>
                <w:sz w:val="26"/>
                <w:szCs w:val="26"/>
              </w:rPr>
            </w:pPr>
            <w:r>
              <w:rPr>
                <w:rFonts w:hint="eastAsia"/>
                <w:color w:val="auto"/>
                <w:sz w:val="26"/>
                <w:szCs w:val="26"/>
              </w:rPr>
              <w:t>（3）尽量少占土地，本工程塔</w:t>
            </w:r>
            <w:r>
              <w:rPr>
                <w:rFonts w:hint="eastAsia"/>
                <w:color w:val="auto"/>
                <w:sz w:val="26"/>
                <w:szCs w:val="26"/>
                <w:lang w:val="en-US" w:eastAsia="zh-CN"/>
              </w:rPr>
              <w:t>型</w:t>
            </w:r>
            <w:r>
              <w:rPr>
                <w:rFonts w:hint="eastAsia"/>
                <w:color w:val="auto"/>
                <w:sz w:val="26"/>
                <w:szCs w:val="26"/>
              </w:rPr>
              <w:t>的规划尽量设计成全方位高低腿塔型，即四条塔腿均可根据实际地形进行调节组合，以适应塔位处的地形条件，避免大规模开挖。高低腿配合高低基础调节基础露头，作为塔腿长度的调节补充，一般塔位均能做到“零基面”，对特别陡的塔位也能通过接腿加长或设计塔脚架、增加立柱露头等形式基本做到不降基面，使输电线路对环境的不利影响降至最低程度。</w:t>
            </w:r>
          </w:p>
          <w:p w14:paraId="6F4AB173">
            <w:pPr>
              <w:spacing w:line="460" w:lineRule="exact"/>
              <w:ind w:firstLine="522" w:firstLineChars="200"/>
              <w:rPr>
                <w:b/>
                <w:bCs/>
                <w:color w:val="auto"/>
                <w:sz w:val="26"/>
                <w:szCs w:val="26"/>
              </w:rPr>
            </w:pPr>
            <w:r>
              <w:rPr>
                <w:rFonts w:hint="eastAsia"/>
                <w:b/>
                <w:bCs/>
                <w:color w:val="auto"/>
                <w:sz w:val="26"/>
                <w:szCs w:val="26"/>
              </w:rPr>
              <w:t>施工阶段：</w:t>
            </w:r>
          </w:p>
          <w:p w14:paraId="26B64F37">
            <w:pPr>
              <w:spacing w:line="460" w:lineRule="exact"/>
              <w:ind w:firstLine="522" w:firstLineChars="200"/>
              <w:rPr>
                <w:b/>
                <w:bCs/>
                <w:color w:val="auto"/>
                <w:sz w:val="26"/>
                <w:szCs w:val="26"/>
              </w:rPr>
            </w:pPr>
            <w:r>
              <w:rPr>
                <w:b/>
                <w:bCs/>
                <w:color w:val="auto"/>
                <w:sz w:val="26"/>
                <w:szCs w:val="26"/>
              </w:rPr>
              <w:t>（1）一般区域</w:t>
            </w:r>
          </w:p>
          <w:p w14:paraId="01239F69">
            <w:pPr>
              <w:spacing w:line="460" w:lineRule="exact"/>
              <w:ind w:firstLine="520" w:firstLineChars="200"/>
              <w:rPr>
                <w:color w:val="auto"/>
                <w:sz w:val="26"/>
                <w:szCs w:val="26"/>
              </w:rPr>
            </w:pPr>
            <w:r>
              <w:rPr>
                <w:color w:val="auto"/>
                <w:sz w:val="26"/>
                <w:szCs w:val="26"/>
              </w:rPr>
              <w:t>1）合理规划施工场地，限制施工范围</w:t>
            </w:r>
          </w:p>
          <w:p w14:paraId="6C2FFCA3">
            <w:pPr>
              <w:spacing w:line="460" w:lineRule="exact"/>
              <w:ind w:firstLine="520" w:firstLineChars="200"/>
              <w:rPr>
                <w:color w:val="auto"/>
                <w:sz w:val="26"/>
                <w:szCs w:val="26"/>
              </w:rPr>
            </w:pPr>
            <w:r>
              <w:rPr>
                <w:color w:val="auto"/>
                <w:sz w:val="26"/>
                <w:szCs w:val="26"/>
              </w:rPr>
              <w:t>①</w:t>
            </w:r>
            <w:r>
              <w:rPr>
                <w:color w:val="auto"/>
                <w:sz w:val="26"/>
                <w:szCs w:val="26"/>
                <w:lang w:val="it-IT"/>
              </w:rPr>
              <w:t>严格控制施工范围，</w:t>
            </w:r>
            <w:r>
              <w:rPr>
                <w:rFonts w:hint="eastAsia"/>
                <w:color w:val="auto"/>
                <w:sz w:val="26"/>
                <w:szCs w:val="26"/>
              </w:rPr>
              <w:t>间隔扩建</w:t>
            </w:r>
            <w:r>
              <w:rPr>
                <w:color w:val="auto"/>
                <w:sz w:val="26"/>
                <w:szCs w:val="26"/>
                <w:lang w:val="it-IT"/>
              </w:rPr>
              <w:t>、塔基建设预先划定施工范围，禁止在划定的施工范围外开展施工活动，减少对树木的砍伐和植物的踩踏。</w:t>
            </w:r>
          </w:p>
          <w:p w14:paraId="415570D0">
            <w:pPr>
              <w:spacing w:line="460" w:lineRule="exact"/>
              <w:ind w:firstLine="520" w:firstLineChars="200"/>
              <w:rPr>
                <w:color w:val="auto"/>
                <w:sz w:val="26"/>
                <w:szCs w:val="26"/>
              </w:rPr>
            </w:pPr>
            <w:r>
              <w:rPr>
                <w:color w:val="auto"/>
                <w:sz w:val="26"/>
                <w:szCs w:val="26"/>
              </w:rPr>
              <w:t>②临时占地尽量设置在平坦或坡度较缓地带，以满足布置设备、布置导线及施工操作要求，减少沿线生态环境的影响，尽量选择线路沿线交通较为便利的现有空地，尽量避开茂密林地、旱地、经济林地，合理规划进出场施工通道，减少对植被的踩踏，设置施工简易围栏限制施工范围。</w:t>
            </w:r>
          </w:p>
          <w:p w14:paraId="3ACBF591">
            <w:pPr>
              <w:spacing w:line="460" w:lineRule="exact"/>
              <w:ind w:firstLine="520" w:firstLineChars="200"/>
              <w:rPr>
                <w:color w:val="auto"/>
                <w:sz w:val="26"/>
                <w:szCs w:val="26"/>
              </w:rPr>
            </w:pPr>
            <w:r>
              <w:rPr>
                <w:color w:val="auto"/>
                <w:sz w:val="26"/>
                <w:szCs w:val="26"/>
              </w:rPr>
              <w:t>③优化牵张场设置：根据架线施工工艺要求，牵张场选择在地势平缓，交通条件良好的地点，尽可能采取铺设铁皮等方式，减少对地表的扰动。根据现场需要，在牵张场四周或适当位置设置截排水沟，减少水土流失，牵张场使用完毕后，及时进行土地整治，修复原有土地类型。</w:t>
            </w:r>
          </w:p>
          <w:p w14:paraId="4C6317B8">
            <w:pPr>
              <w:spacing w:line="460" w:lineRule="exact"/>
              <w:ind w:firstLine="520" w:firstLineChars="200"/>
              <w:rPr>
                <w:color w:val="auto"/>
                <w:sz w:val="26"/>
                <w:szCs w:val="26"/>
              </w:rPr>
            </w:pPr>
            <w:r>
              <w:rPr>
                <w:color w:val="auto"/>
                <w:sz w:val="26"/>
                <w:szCs w:val="26"/>
              </w:rPr>
              <w:fldChar w:fldCharType="begin"/>
            </w:r>
            <w:r>
              <w:rPr>
                <w:color w:val="auto"/>
                <w:sz w:val="26"/>
                <w:szCs w:val="26"/>
              </w:rPr>
              <w:instrText xml:space="preserve"> = 4 \* GB3 </w:instrText>
            </w:r>
            <w:r>
              <w:rPr>
                <w:color w:val="auto"/>
                <w:sz w:val="26"/>
                <w:szCs w:val="26"/>
              </w:rPr>
              <w:fldChar w:fldCharType="separate"/>
            </w:r>
            <w:r>
              <w:rPr>
                <w:color w:val="auto"/>
                <w:sz w:val="26"/>
                <w:szCs w:val="26"/>
              </w:rPr>
              <w:t>④</w:t>
            </w:r>
            <w:r>
              <w:rPr>
                <w:color w:val="auto"/>
                <w:sz w:val="26"/>
                <w:szCs w:val="26"/>
              </w:rPr>
              <w:fldChar w:fldCharType="end"/>
            </w:r>
            <w:r>
              <w:rPr>
                <w:color w:val="auto"/>
                <w:sz w:val="26"/>
                <w:szCs w:val="26"/>
              </w:rPr>
              <w:t>尽量利用原有道路：材料的运输要充分利用现有道路，尽量减少对植被的破坏，将材料运输到施工现场时，考虑到对植被以及生态系统完整性的保护，优选塔基附近的空地、裸地堆放材料，避免多次搬运踩踏植被，临时材料堆放需做好地面铺垫工作，减少砂石、水泥洒落，采取遮盖及防雨工作。</w:t>
            </w:r>
          </w:p>
          <w:p w14:paraId="7CCF7C43">
            <w:pPr>
              <w:spacing w:line="460" w:lineRule="exact"/>
              <w:ind w:firstLine="520" w:firstLineChars="200"/>
              <w:rPr>
                <w:color w:val="auto"/>
                <w:sz w:val="26"/>
                <w:szCs w:val="26"/>
              </w:rPr>
            </w:pPr>
            <w:r>
              <w:rPr>
                <w:rFonts w:hint="eastAsia"/>
                <w:color w:val="auto"/>
                <w:sz w:val="26"/>
                <w:szCs w:val="26"/>
              </w:rPr>
              <w:t>新建施工便道：采用机械化施工的塔基，首先利用原有的道路系统，当现有的道路宽度、路面质量等不能满足运输要求时进行整修，塔位处没有运输通道与原有的道路系统相连时，新修施工道路，尽可能避开茂密林地，位于山间阶地、农田区段以及下部为软弱地质的塔位，施工便道修筑还应考虑铺设棕垫、钢板、路基箱等辅助措施；对于下部为岩石类承载力较好的路段，仅需路床整形。在道路地势较低一侧开挖小槽以便排水。</w:t>
            </w:r>
          </w:p>
          <w:p w14:paraId="1EACDA44">
            <w:pPr>
              <w:spacing w:line="460" w:lineRule="exact"/>
              <w:ind w:firstLine="520" w:firstLineChars="200"/>
              <w:rPr>
                <w:color w:val="auto"/>
                <w:sz w:val="26"/>
                <w:szCs w:val="26"/>
              </w:rPr>
            </w:pPr>
            <w:r>
              <w:rPr>
                <w:rFonts w:hint="eastAsia"/>
                <w:color w:val="auto"/>
                <w:sz w:val="26"/>
                <w:szCs w:val="26"/>
              </w:rPr>
              <w:t>施工完成后，需对临时施工道路的原始地貌进行恢复。部分人口较密集段，可结合当地人民生产、生活需要，与相关部门协商，是否保留临时道路。</w:t>
            </w:r>
          </w:p>
          <w:p w14:paraId="35F98941">
            <w:pPr>
              <w:spacing w:line="460" w:lineRule="exact"/>
              <w:ind w:firstLine="520" w:firstLineChars="200"/>
              <w:rPr>
                <w:color w:val="auto"/>
                <w:sz w:val="26"/>
                <w:szCs w:val="26"/>
              </w:rPr>
            </w:pPr>
            <w:r>
              <w:rPr>
                <w:color w:val="auto"/>
                <w:sz w:val="26"/>
                <w:szCs w:val="26"/>
              </w:rPr>
              <w:t>2）合理安排施工工序：尽量避开在暴雨时段开挖土方，对于塔基开挖临时堆土和开挖裸露面，采用防雨薄膜或彩条布进行覆盖，防止或减少雨水冲刷；回填方及时夯实，完工后及时清理施工现场并恢复植被。工程施工过程中尽量保护生态的原貌，减少对生态的扰动与破坏。</w:t>
            </w:r>
          </w:p>
          <w:p w14:paraId="721A2664">
            <w:pPr>
              <w:spacing w:line="460" w:lineRule="exact"/>
              <w:ind w:firstLine="520" w:firstLineChars="200"/>
              <w:rPr>
                <w:color w:val="auto"/>
                <w:sz w:val="26"/>
                <w:szCs w:val="26"/>
              </w:rPr>
            </w:pPr>
            <w:r>
              <w:rPr>
                <w:color w:val="auto"/>
                <w:sz w:val="26"/>
                <w:szCs w:val="26"/>
              </w:rPr>
              <w:t>3）采用先进的组塔方式和架线工艺：对林区特别是</w:t>
            </w:r>
            <w:r>
              <w:rPr>
                <w:rFonts w:hint="eastAsia"/>
                <w:color w:val="auto"/>
                <w:sz w:val="26"/>
                <w:szCs w:val="26"/>
              </w:rPr>
              <w:t>生态敏感区内</w:t>
            </w:r>
            <w:r>
              <w:rPr>
                <w:color w:val="auto"/>
                <w:sz w:val="26"/>
                <w:szCs w:val="26"/>
              </w:rPr>
              <w:t>采用张力架线，使用无人机进行初级牵引绳展放。</w:t>
            </w:r>
          </w:p>
          <w:p w14:paraId="53C22943">
            <w:pPr>
              <w:spacing w:line="460" w:lineRule="exact"/>
              <w:ind w:firstLine="520" w:firstLineChars="200"/>
              <w:rPr>
                <w:color w:val="auto"/>
                <w:sz w:val="26"/>
                <w:szCs w:val="26"/>
              </w:rPr>
            </w:pPr>
            <w:r>
              <w:rPr>
                <w:rFonts w:hint="eastAsia"/>
                <w:color w:val="auto"/>
                <w:sz w:val="26"/>
                <w:szCs w:val="26"/>
              </w:rPr>
              <w:t>4）植物保护措施</w:t>
            </w:r>
          </w:p>
          <w:p w14:paraId="39B3E146">
            <w:pPr>
              <w:spacing w:line="460" w:lineRule="exact"/>
              <w:ind w:firstLine="520" w:firstLineChars="200"/>
              <w:rPr>
                <w:color w:val="auto"/>
                <w:sz w:val="26"/>
                <w:szCs w:val="26"/>
              </w:rPr>
            </w:pPr>
            <w:r>
              <w:rPr>
                <w:rFonts w:hint="eastAsia"/>
                <w:color w:val="auto"/>
                <w:sz w:val="26"/>
                <w:szCs w:val="26"/>
              </w:rPr>
              <w:t>根据相关资料记录和野外调查结果，依据《国家重点保护野生植物名录》（2021年版）、《重庆市重点保护野生植物名录》（渝林规范〔2023〕2号）、《中国生物多样性红色名录—高等植物卷（2020）》确定，本次现场调查到国家二级重点保护野生植物2种（厚朴、春兰）。</w:t>
            </w:r>
          </w:p>
          <w:p w14:paraId="41F8ED63">
            <w:pPr>
              <w:spacing w:line="460" w:lineRule="exact"/>
              <w:ind w:firstLine="520" w:firstLineChars="200"/>
              <w:rPr>
                <w:color w:val="auto"/>
                <w:sz w:val="26"/>
                <w:szCs w:val="26"/>
              </w:rPr>
            </w:pPr>
            <w:r>
              <w:rPr>
                <w:rFonts w:hint="eastAsia"/>
                <w:color w:val="auto"/>
                <w:sz w:val="26"/>
                <w:szCs w:val="26"/>
              </w:rPr>
              <w:t>本评价要求建设单位施工前对施工人员进行保护植物相关知识的培训，增强施工人员对其的保护意识及鉴别能力。施工前进行详细排查，一旦在施工范围内发现保护植物，优先避让保护植物，对现场发现确实不能避让的，应上报主管部门，根据主管部门的要求进行保护，若需移栽，应协助主管部门由专业技术人员对其进行移植，并挂牌做好移植后的维护与管理工作，保证其成活率。</w:t>
            </w:r>
          </w:p>
          <w:p w14:paraId="6C215E2F">
            <w:pPr>
              <w:spacing w:line="460" w:lineRule="exact"/>
              <w:ind w:firstLine="520" w:firstLineChars="200"/>
              <w:rPr>
                <w:color w:val="auto"/>
                <w:sz w:val="26"/>
                <w:szCs w:val="26"/>
              </w:rPr>
            </w:pPr>
            <w:r>
              <w:rPr>
                <w:rFonts w:hint="eastAsia"/>
                <w:color w:val="auto"/>
                <w:sz w:val="26"/>
                <w:szCs w:val="26"/>
              </w:rPr>
              <w:t>禁止在划定的施工范围外开展施工活动，禁止砍伐施工范围外的林木；在施工中对施工人员进行教育和监督，严禁在植被较好的区域毁林采石、采砂、采土以及其他毁林行为。</w:t>
            </w:r>
          </w:p>
          <w:p w14:paraId="47D97B9B">
            <w:pPr>
              <w:spacing w:line="460" w:lineRule="exact"/>
              <w:ind w:firstLine="520" w:firstLineChars="200"/>
              <w:rPr>
                <w:color w:val="auto"/>
                <w:sz w:val="26"/>
                <w:szCs w:val="26"/>
              </w:rPr>
            </w:pPr>
            <w:r>
              <w:rPr>
                <w:rFonts w:hint="eastAsia"/>
                <w:color w:val="auto"/>
                <w:sz w:val="26"/>
                <w:szCs w:val="26"/>
              </w:rPr>
              <w:t>5）古树名木保护措施</w:t>
            </w:r>
          </w:p>
          <w:p w14:paraId="25AD1324">
            <w:pPr>
              <w:spacing w:line="460" w:lineRule="exact"/>
              <w:ind w:firstLine="520" w:firstLineChars="200"/>
              <w:rPr>
                <w:color w:val="auto"/>
                <w:sz w:val="26"/>
                <w:szCs w:val="26"/>
              </w:rPr>
            </w:pPr>
            <w:r>
              <w:rPr>
                <w:rFonts w:hint="eastAsia"/>
                <w:color w:val="auto"/>
                <w:sz w:val="26"/>
                <w:szCs w:val="26"/>
              </w:rPr>
              <w:t>本工程的评价区内有2株古树-白栎，位于N11塔南侧约200m，塔基施工距离较远，架线过程距离较近，避免架线过程对其枝叶造成损伤，施工前在其周围设置范围大于其冠幅的围栏，并设置警示牌，避免施工活动对其造成损伤。</w:t>
            </w:r>
          </w:p>
          <w:p w14:paraId="200F7709">
            <w:pPr>
              <w:spacing w:line="460" w:lineRule="exact"/>
              <w:ind w:firstLine="520" w:firstLineChars="200"/>
              <w:rPr>
                <w:color w:val="auto"/>
                <w:sz w:val="26"/>
                <w:szCs w:val="26"/>
              </w:rPr>
            </w:pPr>
            <w:r>
              <w:rPr>
                <w:rFonts w:hint="eastAsia"/>
                <w:color w:val="auto"/>
                <w:sz w:val="26"/>
                <w:szCs w:val="26"/>
              </w:rPr>
              <w:t>此外，施工期应对征地范围内的古树名木进行进一步全面排查，避免因工程施工建设造成区域古树的损失；施工前应对施工人员进行宣传教育，避免施工活动对古树造成不利影响。</w:t>
            </w:r>
          </w:p>
          <w:p w14:paraId="56F53DE2">
            <w:pPr>
              <w:spacing w:line="460" w:lineRule="exact"/>
              <w:ind w:firstLine="520" w:firstLineChars="200"/>
              <w:rPr>
                <w:color w:val="auto"/>
                <w:sz w:val="26"/>
                <w:szCs w:val="26"/>
              </w:rPr>
            </w:pPr>
            <w:r>
              <w:rPr>
                <w:rFonts w:hint="eastAsia"/>
                <w:color w:val="auto"/>
                <w:sz w:val="26"/>
                <w:szCs w:val="26"/>
              </w:rPr>
              <w:t>6）动物保护措施</w:t>
            </w:r>
          </w:p>
          <w:p w14:paraId="6F0AB15D">
            <w:pPr>
              <w:spacing w:line="460" w:lineRule="exact"/>
              <w:ind w:firstLine="520" w:firstLineChars="200"/>
              <w:rPr>
                <w:color w:val="auto"/>
                <w:sz w:val="26"/>
                <w:szCs w:val="26"/>
              </w:rPr>
            </w:pPr>
            <w:r>
              <w:rPr>
                <w:rFonts w:hint="eastAsia"/>
                <w:color w:val="auto"/>
                <w:sz w:val="26"/>
                <w:szCs w:val="26"/>
              </w:rPr>
              <w:t>①在项目区内特别是在林地区域内设置告示牌和警告牌，加强野生动物保护宣传工作，加强对施工人员的管理，严禁捕杀野生动物，严禁</w:t>
            </w:r>
            <w:r>
              <w:rPr>
                <w:rFonts w:hint="eastAsia"/>
                <w:color w:val="auto"/>
                <w:sz w:val="26"/>
                <w:szCs w:val="26"/>
                <w:lang w:val="it-IT"/>
              </w:rPr>
              <w:t>破坏野生动物栖息地。</w:t>
            </w:r>
          </w:p>
          <w:p w14:paraId="1644F115">
            <w:pPr>
              <w:spacing w:line="460" w:lineRule="exact"/>
              <w:ind w:firstLine="520" w:firstLineChars="200"/>
              <w:rPr>
                <w:color w:val="auto"/>
                <w:sz w:val="26"/>
                <w:szCs w:val="26"/>
              </w:rPr>
            </w:pPr>
            <w:r>
              <w:rPr>
                <w:rFonts w:hint="eastAsia"/>
                <w:color w:val="auto"/>
                <w:sz w:val="26"/>
                <w:szCs w:val="26"/>
              </w:rPr>
              <w:t>②严禁在施工区及其周围捕猎野生动物和破坏动物生境，施工过程中若遇到鸟、蛇等动物的卵要妥善移置到附近类似的环境中；施工过程中遇到的幼兽、幼鸟、卵等未发育、未成熟个体，在林业局或其他保护部门的专业人员指导下妥善安置。</w:t>
            </w:r>
          </w:p>
          <w:p w14:paraId="5EB8A834">
            <w:pPr>
              <w:spacing w:line="460" w:lineRule="exact"/>
              <w:ind w:firstLine="520" w:firstLineChars="200"/>
              <w:rPr>
                <w:color w:val="auto"/>
                <w:sz w:val="26"/>
                <w:szCs w:val="26"/>
              </w:rPr>
            </w:pPr>
            <w:r>
              <w:rPr>
                <w:rFonts w:hint="eastAsia"/>
                <w:color w:val="auto"/>
                <w:sz w:val="26"/>
                <w:szCs w:val="26"/>
              </w:rPr>
              <w:t>③减少施工噪声对野生动物的干扰，土石方开挖时采用人工开挖的方式，不采用爆破的方法；减少夜间作业，避免灯光、噪声对夜间动物活动的惊扰。</w:t>
            </w:r>
          </w:p>
          <w:p w14:paraId="0BC9BEB3">
            <w:pPr>
              <w:spacing w:line="460" w:lineRule="exact"/>
              <w:ind w:firstLine="520" w:firstLineChars="200"/>
              <w:rPr>
                <w:color w:val="auto"/>
                <w:sz w:val="26"/>
                <w:szCs w:val="26"/>
              </w:rPr>
            </w:pPr>
            <w:r>
              <w:rPr>
                <w:rFonts w:hint="eastAsia"/>
                <w:color w:val="auto"/>
                <w:sz w:val="26"/>
                <w:szCs w:val="26"/>
              </w:rPr>
              <w:fldChar w:fldCharType="begin"/>
            </w:r>
            <w:r>
              <w:rPr>
                <w:rFonts w:hint="eastAsia"/>
                <w:color w:val="auto"/>
                <w:sz w:val="26"/>
                <w:szCs w:val="26"/>
              </w:rPr>
              <w:instrText xml:space="preserve"> = 4 \* GB3 \* MERGEFORMAT </w:instrText>
            </w:r>
            <w:r>
              <w:rPr>
                <w:rFonts w:hint="eastAsia"/>
                <w:color w:val="auto"/>
                <w:sz w:val="26"/>
                <w:szCs w:val="26"/>
              </w:rPr>
              <w:fldChar w:fldCharType="separate"/>
            </w:r>
            <w:r>
              <w:rPr>
                <w:rFonts w:hint="eastAsia"/>
                <w:color w:val="auto"/>
                <w:sz w:val="26"/>
                <w:szCs w:val="26"/>
              </w:rPr>
              <w:t>④</w:t>
            </w:r>
            <w:r>
              <w:rPr>
                <w:rFonts w:hint="eastAsia"/>
                <w:color w:val="auto"/>
                <w:sz w:val="26"/>
                <w:szCs w:val="26"/>
              </w:rPr>
              <w:fldChar w:fldCharType="end"/>
            </w:r>
            <w:r>
              <w:rPr>
                <w:rFonts w:hint="eastAsia"/>
                <w:color w:val="auto"/>
                <w:sz w:val="26"/>
                <w:szCs w:val="26"/>
              </w:rPr>
              <w:fldChar w:fldCharType="begin"/>
            </w:r>
            <w:r>
              <w:rPr>
                <w:rFonts w:hint="eastAsia"/>
                <w:color w:val="auto"/>
                <w:sz w:val="26"/>
                <w:szCs w:val="26"/>
              </w:rPr>
              <w:instrText xml:space="preserve"> = 4 \* GB3 \* MERGEFORMAT </w:instrText>
            </w:r>
            <w:r>
              <w:rPr>
                <w:rFonts w:hint="eastAsia"/>
                <w:color w:val="auto"/>
                <w:sz w:val="26"/>
                <w:szCs w:val="26"/>
              </w:rPr>
              <w:fldChar w:fldCharType="separate"/>
            </w:r>
            <w:r>
              <w:rPr>
                <w:rFonts w:hint="eastAsia"/>
                <w:color w:val="auto"/>
                <w:sz w:val="26"/>
                <w:szCs w:val="26"/>
              </w:rPr>
              <w:t>④</w:t>
            </w:r>
            <w:r>
              <w:rPr>
                <w:rFonts w:hint="eastAsia"/>
                <w:color w:val="auto"/>
                <w:sz w:val="26"/>
                <w:szCs w:val="26"/>
              </w:rPr>
              <w:fldChar w:fldCharType="end"/>
            </w:r>
            <w:r>
              <w:rPr>
                <w:rFonts w:hint="eastAsia"/>
                <w:color w:val="auto"/>
                <w:sz w:val="26"/>
                <w:szCs w:val="26"/>
              </w:rPr>
              <w:t>评价区有灰胸竹鸡、四声杜鹃、</w:t>
            </w:r>
            <w:r>
              <w:rPr>
                <w:rFonts w:hint="eastAsia"/>
                <w:color w:val="auto"/>
                <w:sz w:val="26"/>
                <w:szCs w:val="26"/>
                <w:lang w:val="en-US" w:eastAsia="zh-CN"/>
              </w:rPr>
              <w:t>福建</w:t>
            </w:r>
            <w:r>
              <w:rPr>
                <w:rFonts w:hint="eastAsia"/>
                <w:color w:val="auto"/>
                <w:sz w:val="26"/>
                <w:szCs w:val="26"/>
              </w:rPr>
              <w:t>竹叶青蛇、黄鼬</w:t>
            </w:r>
            <w:r>
              <w:rPr>
                <w:rFonts w:hint="eastAsia"/>
                <w:color w:val="auto"/>
                <w:sz w:val="26"/>
                <w:szCs w:val="26"/>
                <w:lang w:eastAsia="zh-CN"/>
              </w:rPr>
              <w:t>、</w:t>
            </w:r>
            <w:r>
              <w:rPr>
                <w:rFonts w:hint="eastAsia"/>
                <w:color w:val="auto"/>
                <w:sz w:val="26"/>
                <w:szCs w:val="26"/>
                <w:lang w:val="en-US" w:eastAsia="zh-CN"/>
              </w:rPr>
              <w:t>乌梢蛇、王锦蛇</w:t>
            </w:r>
            <w:r>
              <w:rPr>
                <w:rFonts w:hint="eastAsia"/>
                <w:color w:val="auto"/>
                <w:sz w:val="26"/>
                <w:szCs w:val="26"/>
              </w:rPr>
              <w:t>等野生保护动物，项目夜间不进行施工，清晨和黄昏施工时避免使用高噪声设备。施工过程如发现野生保护动物及其营巢，要应暂停施工，让其远离施工区域后再进行施工，营巢应在林业部门的指导下妥善安置，禁止捕杀野生保护动物。</w:t>
            </w:r>
          </w:p>
          <w:p w14:paraId="73BBDAF7">
            <w:pPr>
              <w:spacing w:line="460" w:lineRule="exact"/>
              <w:ind w:firstLine="522" w:firstLineChars="200"/>
              <w:rPr>
                <w:b/>
                <w:bCs/>
                <w:color w:val="auto"/>
                <w:kern w:val="0"/>
                <w:sz w:val="26"/>
                <w:szCs w:val="26"/>
              </w:rPr>
            </w:pPr>
            <w:r>
              <w:rPr>
                <w:b/>
                <w:bCs/>
                <w:color w:val="auto"/>
                <w:sz w:val="26"/>
                <w:szCs w:val="26"/>
              </w:rPr>
              <w:t>5.1.6</w:t>
            </w:r>
            <w:r>
              <w:rPr>
                <w:rFonts w:hint="eastAsia"/>
                <w:b/>
                <w:bCs/>
                <w:color w:val="auto"/>
                <w:sz w:val="26"/>
                <w:szCs w:val="26"/>
              </w:rPr>
              <w:t>水土保持措施</w:t>
            </w:r>
          </w:p>
          <w:p w14:paraId="2AA474B3">
            <w:pPr>
              <w:spacing w:line="460" w:lineRule="exact"/>
              <w:ind w:firstLine="520" w:firstLineChars="200"/>
              <w:rPr>
                <w:color w:val="auto"/>
                <w:sz w:val="26"/>
                <w:szCs w:val="26"/>
              </w:rPr>
            </w:pPr>
            <w:r>
              <w:rPr>
                <w:rFonts w:hint="eastAsia"/>
                <w:color w:val="auto"/>
                <w:sz w:val="26"/>
                <w:szCs w:val="26"/>
              </w:rPr>
              <w:t>①施工期对工程进行合理设计，做到分期和分区施工；</w:t>
            </w:r>
          </w:p>
          <w:p w14:paraId="2F66B09E">
            <w:pPr>
              <w:spacing w:line="460" w:lineRule="exact"/>
              <w:ind w:firstLine="520" w:firstLineChars="200"/>
              <w:rPr>
                <w:color w:val="auto"/>
                <w:sz w:val="26"/>
                <w:szCs w:val="26"/>
              </w:rPr>
            </w:pPr>
            <w:r>
              <w:rPr>
                <w:rFonts w:hint="eastAsia"/>
                <w:color w:val="auto"/>
                <w:sz w:val="26"/>
                <w:szCs w:val="26"/>
              </w:rPr>
              <w:t>②合理选择路径、塔位，优化塔杆设计，减少占地量；</w:t>
            </w:r>
          </w:p>
          <w:p w14:paraId="19AFEAE8">
            <w:pPr>
              <w:spacing w:line="460" w:lineRule="exact"/>
              <w:ind w:firstLine="520" w:firstLineChars="200"/>
              <w:rPr>
                <w:color w:val="auto"/>
                <w:sz w:val="26"/>
                <w:szCs w:val="26"/>
              </w:rPr>
            </w:pPr>
            <w:r>
              <w:rPr>
                <w:rFonts w:hint="eastAsia"/>
                <w:color w:val="auto"/>
                <w:sz w:val="26"/>
                <w:szCs w:val="26"/>
              </w:rPr>
              <w:t>③优先采用原状土基础，如掏挖式基础。这类基础避免了基坑大开挖，塔位原状土未受破坏，并大幅度减少了对环境的不良影响；</w:t>
            </w:r>
          </w:p>
          <w:p w14:paraId="1D6C1F5F">
            <w:pPr>
              <w:spacing w:line="460" w:lineRule="exact"/>
              <w:ind w:firstLine="520" w:firstLineChars="200"/>
              <w:rPr>
                <w:color w:val="auto"/>
                <w:sz w:val="26"/>
                <w:szCs w:val="26"/>
              </w:rPr>
            </w:pPr>
            <w:r>
              <w:rPr>
                <w:rFonts w:hint="eastAsia"/>
                <w:color w:val="auto"/>
                <w:sz w:val="26"/>
                <w:szCs w:val="26"/>
              </w:rPr>
              <w:t>④尽量缩短施工周期，减少疏松地面的裸露时间；考虑天气因素安排施工时间，地质不良地段的路基施工尽量避开雨季；无法避开时，应选择防雨布；对开挖裸露面和填方区可选用编织袋、塑料布进行覆盖，防止雨水冲刷产生水土流失；</w:t>
            </w:r>
          </w:p>
          <w:p w14:paraId="7A24D11A">
            <w:pPr>
              <w:spacing w:line="460" w:lineRule="exact"/>
              <w:ind w:firstLine="520" w:firstLineChars="200"/>
              <w:rPr>
                <w:color w:val="auto"/>
                <w:szCs w:val="21"/>
              </w:rPr>
            </w:pPr>
            <w:r>
              <w:rPr>
                <w:rFonts w:hint="eastAsia"/>
                <w:color w:val="auto"/>
                <w:sz w:val="26"/>
                <w:szCs w:val="26"/>
              </w:rPr>
              <w:t>⑤施工区使用完毕，施工单位应及时绿化或恢复原有用地性质。</w:t>
            </w:r>
          </w:p>
        </w:tc>
      </w:tr>
      <w:tr w14:paraId="56FF787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80" w:hRule="atLeast"/>
          <w:jc w:val="center"/>
        </w:trPr>
        <w:tc>
          <w:tcPr>
            <w:tcW w:w="753" w:type="dxa"/>
            <w:tcMar>
              <w:left w:w="28" w:type="dxa"/>
              <w:right w:w="28" w:type="dxa"/>
            </w:tcMar>
            <w:vAlign w:val="center"/>
          </w:tcPr>
          <w:p w14:paraId="4B1E4F81">
            <w:pPr>
              <w:adjustRightInd w:val="0"/>
              <w:snapToGrid w:val="0"/>
              <w:spacing w:line="460" w:lineRule="exact"/>
              <w:jc w:val="center"/>
              <w:rPr>
                <w:bCs/>
                <w:color w:val="auto"/>
                <w:spacing w:val="10"/>
                <w:szCs w:val="21"/>
              </w:rPr>
            </w:pPr>
            <w:r>
              <w:rPr>
                <w:rFonts w:hint="eastAsia"/>
                <w:color w:val="auto"/>
                <w:kern w:val="0"/>
                <w:sz w:val="26"/>
                <w:szCs w:val="26"/>
              </w:rPr>
              <w:t>运营期生态环境保护措施</w:t>
            </w:r>
          </w:p>
        </w:tc>
        <w:tc>
          <w:tcPr>
            <w:tcW w:w="8457" w:type="dxa"/>
          </w:tcPr>
          <w:p w14:paraId="406538AE">
            <w:pPr>
              <w:spacing w:line="460" w:lineRule="exact"/>
              <w:rPr>
                <w:b/>
                <w:bCs/>
                <w:color w:val="auto"/>
                <w:sz w:val="26"/>
                <w:szCs w:val="26"/>
              </w:rPr>
            </w:pPr>
            <w:r>
              <w:rPr>
                <w:rFonts w:hint="eastAsia"/>
                <w:b/>
                <w:bCs/>
                <w:color w:val="auto"/>
                <w:sz w:val="26"/>
                <w:szCs w:val="26"/>
              </w:rPr>
              <w:t>5</w:t>
            </w:r>
            <w:r>
              <w:rPr>
                <w:b/>
                <w:bCs/>
                <w:color w:val="auto"/>
                <w:sz w:val="26"/>
                <w:szCs w:val="26"/>
              </w:rPr>
              <w:t>.2</w:t>
            </w:r>
            <w:r>
              <w:rPr>
                <w:rFonts w:hint="eastAsia"/>
                <w:b/>
                <w:bCs/>
                <w:color w:val="auto"/>
                <w:sz w:val="26"/>
                <w:szCs w:val="26"/>
              </w:rPr>
              <w:t>运营期生态环境保护措施</w:t>
            </w:r>
          </w:p>
          <w:p w14:paraId="7C3AE622">
            <w:pPr>
              <w:spacing w:line="460" w:lineRule="exact"/>
              <w:ind w:firstLine="522" w:firstLineChars="200"/>
              <w:rPr>
                <w:b/>
                <w:bCs/>
                <w:color w:val="auto"/>
                <w:sz w:val="26"/>
                <w:szCs w:val="26"/>
              </w:rPr>
            </w:pPr>
            <w:r>
              <w:rPr>
                <w:rFonts w:hint="eastAsia"/>
                <w:b/>
                <w:bCs/>
                <w:color w:val="auto"/>
                <w:sz w:val="26"/>
                <w:szCs w:val="26"/>
              </w:rPr>
              <w:t>5</w:t>
            </w:r>
            <w:r>
              <w:rPr>
                <w:b/>
                <w:bCs/>
                <w:color w:val="auto"/>
                <w:sz w:val="26"/>
                <w:szCs w:val="26"/>
              </w:rPr>
              <w:t>.2.1</w:t>
            </w:r>
            <w:r>
              <w:rPr>
                <w:rFonts w:hint="eastAsia"/>
                <w:b/>
                <w:bCs/>
                <w:color w:val="auto"/>
                <w:sz w:val="26"/>
                <w:szCs w:val="26"/>
              </w:rPr>
              <w:t>电磁防护</w:t>
            </w:r>
          </w:p>
          <w:p w14:paraId="5A202637">
            <w:pPr>
              <w:spacing w:line="460" w:lineRule="exact"/>
              <w:ind w:firstLine="520" w:firstLineChars="200"/>
              <w:rPr>
                <w:color w:val="auto"/>
                <w:sz w:val="26"/>
                <w:szCs w:val="26"/>
              </w:rPr>
            </w:pPr>
            <w:r>
              <w:rPr>
                <w:rFonts w:hint="eastAsia"/>
                <w:color w:val="auto"/>
                <w:sz w:val="26"/>
                <w:szCs w:val="26"/>
              </w:rPr>
              <w:t>为尽可能减小本项目输电线路对周边电磁环境的影响，本评价提出以下措施。</w:t>
            </w:r>
          </w:p>
          <w:p w14:paraId="320E9014">
            <w:pPr>
              <w:numPr>
                <w:ilvl w:val="0"/>
                <w:numId w:val="4"/>
              </w:numPr>
              <w:spacing w:line="460" w:lineRule="exact"/>
              <w:ind w:firstLine="520" w:firstLineChars="200"/>
              <w:rPr>
                <w:color w:val="auto"/>
                <w:sz w:val="26"/>
                <w:szCs w:val="26"/>
              </w:rPr>
            </w:pPr>
            <w:r>
              <w:rPr>
                <w:rFonts w:hint="eastAsia"/>
                <w:color w:val="auto"/>
                <w:sz w:val="26"/>
                <w:szCs w:val="26"/>
              </w:rPr>
              <w:t>根据电磁预测结果，本项目架空线路与沿线敏感点之间的距离不应小于本评价提出的电磁达标距离，即在不考虑风偏的情况下，本项目</w:t>
            </w:r>
            <w:r>
              <w:rPr>
                <w:rFonts w:hint="eastAsia"/>
                <w:bCs/>
                <w:color w:val="auto"/>
                <w:sz w:val="26"/>
                <w:szCs w:val="26"/>
              </w:rPr>
              <w:t>架空线路</w:t>
            </w:r>
            <w:r>
              <w:rPr>
                <w:rFonts w:hint="eastAsia"/>
                <w:color w:val="auto"/>
                <w:sz w:val="26"/>
                <w:szCs w:val="26"/>
              </w:rPr>
              <w:t>需与沿线敏感点建筑保持以下距离：与边导线的水平距离至少为4</w:t>
            </w:r>
            <w:r>
              <w:rPr>
                <w:color w:val="auto"/>
                <w:sz w:val="26"/>
                <w:szCs w:val="26"/>
              </w:rPr>
              <w:t>m</w:t>
            </w:r>
            <w:r>
              <w:rPr>
                <w:rFonts w:hint="eastAsia"/>
                <w:color w:val="auto"/>
                <w:sz w:val="26"/>
                <w:szCs w:val="26"/>
              </w:rPr>
              <w:t>，或与下相导线线下垂直距离至少为3</w:t>
            </w:r>
            <w:r>
              <w:rPr>
                <w:color w:val="auto"/>
                <w:sz w:val="26"/>
                <w:szCs w:val="26"/>
              </w:rPr>
              <w:t>m</w:t>
            </w:r>
            <w:r>
              <w:rPr>
                <w:rFonts w:hint="eastAsia"/>
                <w:color w:val="auto"/>
                <w:sz w:val="26"/>
                <w:szCs w:val="26"/>
              </w:rPr>
              <w:t>（满足二者条件之一即可）。</w:t>
            </w:r>
          </w:p>
          <w:p w14:paraId="23D44999">
            <w:pPr>
              <w:spacing w:line="460" w:lineRule="exact"/>
              <w:ind w:firstLine="520" w:firstLineChars="200"/>
              <w:rPr>
                <w:color w:val="auto"/>
                <w:sz w:val="26"/>
                <w:szCs w:val="26"/>
              </w:rPr>
            </w:pPr>
            <w:r>
              <w:rPr>
                <w:rFonts w:hint="eastAsia"/>
                <w:color w:val="auto"/>
                <w:sz w:val="26"/>
                <w:szCs w:val="26"/>
              </w:rPr>
              <w:t>（2）在运行期，应加强环境管理，确保项目周边电磁环境小于《电磁环境控制限值》（</w:t>
            </w:r>
            <w:r>
              <w:rPr>
                <w:color w:val="auto"/>
                <w:sz w:val="26"/>
                <w:szCs w:val="26"/>
              </w:rPr>
              <w:t>GB 8702-2014</w:t>
            </w:r>
            <w:r>
              <w:rPr>
                <w:rFonts w:hint="eastAsia"/>
                <w:color w:val="auto"/>
                <w:sz w:val="26"/>
                <w:szCs w:val="26"/>
              </w:rPr>
              <w:t>）中的公众曝露控制限值。</w:t>
            </w:r>
          </w:p>
          <w:p w14:paraId="03073AB5">
            <w:pPr>
              <w:adjustRightInd w:val="0"/>
              <w:snapToGrid w:val="0"/>
              <w:spacing w:line="460" w:lineRule="exact"/>
              <w:ind w:firstLine="520" w:firstLineChars="200"/>
              <w:rPr>
                <w:color w:val="auto"/>
                <w:sz w:val="26"/>
                <w:szCs w:val="26"/>
              </w:rPr>
            </w:pPr>
            <w:r>
              <w:rPr>
                <w:rFonts w:hint="eastAsia"/>
                <w:color w:val="auto"/>
                <w:sz w:val="26"/>
                <w:szCs w:val="26"/>
              </w:rPr>
              <w:t>（3）线路选择时尽量避开集中敏感点。在与道路等交叉跨越时应严格按规程要求留有净空距离。</w:t>
            </w:r>
          </w:p>
          <w:p w14:paraId="376E2367">
            <w:pPr>
              <w:spacing w:line="460" w:lineRule="exact"/>
              <w:ind w:firstLine="520" w:firstLineChars="200"/>
              <w:rPr>
                <w:color w:val="auto"/>
                <w:sz w:val="26"/>
                <w:szCs w:val="26"/>
              </w:rPr>
            </w:pPr>
            <w:r>
              <w:rPr>
                <w:rFonts w:hint="eastAsia"/>
                <w:color w:val="auto"/>
                <w:sz w:val="26"/>
                <w:szCs w:val="26"/>
              </w:rPr>
              <w:t>（4）在工频电场强度大于4000V/m且小于10kV/m的耕地、园地等公众容易到达的场所区域内设置警示和防护指示标志。</w:t>
            </w:r>
          </w:p>
          <w:p w14:paraId="4FA456FF">
            <w:pPr>
              <w:spacing w:line="460" w:lineRule="exact"/>
              <w:ind w:firstLine="520" w:firstLineChars="200"/>
              <w:rPr>
                <w:color w:val="auto"/>
                <w:sz w:val="26"/>
                <w:szCs w:val="26"/>
              </w:rPr>
            </w:pPr>
            <w:r>
              <w:rPr>
                <w:rFonts w:hint="eastAsia"/>
                <w:color w:val="auto"/>
                <w:sz w:val="26"/>
                <w:szCs w:val="26"/>
              </w:rPr>
              <w:t>（5）在运行期，建立健全环保管理机构，加强环境管理工作，落实环境保护主体责任，并建立健全环保管理机构，搞好工程的环保竣工验收工作。</w:t>
            </w:r>
          </w:p>
          <w:p w14:paraId="43D5377B">
            <w:pPr>
              <w:spacing w:line="460" w:lineRule="exact"/>
              <w:ind w:firstLine="522" w:firstLineChars="200"/>
              <w:rPr>
                <w:b/>
                <w:bCs/>
                <w:color w:val="auto"/>
                <w:sz w:val="26"/>
                <w:szCs w:val="26"/>
              </w:rPr>
            </w:pPr>
            <w:r>
              <w:rPr>
                <w:rFonts w:hint="eastAsia"/>
                <w:b/>
                <w:bCs/>
                <w:color w:val="auto"/>
                <w:sz w:val="26"/>
                <w:szCs w:val="26"/>
              </w:rPr>
              <w:t>5</w:t>
            </w:r>
            <w:r>
              <w:rPr>
                <w:b/>
                <w:bCs/>
                <w:color w:val="auto"/>
                <w:sz w:val="26"/>
                <w:szCs w:val="26"/>
              </w:rPr>
              <w:t>.2.2</w:t>
            </w:r>
            <w:r>
              <w:rPr>
                <w:rFonts w:hint="eastAsia"/>
                <w:b/>
                <w:bCs/>
                <w:color w:val="auto"/>
                <w:sz w:val="26"/>
                <w:szCs w:val="26"/>
              </w:rPr>
              <w:t>声环境保护</w:t>
            </w:r>
          </w:p>
          <w:p w14:paraId="5C548DB9">
            <w:pPr>
              <w:spacing w:line="460" w:lineRule="exact"/>
              <w:ind w:firstLine="520" w:firstLineChars="200"/>
              <w:rPr>
                <w:color w:val="auto"/>
              </w:rPr>
            </w:pPr>
            <w:r>
              <w:rPr>
                <w:rFonts w:hint="eastAsia"/>
                <w:color w:val="auto"/>
                <w:sz w:val="26"/>
                <w:szCs w:val="26"/>
              </w:rPr>
              <w:t>减少导线表面毛刺，加强巡查和检查，定期开展环境监测，确保线路沿线声环境质量满足相应区域标准要求。</w:t>
            </w:r>
          </w:p>
        </w:tc>
      </w:tr>
      <w:tr w14:paraId="2CFE5E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858" w:hRule="atLeast"/>
          <w:jc w:val="center"/>
        </w:trPr>
        <w:tc>
          <w:tcPr>
            <w:tcW w:w="753" w:type="dxa"/>
            <w:vAlign w:val="center"/>
          </w:tcPr>
          <w:p w14:paraId="0F485021">
            <w:pPr>
              <w:adjustRightInd w:val="0"/>
              <w:snapToGrid w:val="0"/>
              <w:jc w:val="center"/>
              <w:rPr>
                <w:bCs/>
                <w:color w:val="auto"/>
                <w:spacing w:val="10"/>
                <w:szCs w:val="21"/>
              </w:rPr>
            </w:pPr>
            <w:r>
              <w:rPr>
                <w:rFonts w:hint="eastAsia"/>
                <w:color w:val="auto"/>
                <w:kern w:val="0"/>
                <w:sz w:val="26"/>
                <w:szCs w:val="26"/>
              </w:rPr>
              <w:t>其他</w:t>
            </w:r>
          </w:p>
        </w:tc>
        <w:tc>
          <w:tcPr>
            <w:tcW w:w="8457" w:type="dxa"/>
            <w:vAlign w:val="center"/>
          </w:tcPr>
          <w:p w14:paraId="0C1D6038">
            <w:pPr>
              <w:spacing w:line="460" w:lineRule="exact"/>
              <w:rPr>
                <w:b/>
                <w:bCs/>
                <w:color w:val="auto"/>
                <w:sz w:val="26"/>
                <w:szCs w:val="26"/>
              </w:rPr>
            </w:pPr>
            <w:r>
              <w:rPr>
                <w:rFonts w:hint="eastAsia"/>
                <w:b/>
                <w:bCs/>
                <w:color w:val="auto"/>
                <w:sz w:val="26"/>
                <w:szCs w:val="26"/>
              </w:rPr>
              <w:t>5</w:t>
            </w:r>
            <w:r>
              <w:rPr>
                <w:b/>
                <w:bCs/>
                <w:color w:val="auto"/>
                <w:sz w:val="26"/>
                <w:szCs w:val="26"/>
              </w:rPr>
              <w:t>.3</w:t>
            </w:r>
            <w:r>
              <w:rPr>
                <w:rFonts w:hint="eastAsia"/>
                <w:b/>
                <w:bCs/>
                <w:color w:val="auto"/>
                <w:sz w:val="26"/>
                <w:szCs w:val="26"/>
              </w:rPr>
              <w:t>环境管理与环境监测计划</w:t>
            </w:r>
          </w:p>
          <w:p w14:paraId="35646B2C">
            <w:pPr>
              <w:spacing w:line="460" w:lineRule="exact"/>
              <w:ind w:firstLine="520" w:firstLineChars="200"/>
              <w:rPr>
                <w:color w:val="auto"/>
                <w:sz w:val="26"/>
                <w:szCs w:val="26"/>
              </w:rPr>
            </w:pPr>
            <w:r>
              <w:rPr>
                <w:rFonts w:hint="eastAsia"/>
                <w:color w:val="auto"/>
                <w:sz w:val="26"/>
                <w:szCs w:val="26"/>
              </w:rPr>
              <w:t>本工程的建设将会不同程度地对线路周边局部地区的自然环境和社会环境造成一定的影响。建设期和运行期应加强环境管理，执行环境管理和监测计划，掌握项目工程建设前后、运行前后实际产生的环境影响变化情况，确保各项环保防治措施的有效落实，并根据管理、监测中发现的信息及时解决相关问题，尽可能降低、减少工程建设及工程运行对环境带来的负面影响，力争做到经济、社会、环境效益的统一和可持续发展。</w:t>
            </w:r>
          </w:p>
          <w:p w14:paraId="531CB723">
            <w:pPr>
              <w:spacing w:line="460" w:lineRule="exact"/>
              <w:ind w:firstLine="522" w:firstLineChars="200"/>
              <w:rPr>
                <w:b/>
                <w:bCs/>
                <w:color w:val="auto"/>
                <w:sz w:val="26"/>
                <w:szCs w:val="26"/>
              </w:rPr>
            </w:pPr>
            <w:r>
              <w:rPr>
                <w:b/>
                <w:bCs/>
                <w:color w:val="auto"/>
                <w:sz w:val="26"/>
                <w:szCs w:val="26"/>
              </w:rPr>
              <w:t>5.3.1</w:t>
            </w:r>
            <w:r>
              <w:rPr>
                <w:rFonts w:hint="eastAsia"/>
                <w:b/>
                <w:bCs/>
                <w:color w:val="auto"/>
                <w:sz w:val="26"/>
                <w:szCs w:val="26"/>
              </w:rPr>
              <w:t>环境管理机构</w:t>
            </w:r>
          </w:p>
          <w:p w14:paraId="2D2A23D6">
            <w:pPr>
              <w:spacing w:line="460" w:lineRule="exact"/>
              <w:ind w:firstLine="520" w:firstLineChars="200"/>
              <w:rPr>
                <w:color w:val="auto"/>
                <w:sz w:val="26"/>
                <w:szCs w:val="26"/>
              </w:rPr>
            </w:pPr>
            <w:r>
              <w:rPr>
                <w:rFonts w:hint="eastAsia"/>
                <w:color w:val="auto"/>
                <w:sz w:val="26"/>
                <w:szCs w:val="26"/>
              </w:rPr>
              <w:t>本项目的环境管理机构是国网重庆市电力公司奉节供电分公司，其主要职责是：</w:t>
            </w:r>
          </w:p>
          <w:p w14:paraId="1CBCF933">
            <w:pPr>
              <w:spacing w:line="460" w:lineRule="exact"/>
              <w:ind w:firstLine="520" w:firstLineChars="200"/>
              <w:rPr>
                <w:color w:val="auto"/>
                <w:sz w:val="26"/>
                <w:szCs w:val="26"/>
              </w:rPr>
            </w:pPr>
            <w:r>
              <w:rPr>
                <w:rFonts w:hint="eastAsia"/>
                <w:color w:val="auto"/>
                <w:sz w:val="26"/>
                <w:szCs w:val="26"/>
              </w:rPr>
              <w:t>（1）贯彻执行国家、重庆市及所在辖区内各项环境保护方针、政策和法规；</w:t>
            </w:r>
          </w:p>
          <w:p w14:paraId="78064EBE">
            <w:pPr>
              <w:spacing w:line="460" w:lineRule="exact"/>
              <w:ind w:firstLine="520" w:firstLineChars="200"/>
              <w:rPr>
                <w:color w:val="auto"/>
                <w:sz w:val="26"/>
                <w:szCs w:val="26"/>
              </w:rPr>
            </w:pPr>
            <w:r>
              <w:rPr>
                <w:rFonts w:hint="eastAsia"/>
                <w:color w:val="auto"/>
                <w:sz w:val="26"/>
                <w:szCs w:val="26"/>
              </w:rPr>
              <w:t>（2）制定本工程施工中的环境保护计划，负责工程施工过程中各项环境保护措施实施的监督和日常管理；</w:t>
            </w:r>
          </w:p>
          <w:p w14:paraId="63BAE72F">
            <w:pPr>
              <w:spacing w:line="460" w:lineRule="exact"/>
              <w:ind w:firstLine="520" w:firstLineChars="200"/>
              <w:rPr>
                <w:color w:val="auto"/>
                <w:sz w:val="26"/>
                <w:szCs w:val="26"/>
              </w:rPr>
            </w:pPr>
            <w:r>
              <w:rPr>
                <w:rFonts w:hint="eastAsia"/>
                <w:color w:val="auto"/>
                <w:sz w:val="26"/>
                <w:szCs w:val="26"/>
              </w:rPr>
              <w:t>（3）组织制定污染事故处理计划，并对事故进行调查处理；</w:t>
            </w:r>
          </w:p>
          <w:p w14:paraId="7789F745">
            <w:pPr>
              <w:spacing w:line="460" w:lineRule="exact"/>
              <w:ind w:firstLine="520" w:firstLineChars="200"/>
              <w:rPr>
                <w:color w:val="auto"/>
                <w:sz w:val="26"/>
                <w:szCs w:val="26"/>
              </w:rPr>
            </w:pPr>
            <w:r>
              <w:rPr>
                <w:rFonts w:hint="eastAsia"/>
                <w:color w:val="auto"/>
                <w:sz w:val="26"/>
                <w:szCs w:val="26"/>
              </w:rPr>
              <w:t>（4）收集、整理、推广和实施工程建设中各项环境保护的先进工作经验和技术；</w:t>
            </w:r>
          </w:p>
          <w:p w14:paraId="6085DF3B">
            <w:pPr>
              <w:spacing w:line="460" w:lineRule="exact"/>
              <w:ind w:firstLine="520" w:firstLineChars="200"/>
              <w:rPr>
                <w:color w:val="auto"/>
                <w:sz w:val="26"/>
                <w:szCs w:val="26"/>
              </w:rPr>
            </w:pPr>
            <w:r>
              <w:rPr>
                <w:rFonts w:hint="eastAsia"/>
                <w:color w:val="auto"/>
                <w:sz w:val="26"/>
                <w:szCs w:val="26"/>
              </w:rPr>
              <w:t>（5）组织和开展对施工人员进行施工活动中应遵循的环保法规、知识的培训，提高全体员工文明施工的认识；</w:t>
            </w:r>
          </w:p>
          <w:p w14:paraId="7ED9941D">
            <w:pPr>
              <w:spacing w:line="460" w:lineRule="exact"/>
              <w:ind w:firstLine="520" w:firstLineChars="200"/>
              <w:rPr>
                <w:color w:val="auto"/>
                <w:sz w:val="26"/>
                <w:szCs w:val="26"/>
              </w:rPr>
            </w:pPr>
            <w:r>
              <w:rPr>
                <w:rFonts w:hint="eastAsia"/>
                <w:color w:val="auto"/>
                <w:sz w:val="26"/>
                <w:szCs w:val="26"/>
              </w:rPr>
              <w:t>（6）负责日常施工活动中的环境监理工作，做好工程用地区域的环境特征调查，对于环境保护目标要</w:t>
            </w:r>
            <w:r>
              <w:rPr>
                <w:rFonts w:hint="eastAsia"/>
                <w:color w:val="auto"/>
                <w:sz w:val="26"/>
                <w:szCs w:val="26"/>
                <w:lang w:eastAsia="zh-CN"/>
              </w:rPr>
              <w:t>做</w:t>
            </w:r>
            <w:r>
              <w:rPr>
                <w:rFonts w:hint="eastAsia"/>
                <w:color w:val="auto"/>
                <w:sz w:val="26"/>
                <w:szCs w:val="26"/>
              </w:rPr>
              <w:t>到心中有数；</w:t>
            </w:r>
          </w:p>
          <w:p w14:paraId="17DE49B3">
            <w:pPr>
              <w:spacing w:line="460" w:lineRule="exact"/>
              <w:ind w:firstLine="520" w:firstLineChars="200"/>
              <w:rPr>
                <w:color w:val="auto"/>
                <w:sz w:val="26"/>
                <w:szCs w:val="26"/>
              </w:rPr>
            </w:pPr>
            <w:r>
              <w:rPr>
                <w:rFonts w:hint="eastAsia"/>
                <w:color w:val="auto"/>
                <w:sz w:val="26"/>
                <w:szCs w:val="26"/>
              </w:rPr>
              <w:t>（7）做好施工中各种环境问题的收集、记录、建档和处理工作；</w:t>
            </w:r>
          </w:p>
          <w:p w14:paraId="1262615E">
            <w:pPr>
              <w:spacing w:line="460" w:lineRule="exact"/>
              <w:ind w:firstLine="520" w:firstLineChars="200"/>
              <w:rPr>
                <w:color w:val="auto"/>
                <w:sz w:val="26"/>
                <w:szCs w:val="26"/>
              </w:rPr>
            </w:pPr>
            <w:r>
              <w:rPr>
                <w:rFonts w:hint="eastAsia"/>
                <w:color w:val="auto"/>
                <w:sz w:val="26"/>
                <w:szCs w:val="26"/>
              </w:rPr>
              <w:t>（</w:t>
            </w:r>
            <w:r>
              <w:rPr>
                <w:color w:val="auto"/>
                <w:sz w:val="26"/>
                <w:szCs w:val="26"/>
              </w:rPr>
              <w:t>8</w:t>
            </w:r>
            <w:r>
              <w:rPr>
                <w:rFonts w:hint="eastAsia"/>
                <w:color w:val="auto"/>
                <w:sz w:val="26"/>
                <w:szCs w:val="26"/>
              </w:rPr>
              <w:t>）监督施工单位，使施工工作完成后的生态恢复和补偿，水保设施、环保设施等各项保护工程同时完成。</w:t>
            </w:r>
          </w:p>
          <w:p w14:paraId="10489072">
            <w:pPr>
              <w:spacing w:line="460" w:lineRule="exact"/>
              <w:ind w:firstLine="522" w:firstLineChars="200"/>
              <w:rPr>
                <w:b/>
                <w:bCs/>
                <w:color w:val="auto"/>
                <w:sz w:val="26"/>
                <w:szCs w:val="26"/>
              </w:rPr>
            </w:pPr>
            <w:r>
              <w:rPr>
                <w:b/>
                <w:bCs/>
                <w:color w:val="auto"/>
                <w:sz w:val="26"/>
                <w:szCs w:val="26"/>
              </w:rPr>
              <w:t>5.3.2</w:t>
            </w:r>
            <w:r>
              <w:rPr>
                <w:rFonts w:hint="eastAsia"/>
                <w:b/>
                <w:bCs/>
                <w:color w:val="auto"/>
                <w:sz w:val="26"/>
                <w:szCs w:val="26"/>
              </w:rPr>
              <w:t>环境管理要点</w:t>
            </w:r>
          </w:p>
          <w:p w14:paraId="31866D7D">
            <w:pPr>
              <w:spacing w:line="460" w:lineRule="exact"/>
              <w:ind w:firstLine="520" w:firstLineChars="200"/>
              <w:rPr>
                <w:color w:val="auto"/>
                <w:sz w:val="26"/>
                <w:szCs w:val="26"/>
              </w:rPr>
            </w:pPr>
            <w:r>
              <w:rPr>
                <w:rFonts w:hint="eastAsia"/>
                <w:color w:val="auto"/>
                <w:sz w:val="26"/>
                <w:szCs w:val="26"/>
              </w:rPr>
              <w:t>（1）设计阶段：设计单位应将环境影响报告表中提出的环保措施落实到设计中，建设单位、环保部门应对环保工程设计方案进行审查；</w:t>
            </w:r>
          </w:p>
          <w:p w14:paraId="3CFC2CE9">
            <w:pPr>
              <w:spacing w:line="460" w:lineRule="exact"/>
              <w:ind w:firstLine="520" w:firstLineChars="200"/>
              <w:rPr>
                <w:color w:val="auto"/>
                <w:sz w:val="26"/>
                <w:szCs w:val="26"/>
              </w:rPr>
            </w:pPr>
            <w:r>
              <w:rPr>
                <w:rFonts w:hint="eastAsia"/>
                <w:color w:val="auto"/>
                <w:sz w:val="26"/>
                <w:szCs w:val="26"/>
              </w:rPr>
              <w:t>（2）招标阶段：建设单位在投标中应有环境保护的内容，中标后的合同应有实施环境保护措施的条款；</w:t>
            </w:r>
          </w:p>
          <w:p w14:paraId="34E7E6FF">
            <w:pPr>
              <w:spacing w:line="460" w:lineRule="exact"/>
              <w:ind w:firstLine="520" w:firstLineChars="200"/>
              <w:rPr>
                <w:color w:val="auto"/>
                <w:sz w:val="26"/>
                <w:szCs w:val="26"/>
              </w:rPr>
            </w:pPr>
            <w:r>
              <w:rPr>
                <w:rFonts w:hint="eastAsia"/>
                <w:color w:val="auto"/>
                <w:sz w:val="26"/>
                <w:szCs w:val="26"/>
              </w:rPr>
              <w:t>（3）建设单位在施工开始后应配1~2名专职人员负责施工期的环境管理与监督，关注施工废渣排放、扬尘污染和噪声扰民等。</w:t>
            </w:r>
          </w:p>
          <w:p w14:paraId="264BF4DB">
            <w:pPr>
              <w:spacing w:line="460" w:lineRule="exact"/>
              <w:ind w:firstLine="522" w:firstLineChars="200"/>
              <w:rPr>
                <w:b/>
                <w:bCs/>
                <w:color w:val="auto"/>
                <w:sz w:val="26"/>
                <w:szCs w:val="26"/>
              </w:rPr>
            </w:pPr>
            <w:r>
              <w:rPr>
                <w:b/>
                <w:bCs/>
                <w:color w:val="auto"/>
                <w:sz w:val="26"/>
                <w:szCs w:val="26"/>
              </w:rPr>
              <w:t>5.3.3</w:t>
            </w:r>
            <w:r>
              <w:rPr>
                <w:rFonts w:hint="eastAsia"/>
                <w:b/>
                <w:bCs/>
                <w:color w:val="auto"/>
                <w:sz w:val="26"/>
                <w:szCs w:val="26"/>
              </w:rPr>
              <w:t>环境监测计划</w:t>
            </w:r>
          </w:p>
          <w:p w14:paraId="1E1835DC">
            <w:pPr>
              <w:spacing w:line="460" w:lineRule="exact"/>
              <w:ind w:firstLine="520" w:firstLineChars="200"/>
              <w:rPr>
                <w:color w:val="auto"/>
                <w:sz w:val="26"/>
                <w:szCs w:val="26"/>
              </w:rPr>
            </w:pPr>
            <w:r>
              <w:rPr>
                <w:rFonts w:hint="eastAsia"/>
                <w:color w:val="auto"/>
                <w:sz w:val="26"/>
                <w:szCs w:val="26"/>
              </w:rPr>
              <w:t>制定环境监测计划是为了监督各项环保措施的落实，为环保措施的实施时间和实施方案提供依据，也为项目竣工后评估提供依据。制定的原则是根据预测各个时期的主要环境影响及可能超标的地段及超标指标而定，重点是各个环境敏感区。</w:t>
            </w:r>
          </w:p>
          <w:p w14:paraId="4177A3B6">
            <w:pPr>
              <w:spacing w:line="460" w:lineRule="exact"/>
              <w:ind w:firstLine="520" w:firstLineChars="200"/>
              <w:rPr>
                <w:color w:val="auto"/>
                <w:sz w:val="26"/>
                <w:szCs w:val="26"/>
              </w:rPr>
            </w:pPr>
            <w:r>
              <w:rPr>
                <w:rFonts w:hint="eastAsia"/>
                <w:color w:val="auto"/>
                <w:sz w:val="26"/>
                <w:szCs w:val="26"/>
              </w:rPr>
              <w:t>本次环境监测计划为运营期，由国网重庆市电力公司奉节供电分公司委托有相关资质的监测单位和机构等进行监测。监测计划见表5-1。</w:t>
            </w:r>
          </w:p>
          <w:p w14:paraId="718D0F9A">
            <w:pPr>
              <w:pStyle w:val="5"/>
              <w:spacing w:line="240" w:lineRule="auto"/>
              <w:rPr>
                <w:color w:val="auto"/>
                <w:szCs w:val="26"/>
              </w:rPr>
            </w:pPr>
          </w:p>
          <w:p w14:paraId="19796D60">
            <w:pPr>
              <w:pStyle w:val="5"/>
              <w:spacing w:line="240" w:lineRule="auto"/>
              <w:ind w:firstLine="0" w:firstLineChars="0"/>
              <w:jc w:val="center"/>
              <w:rPr>
                <w:bCs/>
                <w:color w:val="auto"/>
                <w:sz w:val="26"/>
                <w:szCs w:val="26"/>
              </w:rPr>
            </w:pPr>
            <w:r>
              <w:rPr>
                <w:rFonts w:hint="eastAsia"/>
                <w:bCs/>
                <w:color w:val="auto"/>
                <w:sz w:val="26"/>
                <w:szCs w:val="26"/>
              </w:rPr>
              <w:t>表</w:t>
            </w:r>
            <w:r>
              <w:rPr>
                <w:bCs/>
                <w:color w:val="auto"/>
                <w:sz w:val="26"/>
                <w:szCs w:val="26"/>
              </w:rPr>
              <w:t>5</w:t>
            </w:r>
            <w:r>
              <w:rPr>
                <w:rFonts w:hint="eastAsia"/>
                <w:bCs/>
                <w:color w:val="auto"/>
                <w:sz w:val="26"/>
                <w:szCs w:val="26"/>
              </w:rPr>
              <w:t>-1  营运期环境监测计划</w:t>
            </w:r>
          </w:p>
          <w:tbl>
            <w:tblPr>
              <w:tblStyle w:val="25"/>
              <w:tblW w:w="8241" w:type="dxa"/>
              <w:jc w:val="center"/>
              <w:tblBorders>
                <w:top w:val="single" w:color="000000" w:sz="12" w:space="0"/>
                <w:left w:val="none" w:color="auto" w:sz="0" w:space="0"/>
                <w:bottom w:val="single" w:color="000000" w:sz="12" w:space="0"/>
                <w:right w:val="none" w:color="auto" w:sz="0" w:space="0"/>
                <w:insideH w:val="none" w:color="auto" w:sz="0" w:space="0"/>
                <w:insideV w:val="single" w:color="auto" w:sz="4" w:space="0"/>
              </w:tblBorders>
              <w:tblLayout w:type="autofit"/>
              <w:tblCellMar>
                <w:top w:w="0" w:type="dxa"/>
                <w:left w:w="108" w:type="dxa"/>
                <w:bottom w:w="0" w:type="dxa"/>
                <w:right w:w="108" w:type="dxa"/>
              </w:tblCellMar>
            </w:tblPr>
            <w:tblGrid>
              <w:gridCol w:w="1771"/>
              <w:gridCol w:w="2959"/>
              <w:gridCol w:w="2171"/>
              <w:gridCol w:w="1340"/>
            </w:tblGrid>
            <w:tr w14:paraId="496D1C6F">
              <w:tblPrEx>
                <w:tblBorders>
                  <w:top w:val="single" w:color="000000" w:sz="12" w:space="0"/>
                  <w:left w:val="none" w:color="auto" w:sz="0" w:space="0"/>
                  <w:bottom w:val="single" w:color="000000"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369" w:hRule="atLeast"/>
                <w:jc w:val="center"/>
              </w:trPr>
              <w:tc>
                <w:tcPr>
                  <w:tcW w:w="1075" w:type="pct"/>
                  <w:tcBorders>
                    <w:top w:val="single" w:color="000000" w:sz="4" w:space="0"/>
                    <w:left w:val="single" w:color="auto" w:sz="2" w:space="0"/>
                    <w:bottom w:val="single" w:color="auto" w:sz="4" w:space="0"/>
                    <w:right w:val="single" w:color="000000" w:sz="4" w:space="0"/>
                  </w:tcBorders>
                  <w:vAlign w:val="center"/>
                </w:tcPr>
                <w:p w14:paraId="5D6C5B4B">
                  <w:pPr>
                    <w:pStyle w:val="5"/>
                    <w:snapToGrid w:val="0"/>
                    <w:spacing w:line="240" w:lineRule="auto"/>
                    <w:ind w:firstLine="0" w:firstLineChars="0"/>
                    <w:jc w:val="center"/>
                    <w:rPr>
                      <w:color w:val="auto"/>
                      <w:sz w:val="22"/>
                      <w:szCs w:val="22"/>
                    </w:rPr>
                  </w:pPr>
                  <w:r>
                    <w:rPr>
                      <w:rFonts w:hint="eastAsia"/>
                      <w:color w:val="auto"/>
                      <w:sz w:val="22"/>
                      <w:szCs w:val="22"/>
                    </w:rPr>
                    <w:t>监测项目</w:t>
                  </w:r>
                </w:p>
              </w:tc>
              <w:tc>
                <w:tcPr>
                  <w:tcW w:w="1795" w:type="pct"/>
                  <w:tcBorders>
                    <w:top w:val="single" w:color="000000" w:sz="4" w:space="0"/>
                    <w:left w:val="single" w:color="000000" w:sz="4" w:space="0"/>
                    <w:bottom w:val="single" w:color="000000" w:sz="4" w:space="0"/>
                    <w:right w:val="single" w:color="000000" w:sz="4" w:space="0"/>
                  </w:tcBorders>
                  <w:vAlign w:val="center"/>
                </w:tcPr>
                <w:p w14:paraId="669B711C">
                  <w:pPr>
                    <w:pStyle w:val="5"/>
                    <w:snapToGrid w:val="0"/>
                    <w:spacing w:line="240" w:lineRule="auto"/>
                    <w:ind w:firstLine="0" w:firstLineChars="0"/>
                    <w:jc w:val="center"/>
                    <w:rPr>
                      <w:color w:val="auto"/>
                      <w:sz w:val="22"/>
                      <w:szCs w:val="22"/>
                    </w:rPr>
                  </w:pPr>
                  <w:r>
                    <w:rPr>
                      <w:rFonts w:hint="eastAsia"/>
                      <w:color w:val="auto"/>
                      <w:sz w:val="22"/>
                      <w:szCs w:val="22"/>
                    </w:rPr>
                    <w:t>监测点位</w:t>
                  </w:r>
                </w:p>
              </w:tc>
              <w:tc>
                <w:tcPr>
                  <w:tcW w:w="1317" w:type="pct"/>
                  <w:tcBorders>
                    <w:top w:val="single" w:color="000000" w:sz="4" w:space="0"/>
                    <w:left w:val="single" w:color="000000" w:sz="4" w:space="0"/>
                    <w:bottom w:val="single" w:color="000000" w:sz="4" w:space="0"/>
                    <w:right w:val="single" w:color="000000" w:sz="4" w:space="0"/>
                  </w:tcBorders>
                  <w:vAlign w:val="center"/>
                </w:tcPr>
                <w:p w14:paraId="252FC0AE">
                  <w:pPr>
                    <w:pStyle w:val="5"/>
                    <w:snapToGrid w:val="0"/>
                    <w:spacing w:line="240" w:lineRule="auto"/>
                    <w:ind w:firstLine="0" w:firstLineChars="0"/>
                    <w:jc w:val="center"/>
                    <w:rPr>
                      <w:color w:val="auto"/>
                      <w:sz w:val="22"/>
                      <w:szCs w:val="22"/>
                    </w:rPr>
                  </w:pPr>
                  <w:r>
                    <w:rPr>
                      <w:rFonts w:hint="eastAsia"/>
                      <w:color w:val="auto"/>
                      <w:sz w:val="22"/>
                      <w:szCs w:val="22"/>
                    </w:rPr>
                    <w:t>监测频次及方法</w:t>
                  </w:r>
                </w:p>
              </w:tc>
              <w:tc>
                <w:tcPr>
                  <w:tcW w:w="811" w:type="pct"/>
                  <w:tcBorders>
                    <w:top w:val="single" w:color="000000" w:sz="4" w:space="0"/>
                    <w:left w:val="single" w:color="000000" w:sz="4" w:space="0"/>
                    <w:bottom w:val="single" w:color="000000" w:sz="4" w:space="0"/>
                    <w:right w:val="single" w:color="000000" w:sz="4" w:space="0"/>
                  </w:tcBorders>
                  <w:vAlign w:val="center"/>
                </w:tcPr>
                <w:p w14:paraId="5E9DAA5B">
                  <w:pPr>
                    <w:pStyle w:val="5"/>
                    <w:snapToGrid w:val="0"/>
                    <w:spacing w:line="240" w:lineRule="auto"/>
                    <w:ind w:firstLine="0" w:firstLineChars="0"/>
                    <w:jc w:val="center"/>
                    <w:rPr>
                      <w:color w:val="auto"/>
                      <w:sz w:val="22"/>
                      <w:szCs w:val="22"/>
                    </w:rPr>
                  </w:pPr>
                  <w:r>
                    <w:rPr>
                      <w:rFonts w:hint="eastAsia"/>
                      <w:color w:val="auto"/>
                      <w:sz w:val="22"/>
                      <w:szCs w:val="22"/>
                    </w:rPr>
                    <w:t>实施机构</w:t>
                  </w:r>
                </w:p>
              </w:tc>
            </w:tr>
            <w:tr w14:paraId="5479C242">
              <w:tblPrEx>
                <w:tblBorders>
                  <w:top w:val="single" w:color="000000" w:sz="12" w:space="0"/>
                  <w:left w:val="none" w:color="auto" w:sz="0" w:space="0"/>
                  <w:bottom w:val="single" w:color="000000"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998" w:hRule="atLeast"/>
                <w:jc w:val="center"/>
              </w:trPr>
              <w:tc>
                <w:tcPr>
                  <w:tcW w:w="1075" w:type="pct"/>
                  <w:tcBorders>
                    <w:top w:val="single" w:color="auto" w:sz="4" w:space="0"/>
                    <w:left w:val="single" w:color="auto" w:sz="4" w:space="0"/>
                    <w:bottom w:val="single" w:color="auto" w:sz="4" w:space="0"/>
                    <w:right w:val="single" w:color="auto" w:sz="4" w:space="0"/>
                  </w:tcBorders>
                  <w:vAlign w:val="center"/>
                </w:tcPr>
                <w:p w14:paraId="2E5F44EA">
                  <w:pPr>
                    <w:pStyle w:val="5"/>
                    <w:snapToGrid w:val="0"/>
                    <w:spacing w:line="240" w:lineRule="auto"/>
                    <w:ind w:firstLine="0" w:firstLineChars="0"/>
                    <w:jc w:val="center"/>
                    <w:rPr>
                      <w:color w:val="auto"/>
                      <w:sz w:val="22"/>
                      <w:szCs w:val="22"/>
                    </w:rPr>
                  </w:pPr>
                  <w:r>
                    <w:rPr>
                      <w:rFonts w:hint="eastAsia"/>
                      <w:color w:val="auto"/>
                      <w:sz w:val="22"/>
                      <w:szCs w:val="22"/>
                    </w:rPr>
                    <w:t>工频电场、工频磁场</w:t>
                  </w:r>
                </w:p>
              </w:tc>
              <w:tc>
                <w:tcPr>
                  <w:tcW w:w="1795" w:type="pct"/>
                  <w:tcBorders>
                    <w:top w:val="single" w:color="000000" w:sz="4" w:space="0"/>
                    <w:left w:val="single" w:color="auto" w:sz="4" w:space="0"/>
                    <w:bottom w:val="single" w:color="000000" w:sz="4" w:space="0"/>
                    <w:right w:val="single" w:color="000000" w:sz="4" w:space="0"/>
                  </w:tcBorders>
                  <w:vAlign w:val="center"/>
                </w:tcPr>
                <w:p w14:paraId="4EF295E4">
                  <w:pPr>
                    <w:pStyle w:val="5"/>
                    <w:snapToGrid w:val="0"/>
                    <w:spacing w:line="240" w:lineRule="auto"/>
                    <w:ind w:firstLine="0" w:firstLineChars="0"/>
                    <w:jc w:val="center"/>
                    <w:rPr>
                      <w:color w:val="auto"/>
                      <w:sz w:val="22"/>
                      <w:szCs w:val="22"/>
                    </w:rPr>
                  </w:pPr>
                  <w:r>
                    <w:rPr>
                      <w:rFonts w:hint="eastAsia"/>
                      <w:color w:val="auto"/>
                      <w:sz w:val="22"/>
                      <w:szCs w:val="22"/>
                      <w:lang w:val="en-US" w:eastAsia="zh-CN"/>
                    </w:rPr>
                    <w:t>间隔扩建侧厂界，</w:t>
                  </w:r>
                  <w:r>
                    <w:rPr>
                      <w:rFonts w:hint="eastAsia"/>
                      <w:color w:val="auto"/>
                      <w:sz w:val="22"/>
                      <w:szCs w:val="22"/>
                    </w:rPr>
                    <w:t>线路沿线电磁环境评价范围内典型环境保护目标处；</w:t>
                  </w:r>
                </w:p>
                <w:p w14:paraId="32BDEC57">
                  <w:pPr>
                    <w:pStyle w:val="5"/>
                    <w:snapToGrid w:val="0"/>
                    <w:spacing w:line="240" w:lineRule="auto"/>
                    <w:ind w:firstLine="0" w:firstLineChars="0"/>
                    <w:jc w:val="center"/>
                    <w:rPr>
                      <w:color w:val="auto"/>
                      <w:sz w:val="22"/>
                      <w:szCs w:val="22"/>
                    </w:rPr>
                  </w:pPr>
                  <w:r>
                    <w:rPr>
                      <w:rFonts w:hint="eastAsia"/>
                      <w:color w:val="auto"/>
                      <w:sz w:val="22"/>
                      <w:szCs w:val="22"/>
                    </w:rPr>
                    <w:t>评价范围内有电磁环境问题投诉的电磁环境敏感目标；</w:t>
                  </w:r>
                </w:p>
                <w:p w14:paraId="67F41704">
                  <w:pPr>
                    <w:pStyle w:val="5"/>
                    <w:snapToGrid w:val="0"/>
                    <w:spacing w:line="240" w:lineRule="auto"/>
                    <w:ind w:firstLine="0" w:firstLineChars="0"/>
                    <w:jc w:val="center"/>
                    <w:rPr>
                      <w:color w:val="auto"/>
                      <w:sz w:val="22"/>
                      <w:szCs w:val="22"/>
                    </w:rPr>
                  </w:pPr>
                  <w:r>
                    <w:rPr>
                      <w:rFonts w:hint="eastAsia"/>
                      <w:color w:val="auto"/>
                      <w:sz w:val="22"/>
                      <w:szCs w:val="22"/>
                    </w:rPr>
                    <w:t>具备断面监测条件的需布设断面监测。</w:t>
                  </w:r>
                </w:p>
              </w:tc>
              <w:tc>
                <w:tcPr>
                  <w:tcW w:w="1317" w:type="pct"/>
                  <w:vMerge w:val="restart"/>
                  <w:tcBorders>
                    <w:top w:val="single" w:color="000000" w:sz="4" w:space="0"/>
                    <w:left w:val="single" w:color="000000" w:sz="4" w:space="0"/>
                    <w:right w:val="single" w:color="000000" w:sz="4" w:space="0"/>
                  </w:tcBorders>
                  <w:vAlign w:val="center"/>
                </w:tcPr>
                <w:p w14:paraId="4996FBE9">
                  <w:pPr>
                    <w:pStyle w:val="5"/>
                    <w:snapToGrid w:val="0"/>
                    <w:spacing w:line="240" w:lineRule="auto"/>
                    <w:ind w:firstLine="0" w:firstLineChars="0"/>
                    <w:jc w:val="center"/>
                    <w:rPr>
                      <w:color w:val="auto"/>
                      <w:sz w:val="22"/>
                      <w:szCs w:val="22"/>
                    </w:rPr>
                  </w:pPr>
                  <w:r>
                    <w:rPr>
                      <w:rFonts w:hint="eastAsia"/>
                      <w:color w:val="auto"/>
                      <w:sz w:val="22"/>
                      <w:szCs w:val="22"/>
                    </w:rPr>
                    <w:t>竣工环境保护验收监测一次，后期根据</w:t>
                  </w:r>
                  <w:r>
                    <w:rPr>
                      <w:rFonts w:hint="eastAsia"/>
                      <w:color w:val="auto"/>
                      <w:sz w:val="22"/>
                      <w:szCs w:val="22"/>
                      <w:lang w:val="en-US" w:eastAsia="zh-CN"/>
                    </w:rPr>
                    <w:t>需要开展</w:t>
                  </w:r>
                  <w:r>
                    <w:rPr>
                      <w:rFonts w:hint="eastAsia"/>
                      <w:color w:val="auto"/>
                      <w:sz w:val="22"/>
                      <w:szCs w:val="22"/>
                    </w:rPr>
                    <w:t>监测</w:t>
                  </w:r>
                </w:p>
              </w:tc>
              <w:tc>
                <w:tcPr>
                  <w:tcW w:w="811" w:type="pct"/>
                  <w:vMerge w:val="restart"/>
                  <w:tcBorders>
                    <w:top w:val="single" w:color="000000" w:sz="4" w:space="0"/>
                    <w:left w:val="single" w:color="000000" w:sz="4" w:space="0"/>
                    <w:right w:val="single" w:color="000000" w:sz="4" w:space="0"/>
                  </w:tcBorders>
                  <w:vAlign w:val="center"/>
                </w:tcPr>
                <w:p w14:paraId="5EE22F30">
                  <w:pPr>
                    <w:pStyle w:val="5"/>
                    <w:snapToGrid w:val="0"/>
                    <w:spacing w:line="240" w:lineRule="auto"/>
                    <w:ind w:firstLine="0" w:firstLineChars="0"/>
                    <w:jc w:val="center"/>
                    <w:rPr>
                      <w:color w:val="auto"/>
                      <w:sz w:val="22"/>
                      <w:szCs w:val="22"/>
                    </w:rPr>
                  </w:pPr>
                  <w:r>
                    <w:rPr>
                      <w:rFonts w:hint="eastAsia"/>
                      <w:color w:val="auto"/>
                      <w:sz w:val="22"/>
                      <w:szCs w:val="22"/>
                    </w:rPr>
                    <w:t>受委托的有监测资质单位监测</w:t>
                  </w:r>
                </w:p>
              </w:tc>
            </w:tr>
            <w:tr w14:paraId="620084EA">
              <w:tblPrEx>
                <w:tblBorders>
                  <w:top w:val="single" w:color="000000" w:sz="12" w:space="0"/>
                  <w:left w:val="none" w:color="auto" w:sz="0" w:space="0"/>
                  <w:bottom w:val="single" w:color="000000"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997" w:hRule="atLeast"/>
                <w:jc w:val="center"/>
              </w:trPr>
              <w:tc>
                <w:tcPr>
                  <w:tcW w:w="1075" w:type="pct"/>
                  <w:tcBorders>
                    <w:top w:val="single" w:color="auto" w:sz="4" w:space="0"/>
                    <w:left w:val="single" w:color="auto" w:sz="4" w:space="0"/>
                    <w:bottom w:val="single" w:color="auto" w:sz="4" w:space="0"/>
                    <w:right w:val="single" w:color="auto" w:sz="4" w:space="0"/>
                  </w:tcBorders>
                  <w:vAlign w:val="center"/>
                </w:tcPr>
                <w:p w14:paraId="3FAC42F8">
                  <w:pPr>
                    <w:pStyle w:val="5"/>
                    <w:snapToGrid w:val="0"/>
                    <w:spacing w:line="240" w:lineRule="auto"/>
                    <w:ind w:firstLine="0" w:firstLineChars="0"/>
                    <w:jc w:val="center"/>
                    <w:rPr>
                      <w:color w:val="auto"/>
                      <w:sz w:val="22"/>
                      <w:szCs w:val="22"/>
                    </w:rPr>
                  </w:pPr>
                  <w:r>
                    <w:rPr>
                      <w:rFonts w:hint="eastAsia"/>
                      <w:color w:val="auto"/>
                      <w:sz w:val="22"/>
                      <w:szCs w:val="22"/>
                    </w:rPr>
                    <w:t>噪声（</w:t>
                  </w:r>
                  <w:r>
                    <w:rPr>
                      <w:rFonts w:hint="eastAsia"/>
                      <w:i/>
                      <w:color w:val="auto"/>
                      <w:sz w:val="22"/>
                      <w:szCs w:val="22"/>
                    </w:rPr>
                    <w:t>L</w:t>
                  </w:r>
                  <w:r>
                    <w:rPr>
                      <w:rFonts w:hint="eastAsia"/>
                      <w:i/>
                      <w:color w:val="auto"/>
                      <w:sz w:val="22"/>
                      <w:szCs w:val="22"/>
                      <w:vertAlign w:val="subscript"/>
                    </w:rPr>
                    <w:t>Aeq</w:t>
                  </w:r>
                  <w:r>
                    <w:rPr>
                      <w:rFonts w:hint="eastAsia"/>
                      <w:i/>
                      <w:color w:val="auto"/>
                      <w:sz w:val="22"/>
                      <w:szCs w:val="22"/>
                    </w:rPr>
                    <w:t>）</w:t>
                  </w:r>
                </w:p>
              </w:tc>
              <w:tc>
                <w:tcPr>
                  <w:tcW w:w="1795" w:type="pct"/>
                  <w:tcBorders>
                    <w:top w:val="single" w:color="000000" w:sz="4" w:space="0"/>
                    <w:left w:val="single" w:color="auto" w:sz="4" w:space="0"/>
                    <w:bottom w:val="single" w:color="000000" w:sz="4" w:space="0"/>
                    <w:right w:val="single" w:color="000000" w:sz="4" w:space="0"/>
                  </w:tcBorders>
                  <w:vAlign w:val="center"/>
                </w:tcPr>
                <w:p w14:paraId="239F40E6">
                  <w:pPr>
                    <w:pStyle w:val="5"/>
                    <w:snapToGrid w:val="0"/>
                    <w:spacing w:line="240" w:lineRule="auto"/>
                    <w:ind w:firstLine="0" w:firstLineChars="0"/>
                    <w:jc w:val="center"/>
                    <w:rPr>
                      <w:color w:val="auto"/>
                      <w:sz w:val="22"/>
                      <w:szCs w:val="22"/>
                    </w:rPr>
                  </w:pPr>
                  <w:r>
                    <w:rPr>
                      <w:rFonts w:hint="eastAsia"/>
                      <w:color w:val="auto"/>
                      <w:sz w:val="22"/>
                      <w:szCs w:val="22"/>
                      <w:lang w:val="en-US" w:eastAsia="zh-CN"/>
                    </w:rPr>
                    <w:t>间隔扩建侧厂界，间隔扩建侧及</w:t>
                  </w:r>
                  <w:r>
                    <w:rPr>
                      <w:rFonts w:hint="eastAsia"/>
                      <w:color w:val="auto"/>
                      <w:sz w:val="22"/>
                      <w:szCs w:val="22"/>
                    </w:rPr>
                    <w:t>线路沿线声环境评价范围内典型环境保护目标处；</w:t>
                  </w:r>
                </w:p>
                <w:p w14:paraId="39A0613D">
                  <w:pPr>
                    <w:pStyle w:val="5"/>
                    <w:snapToGrid w:val="0"/>
                    <w:spacing w:line="240" w:lineRule="auto"/>
                    <w:ind w:firstLine="0" w:firstLineChars="0"/>
                    <w:jc w:val="center"/>
                    <w:rPr>
                      <w:color w:val="auto"/>
                      <w:sz w:val="22"/>
                      <w:szCs w:val="22"/>
                    </w:rPr>
                  </w:pPr>
                  <w:r>
                    <w:rPr>
                      <w:rFonts w:hint="eastAsia"/>
                      <w:color w:val="auto"/>
                      <w:sz w:val="22"/>
                      <w:szCs w:val="22"/>
                    </w:rPr>
                    <w:t>评价范围内有声环境问题投诉的声环境敏感目标。</w:t>
                  </w:r>
                </w:p>
              </w:tc>
              <w:tc>
                <w:tcPr>
                  <w:tcW w:w="1317" w:type="pct"/>
                  <w:vMerge w:val="continue"/>
                  <w:tcBorders>
                    <w:left w:val="single" w:color="000000" w:sz="4" w:space="0"/>
                    <w:right w:val="single" w:color="000000" w:sz="4" w:space="0"/>
                  </w:tcBorders>
                  <w:vAlign w:val="center"/>
                </w:tcPr>
                <w:p w14:paraId="3C55A003">
                  <w:pPr>
                    <w:pStyle w:val="5"/>
                    <w:snapToGrid w:val="0"/>
                    <w:spacing w:line="240" w:lineRule="auto"/>
                    <w:ind w:firstLine="0" w:firstLineChars="0"/>
                    <w:rPr>
                      <w:color w:val="auto"/>
                      <w:sz w:val="22"/>
                      <w:szCs w:val="22"/>
                    </w:rPr>
                  </w:pPr>
                </w:p>
              </w:tc>
              <w:tc>
                <w:tcPr>
                  <w:tcW w:w="811" w:type="pct"/>
                  <w:vMerge w:val="continue"/>
                  <w:tcBorders>
                    <w:left w:val="single" w:color="000000" w:sz="4" w:space="0"/>
                    <w:right w:val="single" w:color="000000" w:sz="4" w:space="0"/>
                  </w:tcBorders>
                  <w:vAlign w:val="center"/>
                </w:tcPr>
                <w:p w14:paraId="0DB4391F">
                  <w:pPr>
                    <w:pStyle w:val="5"/>
                    <w:snapToGrid w:val="0"/>
                    <w:spacing w:line="240" w:lineRule="auto"/>
                    <w:ind w:firstLine="0" w:firstLineChars="0"/>
                    <w:rPr>
                      <w:color w:val="auto"/>
                      <w:sz w:val="22"/>
                      <w:szCs w:val="22"/>
                    </w:rPr>
                  </w:pPr>
                </w:p>
              </w:tc>
            </w:tr>
            <w:tr w14:paraId="3B683CF3">
              <w:tblPrEx>
                <w:tblBorders>
                  <w:top w:val="single" w:color="000000" w:sz="12" w:space="0"/>
                  <w:left w:val="none" w:color="auto" w:sz="0" w:space="0"/>
                  <w:bottom w:val="single" w:color="000000"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4"/>
                  <w:tcBorders>
                    <w:top w:val="single" w:color="auto" w:sz="4" w:space="0"/>
                    <w:left w:val="single" w:color="auto" w:sz="4" w:space="0"/>
                    <w:bottom w:val="single" w:color="auto" w:sz="4" w:space="0"/>
                    <w:right w:val="single" w:color="000000" w:sz="4" w:space="0"/>
                  </w:tcBorders>
                  <w:vAlign w:val="center"/>
                </w:tcPr>
                <w:p w14:paraId="1C22AFFA">
                  <w:pPr>
                    <w:pStyle w:val="5"/>
                    <w:snapToGrid w:val="0"/>
                    <w:spacing w:line="240" w:lineRule="auto"/>
                    <w:ind w:firstLine="0" w:firstLineChars="0"/>
                    <w:rPr>
                      <w:color w:val="auto"/>
                      <w:sz w:val="22"/>
                      <w:szCs w:val="22"/>
                    </w:rPr>
                  </w:pPr>
                  <w:r>
                    <w:rPr>
                      <w:rFonts w:hint="eastAsia"/>
                      <w:color w:val="auto"/>
                      <w:sz w:val="22"/>
                      <w:szCs w:val="22"/>
                    </w:rPr>
                    <w:t>备注：执行《建设项目竣工环境保护验收技术规范 输变电》（HJ705-2020）相关要求。</w:t>
                  </w:r>
                </w:p>
              </w:tc>
            </w:tr>
          </w:tbl>
          <w:p w14:paraId="54662A53">
            <w:pPr>
              <w:pStyle w:val="5"/>
              <w:spacing w:line="240" w:lineRule="auto"/>
              <w:ind w:firstLine="0" w:firstLineChars="0"/>
              <w:rPr>
                <w:rFonts w:ascii="宋体" w:hAnsi="宋体"/>
                <w:color w:val="auto"/>
                <w:sz w:val="20"/>
              </w:rPr>
            </w:pPr>
          </w:p>
        </w:tc>
      </w:tr>
      <w:tr w14:paraId="5437C7A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1" w:hRule="atLeast"/>
          <w:jc w:val="center"/>
        </w:trPr>
        <w:tc>
          <w:tcPr>
            <w:tcW w:w="753" w:type="dxa"/>
            <w:vAlign w:val="center"/>
          </w:tcPr>
          <w:p w14:paraId="55F8C706">
            <w:pPr>
              <w:adjustRightInd w:val="0"/>
              <w:snapToGrid w:val="0"/>
              <w:spacing w:line="460" w:lineRule="exact"/>
              <w:jc w:val="center"/>
              <w:rPr>
                <w:bCs/>
                <w:color w:val="auto"/>
                <w:spacing w:val="10"/>
                <w:szCs w:val="21"/>
              </w:rPr>
            </w:pPr>
            <w:r>
              <w:rPr>
                <w:color w:val="auto"/>
                <w:sz w:val="26"/>
                <w:szCs w:val="26"/>
              </w:rPr>
              <w:t>环保投资</w:t>
            </w:r>
          </w:p>
        </w:tc>
        <w:tc>
          <w:tcPr>
            <w:tcW w:w="8457" w:type="dxa"/>
          </w:tcPr>
          <w:p w14:paraId="3D9BF126">
            <w:pPr>
              <w:spacing w:line="460" w:lineRule="exact"/>
              <w:rPr>
                <w:b/>
                <w:bCs/>
                <w:color w:val="auto"/>
                <w:sz w:val="26"/>
                <w:szCs w:val="26"/>
              </w:rPr>
            </w:pPr>
            <w:r>
              <w:rPr>
                <w:rFonts w:hint="eastAsia"/>
                <w:b/>
                <w:bCs/>
                <w:color w:val="auto"/>
                <w:sz w:val="26"/>
                <w:szCs w:val="26"/>
              </w:rPr>
              <w:t>5</w:t>
            </w:r>
            <w:r>
              <w:rPr>
                <w:b/>
                <w:bCs/>
                <w:color w:val="auto"/>
                <w:sz w:val="26"/>
                <w:szCs w:val="26"/>
              </w:rPr>
              <w:t>.</w:t>
            </w:r>
            <w:r>
              <w:rPr>
                <w:rFonts w:hint="eastAsia"/>
                <w:b/>
                <w:bCs/>
                <w:color w:val="auto"/>
                <w:sz w:val="26"/>
                <w:szCs w:val="26"/>
              </w:rPr>
              <w:t>4环境投资</w:t>
            </w:r>
          </w:p>
          <w:p w14:paraId="576C70AB">
            <w:pPr>
              <w:spacing w:line="460" w:lineRule="exact"/>
              <w:ind w:firstLine="520" w:firstLineChars="200"/>
              <w:rPr>
                <w:color w:val="auto"/>
                <w:sz w:val="26"/>
                <w:szCs w:val="26"/>
              </w:rPr>
            </w:pPr>
            <w:r>
              <w:rPr>
                <w:rFonts w:hint="eastAsia"/>
                <w:color w:val="auto"/>
                <w:sz w:val="26"/>
                <w:szCs w:val="26"/>
              </w:rPr>
              <w:t>本项目环保投资详见下表。</w:t>
            </w:r>
          </w:p>
          <w:p w14:paraId="22DF02CF">
            <w:pPr>
              <w:snapToGrid w:val="0"/>
              <w:jc w:val="center"/>
              <w:rPr>
                <w:color w:val="auto"/>
                <w:sz w:val="26"/>
                <w:szCs w:val="26"/>
              </w:rPr>
            </w:pPr>
          </w:p>
          <w:p w14:paraId="34CFB307">
            <w:pPr>
              <w:snapToGrid w:val="0"/>
              <w:jc w:val="center"/>
              <w:rPr>
                <w:color w:val="auto"/>
                <w:sz w:val="26"/>
                <w:szCs w:val="26"/>
              </w:rPr>
            </w:pPr>
            <w:r>
              <w:rPr>
                <w:rFonts w:hint="eastAsia"/>
                <w:color w:val="auto"/>
                <w:sz w:val="26"/>
                <w:szCs w:val="26"/>
              </w:rPr>
              <w:t>表5-2</w:t>
            </w:r>
            <w:r>
              <w:rPr>
                <w:color w:val="auto"/>
                <w:sz w:val="26"/>
                <w:szCs w:val="26"/>
              </w:rPr>
              <w:t xml:space="preserve">  </w:t>
            </w:r>
            <w:r>
              <w:rPr>
                <w:rFonts w:hint="eastAsia"/>
                <w:color w:val="auto"/>
                <w:sz w:val="26"/>
                <w:szCs w:val="26"/>
              </w:rPr>
              <w:t>环保投资一览表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709"/>
              <w:gridCol w:w="1175"/>
              <w:gridCol w:w="3434"/>
              <w:gridCol w:w="1154"/>
              <w:gridCol w:w="1303"/>
            </w:tblGrid>
            <w:tr w14:paraId="58A720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65" w:type="dxa"/>
                  <w:gridSpan w:val="2"/>
                  <w:shd w:val="clear" w:color="auto" w:fill="auto"/>
                  <w:vAlign w:val="center"/>
                </w:tcPr>
                <w:p w14:paraId="2257C9EC">
                  <w:pPr>
                    <w:adjustRightInd w:val="0"/>
                    <w:snapToGrid w:val="0"/>
                    <w:jc w:val="center"/>
                    <w:rPr>
                      <w:bCs/>
                      <w:color w:val="auto"/>
                      <w:spacing w:val="10"/>
                      <w:sz w:val="22"/>
                      <w:szCs w:val="22"/>
                    </w:rPr>
                  </w:pPr>
                  <w:r>
                    <w:rPr>
                      <w:rFonts w:hint="eastAsia"/>
                      <w:bCs/>
                      <w:color w:val="auto"/>
                      <w:spacing w:val="10"/>
                      <w:sz w:val="22"/>
                      <w:szCs w:val="22"/>
                    </w:rPr>
                    <w:t>环境要素</w:t>
                  </w:r>
                </w:p>
              </w:tc>
              <w:tc>
                <w:tcPr>
                  <w:tcW w:w="1175" w:type="dxa"/>
                  <w:shd w:val="clear" w:color="auto" w:fill="auto"/>
                  <w:vAlign w:val="center"/>
                </w:tcPr>
                <w:p w14:paraId="059BC710">
                  <w:pPr>
                    <w:adjustRightInd w:val="0"/>
                    <w:snapToGrid w:val="0"/>
                    <w:jc w:val="center"/>
                    <w:rPr>
                      <w:bCs/>
                      <w:color w:val="auto"/>
                      <w:spacing w:val="10"/>
                      <w:sz w:val="22"/>
                      <w:szCs w:val="22"/>
                    </w:rPr>
                  </w:pPr>
                  <w:r>
                    <w:rPr>
                      <w:rFonts w:hint="eastAsia"/>
                      <w:color w:val="auto"/>
                      <w:sz w:val="22"/>
                      <w:szCs w:val="22"/>
                    </w:rPr>
                    <w:t>治理项目</w:t>
                  </w:r>
                </w:p>
              </w:tc>
              <w:tc>
                <w:tcPr>
                  <w:tcW w:w="3434" w:type="dxa"/>
                  <w:shd w:val="clear" w:color="auto" w:fill="auto"/>
                  <w:vAlign w:val="center"/>
                </w:tcPr>
                <w:p w14:paraId="7A8445C7">
                  <w:pPr>
                    <w:adjustRightInd w:val="0"/>
                    <w:snapToGrid w:val="0"/>
                    <w:jc w:val="center"/>
                    <w:rPr>
                      <w:bCs/>
                      <w:color w:val="auto"/>
                      <w:spacing w:val="10"/>
                      <w:sz w:val="22"/>
                      <w:szCs w:val="22"/>
                    </w:rPr>
                  </w:pPr>
                  <w:r>
                    <w:rPr>
                      <w:rFonts w:hint="eastAsia"/>
                      <w:color w:val="auto"/>
                      <w:sz w:val="22"/>
                      <w:szCs w:val="22"/>
                    </w:rPr>
                    <w:t>环保措施</w:t>
                  </w:r>
                </w:p>
              </w:tc>
              <w:tc>
                <w:tcPr>
                  <w:tcW w:w="1154" w:type="dxa"/>
                  <w:shd w:val="clear" w:color="auto" w:fill="auto"/>
                  <w:vAlign w:val="center"/>
                </w:tcPr>
                <w:p w14:paraId="5CF390E4">
                  <w:pPr>
                    <w:adjustRightInd w:val="0"/>
                    <w:snapToGrid w:val="0"/>
                    <w:jc w:val="center"/>
                    <w:rPr>
                      <w:bCs/>
                      <w:color w:val="auto"/>
                      <w:spacing w:val="10"/>
                      <w:sz w:val="22"/>
                      <w:szCs w:val="22"/>
                    </w:rPr>
                  </w:pPr>
                  <w:r>
                    <w:rPr>
                      <w:rFonts w:hint="eastAsia"/>
                      <w:color w:val="auto"/>
                      <w:sz w:val="22"/>
                      <w:szCs w:val="22"/>
                    </w:rPr>
                    <w:t>费用</w:t>
                  </w:r>
                  <w:r>
                    <w:rPr>
                      <w:rFonts w:hint="eastAsia"/>
                      <w:color w:val="auto"/>
                      <w:sz w:val="22"/>
                      <w:szCs w:val="22"/>
                      <w:lang w:eastAsia="zh-CN"/>
                    </w:rPr>
                    <w:t>（</w:t>
                  </w:r>
                  <w:r>
                    <w:rPr>
                      <w:rFonts w:hint="eastAsia"/>
                      <w:color w:val="auto"/>
                      <w:sz w:val="22"/>
                      <w:szCs w:val="22"/>
                    </w:rPr>
                    <w:t>万元</w:t>
                  </w:r>
                  <w:r>
                    <w:rPr>
                      <w:rFonts w:hint="eastAsia"/>
                      <w:color w:val="auto"/>
                      <w:sz w:val="22"/>
                      <w:szCs w:val="22"/>
                      <w:lang w:eastAsia="zh-CN"/>
                    </w:rPr>
                    <w:t>）</w:t>
                  </w:r>
                </w:p>
              </w:tc>
              <w:tc>
                <w:tcPr>
                  <w:tcW w:w="0" w:type="auto"/>
                  <w:shd w:val="clear" w:color="auto" w:fill="auto"/>
                  <w:vAlign w:val="center"/>
                </w:tcPr>
                <w:p w14:paraId="6A429920">
                  <w:pPr>
                    <w:adjustRightInd w:val="0"/>
                    <w:snapToGrid w:val="0"/>
                    <w:jc w:val="center"/>
                    <w:rPr>
                      <w:bCs/>
                      <w:color w:val="auto"/>
                      <w:spacing w:val="10"/>
                      <w:sz w:val="22"/>
                      <w:szCs w:val="22"/>
                    </w:rPr>
                  </w:pPr>
                  <w:r>
                    <w:rPr>
                      <w:rFonts w:hint="eastAsia"/>
                      <w:bCs/>
                      <w:color w:val="auto"/>
                      <w:spacing w:val="10"/>
                      <w:sz w:val="22"/>
                      <w:szCs w:val="22"/>
                    </w:rPr>
                    <w:t>预期治理效果</w:t>
                  </w:r>
                </w:p>
              </w:tc>
            </w:tr>
            <w:tr w14:paraId="1A2E51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56" w:type="dxa"/>
                  <w:vMerge w:val="restart"/>
                  <w:shd w:val="clear" w:color="auto" w:fill="auto"/>
                  <w:vAlign w:val="center"/>
                </w:tcPr>
                <w:p w14:paraId="56489162">
                  <w:pPr>
                    <w:adjustRightInd w:val="0"/>
                    <w:snapToGrid w:val="0"/>
                    <w:jc w:val="center"/>
                    <w:rPr>
                      <w:bCs/>
                      <w:color w:val="auto"/>
                      <w:spacing w:val="10"/>
                      <w:sz w:val="22"/>
                      <w:szCs w:val="22"/>
                    </w:rPr>
                  </w:pPr>
                  <w:r>
                    <w:rPr>
                      <w:rFonts w:hint="eastAsia"/>
                      <w:bCs/>
                      <w:color w:val="auto"/>
                      <w:spacing w:val="10"/>
                      <w:sz w:val="22"/>
                      <w:szCs w:val="22"/>
                    </w:rPr>
                    <w:t>施工期</w:t>
                  </w:r>
                </w:p>
              </w:tc>
              <w:tc>
                <w:tcPr>
                  <w:tcW w:w="709" w:type="dxa"/>
                  <w:shd w:val="clear" w:color="auto" w:fill="auto"/>
                  <w:vAlign w:val="center"/>
                </w:tcPr>
                <w:p w14:paraId="17A4EAEF">
                  <w:pPr>
                    <w:adjustRightInd w:val="0"/>
                    <w:snapToGrid w:val="0"/>
                    <w:jc w:val="center"/>
                    <w:rPr>
                      <w:bCs/>
                      <w:color w:val="auto"/>
                      <w:spacing w:val="10"/>
                      <w:sz w:val="22"/>
                      <w:szCs w:val="22"/>
                    </w:rPr>
                  </w:pPr>
                  <w:r>
                    <w:rPr>
                      <w:rFonts w:hint="eastAsia"/>
                      <w:bCs/>
                      <w:color w:val="auto"/>
                      <w:spacing w:val="10"/>
                      <w:sz w:val="22"/>
                      <w:szCs w:val="22"/>
                    </w:rPr>
                    <w:t>水环境</w:t>
                  </w:r>
                </w:p>
              </w:tc>
              <w:tc>
                <w:tcPr>
                  <w:tcW w:w="1175" w:type="dxa"/>
                  <w:shd w:val="clear" w:color="auto" w:fill="auto"/>
                  <w:vAlign w:val="center"/>
                </w:tcPr>
                <w:p w14:paraId="256F7AE1">
                  <w:pPr>
                    <w:adjustRightInd w:val="0"/>
                    <w:snapToGrid w:val="0"/>
                    <w:jc w:val="center"/>
                    <w:rPr>
                      <w:bCs/>
                      <w:color w:val="auto"/>
                      <w:spacing w:val="10"/>
                      <w:sz w:val="22"/>
                      <w:szCs w:val="22"/>
                    </w:rPr>
                  </w:pPr>
                  <w:r>
                    <w:rPr>
                      <w:rFonts w:hint="eastAsia"/>
                      <w:color w:val="auto"/>
                      <w:sz w:val="22"/>
                      <w:szCs w:val="22"/>
                    </w:rPr>
                    <w:t>生活污水</w:t>
                  </w:r>
                </w:p>
              </w:tc>
              <w:tc>
                <w:tcPr>
                  <w:tcW w:w="3434" w:type="dxa"/>
                  <w:shd w:val="clear" w:color="auto" w:fill="auto"/>
                  <w:vAlign w:val="center"/>
                </w:tcPr>
                <w:p w14:paraId="35ABF669">
                  <w:pPr>
                    <w:adjustRightInd w:val="0"/>
                    <w:snapToGrid w:val="0"/>
                    <w:jc w:val="center"/>
                    <w:rPr>
                      <w:bCs/>
                      <w:color w:val="auto"/>
                      <w:spacing w:val="10"/>
                      <w:sz w:val="22"/>
                      <w:szCs w:val="22"/>
                    </w:rPr>
                  </w:pPr>
                  <w:r>
                    <w:rPr>
                      <w:rFonts w:hint="eastAsia"/>
                      <w:color w:val="auto"/>
                      <w:sz w:val="22"/>
                      <w:szCs w:val="22"/>
                    </w:rPr>
                    <w:t>依托周边已有的民房进行收集处理，不外排</w:t>
                  </w:r>
                </w:p>
              </w:tc>
              <w:tc>
                <w:tcPr>
                  <w:tcW w:w="1154" w:type="dxa"/>
                  <w:shd w:val="clear" w:color="auto" w:fill="auto"/>
                  <w:vAlign w:val="center"/>
                </w:tcPr>
                <w:p w14:paraId="2BD4A768">
                  <w:pPr>
                    <w:adjustRightInd w:val="0"/>
                    <w:snapToGrid w:val="0"/>
                    <w:jc w:val="center"/>
                    <w:rPr>
                      <w:bCs/>
                      <w:color w:val="auto"/>
                      <w:spacing w:val="10"/>
                      <w:sz w:val="22"/>
                      <w:szCs w:val="22"/>
                    </w:rPr>
                  </w:pPr>
                  <w:r>
                    <w:rPr>
                      <w:color w:val="auto"/>
                      <w:sz w:val="22"/>
                      <w:szCs w:val="22"/>
                    </w:rPr>
                    <w:t>0</w:t>
                  </w:r>
                </w:p>
              </w:tc>
              <w:tc>
                <w:tcPr>
                  <w:tcW w:w="0" w:type="auto"/>
                  <w:shd w:val="clear" w:color="auto" w:fill="auto"/>
                  <w:vAlign w:val="center"/>
                </w:tcPr>
                <w:p w14:paraId="6BED7887">
                  <w:pPr>
                    <w:adjustRightInd w:val="0"/>
                    <w:snapToGrid w:val="0"/>
                    <w:jc w:val="center"/>
                    <w:rPr>
                      <w:bCs/>
                      <w:color w:val="auto"/>
                      <w:spacing w:val="10"/>
                      <w:sz w:val="22"/>
                      <w:szCs w:val="22"/>
                    </w:rPr>
                  </w:pPr>
                  <w:r>
                    <w:rPr>
                      <w:rFonts w:hint="eastAsia"/>
                      <w:color w:val="auto"/>
                      <w:sz w:val="22"/>
                      <w:szCs w:val="22"/>
                    </w:rPr>
                    <w:t>不外排</w:t>
                  </w:r>
                </w:p>
              </w:tc>
            </w:tr>
            <w:tr w14:paraId="2AB07B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56" w:type="dxa"/>
                  <w:vMerge w:val="continue"/>
                  <w:shd w:val="clear" w:color="auto" w:fill="auto"/>
                  <w:vAlign w:val="center"/>
                </w:tcPr>
                <w:p w14:paraId="66C7A467">
                  <w:pPr>
                    <w:adjustRightInd w:val="0"/>
                    <w:snapToGrid w:val="0"/>
                    <w:jc w:val="center"/>
                    <w:rPr>
                      <w:bCs/>
                      <w:color w:val="auto"/>
                      <w:spacing w:val="10"/>
                      <w:sz w:val="22"/>
                      <w:szCs w:val="22"/>
                    </w:rPr>
                  </w:pPr>
                </w:p>
              </w:tc>
              <w:tc>
                <w:tcPr>
                  <w:tcW w:w="709" w:type="dxa"/>
                  <w:shd w:val="clear" w:color="auto" w:fill="auto"/>
                  <w:vAlign w:val="center"/>
                </w:tcPr>
                <w:p w14:paraId="17EF00BC">
                  <w:pPr>
                    <w:adjustRightInd w:val="0"/>
                    <w:snapToGrid w:val="0"/>
                    <w:jc w:val="center"/>
                    <w:rPr>
                      <w:bCs/>
                      <w:color w:val="auto"/>
                      <w:spacing w:val="10"/>
                      <w:sz w:val="22"/>
                      <w:szCs w:val="22"/>
                    </w:rPr>
                  </w:pPr>
                  <w:r>
                    <w:rPr>
                      <w:rFonts w:hint="eastAsia"/>
                      <w:bCs/>
                      <w:color w:val="auto"/>
                      <w:spacing w:val="10"/>
                      <w:sz w:val="22"/>
                      <w:szCs w:val="22"/>
                    </w:rPr>
                    <w:t>环境空气</w:t>
                  </w:r>
                </w:p>
              </w:tc>
              <w:tc>
                <w:tcPr>
                  <w:tcW w:w="1175" w:type="dxa"/>
                  <w:shd w:val="clear" w:color="auto" w:fill="auto"/>
                  <w:vAlign w:val="center"/>
                </w:tcPr>
                <w:p w14:paraId="6D5315A0">
                  <w:pPr>
                    <w:adjustRightInd w:val="0"/>
                    <w:snapToGrid w:val="0"/>
                    <w:jc w:val="center"/>
                    <w:rPr>
                      <w:bCs/>
                      <w:color w:val="auto"/>
                      <w:spacing w:val="10"/>
                      <w:sz w:val="22"/>
                      <w:szCs w:val="22"/>
                    </w:rPr>
                  </w:pPr>
                  <w:r>
                    <w:rPr>
                      <w:rFonts w:hint="eastAsia"/>
                      <w:color w:val="auto"/>
                      <w:sz w:val="22"/>
                      <w:szCs w:val="22"/>
                    </w:rPr>
                    <w:t>施工扬尘</w:t>
                  </w:r>
                </w:p>
              </w:tc>
              <w:tc>
                <w:tcPr>
                  <w:tcW w:w="3434" w:type="dxa"/>
                  <w:shd w:val="clear" w:color="auto" w:fill="auto"/>
                  <w:vAlign w:val="center"/>
                </w:tcPr>
                <w:p w14:paraId="20E0B443">
                  <w:pPr>
                    <w:adjustRightInd w:val="0"/>
                    <w:snapToGrid w:val="0"/>
                    <w:jc w:val="center"/>
                    <w:rPr>
                      <w:bCs/>
                      <w:color w:val="auto"/>
                      <w:spacing w:val="10"/>
                      <w:sz w:val="22"/>
                      <w:szCs w:val="22"/>
                    </w:rPr>
                  </w:pPr>
                  <w:r>
                    <w:rPr>
                      <w:rFonts w:hint="eastAsia"/>
                      <w:color w:val="auto"/>
                      <w:sz w:val="22"/>
                      <w:szCs w:val="22"/>
                    </w:rPr>
                    <w:t>施工场地设置硬质围挡，挖方临时遮盖</w:t>
                  </w:r>
                </w:p>
              </w:tc>
              <w:tc>
                <w:tcPr>
                  <w:tcW w:w="1154" w:type="dxa"/>
                  <w:shd w:val="clear" w:color="auto" w:fill="auto"/>
                  <w:vAlign w:val="center"/>
                </w:tcPr>
                <w:p w14:paraId="72EC9A3F">
                  <w:pPr>
                    <w:adjustRightInd w:val="0"/>
                    <w:snapToGrid w:val="0"/>
                    <w:jc w:val="center"/>
                    <w:rPr>
                      <w:bCs/>
                      <w:color w:val="auto"/>
                      <w:spacing w:val="10"/>
                      <w:sz w:val="22"/>
                      <w:szCs w:val="22"/>
                    </w:rPr>
                  </w:pPr>
                  <w:r>
                    <w:rPr>
                      <w:rFonts w:hint="eastAsia"/>
                      <w:bCs/>
                      <w:color w:val="auto"/>
                      <w:spacing w:val="10"/>
                      <w:sz w:val="22"/>
                      <w:szCs w:val="22"/>
                    </w:rPr>
                    <w:t>17.0</w:t>
                  </w:r>
                </w:p>
              </w:tc>
              <w:tc>
                <w:tcPr>
                  <w:tcW w:w="0" w:type="auto"/>
                  <w:shd w:val="clear" w:color="auto" w:fill="auto"/>
                  <w:vAlign w:val="center"/>
                </w:tcPr>
                <w:p w14:paraId="16D017DE">
                  <w:pPr>
                    <w:adjustRightInd w:val="0"/>
                    <w:snapToGrid w:val="0"/>
                    <w:jc w:val="center"/>
                    <w:rPr>
                      <w:bCs/>
                      <w:color w:val="auto"/>
                      <w:spacing w:val="10"/>
                      <w:sz w:val="22"/>
                      <w:szCs w:val="22"/>
                    </w:rPr>
                  </w:pPr>
                  <w:r>
                    <w:rPr>
                      <w:rFonts w:hint="eastAsia"/>
                      <w:color w:val="auto"/>
                      <w:sz w:val="22"/>
                      <w:szCs w:val="22"/>
                    </w:rPr>
                    <w:t>降低对周围大气环境的影响</w:t>
                  </w:r>
                </w:p>
              </w:tc>
            </w:tr>
            <w:tr w14:paraId="071E2D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56" w:type="dxa"/>
                  <w:vMerge w:val="continue"/>
                  <w:shd w:val="clear" w:color="auto" w:fill="auto"/>
                  <w:vAlign w:val="center"/>
                </w:tcPr>
                <w:p w14:paraId="726D57EE">
                  <w:pPr>
                    <w:adjustRightInd w:val="0"/>
                    <w:snapToGrid w:val="0"/>
                    <w:jc w:val="center"/>
                    <w:rPr>
                      <w:bCs/>
                      <w:color w:val="auto"/>
                      <w:spacing w:val="10"/>
                      <w:sz w:val="22"/>
                      <w:szCs w:val="22"/>
                    </w:rPr>
                  </w:pPr>
                </w:p>
              </w:tc>
              <w:tc>
                <w:tcPr>
                  <w:tcW w:w="709" w:type="dxa"/>
                  <w:vMerge w:val="restart"/>
                  <w:shd w:val="clear" w:color="auto" w:fill="auto"/>
                  <w:vAlign w:val="center"/>
                </w:tcPr>
                <w:p w14:paraId="471F6D06">
                  <w:pPr>
                    <w:adjustRightInd w:val="0"/>
                    <w:snapToGrid w:val="0"/>
                    <w:jc w:val="center"/>
                    <w:rPr>
                      <w:bCs/>
                      <w:color w:val="auto"/>
                      <w:spacing w:val="10"/>
                      <w:sz w:val="22"/>
                      <w:szCs w:val="22"/>
                    </w:rPr>
                  </w:pPr>
                  <w:r>
                    <w:rPr>
                      <w:rFonts w:hint="eastAsia"/>
                      <w:bCs/>
                      <w:color w:val="auto"/>
                      <w:spacing w:val="10"/>
                      <w:sz w:val="22"/>
                      <w:szCs w:val="22"/>
                    </w:rPr>
                    <w:t>固体废物</w:t>
                  </w:r>
                </w:p>
              </w:tc>
              <w:tc>
                <w:tcPr>
                  <w:tcW w:w="1175" w:type="dxa"/>
                  <w:shd w:val="clear" w:color="auto" w:fill="auto"/>
                  <w:vAlign w:val="center"/>
                </w:tcPr>
                <w:p w14:paraId="0EAC53DF">
                  <w:pPr>
                    <w:adjustRightInd w:val="0"/>
                    <w:snapToGrid w:val="0"/>
                    <w:jc w:val="center"/>
                    <w:rPr>
                      <w:bCs/>
                      <w:color w:val="auto"/>
                      <w:spacing w:val="10"/>
                      <w:sz w:val="22"/>
                      <w:szCs w:val="22"/>
                    </w:rPr>
                  </w:pPr>
                  <w:r>
                    <w:rPr>
                      <w:rFonts w:hint="eastAsia"/>
                      <w:color w:val="auto"/>
                      <w:sz w:val="22"/>
                      <w:szCs w:val="22"/>
                    </w:rPr>
                    <w:t>生活垃圾</w:t>
                  </w:r>
                </w:p>
              </w:tc>
              <w:tc>
                <w:tcPr>
                  <w:tcW w:w="3434" w:type="dxa"/>
                  <w:shd w:val="clear" w:color="auto" w:fill="auto"/>
                  <w:vAlign w:val="center"/>
                </w:tcPr>
                <w:p w14:paraId="42245ECF">
                  <w:pPr>
                    <w:adjustRightInd w:val="0"/>
                    <w:snapToGrid w:val="0"/>
                    <w:jc w:val="center"/>
                    <w:rPr>
                      <w:bCs/>
                      <w:color w:val="auto"/>
                      <w:spacing w:val="10"/>
                      <w:sz w:val="22"/>
                      <w:szCs w:val="22"/>
                    </w:rPr>
                  </w:pPr>
                  <w:r>
                    <w:rPr>
                      <w:rFonts w:hint="eastAsia"/>
                      <w:color w:val="auto"/>
                      <w:sz w:val="22"/>
                      <w:szCs w:val="22"/>
                    </w:rPr>
                    <w:t>交环卫部门统一处理</w:t>
                  </w:r>
                </w:p>
              </w:tc>
              <w:tc>
                <w:tcPr>
                  <w:tcW w:w="1154" w:type="dxa"/>
                  <w:shd w:val="clear" w:color="auto" w:fill="auto"/>
                  <w:vAlign w:val="center"/>
                </w:tcPr>
                <w:p w14:paraId="5FC3126B">
                  <w:pPr>
                    <w:adjustRightInd w:val="0"/>
                    <w:snapToGrid w:val="0"/>
                    <w:jc w:val="center"/>
                    <w:rPr>
                      <w:bCs/>
                      <w:color w:val="auto"/>
                      <w:spacing w:val="10"/>
                      <w:sz w:val="22"/>
                      <w:szCs w:val="22"/>
                    </w:rPr>
                  </w:pPr>
                  <w:r>
                    <w:rPr>
                      <w:rFonts w:hint="eastAsia"/>
                      <w:bCs/>
                      <w:color w:val="auto"/>
                      <w:spacing w:val="10"/>
                      <w:sz w:val="22"/>
                      <w:szCs w:val="22"/>
                    </w:rPr>
                    <w:t>5.0</w:t>
                  </w:r>
                </w:p>
              </w:tc>
              <w:tc>
                <w:tcPr>
                  <w:tcW w:w="0" w:type="auto"/>
                  <w:shd w:val="clear" w:color="auto" w:fill="auto"/>
                  <w:vAlign w:val="center"/>
                </w:tcPr>
                <w:p w14:paraId="3F03B4FE">
                  <w:pPr>
                    <w:adjustRightInd w:val="0"/>
                    <w:snapToGrid w:val="0"/>
                    <w:jc w:val="center"/>
                    <w:rPr>
                      <w:bCs/>
                      <w:color w:val="auto"/>
                      <w:spacing w:val="10"/>
                      <w:sz w:val="22"/>
                      <w:szCs w:val="22"/>
                    </w:rPr>
                  </w:pPr>
                  <w:r>
                    <w:rPr>
                      <w:rFonts w:hint="eastAsia"/>
                      <w:color w:val="auto"/>
                      <w:sz w:val="22"/>
                      <w:szCs w:val="22"/>
                    </w:rPr>
                    <w:t>满足环保要求</w:t>
                  </w:r>
                </w:p>
              </w:tc>
            </w:tr>
            <w:tr w14:paraId="2D835B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56" w:type="dxa"/>
                  <w:vMerge w:val="continue"/>
                  <w:shd w:val="clear" w:color="auto" w:fill="auto"/>
                  <w:vAlign w:val="center"/>
                </w:tcPr>
                <w:p w14:paraId="3F9D4186">
                  <w:pPr>
                    <w:adjustRightInd w:val="0"/>
                    <w:snapToGrid w:val="0"/>
                    <w:jc w:val="center"/>
                    <w:rPr>
                      <w:bCs/>
                      <w:color w:val="auto"/>
                      <w:spacing w:val="10"/>
                      <w:sz w:val="22"/>
                      <w:szCs w:val="22"/>
                    </w:rPr>
                  </w:pPr>
                </w:p>
              </w:tc>
              <w:tc>
                <w:tcPr>
                  <w:tcW w:w="709" w:type="dxa"/>
                  <w:vMerge w:val="continue"/>
                  <w:shd w:val="clear" w:color="auto" w:fill="auto"/>
                  <w:vAlign w:val="center"/>
                </w:tcPr>
                <w:p w14:paraId="492120D3">
                  <w:pPr>
                    <w:adjustRightInd w:val="0"/>
                    <w:snapToGrid w:val="0"/>
                    <w:jc w:val="center"/>
                    <w:rPr>
                      <w:bCs/>
                      <w:color w:val="auto"/>
                      <w:spacing w:val="10"/>
                      <w:sz w:val="22"/>
                      <w:szCs w:val="22"/>
                    </w:rPr>
                  </w:pPr>
                </w:p>
              </w:tc>
              <w:tc>
                <w:tcPr>
                  <w:tcW w:w="1175" w:type="dxa"/>
                  <w:shd w:val="clear" w:color="auto" w:fill="auto"/>
                  <w:vAlign w:val="center"/>
                </w:tcPr>
                <w:p w14:paraId="7715EB44">
                  <w:pPr>
                    <w:jc w:val="center"/>
                    <w:rPr>
                      <w:color w:val="auto"/>
                      <w:sz w:val="22"/>
                      <w:szCs w:val="22"/>
                    </w:rPr>
                  </w:pPr>
                  <w:r>
                    <w:rPr>
                      <w:rFonts w:hAnsi="宋体"/>
                      <w:color w:val="auto"/>
                      <w:sz w:val="22"/>
                      <w:szCs w:val="22"/>
                    </w:rPr>
                    <w:t>土石方</w:t>
                  </w:r>
                </w:p>
              </w:tc>
              <w:tc>
                <w:tcPr>
                  <w:tcW w:w="3434" w:type="dxa"/>
                  <w:shd w:val="clear" w:color="auto" w:fill="auto"/>
                  <w:vAlign w:val="center"/>
                </w:tcPr>
                <w:p w14:paraId="51D4674A">
                  <w:pPr>
                    <w:jc w:val="center"/>
                    <w:rPr>
                      <w:color w:val="auto"/>
                      <w:sz w:val="22"/>
                      <w:szCs w:val="22"/>
                    </w:rPr>
                  </w:pPr>
                  <w:r>
                    <w:rPr>
                      <w:rFonts w:hAnsi="宋体"/>
                      <w:color w:val="auto"/>
                      <w:sz w:val="22"/>
                      <w:szCs w:val="22"/>
                    </w:rPr>
                    <w:t>施工结束后</w:t>
                  </w:r>
                  <w:r>
                    <w:rPr>
                      <w:rFonts w:hint="eastAsia" w:hAnsi="宋体"/>
                      <w:color w:val="auto"/>
                      <w:sz w:val="22"/>
                      <w:szCs w:val="22"/>
                    </w:rPr>
                    <w:t>全部</w:t>
                  </w:r>
                  <w:r>
                    <w:rPr>
                      <w:rFonts w:hAnsi="宋体"/>
                      <w:color w:val="auto"/>
                      <w:sz w:val="22"/>
                      <w:szCs w:val="22"/>
                    </w:rPr>
                    <w:t>回填</w:t>
                  </w:r>
                </w:p>
              </w:tc>
              <w:tc>
                <w:tcPr>
                  <w:tcW w:w="1154" w:type="dxa"/>
                  <w:shd w:val="clear" w:color="auto" w:fill="auto"/>
                  <w:vAlign w:val="center"/>
                </w:tcPr>
                <w:p w14:paraId="1F706A4C">
                  <w:pPr>
                    <w:jc w:val="center"/>
                    <w:rPr>
                      <w:color w:val="auto"/>
                      <w:sz w:val="22"/>
                      <w:szCs w:val="22"/>
                    </w:rPr>
                  </w:pPr>
                  <w:r>
                    <w:rPr>
                      <w:rFonts w:hint="eastAsia"/>
                      <w:color w:val="auto"/>
                      <w:sz w:val="22"/>
                      <w:szCs w:val="22"/>
                    </w:rPr>
                    <w:t>/</w:t>
                  </w:r>
                </w:p>
              </w:tc>
              <w:tc>
                <w:tcPr>
                  <w:tcW w:w="0" w:type="auto"/>
                  <w:shd w:val="clear" w:color="auto" w:fill="auto"/>
                  <w:vAlign w:val="center"/>
                </w:tcPr>
                <w:p w14:paraId="783833F4">
                  <w:pPr>
                    <w:pStyle w:val="76"/>
                    <w:autoSpaceDE/>
                    <w:adjustRightInd/>
                    <w:rPr>
                      <w:rFonts w:ascii="Times New Roman"/>
                      <w:color w:val="auto"/>
                      <w:kern w:val="2"/>
                      <w:sz w:val="22"/>
                      <w:szCs w:val="22"/>
                    </w:rPr>
                  </w:pPr>
                  <w:r>
                    <w:rPr>
                      <w:rFonts w:ascii="Times New Roman" w:hAnsi="宋体"/>
                      <w:color w:val="auto"/>
                      <w:kern w:val="2"/>
                      <w:sz w:val="22"/>
                      <w:szCs w:val="22"/>
                    </w:rPr>
                    <w:t>合理处置</w:t>
                  </w:r>
                </w:p>
              </w:tc>
            </w:tr>
            <w:tr w14:paraId="4BB42C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56" w:type="dxa"/>
                  <w:vMerge w:val="continue"/>
                  <w:shd w:val="clear" w:color="auto" w:fill="auto"/>
                  <w:vAlign w:val="center"/>
                </w:tcPr>
                <w:p w14:paraId="10C967FF">
                  <w:pPr>
                    <w:adjustRightInd w:val="0"/>
                    <w:snapToGrid w:val="0"/>
                    <w:jc w:val="center"/>
                    <w:rPr>
                      <w:bCs/>
                      <w:color w:val="auto"/>
                      <w:spacing w:val="10"/>
                      <w:sz w:val="22"/>
                      <w:szCs w:val="22"/>
                    </w:rPr>
                  </w:pPr>
                </w:p>
              </w:tc>
              <w:tc>
                <w:tcPr>
                  <w:tcW w:w="709" w:type="dxa"/>
                  <w:shd w:val="clear" w:color="auto" w:fill="auto"/>
                  <w:vAlign w:val="center"/>
                </w:tcPr>
                <w:p w14:paraId="7A1982CE">
                  <w:pPr>
                    <w:adjustRightInd w:val="0"/>
                    <w:snapToGrid w:val="0"/>
                    <w:jc w:val="center"/>
                    <w:rPr>
                      <w:bCs/>
                      <w:color w:val="auto"/>
                      <w:spacing w:val="10"/>
                      <w:sz w:val="22"/>
                      <w:szCs w:val="22"/>
                    </w:rPr>
                  </w:pPr>
                  <w:r>
                    <w:rPr>
                      <w:rFonts w:hint="eastAsia"/>
                      <w:bCs/>
                      <w:color w:val="auto"/>
                      <w:spacing w:val="10"/>
                      <w:sz w:val="22"/>
                      <w:szCs w:val="22"/>
                    </w:rPr>
                    <w:t>声环境</w:t>
                  </w:r>
                </w:p>
              </w:tc>
              <w:tc>
                <w:tcPr>
                  <w:tcW w:w="1175" w:type="dxa"/>
                  <w:shd w:val="clear" w:color="auto" w:fill="auto"/>
                  <w:vAlign w:val="center"/>
                </w:tcPr>
                <w:p w14:paraId="1D3E9A44">
                  <w:pPr>
                    <w:adjustRightInd w:val="0"/>
                    <w:snapToGrid w:val="0"/>
                    <w:jc w:val="center"/>
                    <w:rPr>
                      <w:bCs/>
                      <w:color w:val="auto"/>
                      <w:spacing w:val="10"/>
                      <w:sz w:val="22"/>
                      <w:szCs w:val="22"/>
                    </w:rPr>
                  </w:pPr>
                  <w:r>
                    <w:rPr>
                      <w:rFonts w:hint="eastAsia"/>
                      <w:bCs/>
                      <w:color w:val="auto"/>
                      <w:spacing w:val="10"/>
                      <w:sz w:val="22"/>
                      <w:szCs w:val="22"/>
                    </w:rPr>
                    <w:t>施工噪声</w:t>
                  </w:r>
                </w:p>
              </w:tc>
              <w:tc>
                <w:tcPr>
                  <w:tcW w:w="3434" w:type="dxa"/>
                  <w:shd w:val="clear" w:color="auto" w:fill="auto"/>
                  <w:vAlign w:val="center"/>
                </w:tcPr>
                <w:p w14:paraId="440B76E0">
                  <w:pPr>
                    <w:adjustRightInd w:val="0"/>
                    <w:snapToGrid w:val="0"/>
                    <w:jc w:val="center"/>
                    <w:rPr>
                      <w:bCs/>
                      <w:color w:val="auto"/>
                      <w:spacing w:val="10"/>
                      <w:sz w:val="22"/>
                      <w:szCs w:val="22"/>
                    </w:rPr>
                  </w:pPr>
                  <w:r>
                    <w:rPr>
                      <w:rFonts w:hint="eastAsia"/>
                      <w:bCs/>
                      <w:color w:val="auto"/>
                      <w:spacing w:val="10"/>
                      <w:sz w:val="22"/>
                      <w:szCs w:val="22"/>
                    </w:rPr>
                    <w:t>尽</w:t>
                  </w:r>
                  <w:r>
                    <w:rPr>
                      <w:bCs/>
                      <w:color w:val="auto"/>
                      <w:spacing w:val="10"/>
                      <w:sz w:val="22"/>
                      <w:szCs w:val="22"/>
                    </w:rPr>
                    <w:t>量选用低噪声机械设备或人工开挖</w:t>
                  </w:r>
                </w:p>
              </w:tc>
              <w:tc>
                <w:tcPr>
                  <w:tcW w:w="1154" w:type="dxa"/>
                  <w:shd w:val="clear" w:color="auto" w:fill="auto"/>
                  <w:vAlign w:val="center"/>
                </w:tcPr>
                <w:p w14:paraId="1EF88324">
                  <w:pPr>
                    <w:adjustRightInd w:val="0"/>
                    <w:snapToGrid w:val="0"/>
                    <w:jc w:val="center"/>
                    <w:rPr>
                      <w:bCs/>
                      <w:color w:val="auto"/>
                      <w:spacing w:val="10"/>
                      <w:sz w:val="22"/>
                      <w:szCs w:val="22"/>
                    </w:rPr>
                  </w:pPr>
                  <w:r>
                    <w:rPr>
                      <w:rFonts w:hint="eastAsia"/>
                      <w:bCs/>
                      <w:color w:val="auto"/>
                      <w:spacing w:val="10"/>
                      <w:sz w:val="22"/>
                      <w:szCs w:val="22"/>
                    </w:rPr>
                    <w:t>1.0</w:t>
                  </w:r>
                </w:p>
              </w:tc>
              <w:tc>
                <w:tcPr>
                  <w:tcW w:w="0" w:type="auto"/>
                  <w:shd w:val="clear" w:color="auto" w:fill="auto"/>
                  <w:vAlign w:val="center"/>
                </w:tcPr>
                <w:p w14:paraId="1071D028">
                  <w:pPr>
                    <w:adjustRightInd w:val="0"/>
                    <w:snapToGrid w:val="0"/>
                    <w:jc w:val="center"/>
                    <w:rPr>
                      <w:bCs/>
                      <w:color w:val="auto"/>
                      <w:spacing w:val="10"/>
                      <w:sz w:val="22"/>
                      <w:szCs w:val="22"/>
                    </w:rPr>
                  </w:pPr>
                  <w:r>
                    <w:rPr>
                      <w:rFonts w:hint="eastAsia"/>
                      <w:color w:val="auto"/>
                      <w:sz w:val="22"/>
                      <w:szCs w:val="22"/>
                    </w:rPr>
                    <w:t>满足标准限值要求</w:t>
                  </w:r>
                </w:p>
              </w:tc>
            </w:tr>
            <w:tr w14:paraId="5C8A25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56" w:type="dxa"/>
                  <w:vMerge w:val="continue"/>
                  <w:shd w:val="clear" w:color="auto" w:fill="auto"/>
                  <w:vAlign w:val="center"/>
                </w:tcPr>
                <w:p w14:paraId="57DDF87B">
                  <w:pPr>
                    <w:adjustRightInd w:val="0"/>
                    <w:snapToGrid w:val="0"/>
                    <w:jc w:val="center"/>
                    <w:rPr>
                      <w:bCs/>
                      <w:color w:val="auto"/>
                      <w:spacing w:val="10"/>
                      <w:sz w:val="22"/>
                      <w:szCs w:val="22"/>
                    </w:rPr>
                  </w:pPr>
                </w:p>
              </w:tc>
              <w:tc>
                <w:tcPr>
                  <w:tcW w:w="709" w:type="dxa"/>
                  <w:shd w:val="clear" w:color="auto" w:fill="auto"/>
                  <w:vAlign w:val="center"/>
                </w:tcPr>
                <w:p w14:paraId="68D31231">
                  <w:pPr>
                    <w:adjustRightInd w:val="0"/>
                    <w:snapToGrid w:val="0"/>
                    <w:jc w:val="center"/>
                    <w:rPr>
                      <w:bCs/>
                      <w:color w:val="auto"/>
                      <w:spacing w:val="10"/>
                      <w:sz w:val="22"/>
                      <w:szCs w:val="22"/>
                    </w:rPr>
                  </w:pPr>
                  <w:r>
                    <w:rPr>
                      <w:rFonts w:hint="eastAsia"/>
                      <w:bCs/>
                      <w:color w:val="auto"/>
                      <w:spacing w:val="10"/>
                      <w:sz w:val="22"/>
                      <w:szCs w:val="22"/>
                    </w:rPr>
                    <w:t>生态环境</w:t>
                  </w:r>
                </w:p>
              </w:tc>
              <w:tc>
                <w:tcPr>
                  <w:tcW w:w="1175" w:type="dxa"/>
                  <w:shd w:val="clear" w:color="auto" w:fill="auto"/>
                  <w:vAlign w:val="center"/>
                </w:tcPr>
                <w:p w14:paraId="12921873">
                  <w:pPr>
                    <w:adjustRightInd w:val="0"/>
                    <w:snapToGrid w:val="0"/>
                    <w:spacing w:line="280" w:lineRule="exact"/>
                    <w:jc w:val="center"/>
                    <w:rPr>
                      <w:color w:val="auto"/>
                      <w:sz w:val="22"/>
                      <w:szCs w:val="22"/>
                    </w:rPr>
                  </w:pPr>
                  <w:r>
                    <w:rPr>
                      <w:rFonts w:hint="eastAsia"/>
                      <w:color w:val="auto"/>
                      <w:sz w:val="22"/>
                      <w:szCs w:val="22"/>
                    </w:rPr>
                    <w:t>植被扰动</w:t>
                  </w:r>
                </w:p>
                <w:p w14:paraId="792B344E">
                  <w:pPr>
                    <w:adjustRightInd w:val="0"/>
                    <w:snapToGrid w:val="0"/>
                    <w:jc w:val="center"/>
                    <w:rPr>
                      <w:bCs/>
                      <w:color w:val="auto"/>
                      <w:spacing w:val="10"/>
                      <w:sz w:val="22"/>
                      <w:szCs w:val="22"/>
                    </w:rPr>
                  </w:pPr>
                  <w:r>
                    <w:rPr>
                      <w:rFonts w:hint="eastAsia"/>
                      <w:color w:val="auto"/>
                      <w:sz w:val="22"/>
                      <w:szCs w:val="22"/>
                    </w:rPr>
                    <w:t>水土流失</w:t>
                  </w:r>
                </w:p>
              </w:tc>
              <w:tc>
                <w:tcPr>
                  <w:tcW w:w="3434" w:type="dxa"/>
                  <w:shd w:val="clear" w:color="auto" w:fill="auto"/>
                  <w:vAlign w:val="center"/>
                </w:tcPr>
                <w:p w14:paraId="6B8E0F3B">
                  <w:pPr>
                    <w:adjustRightInd w:val="0"/>
                    <w:snapToGrid w:val="0"/>
                    <w:jc w:val="center"/>
                    <w:rPr>
                      <w:bCs/>
                      <w:color w:val="auto"/>
                      <w:spacing w:val="10"/>
                      <w:sz w:val="22"/>
                      <w:szCs w:val="22"/>
                    </w:rPr>
                  </w:pPr>
                  <w:r>
                    <w:rPr>
                      <w:rFonts w:hint="eastAsia"/>
                      <w:color w:val="auto"/>
                      <w:sz w:val="22"/>
                      <w:szCs w:val="22"/>
                    </w:rPr>
                    <w:t>严格控制开挖时间和开挖面积，施工结束后尽快恢复受扰植被</w:t>
                  </w:r>
                </w:p>
              </w:tc>
              <w:tc>
                <w:tcPr>
                  <w:tcW w:w="1154" w:type="dxa"/>
                  <w:shd w:val="clear" w:color="auto" w:fill="auto"/>
                  <w:vAlign w:val="center"/>
                </w:tcPr>
                <w:p w14:paraId="7F3FDC4E">
                  <w:pPr>
                    <w:adjustRightInd w:val="0"/>
                    <w:snapToGrid w:val="0"/>
                    <w:jc w:val="center"/>
                    <w:rPr>
                      <w:bCs/>
                      <w:color w:val="auto"/>
                      <w:spacing w:val="10"/>
                      <w:sz w:val="22"/>
                      <w:szCs w:val="22"/>
                    </w:rPr>
                  </w:pPr>
                  <w:r>
                    <w:rPr>
                      <w:rFonts w:hint="eastAsia"/>
                      <w:color w:val="auto"/>
                      <w:sz w:val="22"/>
                      <w:szCs w:val="22"/>
                    </w:rPr>
                    <w:t>70.0</w:t>
                  </w:r>
                </w:p>
              </w:tc>
              <w:tc>
                <w:tcPr>
                  <w:tcW w:w="0" w:type="auto"/>
                  <w:shd w:val="clear" w:color="auto" w:fill="auto"/>
                  <w:vAlign w:val="center"/>
                </w:tcPr>
                <w:p w14:paraId="35A2FD72">
                  <w:pPr>
                    <w:adjustRightInd w:val="0"/>
                    <w:snapToGrid w:val="0"/>
                    <w:jc w:val="center"/>
                    <w:rPr>
                      <w:bCs/>
                      <w:color w:val="auto"/>
                      <w:spacing w:val="10"/>
                      <w:sz w:val="22"/>
                      <w:szCs w:val="22"/>
                    </w:rPr>
                  </w:pPr>
                  <w:r>
                    <w:rPr>
                      <w:rFonts w:hint="eastAsia"/>
                      <w:color w:val="auto"/>
                      <w:sz w:val="22"/>
                      <w:szCs w:val="22"/>
                    </w:rPr>
                    <w:t>降低生态影响</w:t>
                  </w:r>
                </w:p>
              </w:tc>
            </w:tr>
            <w:tr w14:paraId="787D51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6" w:hRule="atLeast"/>
                <w:jc w:val="center"/>
              </w:trPr>
              <w:tc>
                <w:tcPr>
                  <w:tcW w:w="456" w:type="dxa"/>
                  <w:vMerge w:val="restart"/>
                  <w:shd w:val="clear" w:color="auto" w:fill="auto"/>
                  <w:vAlign w:val="center"/>
                </w:tcPr>
                <w:p w14:paraId="515F1FCF">
                  <w:pPr>
                    <w:adjustRightInd w:val="0"/>
                    <w:snapToGrid w:val="0"/>
                    <w:jc w:val="center"/>
                    <w:rPr>
                      <w:bCs/>
                      <w:color w:val="auto"/>
                      <w:spacing w:val="10"/>
                      <w:sz w:val="22"/>
                      <w:szCs w:val="22"/>
                    </w:rPr>
                  </w:pPr>
                  <w:r>
                    <w:rPr>
                      <w:rFonts w:hint="eastAsia"/>
                      <w:bCs/>
                      <w:color w:val="auto"/>
                      <w:spacing w:val="10"/>
                      <w:sz w:val="22"/>
                      <w:szCs w:val="22"/>
                    </w:rPr>
                    <w:t>运营期</w:t>
                  </w:r>
                </w:p>
              </w:tc>
              <w:tc>
                <w:tcPr>
                  <w:tcW w:w="709" w:type="dxa"/>
                  <w:shd w:val="clear" w:color="auto" w:fill="auto"/>
                  <w:vAlign w:val="center"/>
                </w:tcPr>
                <w:p w14:paraId="770BFBB6">
                  <w:pPr>
                    <w:adjustRightInd w:val="0"/>
                    <w:snapToGrid w:val="0"/>
                    <w:jc w:val="center"/>
                    <w:rPr>
                      <w:bCs/>
                      <w:color w:val="auto"/>
                      <w:spacing w:val="10"/>
                      <w:sz w:val="22"/>
                      <w:szCs w:val="22"/>
                    </w:rPr>
                  </w:pPr>
                  <w:r>
                    <w:rPr>
                      <w:rFonts w:hint="eastAsia"/>
                      <w:bCs/>
                      <w:color w:val="auto"/>
                      <w:spacing w:val="10"/>
                      <w:sz w:val="22"/>
                      <w:szCs w:val="22"/>
                    </w:rPr>
                    <w:t>声环境</w:t>
                  </w:r>
                </w:p>
              </w:tc>
              <w:tc>
                <w:tcPr>
                  <w:tcW w:w="1175" w:type="dxa"/>
                  <w:shd w:val="clear" w:color="auto" w:fill="auto"/>
                  <w:vAlign w:val="center"/>
                </w:tcPr>
                <w:p w14:paraId="21AE3A92">
                  <w:pPr>
                    <w:adjustRightInd w:val="0"/>
                    <w:snapToGrid w:val="0"/>
                    <w:jc w:val="center"/>
                    <w:rPr>
                      <w:bCs/>
                      <w:color w:val="auto"/>
                      <w:spacing w:val="10"/>
                      <w:sz w:val="22"/>
                      <w:szCs w:val="22"/>
                    </w:rPr>
                  </w:pPr>
                  <w:r>
                    <w:rPr>
                      <w:rFonts w:hint="eastAsia"/>
                      <w:bCs/>
                      <w:color w:val="auto"/>
                      <w:spacing w:val="10"/>
                      <w:sz w:val="22"/>
                      <w:szCs w:val="22"/>
                    </w:rPr>
                    <w:t>电晕放电产生的噪声</w:t>
                  </w:r>
                </w:p>
              </w:tc>
              <w:tc>
                <w:tcPr>
                  <w:tcW w:w="3434" w:type="dxa"/>
                  <w:shd w:val="clear" w:color="auto" w:fill="auto"/>
                  <w:vAlign w:val="center"/>
                </w:tcPr>
                <w:p w14:paraId="4E630493">
                  <w:pPr>
                    <w:adjustRightInd w:val="0"/>
                    <w:snapToGrid w:val="0"/>
                    <w:jc w:val="center"/>
                    <w:rPr>
                      <w:bCs/>
                      <w:color w:val="auto"/>
                      <w:spacing w:val="10"/>
                      <w:sz w:val="22"/>
                      <w:szCs w:val="22"/>
                    </w:rPr>
                  </w:pPr>
                  <w:r>
                    <w:rPr>
                      <w:rFonts w:hint="eastAsia"/>
                      <w:bCs/>
                      <w:color w:val="auto"/>
                      <w:spacing w:val="10"/>
                      <w:sz w:val="22"/>
                      <w:szCs w:val="22"/>
                    </w:rPr>
                    <w:t>文明架线，减少导线表面毛刺</w:t>
                  </w:r>
                </w:p>
              </w:tc>
              <w:tc>
                <w:tcPr>
                  <w:tcW w:w="1154" w:type="dxa"/>
                  <w:shd w:val="clear" w:color="auto" w:fill="auto"/>
                  <w:vAlign w:val="center"/>
                </w:tcPr>
                <w:p w14:paraId="2BE155FE">
                  <w:pPr>
                    <w:adjustRightInd w:val="0"/>
                    <w:snapToGrid w:val="0"/>
                    <w:jc w:val="center"/>
                    <w:rPr>
                      <w:bCs/>
                      <w:color w:val="auto"/>
                      <w:spacing w:val="10"/>
                      <w:sz w:val="22"/>
                      <w:szCs w:val="22"/>
                    </w:rPr>
                  </w:pPr>
                  <w:r>
                    <w:rPr>
                      <w:rFonts w:hint="eastAsia"/>
                      <w:color w:val="auto"/>
                      <w:sz w:val="22"/>
                      <w:szCs w:val="22"/>
                    </w:rPr>
                    <w:t>计入主体</w:t>
                  </w:r>
                </w:p>
              </w:tc>
              <w:tc>
                <w:tcPr>
                  <w:tcW w:w="0" w:type="auto"/>
                  <w:shd w:val="clear" w:color="auto" w:fill="auto"/>
                  <w:vAlign w:val="center"/>
                </w:tcPr>
                <w:p w14:paraId="07A0EC88">
                  <w:pPr>
                    <w:adjustRightInd w:val="0"/>
                    <w:snapToGrid w:val="0"/>
                    <w:jc w:val="center"/>
                    <w:rPr>
                      <w:bCs/>
                      <w:color w:val="auto"/>
                      <w:spacing w:val="10"/>
                      <w:sz w:val="22"/>
                      <w:szCs w:val="22"/>
                    </w:rPr>
                  </w:pPr>
                  <w:r>
                    <w:rPr>
                      <w:rFonts w:hint="eastAsia"/>
                      <w:color w:val="auto"/>
                      <w:sz w:val="22"/>
                      <w:szCs w:val="22"/>
                    </w:rPr>
                    <w:t>沿线声环境质量满足标准限值要求</w:t>
                  </w:r>
                </w:p>
              </w:tc>
            </w:tr>
            <w:tr w14:paraId="17F86F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56" w:type="dxa"/>
                  <w:vMerge w:val="continue"/>
                  <w:shd w:val="clear" w:color="auto" w:fill="auto"/>
                  <w:vAlign w:val="center"/>
                </w:tcPr>
                <w:p w14:paraId="10354D17">
                  <w:pPr>
                    <w:adjustRightInd w:val="0"/>
                    <w:snapToGrid w:val="0"/>
                    <w:jc w:val="center"/>
                    <w:rPr>
                      <w:bCs/>
                      <w:color w:val="auto"/>
                      <w:spacing w:val="10"/>
                      <w:sz w:val="22"/>
                      <w:szCs w:val="22"/>
                    </w:rPr>
                  </w:pPr>
                </w:p>
              </w:tc>
              <w:tc>
                <w:tcPr>
                  <w:tcW w:w="709" w:type="dxa"/>
                  <w:vMerge w:val="restart"/>
                  <w:shd w:val="clear" w:color="auto" w:fill="auto"/>
                  <w:vAlign w:val="center"/>
                </w:tcPr>
                <w:p w14:paraId="713EE476">
                  <w:pPr>
                    <w:adjustRightInd w:val="0"/>
                    <w:snapToGrid w:val="0"/>
                    <w:jc w:val="center"/>
                    <w:rPr>
                      <w:bCs/>
                      <w:color w:val="auto"/>
                      <w:spacing w:val="10"/>
                      <w:sz w:val="22"/>
                      <w:szCs w:val="22"/>
                    </w:rPr>
                  </w:pPr>
                  <w:r>
                    <w:rPr>
                      <w:rFonts w:hint="eastAsia"/>
                      <w:bCs/>
                      <w:color w:val="auto"/>
                      <w:spacing w:val="10"/>
                      <w:sz w:val="22"/>
                      <w:szCs w:val="22"/>
                    </w:rPr>
                    <w:t>电磁环境</w:t>
                  </w:r>
                </w:p>
              </w:tc>
              <w:tc>
                <w:tcPr>
                  <w:tcW w:w="1175" w:type="dxa"/>
                  <w:vMerge w:val="restart"/>
                  <w:shd w:val="clear" w:color="auto" w:fill="auto"/>
                  <w:vAlign w:val="center"/>
                </w:tcPr>
                <w:p w14:paraId="4CDA53FA">
                  <w:pPr>
                    <w:adjustRightInd w:val="0"/>
                    <w:snapToGrid w:val="0"/>
                    <w:jc w:val="center"/>
                    <w:rPr>
                      <w:bCs/>
                      <w:color w:val="auto"/>
                      <w:spacing w:val="10"/>
                      <w:sz w:val="22"/>
                      <w:szCs w:val="22"/>
                    </w:rPr>
                  </w:pPr>
                  <w:r>
                    <w:rPr>
                      <w:rFonts w:hint="eastAsia"/>
                      <w:bCs/>
                      <w:color w:val="auto"/>
                      <w:spacing w:val="10"/>
                      <w:sz w:val="22"/>
                      <w:szCs w:val="22"/>
                    </w:rPr>
                    <w:t>工频电磁场</w:t>
                  </w:r>
                </w:p>
              </w:tc>
              <w:tc>
                <w:tcPr>
                  <w:tcW w:w="3434" w:type="dxa"/>
                  <w:shd w:val="clear" w:color="auto" w:fill="auto"/>
                  <w:vAlign w:val="center"/>
                </w:tcPr>
                <w:p w14:paraId="763EAAD6">
                  <w:pPr>
                    <w:adjustRightInd w:val="0"/>
                    <w:snapToGrid w:val="0"/>
                    <w:jc w:val="center"/>
                    <w:rPr>
                      <w:bCs/>
                      <w:color w:val="auto"/>
                      <w:spacing w:val="10"/>
                      <w:sz w:val="22"/>
                      <w:szCs w:val="22"/>
                    </w:rPr>
                  </w:pPr>
                  <w:r>
                    <w:rPr>
                      <w:rFonts w:hint="eastAsia"/>
                      <w:bCs/>
                      <w:color w:val="auto"/>
                      <w:spacing w:val="10"/>
                      <w:sz w:val="22"/>
                      <w:szCs w:val="22"/>
                    </w:rPr>
                    <w:t>合理设计导线高度，确保线路沿线及敏感点处工频电磁场达标</w:t>
                  </w:r>
                </w:p>
              </w:tc>
              <w:tc>
                <w:tcPr>
                  <w:tcW w:w="1154" w:type="dxa"/>
                  <w:vMerge w:val="restart"/>
                  <w:shd w:val="clear" w:color="auto" w:fill="auto"/>
                  <w:vAlign w:val="center"/>
                </w:tcPr>
                <w:p w14:paraId="09941BAC">
                  <w:pPr>
                    <w:adjustRightInd w:val="0"/>
                    <w:snapToGrid w:val="0"/>
                    <w:jc w:val="center"/>
                    <w:rPr>
                      <w:bCs/>
                      <w:color w:val="auto"/>
                      <w:spacing w:val="10"/>
                      <w:sz w:val="22"/>
                      <w:szCs w:val="22"/>
                    </w:rPr>
                  </w:pPr>
                  <w:r>
                    <w:rPr>
                      <w:rFonts w:hint="eastAsia"/>
                      <w:color w:val="auto"/>
                      <w:sz w:val="22"/>
                      <w:szCs w:val="22"/>
                    </w:rPr>
                    <w:t>计入主体</w:t>
                  </w:r>
                </w:p>
              </w:tc>
              <w:tc>
                <w:tcPr>
                  <w:tcW w:w="0" w:type="auto"/>
                  <w:vMerge w:val="restart"/>
                  <w:shd w:val="clear" w:color="auto" w:fill="auto"/>
                  <w:vAlign w:val="center"/>
                </w:tcPr>
                <w:p w14:paraId="6438E41B">
                  <w:pPr>
                    <w:adjustRightInd w:val="0"/>
                    <w:snapToGrid w:val="0"/>
                    <w:spacing w:line="280" w:lineRule="exact"/>
                    <w:jc w:val="center"/>
                    <w:rPr>
                      <w:bCs/>
                      <w:color w:val="auto"/>
                      <w:spacing w:val="10"/>
                      <w:sz w:val="22"/>
                      <w:szCs w:val="22"/>
                    </w:rPr>
                  </w:pPr>
                  <w:r>
                    <w:rPr>
                      <w:rFonts w:hint="eastAsia"/>
                      <w:color w:val="auto"/>
                      <w:sz w:val="22"/>
                      <w:szCs w:val="22"/>
                    </w:rPr>
                    <w:t>沿线电磁环境质量满足标准限值要求</w:t>
                  </w:r>
                </w:p>
              </w:tc>
            </w:tr>
            <w:tr w14:paraId="7E904E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56" w:type="dxa"/>
                  <w:vMerge w:val="continue"/>
                  <w:shd w:val="clear" w:color="auto" w:fill="auto"/>
                  <w:vAlign w:val="center"/>
                </w:tcPr>
                <w:p w14:paraId="31357A68">
                  <w:pPr>
                    <w:adjustRightInd w:val="0"/>
                    <w:snapToGrid w:val="0"/>
                    <w:jc w:val="center"/>
                    <w:rPr>
                      <w:bCs/>
                      <w:color w:val="auto"/>
                      <w:spacing w:val="10"/>
                      <w:sz w:val="22"/>
                      <w:szCs w:val="22"/>
                    </w:rPr>
                  </w:pPr>
                </w:p>
              </w:tc>
              <w:tc>
                <w:tcPr>
                  <w:tcW w:w="709" w:type="dxa"/>
                  <w:vMerge w:val="continue"/>
                  <w:shd w:val="clear" w:color="auto" w:fill="auto"/>
                  <w:vAlign w:val="center"/>
                </w:tcPr>
                <w:p w14:paraId="0F66269C">
                  <w:pPr>
                    <w:adjustRightInd w:val="0"/>
                    <w:snapToGrid w:val="0"/>
                    <w:jc w:val="center"/>
                    <w:rPr>
                      <w:bCs/>
                      <w:color w:val="auto"/>
                      <w:spacing w:val="10"/>
                      <w:sz w:val="22"/>
                      <w:szCs w:val="22"/>
                    </w:rPr>
                  </w:pPr>
                </w:p>
              </w:tc>
              <w:tc>
                <w:tcPr>
                  <w:tcW w:w="1175" w:type="dxa"/>
                  <w:vMerge w:val="continue"/>
                  <w:shd w:val="clear" w:color="auto" w:fill="auto"/>
                  <w:vAlign w:val="center"/>
                </w:tcPr>
                <w:p w14:paraId="45E5AC20">
                  <w:pPr>
                    <w:adjustRightInd w:val="0"/>
                    <w:snapToGrid w:val="0"/>
                    <w:jc w:val="center"/>
                    <w:rPr>
                      <w:bCs/>
                      <w:color w:val="auto"/>
                      <w:spacing w:val="10"/>
                      <w:sz w:val="22"/>
                      <w:szCs w:val="22"/>
                    </w:rPr>
                  </w:pPr>
                </w:p>
              </w:tc>
              <w:tc>
                <w:tcPr>
                  <w:tcW w:w="3434" w:type="dxa"/>
                  <w:shd w:val="clear" w:color="auto" w:fill="auto"/>
                  <w:vAlign w:val="center"/>
                </w:tcPr>
                <w:p w14:paraId="1A735873">
                  <w:pPr>
                    <w:adjustRightInd w:val="0"/>
                    <w:snapToGrid w:val="0"/>
                    <w:jc w:val="center"/>
                    <w:rPr>
                      <w:bCs/>
                      <w:color w:val="auto"/>
                      <w:spacing w:val="10"/>
                      <w:sz w:val="22"/>
                      <w:szCs w:val="22"/>
                    </w:rPr>
                  </w:pPr>
                  <w:r>
                    <w:rPr>
                      <w:rFonts w:hint="eastAsia"/>
                      <w:bCs/>
                      <w:color w:val="auto"/>
                      <w:spacing w:val="10"/>
                      <w:sz w:val="22"/>
                      <w:szCs w:val="22"/>
                    </w:rPr>
                    <w:t>在工频电场强度大于4000V/m且小于10kV/m的耕地、园地等公众容易到达的场所区域内设置警示和防护指示标志</w:t>
                  </w:r>
                </w:p>
              </w:tc>
              <w:tc>
                <w:tcPr>
                  <w:tcW w:w="1154" w:type="dxa"/>
                  <w:vMerge w:val="continue"/>
                  <w:shd w:val="clear" w:color="auto" w:fill="auto"/>
                  <w:vAlign w:val="center"/>
                </w:tcPr>
                <w:p w14:paraId="07C00A9A">
                  <w:pPr>
                    <w:adjustRightInd w:val="0"/>
                    <w:snapToGrid w:val="0"/>
                    <w:jc w:val="center"/>
                    <w:rPr>
                      <w:color w:val="auto"/>
                      <w:sz w:val="22"/>
                      <w:szCs w:val="22"/>
                    </w:rPr>
                  </w:pPr>
                </w:p>
              </w:tc>
              <w:tc>
                <w:tcPr>
                  <w:tcW w:w="0" w:type="auto"/>
                  <w:vMerge w:val="continue"/>
                  <w:shd w:val="clear" w:color="auto" w:fill="auto"/>
                  <w:vAlign w:val="center"/>
                </w:tcPr>
                <w:p w14:paraId="084E4027">
                  <w:pPr>
                    <w:adjustRightInd w:val="0"/>
                    <w:snapToGrid w:val="0"/>
                    <w:spacing w:line="280" w:lineRule="exact"/>
                    <w:jc w:val="center"/>
                    <w:rPr>
                      <w:color w:val="auto"/>
                      <w:sz w:val="22"/>
                      <w:szCs w:val="22"/>
                    </w:rPr>
                  </w:pPr>
                </w:p>
              </w:tc>
            </w:tr>
            <w:tr w14:paraId="285D26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774" w:type="dxa"/>
                  <w:gridSpan w:val="4"/>
                  <w:shd w:val="clear" w:color="auto" w:fill="auto"/>
                  <w:vAlign w:val="center"/>
                </w:tcPr>
                <w:p w14:paraId="65C3C4A0">
                  <w:pPr>
                    <w:adjustRightInd w:val="0"/>
                    <w:snapToGrid w:val="0"/>
                    <w:jc w:val="center"/>
                    <w:rPr>
                      <w:bCs/>
                      <w:color w:val="auto"/>
                      <w:spacing w:val="10"/>
                      <w:sz w:val="22"/>
                      <w:szCs w:val="22"/>
                    </w:rPr>
                  </w:pPr>
                  <w:r>
                    <w:rPr>
                      <w:rFonts w:hint="eastAsia"/>
                      <w:bCs/>
                      <w:color w:val="auto"/>
                      <w:spacing w:val="10"/>
                      <w:sz w:val="22"/>
                      <w:szCs w:val="22"/>
                    </w:rPr>
                    <w:t>总计</w:t>
                  </w:r>
                </w:p>
              </w:tc>
              <w:tc>
                <w:tcPr>
                  <w:tcW w:w="1154" w:type="dxa"/>
                  <w:shd w:val="clear" w:color="auto" w:fill="auto"/>
                  <w:vAlign w:val="center"/>
                </w:tcPr>
                <w:p w14:paraId="7842A12E">
                  <w:pPr>
                    <w:adjustRightInd w:val="0"/>
                    <w:snapToGrid w:val="0"/>
                    <w:jc w:val="center"/>
                    <w:rPr>
                      <w:color w:val="auto"/>
                      <w:sz w:val="22"/>
                      <w:szCs w:val="22"/>
                    </w:rPr>
                  </w:pPr>
                  <w:r>
                    <w:rPr>
                      <w:rFonts w:hint="eastAsia"/>
                      <w:color w:val="auto"/>
                      <w:sz w:val="22"/>
                      <w:szCs w:val="22"/>
                    </w:rPr>
                    <w:t>93.0</w:t>
                  </w:r>
                </w:p>
              </w:tc>
              <w:tc>
                <w:tcPr>
                  <w:tcW w:w="0" w:type="auto"/>
                  <w:shd w:val="clear" w:color="auto" w:fill="auto"/>
                  <w:vAlign w:val="center"/>
                </w:tcPr>
                <w:p w14:paraId="220596B2">
                  <w:pPr>
                    <w:adjustRightInd w:val="0"/>
                    <w:snapToGrid w:val="0"/>
                    <w:jc w:val="center"/>
                    <w:rPr>
                      <w:bCs/>
                      <w:color w:val="auto"/>
                      <w:spacing w:val="10"/>
                      <w:sz w:val="22"/>
                      <w:szCs w:val="22"/>
                    </w:rPr>
                  </w:pPr>
                  <w:r>
                    <w:rPr>
                      <w:rFonts w:hint="eastAsia"/>
                      <w:color w:val="auto"/>
                      <w:sz w:val="22"/>
                      <w:szCs w:val="22"/>
                    </w:rPr>
                    <w:t>/</w:t>
                  </w:r>
                </w:p>
              </w:tc>
            </w:tr>
          </w:tbl>
          <w:p w14:paraId="046BE0D6">
            <w:pPr>
              <w:rPr>
                <w:color w:val="auto"/>
              </w:rPr>
            </w:pPr>
          </w:p>
          <w:p w14:paraId="2EAD4C75">
            <w:pPr>
              <w:rPr>
                <w:color w:val="auto"/>
              </w:rPr>
            </w:pPr>
          </w:p>
          <w:p w14:paraId="655B90C0">
            <w:pPr>
              <w:rPr>
                <w:color w:val="auto"/>
              </w:rPr>
            </w:pPr>
          </w:p>
          <w:p w14:paraId="2827B3D7">
            <w:pPr>
              <w:rPr>
                <w:color w:val="auto"/>
              </w:rPr>
            </w:pPr>
          </w:p>
          <w:p w14:paraId="07F756A4">
            <w:pPr>
              <w:adjustRightInd w:val="0"/>
              <w:snapToGrid w:val="0"/>
              <w:rPr>
                <w:bCs/>
                <w:color w:val="auto"/>
                <w:spacing w:val="10"/>
                <w:szCs w:val="21"/>
              </w:rPr>
            </w:pPr>
          </w:p>
        </w:tc>
      </w:tr>
    </w:tbl>
    <w:p w14:paraId="7790CED0">
      <w:pPr>
        <w:rPr>
          <w:color w:val="auto"/>
        </w:rPr>
        <w:sectPr>
          <w:pgSz w:w="11907" w:h="16840"/>
          <w:pgMar w:top="1440" w:right="1797" w:bottom="1440" w:left="1797" w:header="851" w:footer="1077" w:gutter="0"/>
          <w:cols w:space="425" w:num="1"/>
          <w:docGrid w:linePitch="312" w:charSpace="0"/>
        </w:sectPr>
      </w:pPr>
    </w:p>
    <w:p w14:paraId="2F0CE918">
      <w:pPr>
        <w:pStyle w:val="21"/>
        <w:jc w:val="center"/>
        <w:outlineLvl w:val="0"/>
        <w:rPr>
          <w:rFonts w:ascii="Times New Roman" w:hAnsi="Times New Roman" w:eastAsia="黑体"/>
          <w:snapToGrid w:val="0"/>
          <w:color w:val="auto"/>
          <w:sz w:val="30"/>
          <w:szCs w:val="30"/>
        </w:rPr>
      </w:pPr>
      <w:bookmarkStart w:id="18" w:name="_Toc22915"/>
      <w:r>
        <w:rPr>
          <w:rFonts w:ascii="Times New Roman" w:hAnsi="Times New Roman" w:eastAsia="黑体"/>
          <w:snapToGrid w:val="0"/>
          <w:color w:val="auto"/>
          <w:sz w:val="30"/>
          <w:szCs w:val="30"/>
        </w:rPr>
        <w:t>六、生态环境保护措施监督检查清单</w:t>
      </w:r>
      <w:bookmarkEnd w:id="18"/>
    </w:p>
    <w:tbl>
      <w:tblPr>
        <w:tblStyle w:val="25"/>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103"/>
        <w:gridCol w:w="4197"/>
        <w:gridCol w:w="2459"/>
        <w:gridCol w:w="4192"/>
        <w:gridCol w:w="2223"/>
      </w:tblGrid>
      <w:tr w14:paraId="04D785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389" w:type="pct"/>
            <w:vMerge w:val="restart"/>
            <w:tcBorders>
              <w:tl2br w:val="single" w:color="auto" w:sz="4" w:space="0"/>
            </w:tcBorders>
          </w:tcPr>
          <w:p w14:paraId="5913C225">
            <w:pPr>
              <w:pStyle w:val="21"/>
              <w:adjustRightInd w:val="0"/>
              <w:snapToGrid w:val="0"/>
              <w:spacing w:before="72" w:beforeLines="30" w:beforeAutospacing="0" w:after="0" w:afterAutospacing="0"/>
              <w:jc w:val="right"/>
              <w:outlineLvl w:val="0"/>
              <w:rPr>
                <w:rFonts w:ascii="Times New Roman" w:hAnsi="Times New Roman" w:eastAsia="黑体"/>
                <w:color w:val="auto"/>
                <w:kern w:val="2"/>
                <w:sz w:val="21"/>
                <w:szCs w:val="21"/>
              </w:rPr>
            </w:pPr>
            <w:bookmarkStart w:id="19" w:name="_Toc27825"/>
            <w:r>
              <w:rPr>
                <w:rFonts w:ascii="Times New Roman" w:hAnsi="Times New Roman" w:eastAsia="黑体"/>
                <w:color w:val="auto"/>
                <w:kern w:val="2"/>
                <w:sz w:val="21"/>
                <w:szCs w:val="21"/>
              </w:rPr>
              <w:t>内容</w:t>
            </w:r>
            <w:bookmarkEnd w:id="19"/>
          </w:p>
          <w:p w14:paraId="13BF5CA5">
            <w:pPr>
              <w:pStyle w:val="21"/>
              <w:adjustRightInd w:val="0"/>
              <w:snapToGrid w:val="0"/>
              <w:spacing w:before="72" w:beforeLines="30" w:beforeAutospacing="0" w:after="0" w:afterAutospacing="0"/>
              <w:jc w:val="center"/>
              <w:outlineLvl w:val="0"/>
              <w:rPr>
                <w:rFonts w:ascii="Times New Roman" w:hAnsi="Times New Roman" w:eastAsia="黑体"/>
                <w:color w:val="auto"/>
                <w:kern w:val="2"/>
                <w:sz w:val="21"/>
                <w:szCs w:val="21"/>
              </w:rPr>
            </w:pPr>
          </w:p>
          <w:p w14:paraId="0D3C41BC">
            <w:pPr>
              <w:pStyle w:val="21"/>
              <w:adjustRightInd w:val="0"/>
              <w:snapToGrid w:val="0"/>
              <w:spacing w:before="0" w:beforeAutospacing="0" w:after="0" w:afterAutospacing="0" w:line="14" w:lineRule="auto"/>
              <w:outlineLvl w:val="0"/>
              <w:rPr>
                <w:rFonts w:ascii="Times New Roman" w:hAnsi="Times New Roman" w:eastAsia="黑体"/>
                <w:color w:val="auto"/>
                <w:kern w:val="2"/>
                <w:sz w:val="21"/>
                <w:szCs w:val="21"/>
              </w:rPr>
            </w:pPr>
            <w:r>
              <w:rPr>
                <w:rFonts w:ascii="Times New Roman" w:hAnsi="Times New Roman" w:eastAsia="黑体"/>
                <w:color w:val="auto"/>
                <w:kern w:val="2"/>
                <w:sz w:val="21"/>
                <w:szCs w:val="21"/>
              </w:rPr>
              <w:t xml:space="preserve">  </w:t>
            </w:r>
          </w:p>
          <w:p w14:paraId="028596D6">
            <w:pPr>
              <w:pStyle w:val="21"/>
              <w:adjustRightInd w:val="0"/>
              <w:snapToGrid w:val="0"/>
              <w:spacing w:before="0" w:beforeAutospacing="0" w:after="0" w:afterAutospacing="0"/>
              <w:outlineLvl w:val="0"/>
              <w:rPr>
                <w:rFonts w:ascii="Times New Roman" w:hAnsi="Times New Roman" w:eastAsia="黑体"/>
                <w:color w:val="auto"/>
                <w:kern w:val="2"/>
                <w:sz w:val="21"/>
                <w:szCs w:val="21"/>
              </w:rPr>
            </w:pPr>
            <w:bookmarkStart w:id="20" w:name="_Toc13716"/>
            <w:r>
              <w:rPr>
                <w:rFonts w:ascii="Times New Roman" w:hAnsi="Times New Roman" w:eastAsia="黑体"/>
                <w:color w:val="auto"/>
                <w:kern w:val="2"/>
                <w:sz w:val="21"/>
                <w:szCs w:val="21"/>
              </w:rPr>
              <w:t>要素</w:t>
            </w:r>
            <w:bookmarkEnd w:id="20"/>
          </w:p>
        </w:tc>
        <w:tc>
          <w:tcPr>
            <w:tcW w:w="2347" w:type="pct"/>
            <w:gridSpan w:val="2"/>
            <w:vAlign w:val="center"/>
          </w:tcPr>
          <w:p w14:paraId="0FDB3D5E">
            <w:pPr>
              <w:pStyle w:val="21"/>
              <w:adjustRightInd w:val="0"/>
              <w:snapToGrid w:val="0"/>
              <w:spacing w:before="0" w:beforeAutospacing="0" w:after="0" w:afterAutospacing="0"/>
              <w:jc w:val="center"/>
              <w:outlineLvl w:val="0"/>
              <w:rPr>
                <w:rFonts w:ascii="Times New Roman" w:hAnsi="Times New Roman" w:eastAsia="黑体"/>
                <w:color w:val="auto"/>
                <w:kern w:val="2"/>
                <w:sz w:val="21"/>
                <w:szCs w:val="21"/>
              </w:rPr>
            </w:pPr>
            <w:bookmarkStart w:id="21" w:name="_Toc23700"/>
            <w:r>
              <w:rPr>
                <w:rFonts w:ascii="Times New Roman" w:hAnsi="Times New Roman" w:eastAsia="黑体"/>
                <w:color w:val="auto"/>
                <w:kern w:val="2"/>
                <w:sz w:val="21"/>
                <w:szCs w:val="21"/>
              </w:rPr>
              <w:t>施工期</w:t>
            </w:r>
            <w:bookmarkEnd w:id="21"/>
          </w:p>
        </w:tc>
        <w:tc>
          <w:tcPr>
            <w:tcW w:w="2262" w:type="pct"/>
            <w:gridSpan w:val="2"/>
            <w:vAlign w:val="center"/>
          </w:tcPr>
          <w:p w14:paraId="019C21DE">
            <w:pPr>
              <w:pStyle w:val="21"/>
              <w:adjustRightInd w:val="0"/>
              <w:snapToGrid w:val="0"/>
              <w:spacing w:before="0" w:beforeAutospacing="0" w:after="0" w:afterAutospacing="0"/>
              <w:jc w:val="center"/>
              <w:outlineLvl w:val="0"/>
              <w:rPr>
                <w:rFonts w:ascii="Times New Roman" w:hAnsi="Times New Roman" w:eastAsia="黑体"/>
                <w:color w:val="auto"/>
                <w:kern w:val="2"/>
                <w:sz w:val="21"/>
                <w:szCs w:val="21"/>
              </w:rPr>
            </w:pPr>
            <w:bookmarkStart w:id="22" w:name="_Toc1996"/>
            <w:r>
              <w:rPr>
                <w:rFonts w:ascii="Times New Roman" w:hAnsi="Times New Roman" w:eastAsia="黑体"/>
                <w:color w:val="auto"/>
                <w:kern w:val="2"/>
                <w:sz w:val="21"/>
                <w:szCs w:val="21"/>
              </w:rPr>
              <w:t>运营期</w:t>
            </w:r>
            <w:bookmarkEnd w:id="22"/>
          </w:p>
        </w:tc>
      </w:tr>
      <w:tr w14:paraId="7F3E19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389" w:type="pct"/>
            <w:vMerge w:val="continue"/>
          </w:tcPr>
          <w:p w14:paraId="2A4A1281">
            <w:pPr>
              <w:pStyle w:val="21"/>
              <w:adjustRightInd w:val="0"/>
              <w:snapToGrid w:val="0"/>
              <w:spacing w:before="0" w:beforeAutospacing="0" w:after="0" w:afterAutospacing="0"/>
              <w:ind w:firstLine="840"/>
              <w:jc w:val="center"/>
              <w:outlineLvl w:val="0"/>
              <w:rPr>
                <w:rFonts w:ascii="Times New Roman" w:hAnsi="Times New Roman" w:eastAsia="黑体"/>
                <w:color w:val="auto"/>
                <w:kern w:val="2"/>
                <w:sz w:val="21"/>
                <w:szCs w:val="21"/>
              </w:rPr>
            </w:pPr>
          </w:p>
        </w:tc>
        <w:tc>
          <w:tcPr>
            <w:tcW w:w="1480" w:type="pct"/>
            <w:vAlign w:val="center"/>
          </w:tcPr>
          <w:p w14:paraId="31A804DE">
            <w:pPr>
              <w:pStyle w:val="21"/>
              <w:adjustRightInd w:val="0"/>
              <w:snapToGrid w:val="0"/>
              <w:spacing w:before="0" w:beforeAutospacing="0" w:after="0" w:afterAutospacing="0"/>
              <w:jc w:val="center"/>
              <w:outlineLvl w:val="0"/>
              <w:rPr>
                <w:rFonts w:ascii="Times New Roman" w:hAnsi="Times New Roman" w:eastAsia="黑体"/>
                <w:color w:val="auto"/>
                <w:kern w:val="2"/>
                <w:sz w:val="21"/>
                <w:szCs w:val="21"/>
              </w:rPr>
            </w:pPr>
            <w:bookmarkStart w:id="23" w:name="_Toc30185"/>
            <w:r>
              <w:rPr>
                <w:rFonts w:ascii="Times New Roman" w:hAnsi="Times New Roman" w:eastAsia="黑体"/>
                <w:color w:val="auto"/>
                <w:kern w:val="2"/>
                <w:sz w:val="21"/>
                <w:szCs w:val="21"/>
              </w:rPr>
              <w:t>环境保护措施</w:t>
            </w:r>
            <w:bookmarkEnd w:id="23"/>
          </w:p>
        </w:tc>
        <w:tc>
          <w:tcPr>
            <w:tcW w:w="866" w:type="pct"/>
            <w:vAlign w:val="center"/>
          </w:tcPr>
          <w:p w14:paraId="10599E40">
            <w:pPr>
              <w:pStyle w:val="21"/>
              <w:adjustRightInd w:val="0"/>
              <w:snapToGrid w:val="0"/>
              <w:spacing w:before="0" w:beforeAutospacing="0" w:after="0" w:afterAutospacing="0"/>
              <w:jc w:val="center"/>
              <w:outlineLvl w:val="0"/>
              <w:rPr>
                <w:rFonts w:ascii="Times New Roman" w:hAnsi="Times New Roman" w:eastAsia="黑体"/>
                <w:color w:val="auto"/>
                <w:kern w:val="2"/>
                <w:sz w:val="21"/>
                <w:szCs w:val="21"/>
              </w:rPr>
            </w:pPr>
            <w:bookmarkStart w:id="24" w:name="_Toc10997"/>
            <w:r>
              <w:rPr>
                <w:rFonts w:ascii="Times New Roman" w:hAnsi="Times New Roman" w:eastAsia="黑体"/>
                <w:color w:val="auto"/>
                <w:kern w:val="2"/>
                <w:sz w:val="21"/>
                <w:szCs w:val="21"/>
              </w:rPr>
              <w:t>验收要求</w:t>
            </w:r>
            <w:bookmarkEnd w:id="24"/>
          </w:p>
        </w:tc>
        <w:tc>
          <w:tcPr>
            <w:tcW w:w="1478" w:type="pct"/>
            <w:vAlign w:val="center"/>
          </w:tcPr>
          <w:p w14:paraId="3368DACE">
            <w:pPr>
              <w:pStyle w:val="21"/>
              <w:adjustRightInd w:val="0"/>
              <w:snapToGrid w:val="0"/>
              <w:spacing w:before="0" w:beforeAutospacing="0" w:after="0" w:afterAutospacing="0"/>
              <w:jc w:val="center"/>
              <w:outlineLvl w:val="0"/>
              <w:rPr>
                <w:rFonts w:ascii="Times New Roman" w:hAnsi="Times New Roman" w:eastAsia="黑体"/>
                <w:color w:val="auto"/>
                <w:kern w:val="2"/>
                <w:sz w:val="21"/>
                <w:szCs w:val="21"/>
              </w:rPr>
            </w:pPr>
            <w:bookmarkStart w:id="25" w:name="_Toc24983"/>
            <w:r>
              <w:rPr>
                <w:rFonts w:ascii="Times New Roman" w:hAnsi="Times New Roman" w:eastAsia="黑体"/>
                <w:color w:val="auto"/>
                <w:kern w:val="2"/>
                <w:sz w:val="21"/>
                <w:szCs w:val="21"/>
              </w:rPr>
              <w:t>环境保护措施</w:t>
            </w:r>
            <w:bookmarkEnd w:id="25"/>
          </w:p>
        </w:tc>
        <w:tc>
          <w:tcPr>
            <w:tcW w:w="784" w:type="pct"/>
            <w:vAlign w:val="center"/>
          </w:tcPr>
          <w:p w14:paraId="18E410E9">
            <w:pPr>
              <w:pStyle w:val="21"/>
              <w:adjustRightInd w:val="0"/>
              <w:snapToGrid w:val="0"/>
              <w:spacing w:before="0" w:beforeAutospacing="0" w:after="0" w:afterAutospacing="0"/>
              <w:jc w:val="center"/>
              <w:outlineLvl w:val="0"/>
              <w:rPr>
                <w:rFonts w:ascii="Times New Roman" w:hAnsi="Times New Roman" w:eastAsia="黑体"/>
                <w:color w:val="auto"/>
                <w:kern w:val="2"/>
                <w:sz w:val="21"/>
                <w:szCs w:val="21"/>
              </w:rPr>
            </w:pPr>
            <w:bookmarkStart w:id="26" w:name="_Toc151"/>
            <w:r>
              <w:rPr>
                <w:rFonts w:ascii="Times New Roman" w:hAnsi="Times New Roman" w:eastAsia="黑体"/>
                <w:color w:val="auto"/>
                <w:kern w:val="2"/>
                <w:sz w:val="21"/>
                <w:szCs w:val="21"/>
              </w:rPr>
              <w:t>验收要求</w:t>
            </w:r>
            <w:bookmarkEnd w:id="26"/>
          </w:p>
        </w:tc>
      </w:tr>
      <w:tr w14:paraId="24EA45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89" w:type="pct"/>
            <w:vAlign w:val="center"/>
          </w:tcPr>
          <w:p w14:paraId="7F5FDF22">
            <w:pPr>
              <w:adjustRightInd w:val="0"/>
              <w:snapToGrid w:val="0"/>
              <w:jc w:val="center"/>
              <w:rPr>
                <w:color w:val="auto"/>
                <w:szCs w:val="21"/>
              </w:rPr>
            </w:pPr>
            <w:r>
              <w:rPr>
                <w:color w:val="auto"/>
                <w:szCs w:val="21"/>
              </w:rPr>
              <w:t>陆生生态</w:t>
            </w:r>
          </w:p>
        </w:tc>
        <w:tc>
          <w:tcPr>
            <w:tcW w:w="1480" w:type="pct"/>
            <w:vAlign w:val="center"/>
          </w:tcPr>
          <w:p w14:paraId="0FC7A44B">
            <w:pPr>
              <w:adjustRightInd w:val="0"/>
              <w:snapToGrid w:val="0"/>
              <w:jc w:val="center"/>
              <w:rPr>
                <w:color w:val="auto"/>
                <w:szCs w:val="21"/>
              </w:rPr>
            </w:pPr>
            <w:r>
              <w:rPr>
                <w:color w:val="auto"/>
                <w:szCs w:val="21"/>
              </w:rPr>
              <w:t>对于塔基占地及临时占地，尽量避开树林茂密处，减少对树木的清理，完工后及时恢复塔基周围等临时占地的植被；应合理安排施工工序，尽量避开在暴雨季节开挖土方，开挖土方回填之前，做好临时的防护措施，土石方集中堆放，同时做好施工工区的排水工作，保证排水系统畅通。要及时清理施工现场，回填方应及时夯实，在工程施工过程中尽量保护生态的原貌，减少对生态的扰动与破坏；在放线和附件安装阶段，注意对周围环境的保护，文明施工；临时用地选址避开水域、林地等，优先选择建设用地。施工前应进行表土剥离，剥离的表土分类存放，用于后期复绿</w:t>
            </w:r>
          </w:p>
        </w:tc>
        <w:tc>
          <w:tcPr>
            <w:tcW w:w="866" w:type="pct"/>
            <w:vAlign w:val="center"/>
          </w:tcPr>
          <w:p w14:paraId="48174055">
            <w:pPr>
              <w:adjustRightInd w:val="0"/>
              <w:snapToGrid w:val="0"/>
              <w:jc w:val="center"/>
              <w:rPr>
                <w:color w:val="auto"/>
                <w:szCs w:val="21"/>
              </w:rPr>
            </w:pPr>
            <w:r>
              <w:rPr>
                <w:rFonts w:hint="eastAsia"/>
                <w:color w:val="auto"/>
                <w:szCs w:val="21"/>
              </w:rPr>
              <w:t>施工期裸露地表需完全恢复，临时占地及时绿化或恢复原有用地性质</w:t>
            </w:r>
          </w:p>
        </w:tc>
        <w:tc>
          <w:tcPr>
            <w:tcW w:w="1478" w:type="pct"/>
            <w:vAlign w:val="center"/>
          </w:tcPr>
          <w:p w14:paraId="132DD03B">
            <w:pPr>
              <w:adjustRightInd w:val="0"/>
              <w:snapToGrid w:val="0"/>
              <w:jc w:val="center"/>
              <w:rPr>
                <w:color w:val="auto"/>
                <w:szCs w:val="21"/>
              </w:rPr>
            </w:pPr>
            <w:r>
              <w:rPr>
                <w:rFonts w:hint="eastAsia"/>
                <w:color w:val="auto"/>
                <w:szCs w:val="21"/>
              </w:rPr>
              <w:t>/</w:t>
            </w:r>
          </w:p>
        </w:tc>
        <w:tc>
          <w:tcPr>
            <w:tcW w:w="784" w:type="pct"/>
            <w:vAlign w:val="center"/>
          </w:tcPr>
          <w:p w14:paraId="005FE9C6">
            <w:pPr>
              <w:adjustRightInd w:val="0"/>
              <w:snapToGrid w:val="0"/>
              <w:jc w:val="center"/>
              <w:rPr>
                <w:color w:val="auto"/>
                <w:szCs w:val="21"/>
              </w:rPr>
            </w:pPr>
            <w:r>
              <w:rPr>
                <w:rFonts w:hint="eastAsia"/>
                <w:color w:val="auto"/>
                <w:szCs w:val="21"/>
              </w:rPr>
              <w:t>/</w:t>
            </w:r>
          </w:p>
        </w:tc>
      </w:tr>
      <w:tr w14:paraId="7537E2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89" w:type="pct"/>
            <w:vAlign w:val="center"/>
          </w:tcPr>
          <w:p w14:paraId="18D657E0">
            <w:pPr>
              <w:adjustRightInd w:val="0"/>
              <w:snapToGrid w:val="0"/>
              <w:jc w:val="center"/>
              <w:rPr>
                <w:color w:val="auto"/>
                <w:szCs w:val="21"/>
              </w:rPr>
            </w:pPr>
            <w:r>
              <w:rPr>
                <w:color w:val="auto"/>
                <w:szCs w:val="21"/>
              </w:rPr>
              <w:t>水生生态</w:t>
            </w:r>
          </w:p>
        </w:tc>
        <w:tc>
          <w:tcPr>
            <w:tcW w:w="1480" w:type="pct"/>
            <w:vAlign w:val="center"/>
          </w:tcPr>
          <w:p w14:paraId="7C4FEDC2">
            <w:pPr>
              <w:adjustRightInd w:val="0"/>
              <w:snapToGrid w:val="0"/>
              <w:jc w:val="center"/>
              <w:rPr>
                <w:color w:val="auto"/>
                <w:szCs w:val="21"/>
              </w:rPr>
            </w:pPr>
            <w:r>
              <w:rPr>
                <w:rFonts w:hint="eastAsia"/>
                <w:color w:val="auto"/>
                <w:szCs w:val="21"/>
              </w:rPr>
              <w:t>/</w:t>
            </w:r>
          </w:p>
        </w:tc>
        <w:tc>
          <w:tcPr>
            <w:tcW w:w="866" w:type="pct"/>
            <w:vAlign w:val="center"/>
          </w:tcPr>
          <w:p w14:paraId="4360D0B6">
            <w:pPr>
              <w:adjustRightInd w:val="0"/>
              <w:snapToGrid w:val="0"/>
              <w:jc w:val="center"/>
              <w:rPr>
                <w:color w:val="auto"/>
                <w:szCs w:val="21"/>
              </w:rPr>
            </w:pPr>
            <w:r>
              <w:rPr>
                <w:rFonts w:hint="eastAsia"/>
                <w:color w:val="auto"/>
                <w:szCs w:val="21"/>
              </w:rPr>
              <w:t>/</w:t>
            </w:r>
          </w:p>
        </w:tc>
        <w:tc>
          <w:tcPr>
            <w:tcW w:w="1478" w:type="pct"/>
            <w:vAlign w:val="center"/>
          </w:tcPr>
          <w:p w14:paraId="5CCB4825">
            <w:pPr>
              <w:adjustRightInd w:val="0"/>
              <w:snapToGrid w:val="0"/>
              <w:jc w:val="center"/>
              <w:rPr>
                <w:color w:val="auto"/>
                <w:szCs w:val="21"/>
              </w:rPr>
            </w:pPr>
            <w:r>
              <w:rPr>
                <w:rFonts w:hint="eastAsia"/>
                <w:color w:val="auto"/>
                <w:szCs w:val="21"/>
              </w:rPr>
              <w:t>/</w:t>
            </w:r>
          </w:p>
        </w:tc>
        <w:tc>
          <w:tcPr>
            <w:tcW w:w="784" w:type="pct"/>
            <w:vAlign w:val="center"/>
          </w:tcPr>
          <w:p w14:paraId="13A7A982">
            <w:pPr>
              <w:adjustRightInd w:val="0"/>
              <w:snapToGrid w:val="0"/>
              <w:jc w:val="center"/>
              <w:rPr>
                <w:color w:val="auto"/>
                <w:szCs w:val="21"/>
              </w:rPr>
            </w:pPr>
            <w:r>
              <w:rPr>
                <w:rFonts w:hint="eastAsia"/>
                <w:color w:val="auto"/>
                <w:szCs w:val="21"/>
              </w:rPr>
              <w:t>/</w:t>
            </w:r>
          </w:p>
        </w:tc>
      </w:tr>
      <w:tr w14:paraId="546FF1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89" w:type="pct"/>
            <w:vAlign w:val="center"/>
          </w:tcPr>
          <w:p w14:paraId="78178C45">
            <w:pPr>
              <w:adjustRightInd w:val="0"/>
              <w:snapToGrid w:val="0"/>
              <w:jc w:val="center"/>
              <w:rPr>
                <w:color w:val="auto"/>
                <w:szCs w:val="21"/>
              </w:rPr>
            </w:pPr>
            <w:r>
              <w:rPr>
                <w:color w:val="auto"/>
                <w:szCs w:val="21"/>
              </w:rPr>
              <w:t>地表水环境</w:t>
            </w:r>
          </w:p>
        </w:tc>
        <w:tc>
          <w:tcPr>
            <w:tcW w:w="1480" w:type="pct"/>
            <w:vAlign w:val="center"/>
          </w:tcPr>
          <w:p w14:paraId="08E33E6C">
            <w:pPr>
              <w:adjustRightInd w:val="0"/>
              <w:snapToGrid w:val="0"/>
              <w:jc w:val="center"/>
              <w:rPr>
                <w:color w:val="auto"/>
                <w:szCs w:val="21"/>
              </w:rPr>
            </w:pPr>
            <w:r>
              <w:rPr>
                <w:rFonts w:hAnsi="宋体"/>
                <w:color w:val="auto"/>
                <w:szCs w:val="21"/>
              </w:rPr>
              <w:t>项目不设施工营地，施工人员产生的生活污水依托周边已有公共设施或者民房化粪池</w:t>
            </w:r>
            <w:r>
              <w:rPr>
                <w:rFonts w:hint="eastAsia" w:hAnsi="宋体"/>
                <w:color w:val="auto"/>
                <w:szCs w:val="21"/>
              </w:rPr>
              <w:t>；</w:t>
            </w:r>
            <w:r>
              <w:rPr>
                <w:rFonts w:hint="eastAsia"/>
                <w:color w:val="auto"/>
                <w:szCs w:val="21"/>
              </w:rPr>
              <w:t>做好施工场地周围的拦挡措施，尽量避免雨季开挖作业</w:t>
            </w:r>
          </w:p>
        </w:tc>
        <w:tc>
          <w:tcPr>
            <w:tcW w:w="866" w:type="pct"/>
            <w:vAlign w:val="center"/>
          </w:tcPr>
          <w:p w14:paraId="6E2EE864">
            <w:pPr>
              <w:adjustRightInd w:val="0"/>
              <w:snapToGrid w:val="0"/>
              <w:jc w:val="center"/>
              <w:rPr>
                <w:color w:val="auto"/>
                <w:szCs w:val="21"/>
              </w:rPr>
            </w:pPr>
            <w:r>
              <w:rPr>
                <w:rFonts w:hint="eastAsia"/>
                <w:color w:val="auto"/>
                <w:szCs w:val="21"/>
              </w:rPr>
              <w:t>未对周边水环境造成污染</w:t>
            </w:r>
          </w:p>
        </w:tc>
        <w:tc>
          <w:tcPr>
            <w:tcW w:w="1478" w:type="pct"/>
            <w:vAlign w:val="center"/>
          </w:tcPr>
          <w:p w14:paraId="498BBA41">
            <w:pPr>
              <w:adjustRightInd w:val="0"/>
              <w:snapToGrid w:val="0"/>
              <w:jc w:val="center"/>
              <w:rPr>
                <w:color w:val="auto"/>
                <w:szCs w:val="21"/>
              </w:rPr>
            </w:pPr>
            <w:r>
              <w:rPr>
                <w:rFonts w:hint="eastAsia"/>
                <w:color w:val="auto"/>
                <w:szCs w:val="21"/>
              </w:rPr>
              <w:t>/</w:t>
            </w:r>
          </w:p>
        </w:tc>
        <w:tc>
          <w:tcPr>
            <w:tcW w:w="784" w:type="pct"/>
            <w:vAlign w:val="center"/>
          </w:tcPr>
          <w:p w14:paraId="0DF2E42A">
            <w:pPr>
              <w:adjustRightInd w:val="0"/>
              <w:snapToGrid w:val="0"/>
              <w:jc w:val="center"/>
              <w:rPr>
                <w:color w:val="auto"/>
                <w:szCs w:val="21"/>
              </w:rPr>
            </w:pPr>
            <w:r>
              <w:rPr>
                <w:rFonts w:hint="eastAsia"/>
                <w:color w:val="auto"/>
                <w:szCs w:val="21"/>
              </w:rPr>
              <w:t>/</w:t>
            </w:r>
          </w:p>
        </w:tc>
      </w:tr>
      <w:tr w14:paraId="7F6E7BE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89" w:type="pct"/>
            <w:vAlign w:val="center"/>
          </w:tcPr>
          <w:p w14:paraId="5338D4F2">
            <w:pPr>
              <w:adjustRightInd w:val="0"/>
              <w:snapToGrid w:val="0"/>
              <w:jc w:val="center"/>
              <w:rPr>
                <w:color w:val="auto"/>
                <w:szCs w:val="21"/>
              </w:rPr>
            </w:pPr>
            <w:r>
              <w:rPr>
                <w:color w:val="auto"/>
                <w:szCs w:val="21"/>
              </w:rPr>
              <w:t>地下水及土壤环境</w:t>
            </w:r>
          </w:p>
        </w:tc>
        <w:tc>
          <w:tcPr>
            <w:tcW w:w="1480" w:type="pct"/>
            <w:vAlign w:val="center"/>
          </w:tcPr>
          <w:p w14:paraId="40CD5095">
            <w:pPr>
              <w:adjustRightInd w:val="0"/>
              <w:snapToGrid w:val="0"/>
              <w:jc w:val="center"/>
              <w:rPr>
                <w:color w:val="auto"/>
                <w:szCs w:val="21"/>
              </w:rPr>
            </w:pPr>
            <w:r>
              <w:rPr>
                <w:rFonts w:hint="eastAsia"/>
                <w:color w:val="auto"/>
                <w:szCs w:val="21"/>
              </w:rPr>
              <w:t>/</w:t>
            </w:r>
          </w:p>
        </w:tc>
        <w:tc>
          <w:tcPr>
            <w:tcW w:w="866" w:type="pct"/>
            <w:vAlign w:val="center"/>
          </w:tcPr>
          <w:p w14:paraId="39836B5B">
            <w:pPr>
              <w:adjustRightInd w:val="0"/>
              <w:snapToGrid w:val="0"/>
              <w:jc w:val="center"/>
              <w:rPr>
                <w:color w:val="auto"/>
                <w:szCs w:val="21"/>
              </w:rPr>
            </w:pPr>
            <w:r>
              <w:rPr>
                <w:rFonts w:hint="eastAsia"/>
                <w:color w:val="auto"/>
                <w:szCs w:val="21"/>
              </w:rPr>
              <w:t>/</w:t>
            </w:r>
          </w:p>
        </w:tc>
        <w:tc>
          <w:tcPr>
            <w:tcW w:w="1478" w:type="pct"/>
            <w:vAlign w:val="center"/>
          </w:tcPr>
          <w:p w14:paraId="6DDF3641">
            <w:pPr>
              <w:adjustRightInd w:val="0"/>
              <w:snapToGrid w:val="0"/>
              <w:jc w:val="center"/>
              <w:rPr>
                <w:color w:val="auto"/>
                <w:szCs w:val="21"/>
              </w:rPr>
            </w:pPr>
            <w:r>
              <w:rPr>
                <w:rFonts w:hint="eastAsia"/>
                <w:color w:val="auto"/>
                <w:szCs w:val="21"/>
              </w:rPr>
              <w:t>/</w:t>
            </w:r>
          </w:p>
        </w:tc>
        <w:tc>
          <w:tcPr>
            <w:tcW w:w="784" w:type="pct"/>
            <w:vAlign w:val="center"/>
          </w:tcPr>
          <w:p w14:paraId="33BFAFA1">
            <w:pPr>
              <w:adjustRightInd w:val="0"/>
              <w:snapToGrid w:val="0"/>
              <w:jc w:val="center"/>
              <w:rPr>
                <w:color w:val="auto"/>
                <w:szCs w:val="21"/>
              </w:rPr>
            </w:pPr>
            <w:r>
              <w:rPr>
                <w:rFonts w:hint="eastAsia"/>
                <w:color w:val="auto"/>
                <w:szCs w:val="21"/>
              </w:rPr>
              <w:t>/</w:t>
            </w:r>
          </w:p>
        </w:tc>
      </w:tr>
      <w:tr w14:paraId="03047B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89" w:type="pct"/>
            <w:vAlign w:val="center"/>
          </w:tcPr>
          <w:p w14:paraId="5EE0BD01">
            <w:pPr>
              <w:adjustRightInd w:val="0"/>
              <w:snapToGrid w:val="0"/>
              <w:jc w:val="center"/>
              <w:rPr>
                <w:color w:val="auto"/>
                <w:szCs w:val="21"/>
              </w:rPr>
            </w:pPr>
            <w:r>
              <w:rPr>
                <w:color w:val="auto"/>
                <w:szCs w:val="21"/>
              </w:rPr>
              <w:t>声环境</w:t>
            </w:r>
          </w:p>
        </w:tc>
        <w:tc>
          <w:tcPr>
            <w:tcW w:w="1480" w:type="pct"/>
            <w:vAlign w:val="center"/>
          </w:tcPr>
          <w:p w14:paraId="486EAF58">
            <w:pPr>
              <w:adjustRightInd w:val="0"/>
              <w:snapToGrid w:val="0"/>
              <w:jc w:val="center"/>
              <w:rPr>
                <w:color w:val="auto"/>
                <w:szCs w:val="21"/>
              </w:rPr>
            </w:pPr>
            <w:r>
              <w:rPr>
                <w:color w:val="auto"/>
                <w:szCs w:val="21"/>
              </w:rPr>
              <w:t>在满足施工需要的前提下，尽可能选取低噪声的先进设备，控制使用高噪声施工设备，并调整高噪声施工时间；加强施工区内动力设备管理，并根据周边环境情况合理布置，加强施工机械的维修保养，避免由于设备性能差而使机械噪声增大现象发生</w:t>
            </w:r>
          </w:p>
        </w:tc>
        <w:tc>
          <w:tcPr>
            <w:tcW w:w="866" w:type="pct"/>
            <w:vAlign w:val="center"/>
          </w:tcPr>
          <w:p w14:paraId="6AA803B7">
            <w:pPr>
              <w:adjustRightInd w:val="0"/>
              <w:snapToGrid w:val="0"/>
              <w:jc w:val="center"/>
              <w:rPr>
                <w:color w:val="auto"/>
                <w:szCs w:val="21"/>
              </w:rPr>
            </w:pPr>
            <w:r>
              <w:rPr>
                <w:rFonts w:hint="eastAsia"/>
                <w:color w:val="auto"/>
                <w:szCs w:val="21"/>
              </w:rPr>
              <w:t>调查施工期噪声是否对周边居民产生影响，确保符合环境要求</w:t>
            </w:r>
          </w:p>
        </w:tc>
        <w:tc>
          <w:tcPr>
            <w:tcW w:w="1478" w:type="pct"/>
            <w:vAlign w:val="center"/>
          </w:tcPr>
          <w:p w14:paraId="1F562223">
            <w:pPr>
              <w:adjustRightInd w:val="0"/>
              <w:snapToGrid w:val="0"/>
              <w:jc w:val="center"/>
              <w:rPr>
                <w:color w:val="auto"/>
                <w:szCs w:val="21"/>
              </w:rPr>
            </w:pPr>
            <w:r>
              <w:rPr>
                <w:rFonts w:hint="eastAsia"/>
                <w:color w:val="auto"/>
                <w:szCs w:val="21"/>
              </w:rPr>
              <w:t>减少导线表面毛刺，加强巡查和检查，定期开展环境监测</w:t>
            </w:r>
          </w:p>
        </w:tc>
        <w:tc>
          <w:tcPr>
            <w:tcW w:w="784" w:type="pct"/>
            <w:vAlign w:val="center"/>
          </w:tcPr>
          <w:p w14:paraId="6A5E8E85">
            <w:pPr>
              <w:adjustRightInd w:val="0"/>
              <w:snapToGrid w:val="0"/>
              <w:jc w:val="center"/>
              <w:rPr>
                <w:color w:val="auto"/>
                <w:szCs w:val="21"/>
              </w:rPr>
            </w:pPr>
            <w:r>
              <w:rPr>
                <w:rFonts w:hint="eastAsia"/>
                <w:color w:val="auto"/>
                <w:szCs w:val="21"/>
              </w:rPr>
              <w:t>沿线声环境质量满足标准限值要求</w:t>
            </w:r>
          </w:p>
        </w:tc>
      </w:tr>
      <w:tr w14:paraId="7DA2BA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89" w:type="pct"/>
            <w:vAlign w:val="center"/>
          </w:tcPr>
          <w:p w14:paraId="1BFBE46C">
            <w:pPr>
              <w:adjustRightInd w:val="0"/>
              <w:snapToGrid w:val="0"/>
              <w:jc w:val="center"/>
              <w:rPr>
                <w:color w:val="auto"/>
                <w:szCs w:val="21"/>
              </w:rPr>
            </w:pPr>
            <w:r>
              <w:rPr>
                <w:color w:val="auto"/>
                <w:szCs w:val="21"/>
              </w:rPr>
              <w:t>振动</w:t>
            </w:r>
          </w:p>
        </w:tc>
        <w:tc>
          <w:tcPr>
            <w:tcW w:w="1480" w:type="pct"/>
            <w:vAlign w:val="center"/>
          </w:tcPr>
          <w:p w14:paraId="6997CB78">
            <w:pPr>
              <w:adjustRightInd w:val="0"/>
              <w:snapToGrid w:val="0"/>
              <w:jc w:val="center"/>
              <w:rPr>
                <w:color w:val="auto"/>
                <w:szCs w:val="21"/>
              </w:rPr>
            </w:pPr>
            <w:r>
              <w:rPr>
                <w:rFonts w:hint="eastAsia"/>
                <w:color w:val="auto"/>
                <w:szCs w:val="21"/>
              </w:rPr>
              <w:t>/</w:t>
            </w:r>
          </w:p>
        </w:tc>
        <w:tc>
          <w:tcPr>
            <w:tcW w:w="866" w:type="pct"/>
            <w:vAlign w:val="center"/>
          </w:tcPr>
          <w:p w14:paraId="71C41B5C">
            <w:pPr>
              <w:adjustRightInd w:val="0"/>
              <w:snapToGrid w:val="0"/>
              <w:jc w:val="center"/>
              <w:rPr>
                <w:color w:val="auto"/>
                <w:szCs w:val="21"/>
              </w:rPr>
            </w:pPr>
            <w:r>
              <w:rPr>
                <w:rFonts w:hint="eastAsia"/>
                <w:color w:val="auto"/>
                <w:szCs w:val="21"/>
              </w:rPr>
              <w:t>/</w:t>
            </w:r>
          </w:p>
        </w:tc>
        <w:tc>
          <w:tcPr>
            <w:tcW w:w="1478" w:type="pct"/>
            <w:vAlign w:val="center"/>
          </w:tcPr>
          <w:p w14:paraId="107022EA">
            <w:pPr>
              <w:adjustRightInd w:val="0"/>
              <w:snapToGrid w:val="0"/>
              <w:jc w:val="center"/>
              <w:rPr>
                <w:color w:val="auto"/>
                <w:szCs w:val="21"/>
              </w:rPr>
            </w:pPr>
            <w:r>
              <w:rPr>
                <w:rFonts w:hint="eastAsia"/>
                <w:color w:val="auto"/>
                <w:szCs w:val="21"/>
              </w:rPr>
              <w:t>/</w:t>
            </w:r>
          </w:p>
        </w:tc>
        <w:tc>
          <w:tcPr>
            <w:tcW w:w="784" w:type="pct"/>
            <w:vAlign w:val="center"/>
          </w:tcPr>
          <w:p w14:paraId="21B51BDB">
            <w:pPr>
              <w:adjustRightInd w:val="0"/>
              <w:snapToGrid w:val="0"/>
              <w:jc w:val="center"/>
              <w:rPr>
                <w:color w:val="auto"/>
                <w:szCs w:val="21"/>
              </w:rPr>
            </w:pPr>
            <w:r>
              <w:rPr>
                <w:rFonts w:hint="eastAsia"/>
                <w:color w:val="auto"/>
                <w:szCs w:val="21"/>
              </w:rPr>
              <w:t>/</w:t>
            </w:r>
          </w:p>
        </w:tc>
      </w:tr>
      <w:tr w14:paraId="3A5A2E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89" w:type="pct"/>
            <w:vAlign w:val="center"/>
          </w:tcPr>
          <w:p w14:paraId="0F803F4D">
            <w:pPr>
              <w:adjustRightInd w:val="0"/>
              <w:snapToGrid w:val="0"/>
              <w:jc w:val="center"/>
              <w:rPr>
                <w:color w:val="auto"/>
                <w:szCs w:val="21"/>
              </w:rPr>
            </w:pPr>
            <w:r>
              <w:rPr>
                <w:color w:val="auto"/>
                <w:szCs w:val="21"/>
              </w:rPr>
              <w:t>大气环境</w:t>
            </w:r>
          </w:p>
        </w:tc>
        <w:tc>
          <w:tcPr>
            <w:tcW w:w="1480" w:type="pct"/>
            <w:vAlign w:val="center"/>
          </w:tcPr>
          <w:p w14:paraId="578D70ED">
            <w:pPr>
              <w:adjustRightInd w:val="0"/>
              <w:snapToGrid w:val="0"/>
              <w:jc w:val="center"/>
              <w:rPr>
                <w:color w:val="auto"/>
                <w:szCs w:val="21"/>
              </w:rPr>
            </w:pPr>
            <w:r>
              <w:rPr>
                <w:rFonts w:hint="eastAsia"/>
                <w:color w:val="auto"/>
                <w:szCs w:val="21"/>
              </w:rPr>
              <w:t>加强文明施工，设置硬质围挡，加强施工期运输管理，定期洒水除尘，防止扬尘污染</w:t>
            </w:r>
          </w:p>
        </w:tc>
        <w:tc>
          <w:tcPr>
            <w:tcW w:w="866" w:type="pct"/>
            <w:vAlign w:val="center"/>
          </w:tcPr>
          <w:p w14:paraId="2F742989">
            <w:pPr>
              <w:adjustRightInd w:val="0"/>
              <w:snapToGrid w:val="0"/>
              <w:jc w:val="center"/>
              <w:rPr>
                <w:color w:val="auto"/>
                <w:szCs w:val="21"/>
              </w:rPr>
            </w:pPr>
            <w:r>
              <w:rPr>
                <w:rFonts w:hint="eastAsia"/>
                <w:color w:val="auto"/>
                <w:szCs w:val="21"/>
              </w:rPr>
              <w:t>调查施工期扬尘是否造成污染确保符合环境要求</w:t>
            </w:r>
          </w:p>
        </w:tc>
        <w:tc>
          <w:tcPr>
            <w:tcW w:w="1478" w:type="pct"/>
            <w:vAlign w:val="center"/>
          </w:tcPr>
          <w:p w14:paraId="7A07EA98">
            <w:pPr>
              <w:adjustRightInd w:val="0"/>
              <w:snapToGrid w:val="0"/>
              <w:jc w:val="center"/>
              <w:rPr>
                <w:color w:val="auto"/>
                <w:szCs w:val="21"/>
              </w:rPr>
            </w:pPr>
            <w:r>
              <w:rPr>
                <w:rFonts w:hint="eastAsia"/>
                <w:color w:val="auto"/>
                <w:szCs w:val="21"/>
              </w:rPr>
              <w:t>/</w:t>
            </w:r>
          </w:p>
        </w:tc>
        <w:tc>
          <w:tcPr>
            <w:tcW w:w="784" w:type="pct"/>
            <w:vAlign w:val="center"/>
          </w:tcPr>
          <w:p w14:paraId="05EDE601">
            <w:pPr>
              <w:adjustRightInd w:val="0"/>
              <w:snapToGrid w:val="0"/>
              <w:jc w:val="center"/>
              <w:rPr>
                <w:color w:val="auto"/>
                <w:szCs w:val="21"/>
              </w:rPr>
            </w:pPr>
            <w:r>
              <w:rPr>
                <w:rFonts w:hint="eastAsia"/>
                <w:color w:val="auto"/>
                <w:szCs w:val="21"/>
              </w:rPr>
              <w:t>/</w:t>
            </w:r>
          </w:p>
        </w:tc>
      </w:tr>
      <w:tr w14:paraId="283184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89" w:type="pct"/>
            <w:vAlign w:val="center"/>
          </w:tcPr>
          <w:p w14:paraId="2A174381">
            <w:pPr>
              <w:adjustRightInd w:val="0"/>
              <w:snapToGrid w:val="0"/>
              <w:jc w:val="center"/>
              <w:rPr>
                <w:color w:val="auto"/>
                <w:szCs w:val="21"/>
              </w:rPr>
            </w:pPr>
            <w:r>
              <w:rPr>
                <w:color w:val="auto"/>
                <w:szCs w:val="21"/>
              </w:rPr>
              <w:t>固体废物</w:t>
            </w:r>
          </w:p>
        </w:tc>
        <w:tc>
          <w:tcPr>
            <w:tcW w:w="1480" w:type="pct"/>
            <w:vAlign w:val="center"/>
          </w:tcPr>
          <w:p w14:paraId="63D570B5">
            <w:pPr>
              <w:adjustRightInd w:val="0"/>
              <w:snapToGrid w:val="0"/>
              <w:jc w:val="center"/>
              <w:rPr>
                <w:color w:val="auto"/>
                <w:szCs w:val="21"/>
              </w:rPr>
            </w:pPr>
            <w:r>
              <w:rPr>
                <w:rFonts w:hint="eastAsia"/>
                <w:color w:val="auto"/>
                <w:szCs w:val="21"/>
              </w:rPr>
              <w:t>挖方全部回填，无弃方产生；施工人员生活垃圾交环卫部门清运</w:t>
            </w:r>
          </w:p>
        </w:tc>
        <w:tc>
          <w:tcPr>
            <w:tcW w:w="866" w:type="pct"/>
            <w:vAlign w:val="center"/>
          </w:tcPr>
          <w:p w14:paraId="2D82A2E6">
            <w:pPr>
              <w:adjustRightInd w:val="0"/>
              <w:snapToGrid w:val="0"/>
              <w:jc w:val="center"/>
              <w:rPr>
                <w:color w:val="auto"/>
                <w:szCs w:val="21"/>
              </w:rPr>
            </w:pPr>
            <w:r>
              <w:rPr>
                <w:rFonts w:hint="eastAsia"/>
                <w:color w:val="auto"/>
                <w:szCs w:val="21"/>
              </w:rPr>
              <w:t>调查施工期有无随意倾倒固体废物的现象，确保符合环境要求</w:t>
            </w:r>
          </w:p>
        </w:tc>
        <w:tc>
          <w:tcPr>
            <w:tcW w:w="1478" w:type="pct"/>
            <w:vAlign w:val="center"/>
          </w:tcPr>
          <w:p w14:paraId="2E3B2B8E">
            <w:pPr>
              <w:adjustRightInd w:val="0"/>
              <w:snapToGrid w:val="0"/>
              <w:jc w:val="center"/>
              <w:rPr>
                <w:color w:val="auto"/>
                <w:szCs w:val="21"/>
              </w:rPr>
            </w:pPr>
            <w:r>
              <w:rPr>
                <w:rFonts w:hint="eastAsia"/>
                <w:color w:val="auto"/>
                <w:szCs w:val="21"/>
              </w:rPr>
              <w:t>/</w:t>
            </w:r>
          </w:p>
        </w:tc>
        <w:tc>
          <w:tcPr>
            <w:tcW w:w="784" w:type="pct"/>
            <w:vAlign w:val="center"/>
          </w:tcPr>
          <w:p w14:paraId="149D001E">
            <w:pPr>
              <w:adjustRightInd w:val="0"/>
              <w:snapToGrid w:val="0"/>
              <w:jc w:val="center"/>
              <w:rPr>
                <w:color w:val="auto"/>
                <w:szCs w:val="21"/>
              </w:rPr>
            </w:pPr>
            <w:r>
              <w:rPr>
                <w:rFonts w:hint="eastAsia"/>
                <w:color w:val="auto"/>
                <w:szCs w:val="21"/>
              </w:rPr>
              <w:t>/</w:t>
            </w:r>
          </w:p>
        </w:tc>
      </w:tr>
      <w:tr w14:paraId="22EFC9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3" w:hRule="atLeast"/>
          <w:jc w:val="center"/>
        </w:trPr>
        <w:tc>
          <w:tcPr>
            <w:tcW w:w="389" w:type="pct"/>
            <w:vAlign w:val="center"/>
          </w:tcPr>
          <w:p w14:paraId="775DE56E">
            <w:pPr>
              <w:adjustRightInd w:val="0"/>
              <w:snapToGrid w:val="0"/>
              <w:jc w:val="center"/>
              <w:rPr>
                <w:color w:val="auto"/>
                <w:szCs w:val="21"/>
              </w:rPr>
            </w:pPr>
            <w:r>
              <w:rPr>
                <w:color w:val="auto"/>
                <w:szCs w:val="21"/>
              </w:rPr>
              <w:t>电磁环境</w:t>
            </w:r>
          </w:p>
        </w:tc>
        <w:tc>
          <w:tcPr>
            <w:tcW w:w="1480" w:type="pct"/>
            <w:vAlign w:val="center"/>
          </w:tcPr>
          <w:p w14:paraId="3F892F8C">
            <w:pPr>
              <w:adjustRightInd w:val="0"/>
              <w:snapToGrid w:val="0"/>
              <w:jc w:val="center"/>
              <w:rPr>
                <w:color w:val="auto"/>
                <w:szCs w:val="21"/>
              </w:rPr>
            </w:pPr>
            <w:r>
              <w:rPr>
                <w:rFonts w:hint="eastAsia"/>
                <w:color w:val="auto"/>
                <w:szCs w:val="21"/>
              </w:rPr>
              <w:t>/</w:t>
            </w:r>
          </w:p>
        </w:tc>
        <w:tc>
          <w:tcPr>
            <w:tcW w:w="866" w:type="pct"/>
            <w:vAlign w:val="center"/>
          </w:tcPr>
          <w:p w14:paraId="27B93666">
            <w:pPr>
              <w:adjustRightInd w:val="0"/>
              <w:snapToGrid w:val="0"/>
              <w:jc w:val="center"/>
              <w:rPr>
                <w:color w:val="auto"/>
                <w:szCs w:val="21"/>
              </w:rPr>
            </w:pPr>
            <w:r>
              <w:rPr>
                <w:rFonts w:hint="eastAsia"/>
                <w:color w:val="auto"/>
                <w:szCs w:val="21"/>
              </w:rPr>
              <w:t>/</w:t>
            </w:r>
          </w:p>
        </w:tc>
        <w:tc>
          <w:tcPr>
            <w:tcW w:w="1478" w:type="pct"/>
            <w:vAlign w:val="center"/>
          </w:tcPr>
          <w:p w14:paraId="23C05EE9">
            <w:pPr>
              <w:adjustRightInd w:val="0"/>
              <w:snapToGrid w:val="0"/>
              <w:jc w:val="center"/>
              <w:rPr>
                <w:color w:val="auto"/>
                <w:szCs w:val="21"/>
              </w:rPr>
            </w:pPr>
            <w:r>
              <w:rPr>
                <w:rFonts w:hint="eastAsia"/>
                <w:color w:val="auto"/>
                <w:szCs w:val="21"/>
              </w:rPr>
              <w:t>本项目架空线路与沿线敏感点之间的距离不应小于本评价提出的电磁达标距离，即在不考虑风偏的情况下，本项目架空线路需与沿线敏感点建筑保持以下距离：与边导线的水平距离至少为4m，或与下相导线线下垂直距离至少为3m（满足二者条件之一即可）；</w:t>
            </w:r>
          </w:p>
          <w:p w14:paraId="00132840">
            <w:pPr>
              <w:adjustRightInd w:val="0"/>
              <w:snapToGrid w:val="0"/>
              <w:jc w:val="center"/>
              <w:rPr>
                <w:color w:val="auto"/>
                <w:szCs w:val="21"/>
              </w:rPr>
            </w:pPr>
            <w:r>
              <w:rPr>
                <w:rFonts w:hint="eastAsia"/>
                <w:color w:val="auto"/>
                <w:szCs w:val="21"/>
              </w:rPr>
              <w:t>应加强环境管理，定期进行环境监测工作，确保项目周边电磁环境小于《电磁环境控制限值》（GB 8702-2014）中的公众曝露控制限值</w:t>
            </w:r>
          </w:p>
        </w:tc>
        <w:tc>
          <w:tcPr>
            <w:tcW w:w="784" w:type="pct"/>
            <w:vAlign w:val="center"/>
          </w:tcPr>
          <w:p w14:paraId="6F07AA72">
            <w:pPr>
              <w:adjustRightInd w:val="0"/>
              <w:snapToGrid w:val="0"/>
              <w:jc w:val="center"/>
              <w:rPr>
                <w:color w:val="auto"/>
                <w:szCs w:val="21"/>
              </w:rPr>
            </w:pPr>
            <w:r>
              <w:rPr>
                <w:rFonts w:hint="eastAsia"/>
                <w:color w:val="auto"/>
                <w:szCs w:val="21"/>
              </w:rPr>
              <w:t>满足《电磁环境控制限值》（GB8702-2014）要求，工频电场强度4000V/m，工频磁场强度100</w:t>
            </w:r>
            <w:r>
              <w:rPr>
                <w:color w:val="auto"/>
                <w:szCs w:val="21"/>
              </w:rPr>
              <w:t>μ</w:t>
            </w:r>
            <w:r>
              <w:rPr>
                <w:rFonts w:hint="eastAsia"/>
                <w:color w:val="auto"/>
                <w:szCs w:val="21"/>
              </w:rPr>
              <w:t>T。满足架空输电线路线下的耕地、园地、牧草地、畜禽饲养地、养殖水面、道路等场所电场强度控制限值为10kV/m</w:t>
            </w:r>
          </w:p>
        </w:tc>
      </w:tr>
      <w:tr w14:paraId="351C86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89" w:type="pct"/>
            <w:vAlign w:val="center"/>
          </w:tcPr>
          <w:p w14:paraId="3452FC44">
            <w:pPr>
              <w:adjustRightInd w:val="0"/>
              <w:snapToGrid w:val="0"/>
              <w:jc w:val="center"/>
              <w:rPr>
                <w:color w:val="auto"/>
                <w:szCs w:val="21"/>
              </w:rPr>
            </w:pPr>
            <w:r>
              <w:rPr>
                <w:color w:val="auto"/>
                <w:szCs w:val="21"/>
              </w:rPr>
              <w:t>环境风险</w:t>
            </w:r>
          </w:p>
        </w:tc>
        <w:tc>
          <w:tcPr>
            <w:tcW w:w="1480" w:type="pct"/>
            <w:vAlign w:val="center"/>
          </w:tcPr>
          <w:p w14:paraId="321523B6">
            <w:pPr>
              <w:adjustRightInd w:val="0"/>
              <w:snapToGrid w:val="0"/>
              <w:jc w:val="center"/>
              <w:rPr>
                <w:color w:val="auto"/>
                <w:szCs w:val="21"/>
              </w:rPr>
            </w:pPr>
            <w:r>
              <w:rPr>
                <w:rFonts w:hint="eastAsia"/>
                <w:color w:val="auto"/>
                <w:szCs w:val="21"/>
              </w:rPr>
              <w:t>/</w:t>
            </w:r>
          </w:p>
        </w:tc>
        <w:tc>
          <w:tcPr>
            <w:tcW w:w="866" w:type="pct"/>
            <w:vAlign w:val="center"/>
          </w:tcPr>
          <w:p w14:paraId="74C739E1">
            <w:pPr>
              <w:adjustRightInd w:val="0"/>
              <w:snapToGrid w:val="0"/>
              <w:jc w:val="center"/>
              <w:rPr>
                <w:color w:val="auto"/>
                <w:szCs w:val="21"/>
              </w:rPr>
            </w:pPr>
            <w:r>
              <w:rPr>
                <w:rFonts w:hint="eastAsia"/>
                <w:color w:val="auto"/>
                <w:szCs w:val="21"/>
              </w:rPr>
              <w:t>/</w:t>
            </w:r>
          </w:p>
        </w:tc>
        <w:tc>
          <w:tcPr>
            <w:tcW w:w="1478" w:type="pct"/>
            <w:vAlign w:val="center"/>
          </w:tcPr>
          <w:p w14:paraId="6CAA39EC">
            <w:pPr>
              <w:adjustRightInd w:val="0"/>
              <w:snapToGrid w:val="0"/>
              <w:jc w:val="center"/>
              <w:rPr>
                <w:color w:val="auto"/>
                <w:szCs w:val="21"/>
              </w:rPr>
            </w:pPr>
            <w:r>
              <w:rPr>
                <w:rFonts w:hint="eastAsia"/>
                <w:color w:val="auto"/>
                <w:szCs w:val="21"/>
              </w:rPr>
              <w:t>/</w:t>
            </w:r>
          </w:p>
        </w:tc>
        <w:tc>
          <w:tcPr>
            <w:tcW w:w="784" w:type="pct"/>
            <w:vAlign w:val="center"/>
          </w:tcPr>
          <w:p w14:paraId="51960ACE">
            <w:pPr>
              <w:adjustRightInd w:val="0"/>
              <w:snapToGrid w:val="0"/>
              <w:jc w:val="center"/>
              <w:rPr>
                <w:color w:val="auto"/>
                <w:szCs w:val="21"/>
              </w:rPr>
            </w:pPr>
            <w:r>
              <w:rPr>
                <w:rFonts w:hint="eastAsia"/>
                <w:color w:val="auto"/>
                <w:szCs w:val="21"/>
              </w:rPr>
              <w:t>/</w:t>
            </w:r>
          </w:p>
        </w:tc>
      </w:tr>
      <w:tr w14:paraId="580039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389" w:type="pct"/>
            <w:vAlign w:val="center"/>
          </w:tcPr>
          <w:p w14:paraId="40D3CF7F">
            <w:pPr>
              <w:adjustRightInd w:val="0"/>
              <w:snapToGrid w:val="0"/>
              <w:jc w:val="center"/>
              <w:rPr>
                <w:color w:val="auto"/>
                <w:szCs w:val="21"/>
              </w:rPr>
            </w:pPr>
            <w:r>
              <w:rPr>
                <w:color w:val="auto"/>
                <w:szCs w:val="21"/>
              </w:rPr>
              <w:t>环境监测</w:t>
            </w:r>
          </w:p>
        </w:tc>
        <w:tc>
          <w:tcPr>
            <w:tcW w:w="1480" w:type="pct"/>
            <w:vAlign w:val="center"/>
          </w:tcPr>
          <w:p w14:paraId="687D89DE">
            <w:pPr>
              <w:adjustRightInd w:val="0"/>
              <w:snapToGrid w:val="0"/>
              <w:jc w:val="center"/>
              <w:rPr>
                <w:color w:val="auto"/>
                <w:szCs w:val="21"/>
              </w:rPr>
            </w:pPr>
            <w:r>
              <w:rPr>
                <w:rFonts w:hint="eastAsia"/>
                <w:color w:val="auto"/>
                <w:szCs w:val="21"/>
              </w:rPr>
              <w:t>/</w:t>
            </w:r>
          </w:p>
        </w:tc>
        <w:tc>
          <w:tcPr>
            <w:tcW w:w="866" w:type="pct"/>
            <w:vAlign w:val="center"/>
          </w:tcPr>
          <w:p w14:paraId="3E91371E">
            <w:pPr>
              <w:adjustRightInd w:val="0"/>
              <w:snapToGrid w:val="0"/>
              <w:jc w:val="center"/>
              <w:rPr>
                <w:color w:val="auto"/>
                <w:szCs w:val="21"/>
              </w:rPr>
            </w:pPr>
            <w:r>
              <w:rPr>
                <w:rFonts w:hint="eastAsia"/>
                <w:color w:val="auto"/>
                <w:szCs w:val="21"/>
              </w:rPr>
              <w:t>/</w:t>
            </w:r>
          </w:p>
        </w:tc>
        <w:tc>
          <w:tcPr>
            <w:tcW w:w="1478" w:type="pct"/>
            <w:vAlign w:val="center"/>
          </w:tcPr>
          <w:p w14:paraId="7C4D45DC">
            <w:pPr>
              <w:adjustRightInd w:val="0"/>
              <w:snapToGrid w:val="0"/>
              <w:jc w:val="center"/>
              <w:rPr>
                <w:color w:val="auto"/>
                <w:szCs w:val="21"/>
              </w:rPr>
            </w:pPr>
            <w:r>
              <w:rPr>
                <w:rFonts w:hint="eastAsia"/>
                <w:color w:val="auto"/>
                <w:szCs w:val="21"/>
              </w:rPr>
              <w:t>委托有资质单位进行监测：</w:t>
            </w:r>
          </w:p>
          <w:p w14:paraId="0D073BB2">
            <w:pPr>
              <w:adjustRightInd w:val="0"/>
              <w:snapToGrid w:val="0"/>
              <w:jc w:val="center"/>
              <w:rPr>
                <w:color w:val="auto"/>
                <w:szCs w:val="21"/>
              </w:rPr>
            </w:pPr>
            <w:r>
              <w:rPr>
                <w:rFonts w:hint="eastAsia"/>
                <w:color w:val="auto"/>
                <w:szCs w:val="21"/>
              </w:rPr>
              <w:t>电磁环境：</w:t>
            </w:r>
          </w:p>
          <w:p w14:paraId="6A12C7D2">
            <w:pPr>
              <w:adjustRightInd w:val="0"/>
              <w:snapToGrid w:val="0"/>
              <w:jc w:val="center"/>
              <w:rPr>
                <w:color w:val="auto"/>
                <w:szCs w:val="21"/>
              </w:rPr>
            </w:pPr>
            <w:r>
              <w:rPr>
                <w:rFonts w:hint="eastAsia"/>
                <w:color w:val="auto"/>
                <w:szCs w:val="21"/>
                <w:lang w:val="en-US" w:eastAsia="zh-CN"/>
              </w:rPr>
              <w:t>间隔扩建侧厂界，</w:t>
            </w:r>
            <w:r>
              <w:rPr>
                <w:rFonts w:hint="eastAsia"/>
                <w:color w:val="auto"/>
                <w:szCs w:val="21"/>
              </w:rPr>
              <w:t>线路沿线电磁环境评价范围内典型环境保护目标处；评价范围内有电磁环境问题投诉的电磁环境敏感目标；地形条件符合断面布点的需布设断面监测</w:t>
            </w:r>
          </w:p>
          <w:p w14:paraId="5AD53024">
            <w:pPr>
              <w:adjustRightInd w:val="0"/>
              <w:snapToGrid w:val="0"/>
              <w:jc w:val="center"/>
              <w:rPr>
                <w:color w:val="auto"/>
                <w:szCs w:val="21"/>
              </w:rPr>
            </w:pPr>
            <w:r>
              <w:rPr>
                <w:rFonts w:hint="eastAsia"/>
                <w:color w:val="auto"/>
                <w:szCs w:val="21"/>
              </w:rPr>
              <w:t>声环境：</w:t>
            </w:r>
          </w:p>
          <w:p w14:paraId="3C85B308">
            <w:pPr>
              <w:adjustRightInd w:val="0"/>
              <w:snapToGrid w:val="0"/>
              <w:jc w:val="center"/>
              <w:rPr>
                <w:rFonts w:hint="eastAsia"/>
                <w:color w:val="auto"/>
                <w:szCs w:val="21"/>
              </w:rPr>
            </w:pPr>
            <w:r>
              <w:rPr>
                <w:rFonts w:hint="eastAsia"/>
                <w:color w:val="auto"/>
                <w:szCs w:val="21"/>
                <w:lang w:val="en-US" w:eastAsia="zh-CN"/>
              </w:rPr>
              <w:t>间隔扩建侧厂界，间隔扩建侧及</w:t>
            </w:r>
            <w:r>
              <w:rPr>
                <w:rFonts w:hint="eastAsia"/>
                <w:color w:val="auto"/>
                <w:szCs w:val="21"/>
              </w:rPr>
              <w:t>线路沿线声环境评价范围内典型环境保护目标处；</w:t>
            </w:r>
          </w:p>
          <w:p w14:paraId="16DC56F6">
            <w:pPr>
              <w:adjustRightInd w:val="0"/>
              <w:snapToGrid w:val="0"/>
              <w:jc w:val="center"/>
              <w:rPr>
                <w:color w:val="auto"/>
                <w:szCs w:val="21"/>
              </w:rPr>
            </w:pPr>
            <w:r>
              <w:rPr>
                <w:rFonts w:hint="eastAsia"/>
                <w:color w:val="auto"/>
                <w:szCs w:val="21"/>
              </w:rPr>
              <w:t>评价范围内有声环境问题投诉的声环境敏感目标</w:t>
            </w:r>
            <w:r>
              <w:rPr>
                <w:rFonts w:hint="eastAsia"/>
                <w:color w:val="auto"/>
                <w:szCs w:val="21"/>
                <w:lang w:val="en-US" w:eastAsia="zh-CN"/>
              </w:rPr>
              <w:t>处</w:t>
            </w:r>
            <w:r>
              <w:rPr>
                <w:rFonts w:hint="eastAsia"/>
                <w:color w:val="auto"/>
                <w:szCs w:val="21"/>
              </w:rPr>
              <w:t>；评价范围内有声环境问题投诉的声环境敏感目标</w:t>
            </w:r>
          </w:p>
        </w:tc>
        <w:tc>
          <w:tcPr>
            <w:tcW w:w="784" w:type="pct"/>
            <w:vAlign w:val="center"/>
          </w:tcPr>
          <w:p w14:paraId="782BCB21">
            <w:pPr>
              <w:adjustRightInd w:val="0"/>
              <w:snapToGrid w:val="0"/>
              <w:jc w:val="center"/>
              <w:rPr>
                <w:color w:val="auto"/>
                <w:szCs w:val="21"/>
              </w:rPr>
            </w:pPr>
            <w:r>
              <w:rPr>
                <w:rFonts w:hint="eastAsia"/>
                <w:color w:val="auto"/>
                <w:szCs w:val="21"/>
              </w:rPr>
              <w:t>①满足《声环境质量标准》（G</w:t>
            </w:r>
            <w:r>
              <w:rPr>
                <w:color w:val="auto"/>
                <w:szCs w:val="21"/>
              </w:rPr>
              <w:t>B3096-2008</w:t>
            </w:r>
            <w:r>
              <w:rPr>
                <w:rFonts w:hint="eastAsia"/>
                <w:color w:val="auto"/>
                <w:szCs w:val="21"/>
              </w:rPr>
              <w:t>）</w:t>
            </w:r>
            <w:r>
              <w:rPr>
                <w:rFonts w:hint="eastAsia"/>
                <w:color w:val="auto"/>
                <w:szCs w:val="21"/>
                <w:lang w:val="en-US" w:eastAsia="zh-CN"/>
              </w:rPr>
              <w:t>及《工业企业厂界环境噪声排放标准》（GB12348-2008）</w:t>
            </w:r>
            <w:r>
              <w:rPr>
                <w:rFonts w:hint="eastAsia"/>
                <w:color w:val="auto"/>
                <w:szCs w:val="21"/>
              </w:rPr>
              <w:t>；②满足《电磁环境控制限值》（GB8702-2014）要求</w:t>
            </w:r>
          </w:p>
        </w:tc>
      </w:tr>
      <w:tr w14:paraId="6C2843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389" w:type="pct"/>
            <w:vAlign w:val="center"/>
          </w:tcPr>
          <w:p w14:paraId="5E45061F">
            <w:pPr>
              <w:adjustRightInd w:val="0"/>
              <w:snapToGrid w:val="0"/>
              <w:jc w:val="center"/>
              <w:rPr>
                <w:color w:val="auto"/>
                <w:szCs w:val="21"/>
              </w:rPr>
            </w:pPr>
            <w:r>
              <w:rPr>
                <w:color w:val="auto"/>
                <w:szCs w:val="21"/>
              </w:rPr>
              <w:t>其他</w:t>
            </w:r>
          </w:p>
        </w:tc>
        <w:tc>
          <w:tcPr>
            <w:tcW w:w="1480" w:type="pct"/>
            <w:vAlign w:val="center"/>
          </w:tcPr>
          <w:p w14:paraId="04D0C480">
            <w:pPr>
              <w:adjustRightInd w:val="0"/>
              <w:snapToGrid w:val="0"/>
              <w:jc w:val="center"/>
              <w:rPr>
                <w:color w:val="auto"/>
                <w:szCs w:val="21"/>
              </w:rPr>
            </w:pPr>
            <w:r>
              <w:rPr>
                <w:rFonts w:hint="eastAsia"/>
                <w:color w:val="auto"/>
                <w:szCs w:val="21"/>
              </w:rPr>
              <w:t>/</w:t>
            </w:r>
          </w:p>
        </w:tc>
        <w:tc>
          <w:tcPr>
            <w:tcW w:w="866" w:type="pct"/>
            <w:vAlign w:val="center"/>
          </w:tcPr>
          <w:p w14:paraId="120E4031">
            <w:pPr>
              <w:adjustRightInd w:val="0"/>
              <w:snapToGrid w:val="0"/>
              <w:jc w:val="center"/>
              <w:rPr>
                <w:color w:val="auto"/>
                <w:szCs w:val="21"/>
              </w:rPr>
            </w:pPr>
            <w:r>
              <w:rPr>
                <w:rFonts w:hint="eastAsia"/>
                <w:color w:val="auto"/>
                <w:szCs w:val="21"/>
              </w:rPr>
              <w:t>/</w:t>
            </w:r>
          </w:p>
        </w:tc>
        <w:tc>
          <w:tcPr>
            <w:tcW w:w="1478" w:type="pct"/>
            <w:vAlign w:val="center"/>
          </w:tcPr>
          <w:p w14:paraId="02152815">
            <w:pPr>
              <w:adjustRightInd w:val="0"/>
              <w:snapToGrid w:val="0"/>
              <w:jc w:val="center"/>
              <w:rPr>
                <w:color w:val="auto"/>
                <w:szCs w:val="21"/>
              </w:rPr>
            </w:pPr>
            <w:r>
              <w:rPr>
                <w:rFonts w:hint="eastAsia"/>
                <w:color w:val="auto"/>
                <w:szCs w:val="21"/>
              </w:rPr>
              <w:t>/</w:t>
            </w:r>
          </w:p>
        </w:tc>
        <w:tc>
          <w:tcPr>
            <w:tcW w:w="784" w:type="pct"/>
            <w:vAlign w:val="center"/>
          </w:tcPr>
          <w:p w14:paraId="625E4413">
            <w:pPr>
              <w:adjustRightInd w:val="0"/>
              <w:snapToGrid w:val="0"/>
              <w:jc w:val="center"/>
              <w:rPr>
                <w:color w:val="auto"/>
                <w:szCs w:val="21"/>
              </w:rPr>
            </w:pPr>
            <w:r>
              <w:rPr>
                <w:rFonts w:hint="eastAsia"/>
                <w:color w:val="auto"/>
                <w:szCs w:val="21"/>
              </w:rPr>
              <w:t>/</w:t>
            </w:r>
          </w:p>
        </w:tc>
      </w:tr>
    </w:tbl>
    <w:p w14:paraId="3796A66A">
      <w:pPr>
        <w:rPr>
          <w:color w:val="auto"/>
        </w:rPr>
      </w:pPr>
    </w:p>
    <w:p w14:paraId="34B1C6A1">
      <w:pPr>
        <w:pStyle w:val="21"/>
        <w:spacing w:before="192" w:beforeLines="80" w:beforeAutospacing="0"/>
        <w:jc w:val="center"/>
        <w:outlineLvl w:val="0"/>
        <w:rPr>
          <w:rFonts w:ascii="Times New Roman" w:hAnsi="Times New Roman" w:eastAsia="黑体"/>
          <w:snapToGrid w:val="0"/>
          <w:color w:val="auto"/>
          <w:sz w:val="30"/>
          <w:szCs w:val="30"/>
        </w:rPr>
        <w:sectPr>
          <w:pgSz w:w="16838" w:h="11906" w:orient="landscape"/>
          <w:pgMar w:top="1800" w:right="1440" w:bottom="1800" w:left="1440" w:header="851" w:footer="1077" w:gutter="0"/>
          <w:cols w:space="425" w:num="1"/>
          <w:docGrid w:linePitch="312" w:charSpace="0"/>
        </w:sectPr>
      </w:pPr>
    </w:p>
    <w:p w14:paraId="63E95FC6">
      <w:pPr>
        <w:pStyle w:val="21"/>
        <w:spacing w:before="192" w:beforeLines="80" w:beforeAutospacing="0"/>
        <w:jc w:val="center"/>
        <w:outlineLvl w:val="0"/>
        <w:rPr>
          <w:rFonts w:ascii="Times New Roman" w:hAnsi="Times New Roman" w:eastAsia="黑体"/>
          <w:snapToGrid w:val="0"/>
          <w:color w:val="auto"/>
          <w:sz w:val="30"/>
          <w:szCs w:val="30"/>
        </w:rPr>
      </w:pPr>
      <w:bookmarkStart w:id="27" w:name="_Toc20051"/>
      <w:r>
        <w:rPr>
          <w:rFonts w:ascii="Times New Roman" w:hAnsi="Times New Roman" w:eastAsia="黑体"/>
          <w:snapToGrid w:val="0"/>
          <w:color w:val="auto"/>
          <w:sz w:val="30"/>
          <w:szCs w:val="30"/>
        </w:rPr>
        <w:t>七、结论</w:t>
      </w:r>
      <w:bookmarkEnd w:id="27"/>
    </w:p>
    <w:tbl>
      <w:tblPr>
        <w:tblStyle w:val="25"/>
        <w:tblW w:w="928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289"/>
      </w:tblGrid>
      <w:tr w14:paraId="5AE087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49" w:hRule="atLeast"/>
          <w:jc w:val="center"/>
        </w:trPr>
        <w:tc>
          <w:tcPr>
            <w:tcW w:w="9289" w:type="dxa"/>
          </w:tcPr>
          <w:p w14:paraId="79BB97F2">
            <w:pPr>
              <w:snapToGrid w:val="0"/>
              <w:spacing w:line="460" w:lineRule="exact"/>
              <w:ind w:firstLine="520" w:firstLineChars="200"/>
              <w:rPr>
                <w:color w:val="auto"/>
                <w:kern w:val="0"/>
                <w:sz w:val="26"/>
                <w:szCs w:val="26"/>
              </w:rPr>
            </w:pPr>
            <w:r>
              <w:rPr>
                <w:rFonts w:hint="eastAsia"/>
                <w:color w:val="auto"/>
                <w:sz w:val="26"/>
                <w:szCs w:val="26"/>
              </w:rPr>
              <w:t>重庆</w:t>
            </w:r>
            <w:r>
              <w:rPr>
                <w:rFonts w:hint="eastAsia"/>
                <w:color w:val="auto"/>
                <w:sz w:val="26"/>
                <w:szCs w:val="26"/>
                <w:lang w:val="en-US" w:eastAsia="zh-CN"/>
              </w:rPr>
              <w:t>奉节</w:t>
            </w:r>
            <w:r>
              <w:rPr>
                <w:rFonts w:hint="eastAsia"/>
                <w:color w:val="auto"/>
                <w:sz w:val="26"/>
                <w:szCs w:val="26"/>
              </w:rPr>
              <w:t>金凤山风电场扩建（望天坪）110千伏送出工程的建设符合产业政策、符合相关规划，符合相关管制规定要求。项目在切实落实本评价提出的环境保护措施后，污染物能够达标排放，电磁环境保护目标处满足相应标准限值要求，项目对周围环境的影响均可控制在国家标准允许的范围内。本评价认为，该项目的建设从环保角度是可行的。</w:t>
            </w:r>
          </w:p>
          <w:p w14:paraId="43B009B6">
            <w:pPr>
              <w:adjustRightInd w:val="0"/>
              <w:snapToGrid w:val="0"/>
              <w:spacing w:line="460" w:lineRule="exact"/>
              <w:ind w:firstLine="315"/>
              <w:rPr>
                <w:color w:val="auto"/>
                <w:sz w:val="26"/>
                <w:szCs w:val="26"/>
              </w:rPr>
            </w:pPr>
          </w:p>
        </w:tc>
      </w:tr>
    </w:tbl>
    <w:p w14:paraId="56E932E2">
      <w:pPr>
        <w:tabs>
          <w:tab w:val="left" w:pos="1665"/>
        </w:tabs>
        <w:snapToGrid w:val="0"/>
        <w:spacing w:line="460" w:lineRule="exact"/>
        <w:jc w:val="left"/>
        <w:rPr>
          <w:color w:val="auto"/>
        </w:rPr>
        <w:sectPr>
          <w:headerReference r:id="rId6" w:type="default"/>
          <w:footerReference r:id="rId7" w:type="default"/>
          <w:pgSz w:w="12240" w:h="15840"/>
          <w:pgMar w:top="1134" w:right="1134" w:bottom="1134" w:left="1134" w:header="737" w:footer="539" w:gutter="0"/>
          <w:cols w:space="0" w:num="1"/>
          <w:docGrid w:linePitch="312" w:charSpace="0"/>
        </w:sectPr>
      </w:pPr>
    </w:p>
    <w:p w14:paraId="3352AE31">
      <w:pPr>
        <w:tabs>
          <w:tab w:val="left" w:pos="1665"/>
        </w:tabs>
        <w:snapToGrid w:val="0"/>
        <w:spacing w:line="460" w:lineRule="exact"/>
        <w:ind w:firstLine="420" w:firstLineChars="200"/>
        <w:jc w:val="left"/>
        <w:rPr>
          <w:b/>
          <w:color w:val="auto"/>
          <w:sz w:val="44"/>
          <w:szCs w:val="44"/>
        </w:rPr>
      </w:pPr>
      <w:r>
        <w:drawing>
          <wp:anchor distT="0" distB="0" distL="114300" distR="114300" simplePos="0" relativeHeight="251716608" behindDoc="0" locked="0" layoutInCell="1" allowOverlap="1">
            <wp:simplePos x="0" y="0"/>
            <wp:positionH relativeFrom="column">
              <wp:posOffset>-45085</wp:posOffset>
            </wp:positionH>
            <wp:positionV relativeFrom="paragraph">
              <wp:posOffset>-440690</wp:posOffset>
            </wp:positionV>
            <wp:extent cx="6477000" cy="9387205"/>
            <wp:effectExtent l="0" t="0" r="0" b="0"/>
            <wp:wrapNone/>
            <wp:docPr id="4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0"/>
                    <pic:cNvPicPr>
                      <a:picLocks noChangeAspect="1"/>
                    </pic:cNvPicPr>
                  </pic:nvPicPr>
                  <pic:blipFill>
                    <a:blip r:embed="rId26"/>
                    <a:srcRect l="2460" t="2492" r="3191" b="1089"/>
                    <a:stretch>
                      <a:fillRect/>
                    </a:stretch>
                  </pic:blipFill>
                  <pic:spPr>
                    <a:xfrm>
                      <a:off x="0" y="0"/>
                      <a:ext cx="6477000" cy="9387205"/>
                    </a:xfrm>
                    <a:prstGeom prst="rect">
                      <a:avLst/>
                    </a:prstGeom>
                    <a:noFill/>
                    <a:ln>
                      <a:noFill/>
                    </a:ln>
                  </pic:spPr>
                </pic:pic>
              </a:graphicData>
            </a:graphic>
          </wp:anchor>
        </w:drawing>
      </w:r>
    </w:p>
    <w:sectPr>
      <w:headerReference r:id="rId8" w:type="default"/>
      <w:footerReference r:id="rId9" w:type="default"/>
      <w:pgSz w:w="12240" w:h="15840"/>
      <w:pgMar w:top="1134" w:right="1134" w:bottom="1134" w:left="1134" w:header="737" w:footer="539" w:gutter="0"/>
      <w:cols w:space="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8"/>
    <w:family w:val="swiss"/>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08E56429-9383-42D2-AE50-9BBD62BAECC3}"/>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Light">
    <w:panose1 w:val="02010600030101010101"/>
    <w:charset w:val="86"/>
    <w:family w:val="auto"/>
    <w:pitch w:val="default"/>
    <w:sig w:usb0="A00002BF" w:usb1="38CF7CFA" w:usb2="00000016" w:usb3="00000000" w:csb0="0004000F" w:csb1="00000000"/>
  </w:font>
  <w:font w:name="楷体_GB2312">
    <w:altName w:val="楷体"/>
    <w:panose1 w:val="02010609030101010101"/>
    <w:charset w:val="86"/>
    <w:family w:val="modern"/>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 w:name="Wingdings 2">
    <w:panose1 w:val="05020102010507070707"/>
    <w:charset w:val="02"/>
    <w:family w:val="roman"/>
    <w:pitch w:val="default"/>
    <w:sig w:usb0="00000000" w:usb1="00000000" w:usb2="00000000" w:usb3="00000000" w:csb0="80000000" w:csb1="00000000"/>
    <w:embedRegular r:id="rId2" w:fontKey="{924D7614-3D59-4958-9E14-1346FBC7DF4C}"/>
  </w:font>
  <w:font w:name="等线">
    <w:panose1 w:val="02010600030101010101"/>
    <w:charset w:val="86"/>
    <w:family w:val="auto"/>
    <w:pitch w:val="default"/>
    <w:sig w:usb0="A00002BF" w:usb1="38CF7CFA" w:usb2="00000016" w:usb3="00000000" w:csb0="0004000F" w:csb1="00000000"/>
    <w:embedRegular r:id="rId3" w:fontKey="{AF7C29F9-16FB-4E8D-8544-DDEA4EC2F9D0}"/>
  </w:font>
  <w:font w:name="仿宋_GB2312">
    <w:altName w:val="仿宋"/>
    <w:panose1 w:val="02010609030101010101"/>
    <w:charset w:val="86"/>
    <w:family w:val="modern"/>
    <w:pitch w:val="default"/>
    <w:sig w:usb0="00000000" w:usb1="00000000" w:usb2="00000010" w:usb3="00000000" w:csb0="00040000" w:csb1="00000000"/>
    <w:embedRegular r:id="rId4" w:fontKey="{5C7CE755-102A-4AB1-80F6-B72053BDF367}"/>
  </w:font>
  <w:font w:name="微软雅黑">
    <w:panose1 w:val="020B0503020204020204"/>
    <w:charset w:val="86"/>
    <w:family w:val="swiss"/>
    <w:pitch w:val="default"/>
    <w:sig w:usb0="80000287" w:usb1="2ACF3C50" w:usb2="00000016" w:usb3="00000000" w:csb0="0004001F"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5B4D52">
    <w:pPr>
      <w:pStyle w:val="14"/>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7911D7">
    <w:pPr>
      <w:pStyle w:val="14"/>
      <w:framePr w:wrap="around" w:vAnchor="text" w:hAnchor="margin" w:xAlign="outside" w:y="1"/>
      <w:rPr>
        <w:rStyle w:val="28"/>
      </w:rPr>
    </w:pPr>
    <w:r>
      <w:rPr>
        <w:rStyle w:val="28"/>
      </w:rPr>
      <w:fldChar w:fldCharType="begin"/>
    </w:r>
    <w:r>
      <w:rPr>
        <w:rStyle w:val="28"/>
      </w:rPr>
      <w:instrText xml:space="preserve">PAGE  </w:instrText>
    </w:r>
    <w:r>
      <w:rPr>
        <w:rStyle w:val="28"/>
      </w:rPr>
      <w:fldChar w:fldCharType="end"/>
    </w:r>
  </w:p>
  <w:p w14:paraId="6B51020D">
    <w:pPr>
      <w:pStyle w:val="14"/>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C122BC">
    <w:pPr>
      <w:pStyle w:val="14"/>
      <w:framePr w:wrap="around" w:vAnchor="text" w:hAnchor="page" w:x="5431" w:y="32"/>
      <w:rPr>
        <w:rStyle w:val="28"/>
        <w:rFonts w:ascii="宋体" w:hAnsi="宋体"/>
        <w:sz w:val="22"/>
        <w:szCs w:val="22"/>
      </w:rPr>
    </w:pPr>
    <w:r>
      <w:rPr>
        <w:rStyle w:val="28"/>
        <w:rFonts w:hint="eastAsia" w:ascii="宋体" w:hAnsi="宋体"/>
        <w:sz w:val="22"/>
        <w:szCs w:val="22"/>
      </w:rPr>
      <w:t xml:space="preserve">—  </w:t>
    </w:r>
    <w:r>
      <w:rPr>
        <w:rStyle w:val="28"/>
        <w:rFonts w:ascii="宋体" w:hAnsi="宋体"/>
        <w:sz w:val="22"/>
        <w:szCs w:val="22"/>
      </w:rPr>
      <w:fldChar w:fldCharType="begin"/>
    </w:r>
    <w:r>
      <w:rPr>
        <w:rStyle w:val="28"/>
        <w:rFonts w:ascii="宋体" w:hAnsi="宋体"/>
        <w:sz w:val="22"/>
        <w:szCs w:val="22"/>
      </w:rPr>
      <w:instrText xml:space="preserve">PAGE  </w:instrText>
    </w:r>
    <w:r>
      <w:rPr>
        <w:rStyle w:val="28"/>
        <w:rFonts w:ascii="宋体" w:hAnsi="宋体"/>
        <w:sz w:val="22"/>
        <w:szCs w:val="22"/>
      </w:rPr>
      <w:fldChar w:fldCharType="separate"/>
    </w:r>
    <w:r>
      <w:rPr>
        <w:rStyle w:val="28"/>
        <w:rFonts w:ascii="宋体" w:hAnsi="宋体"/>
        <w:sz w:val="22"/>
        <w:szCs w:val="22"/>
      </w:rPr>
      <w:t>38</w:t>
    </w:r>
    <w:r>
      <w:rPr>
        <w:rStyle w:val="28"/>
        <w:rFonts w:ascii="宋体" w:hAnsi="宋体"/>
        <w:sz w:val="22"/>
        <w:szCs w:val="22"/>
      </w:rPr>
      <w:fldChar w:fldCharType="end"/>
    </w:r>
    <w:r>
      <w:rPr>
        <w:rStyle w:val="28"/>
        <w:rFonts w:hint="eastAsia" w:ascii="宋体" w:hAnsi="宋体"/>
        <w:sz w:val="22"/>
        <w:szCs w:val="22"/>
      </w:rPr>
      <w:t xml:space="preserve">  —</w:t>
    </w:r>
  </w:p>
  <w:p w14:paraId="213D0331">
    <w:pPr>
      <w:pStyle w:val="14"/>
      <w:ind w:right="360" w:firstLine="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574101808"/>
    </w:sdtPr>
    <w:sdtContent>
      <w:p w14:paraId="68D2C0FE">
        <w:pPr>
          <w:pStyle w:val="14"/>
          <w:jc w:val="center"/>
        </w:pPr>
        <w:r>
          <w:fldChar w:fldCharType="begin"/>
        </w:r>
        <w:r>
          <w:instrText xml:space="preserve">PAGE   \* MERGEFORMAT</w:instrText>
        </w:r>
        <w:r>
          <w:fldChar w:fldCharType="separate"/>
        </w:r>
        <w:r>
          <w:rPr>
            <w:lang w:val="zh-CN"/>
          </w:rPr>
          <w:t>2</w:t>
        </w:r>
        <w:r>
          <w:rPr>
            <w:lang w:val="zh-CN"/>
          </w:rPr>
          <w:fldChar w:fldCharType="end"/>
        </w:r>
      </w:p>
    </w:sdtContent>
  </w:sdt>
  <w:p w14:paraId="44DEC2CB">
    <w:pPr>
      <w:pStyle w:val="1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628663782"/>
    </w:sdtPr>
    <w:sdtContent>
      <w:p w14:paraId="4326F40C">
        <w:pPr>
          <w:pStyle w:val="14"/>
          <w:jc w:val="center"/>
        </w:pPr>
        <w:r>
          <w:fldChar w:fldCharType="begin"/>
        </w:r>
        <w:r>
          <w:instrText xml:space="preserve">PAGE   \* MERGEFORMAT</w:instrText>
        </w:r>
        <w:r>
          <w:fldChar w:fldCharType="separate"/>
        </w:r>
        <w:r>
          <w:rPr>
            <w:lang w:val="zh-CN"/>
          </w:rPr>
          <w:t>22</w:t>
        </w:r>
        <w:r>
          <w:rPr>
            <w:lang w:val="zh-CN"/>
          </w:rPr>
          <w:fldChar w:fldCharType="end"/>
        </w:r>
      </w:p>
    </w:sdtContent>
  </w:sdt>
  <w:p w14:paraId="35E344C4">
    <w:pPr>
      <w:pStyle w:val="14"/>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573D85">
    <w:pPr>
      <w:pStyle w:val="15"/>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746C06">
    <w:pPr>
      <w:pStyle w:val="1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F417361"/>
    <w:multiLevelType w:val="singleLevel"/>
    <w:tmpl w:val="BF417361"/>
    <w:lvl w:ilvl="0" w:tentative="0">
      <w:start w:val="2"/>
      <w:numFmt w:val="decimal"/>
      <w:suff w:val="nothing"/>
      <w:lvlText w:val="（%1）"/>
      <w:lvlJc w:val="left"/>
    </w:lvl>
  </w:abstractNum>
  <w:abstractNum w:abstractNumId="1">
    <w:nsid w:val="D1511C22"/>
    <w:multiLevelType w:val="singleLevel"/>
    <w:tmpl w:val="D1511C22"/>
    <w:lvl w:ilvl="0" w:tentative="0">
      <w:start w:val="1"/>
      <w:numFmt w:val="decimal"/>
      <w:suff w:val="nothing"/>
      <w:lvlText w:val="（%1）"/>
      <w:lvlJc w:val="left"/>
      <w:rPr>
        <w:rFonts w:hint="default"/>
        <w:highlight w:val="none"/>
      </w:rPr>
    </w:lvl>
  </w:abstractNum>
  <w:abstractNum w:abstractNumId="2">
    <w:nsid w:val="FF90D79F"/>
    <w:multiLevelType w:val="singleLevel"/>
    <w:tmpl w:val="FF90D79F"/>
    <w:lvl w:ilvl="0" w:tentative="0">
      <w:start w:val="4"/>
      <w:numFmt w:val="decimal"/>
      <w:suff w:val="nothing"/>
      <w:lvlText w:val="（%1）"/>
      <w:lvlJc w:val="left"/>
    </w:lvl>
  </w:abstractNum>
  <w:abstractNum w:abstractNumId="3">
    <w:nsid w:val="42AF8D97"/>
    <w:multiLevelType w:val="singleLevel"/>
    <w:tmpl w:val="42AF8D97"/>
    <w:lvl w:ilvl="0" w:tentative="0">
      <w:start w:val="1"/>
      <w:numFmt w:val="bullet"/>
      <w:pStyle w:val="8"/>
      <w:lvlText w:val=""/>
      <w:lvlJc w:val="left"/>
      <w:pPr>
        <w:tabs>
          <w:tab w:val="left" w:pos="2040"/>
        </w:tabs>
        <w:ind w:left="2040" w:hanging="360"/>
      </w:pPr>
      <w:rPr>
        <w:rFonts w:hint="default" w:ascii="Wingdings" w:hAnsi="Wingdings"/>
      </w:rPr>
    </w:lvl>
  </w:abstractNum>
  <w:num w:numId="1">
    <w:abstractNumId w:val="3"/>
  </w:num>
  <w:num w:numId="2">
    <w:abstractNumId w:val="2"/>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embedTrueTypeFonts/>
  <w:saveSubset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HorizontalSpacing w:val="105"/>
  <w:drawingGridVerticalSpacing w:val="156"/>
  <w:displayHorizontalDrawingGridEvery w:val="1"/>
  <w:displayVerticalDrawingGridEvery w:val="1"/>
  <w:noPunctuationKerning w:val="1"/>
  <w:characterSpacingControl w:val="compressPunctuation"/>
  <w:noLineBreaksAfter w:lang="zh-CN" w:val="$([{£¥·‘“〈《「『【〔〖〝﹙﹛﹝＄（．［｛￡￥"/>
  <w:noLineBreaksBefore w:lang="zh-CN" w:val="!%),.:;&gt;?]}¢¨°·ˇˉ―‖’”…‰′″›℃∶、。〃〉》」』】〕〗〞︶︺︾﹀﹄﹚﹜﹞！＂％＇），．：；？］｀｜｝～￠"/>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TRhZDQ3OTE4MGFlYmE5NjRlMzgxZjY3M2I0YzY4NzcifQ=="/>
  </w:docVars>
  <w:rsids>
    <w:rsidRoot w:val="00172A27"/>
    <w:rsid w:val="00001CED"/>
    <w:rsid w:val="00001E67"/>
    <w:rsid w:val="000021FB"/>
    <w:rsid w:val="000027BE"/>
    <w:rsid w:val="00003CD8"/>
    <w:rsid w:val="00006A7E"/>
    <w:rsid w:val="00007A02"/>
    <w:rsid w:val="00013097"/>
    <w:rsid w:val="00013654"/>
    <w:rsid w:val="00014965"/>
    <w:rsid w:val="0001523A"/>
    <w:rsid w:val="00016ECB"/>
    <w:rsid w:val="000269F6"/>
    <w:rsid w:val="00030959"/>
    <w:rsid w:val="00031939"/>
    <w:rsid w:val="00032D25"/>
    <w:rsid w:val="00040FF5"/>
    <w:rsid w:val="00050A36"/>
    <w:rsid w:val="00050CF5"/>
    <w:rsid w:val="00051DB7"/>
    <w:rsid w:val="0005219D"/>
    <w:rsid w:val="00053245"/>
    <w:rsid w:val="0005524D"/>
    <w:rsid w:val="0005568F"/>
    <w:rsid w:val="00055D8C"/>
    <w:rsid w:val="00060598"/>
    <w:rsid w:val="0006153D"/>
    <w:rsid w:val="00061B1F"/>
    <w:rsid w:val="00061CF3"/>
    <w:rsid w:val="00065FA8"/>
    <w:rsid w:val="000664DB"/>
    <w:rsid w:val="00067E94"/>
    <w:rsid w:val="0007127D"/>
    <w:rsid w:val="00071AE5"/>
    <w:rsid w:val="000729E0"/>
    <w:rsid w:val="00073935"/>
    <w:rsid w:val="00074783"/>
    <w:rsid w:val="000750FC"/>
    <w:rsid w:val="00075787"/>
    <w:rsid w:val="000801E0"/>
    <w:rsid w:val="000803F9"/>
    <w:rsid w:val="00082A29"/>
    <w:rsid w:val="0008331D"/>
    <w:rsid w:val="00083C18"/>
    <w:rsid w:val="00083FF9"/>
    <w:rsid w:val="00086546"/>
    <w:rsid w:val="000875F3"/>
    <w:rsid w:val="00092899"/>
    <w:rsid w:val="000972CE"/>
    <w:rsid w:val="000A178E"/>
    <w:rsid w:val="000A1A0B"/>
    <w:rsid w:val="000A557E"/>
    <w:rsid w:val="000B058F"/>
    <w:rsid w:val="000B693F"/>
    <w:rsid w:val="000C09AC"/>
    <w:rsid w:val="000C0A63"/>
    <w:rsid w:val="000C1486"/>
    <w:rsid w:val="000C1611"/>
    <w:rsid w:val="000C437E"/>
    <w:rsid w:val="000E03D6"/>
    <w:rsid w:val="000E3982"/>
    <w:rsid w:val="000E5F16"/>
    <w:rsid w:val="000E71D4"/>
    <w:rsid w:val="000F4452"/>
    <w:rsid w:val="000F51EA"/>
    <w:rsid w:val="000F6DA1"/>
    <w:rsid w:val="000F701B"/>
    <w:rsid w:val="000F79CA"/>
    <w:rsid w:val="001056A0"/>
    <w:rsid w:val="00107921"/>
    <w:rsid w:val="00115279"/>
    <w:rsid w:val="001162F1"/>
    <w:rsid w:val="001167C1"/>
    <w:rsid w:val="00117459"/>
    <w:rsid w:val="0011749A"/>
    <w:rsid w:val="0012017A"/>
    <w:rsid w:val="00120BB0"/>
    <w:rsid w:val="001236D9"/>
    <w:rsid w:val="00126F14"/>
    <w:rsid w:val="0012717E"/>
    <w:rsid w:val="00127A68"/>
    <w:rsid w:val="00131C05"/>
    <w:rsid w:val="0013212E"/>
    <w:rsid w:val="00133387"/>
    <w:rsid w:val="00135CE2"/>
    <w:rsid w:val="00135F76"/>
    <w:rsid w:val="001408AB"/>
    <w:rsid w:val="00140B13"/>
    <w:rsid w:val="00141B68"/>
    <w:rsid w:val="001466DA"/>
    <w:rsid w:val="001470CA"/>
    <w:rsid w:val="00150199"/>
    <w:rsid w:val="00154DE1"/>
    <w:rsid w:val="00155B40"/>
    <w:rsid w:val="00157435"/>
    <w:rsid w:val="00163A6A"/>
    <w:rsid w:val="00163EEA"/>
    <w:rsid w:val="001641FB"/>
    <w:rsid w:val="00166F07"/>
    <w:rsid w:val="00167A07"/>
    <w:rsid w:val="0017046A"/>
    <w:rsid w:val="001704A3"/>
    <w:rsid w:val="001712D5"/>
    <w:rsid w:val="00172A27"/>
    <w:rsid w:val="0017504D"/>
    <w:rsid w:val="00177422"/>
    <w:rsid w:val="001848D6"/>
    <w:rsid w:val="00184F10"/>
    <w:rsid w:val="00185546"/>
    <w:rsid w:val="001871EE"/>
    <w:rsid w:val="0019146B"/>
    <w:rsid w:val="00194398"/>
    <w:rsid w:val="001A0439"/>
    <w:rsid w:val="001A372C"/>
    <w:rsid w:val="001A5992"/>
    <w:rsid w:val="001A7D2A"/>
    <w:rsid w:val="001B2013"/>
    <w:rsid w:val="001B574C"/>
    <w:rsid w:val="001B6FC0"/>
    <w:rsid w:val="001B6FDF"/>
    <w:rsid w:val="001C0AF9"/>
    <w:rsid w:val="001C155A"/>
    <w:rsid w:val="001C48C0"/>
    <w:rsid w:val="001D6726"/>
    <w:rsid w:val="001E6490"/>
    <w:rsid w:val="001F0B4B"/>
    <w:rsid w:val="001F3347"/>
    <w:rsid w:val="001F4440"/>
    <w:rsid w:val="001F69E4"/>
    <w:rsid w:val="00205B49"/>
    <w:rsid w:val="00205BBA"/>
    <w:rsid w:val="002066EA"/>
    <w:rsid w:val="00206A65"/>
    <w:rsid w:val="00212D31"/>
    <w:rsid w:val="002130C7"/>
    <w:rsid w:val="0021570D"/>
    <w:rsid w:val="0021598F"/>
    <w:rsid w:val="002218A8"/>
    <w:rsid w:val="0022306D"/>
    <w:rsid w:val="00225378"/>
    <w:rsid w:val="002260CB"/>
    <w:rsid w:val="002264E7"/>
    <w:rsid w:val="00226574"/>
    <w:rsid w:val="002278EC"/>
    <w:rsid w:val="00227C02"/>
    <w:rsid w:val="002357C7"/>
    <w:rsid w:val="00236170"/>
    <w:rsid w:val="002367C4"/>
    <w:rsid w:val="00245DAF"/>
    <w:rsid w:val="002553E0"/>
    <w:rsid w:val="0025679E"/>
    <w:rsid w:val="00260C68"/>
    <w:rsid w:val="00262B71"/>
    <w:rsid w:val="002648B0"/>
    <w:rsid w:val="00270571"/>
    <w:rsid w:val="00275271"/>
    <w:rsid w:val="0027535E"/>
    <w:rsid w:val="00275AA6"/>
    <w:rsid w:val="00277AAE"/>
    <w:rsid w:val="002807D5"/>
    <w:rsid w:val="00282CCD"/>
    <w:rsid w:val="00283969"/>
    <w:rsid w:val="0028576A"/>
    <w:rsid w:val="0029712D"/>
    <w:rsid w:val="002A168C"/>
    <w:rsid w:val="002A2C48"/>
    <w:rsid w:val="002A3917"/>
    <w:rsid w:val="002A3EED"/>
    <w:rsid w:val="002A4A39"/>
    <w:rsid w:val="002A5A17"/>
    <w:rsid w:val="002A61F1"/>
    <w:rsid w:val="002A6425"/>
    <w:rsid w:val="002B49E2"/>
    <w:rsid w:val="002B6923"/>
    <w:rsid w:val="002B7B00"/>
    <w:rsid w:val="002B7C44"/>
    <w:rsid w:val="002C1388"/>
    <w:rsid w:val="002C3C6A"/>
    <w:rsid w:val="002C3DE0"/>
    <w:rsid w:val="002C4F48"/>
    <w:rsid w:val="002C5312"/>
    <w:rsid w:val="002D024D"/>
    <w:rsid w:val="002D1E1A"/>
    <w:rsid w:val="002D42DB"/>
    <w:rsid w:val="002D4BFD"/>
    <w:rsid w:val="002E1F3A"/>
    <w:rsid w:val="002E298A"/>
    <w:rsid w:val="002E3040"/>
    <w:rsid w:val="002E5109"/>
    <w:rsid w:val="002F02A4"/>
    <w:rsid w:val="002F272B"/>
    <w:rsid w:val="002F7C6D"/>
    <w:rsid w:val="003022FB"/>
    <w:rsid w:val="003027E4"/>
    <w:rsid w:val="0030332C"/>
    <w:rsid w:val="00303B55"/>
    <w:rsid w:val="00312296"/>
    <w:rsid w:val="0031340E"/>
    <w:rsid w:val="00315F70"/>
    <w:rsid w:val="00316464"/>
    <w:rsid w:val="0032073A"/>
    <w:rsid w:val="00321D8E"/>
    <w:rsid w:val="00331BE1"/>
    <w:rsid w:val="003335C3"/>
    <w:rsid w:val="00334996"/>
    <w:rsid w:val="00336969"/>
    <w:rsid w:val="00336C52"/>
    <w:rsid w:val="00336EA3"/>
    <w:rsid w:val="00341B3E"/>
    <w:rsid w:val="00341B42"/>
    <w:rsid w:val="003434BE"/>
    <w:rsid w:val="00344F64"/>
    <w:rsid w:val="00345154"/>
    <w:rsid w:val="0034560E"/>
    <w:rsid w:val="00350523"/>
    <w:rsid w:val="0035276E"/>
    <w:rsid w:val="00352830"/>
    <w:rsid w:val="00352975"/>
    <w:rsid w:val="00356868"/>
    <w:rsid w:val="003613D3"/>
    <w:rsid w:val="00362242"/>
    <w:rsid w:val="0036485B"/>
    <w:rsid w:val="00366B7E"/>
    <w:rsid w:val="00373145"/>
    <w:rsid w:val="00373B0D"/>
    <w:rsid w:val="003762A8"/>
    <w:rsid w:val="00376988"/>
    <w:rsid w:val="00377D31"/>
    <w:rsid w:val="00381289"/>
    <w:rsid w:val="00381A72"/>
    <w:rsid w:val="003905E0"/>
    <w:rsid w:val="00395225"/>
    <w:rsid w:val="003A1948"/>
    <w:rsid w:val="003A2527"/>
    <w:rsid w:val="003A511D"/>
    <w:rsid w:val="003A56B0"/>
    <w:rsid w:val="003A6FEC"/>
    <w:rsid w:val="003B0BA0"/>
    <w:rsid w:val="003B152A"/>
    <w:rsid w:val="003B2220"/>
    <w:rsid w:val="003B545B"/>
    <w:rsid w:val="003B64DC"/>
    <w:rsid w:val="003B6888"/>
    <w:rsid w:val="003B789D"/>
    <w:rsid w:val="003C1F19"/>
    <w:rsid w:val="003D0404"/>
    <w:rsid w:val="003D3EE9"/>
    <w:rsid w:val="003E3A4B"/>
    <w:rsid w:val="003E7681"/>
    <w:rsid w:val="003F0809"/>
    <w:rsid w:val="003F611C"/>
    <w:rsid w:val="003F64AC"/>
    <w:rsid w:val="003F755C"/>
    <w:rsid w:val="00402114"/>
    <w:rsid w:val="0040412C"/>
    <w:rsid w:val="00406F01"/>
    <w:rsid w:val="004105E7"/>
    <w:rsid w:val="00411B36"/>
    <w:rsid w:val="004121D7"/>
    <w:rsid w:val="00412F28"/>
    <w:rsid w:val="00414186"/>
    <w:rsid w:val="00415D18"/>
    <w:rsid w:val="00416D50"/>
    <w:rsid w:val="00417772"/>
    <w:rsid w:val="00420E6A"/>
    <w:rsid w:val="004277C9"/>
    <w:rsid w:val="00427C82"/>
    <w:rsid w:val="00433CA9"/>
    <w:rsid w:val="004348AA"/>
    <w:rsid w:val="0043521D"/>
    <w:rsid w:val="00442024"/>
    <w:rsid w:val="0044254C"/>
    <w:rsid w:val="00443F6A"/>
    <w:rsid w:val="0044428D"/>
    <w:rsid w:val="0044484B"/>
    <w:rsid w:val="00445A6A"/>
    <w:rsid w:val="00450A17"/>
    <w:rsid w:val="004551FC"/>
    <w:rsid w:val="004628E2"/>
    <w:rsid w:val="00463E28"/>
    <w:rsid w:val="00466321"/>
    <w:rsid w:val="004672AF"/>
    <w:rsid w:val="004727B0"/>
    <w:rsid w:val="00473379"/>
    <w:rsid w:val="00480247"/>
    <w:rsid w:val="0048081D"/>
    <w:rsid w:val="0048117E"/>
    <w:rsid w:val="00482217"/>
    <w:rsid w:val="00482805"/>
    <w:rsid w:val="00485113"/>
    <w:rsid w:val="004855F6"/>
    <w:rsid w:val="00486249"/>
    <w:rsid w:val="00486F0C"/>
    <w:rsid w:val="004876F3"/>
    <w:rsid w:val="00491865"/>
    <w:rsid w:val="00494670"/>
    <w:rsid w:val="004A0EB4"/>
    <w:rsid w:val="004A3823"/>
    <w:rsid w:val="004A59BB"/>
    <w:rsid w:val="004B2CA0"/>
    <w:rsid w:val="004B43A3"/>
    <w:rsid w:val="004B4C49"/>
    <w:rsid w:val="004B58A5"/>
    <w:rsid w:val="004B63D9"/>
    <w:rsid w:val="004B7FB5"/>
    <w:rsid w:val="004C0882"/>
    <w:rsid w:val="004C55BE"/>
    <w:rsid w:val="004E5B30"/>
    <w:rsid w:val="004F0779"/>
    <w:rsid w:val="004F1230"/>
    <w:rsid w:val="004F173F"/>
    <w:rsid w:val="004F177C"/>
    <w:rsid w:val="004F1A7F"/>
    <w:rsid w:val="004F2DCE"/>
    <w:rsid w:val="005030B8"/>
    <w:rsid w:val="005039CB"/>
    <w:rsid w:val="0050558F"/>
    <w:rsid w:val="005057E0"/>
    <w:rsid w:val="00506286"/>
    <w:rsid w:val="005067BF"/>
    <w:rsid w:val="00510813"/>
    <w:rsid w:val="00511030"/>
    <w:rsid w:val="00511DE0"/>
    <w:rsid w:val="00517F02"/>
    <w:rsid w:val="00524547"/>
    <w:rsid w:val="005258A2"/>
    <w:rsid w:val="00525AFE"/>
    <w:rsid w:val="00526A84"/>
    <w:rsid w:val="005279B3"/>
    <w:rsid w:val="00527D26"/>
    <w:rsid w:val="00530F7C"/>
    <w:rsid w:val="00534567"/>
    <w:rsid w:val="00534F43"/>
    <w:rsid w:val="00535A84"/>
    <w:rsid w:val="00536889"/>
    <w:rsid w:val="00542E07"/>
    <w:rsid w:val="00543C32"/>
    <w:rsid w:val="005515FF"/>
    <w:rsid w:val="00554A7B"/>
    <w:rsid w:val="0055572C"/>
    <w:rsid w:val="0056064F"/>
    <w:rsid w:val="00560DC9"/>
    <w:rsid w:val="00561B84"/>
    <w:rsid w:val="00571D98"/>
    <w:rsid w:val="005720AE"/>
    <w:rsid w:val="0057527C"/>
    <w:rsid w:val="005754D6"/>
    <w:rsid w:val="00577F58"/>
    <w:rsid w:val="0058030D"/>
    <w:rsid w:val="00582045"/>
    <w:rsid w:val="00590AE3"/>
    <w:rsid w:val="005918F1"/>
    <w:rsid w:val="00594487"/>
    <w:rsid w:val="005A06B7"/>
    <w:rsid w:val="005A1759"/>
    <w:rsid w:val="005A3C1C"/>
    <w:rsid w:val="005A4C9E"/>
    <w:rsid w:val="005A73FD"/>
    <w:rsid w:val="005B2CCC"/>
    <w:rsid w:val="005B3636"/>
    <w:rsid w:val="005B6B61"/>
    <w:rsid w:val="005C2EF1"/>
    <w:rsid w:val="005C3A9C"/>
    <w:rsid w:val="005C41FE"/>
    <w:rsid w:val="005C7B21"/>
    <w:rsid w:val="005D0369"/>
    <w:rsid w:val="005D1CB0"/>
    <w:rsid w:val="005D4CA3"/>
    <w:rsid w:val="005D53FE"/>
    <w:rsid w:val="005D7A0F"/>
    <w:rsid w:val="005E0438"/>
    <w:rsid w:val="005E1791"/>
    <w:rsid w:val="005E2CE6"/>
    <w:rsid w:val="005E6324"/>
    <w:rsid w:val="005F228B"/>
    <w:rsid w:val="005F29CD"/>
    <w:rsid w:val="005F4DFB"/>
    <w:rsid w:val="005F5181"/>
    <w:rsid w:val="005F5914"/>
    <w:rsid w:val="005F5D33"/>
    <w:rsid w:val="005F686F"/>
    <w:rsid w:val="005F6CC0"/>
    <w:rsid w:val="005F788D"/>
    <w:rsid w:val="00603A60"/>
    <w:rsid w:val="00603E5B"/>
    <w:rsid w:val="00604BC8"/>
    <w:rsid w:val="00606E77"/>
    <w:rsid w:val="00615B4C"/>
    <w:rsid w:val="00615B5D"/>
    <w:rsid w:val="0061611A"/>
    <w:rsid w:val="0062146F"/>
    <w:rsid w:val="00625D5F"/>
    <w:rsid w:val="006343AF"/>
    <w:rsid w:val="0063634A"/>
    <w:rsid w:val="0064250D"/>
    <w:rsid w:val="006450C7"/>
    <w:rsid w:val="0065037C"/>
    <w:rsid w:val="00651C7F"/>
    <w:rsid w:val="006535EB"/>
    <w:rsid w:val="006572B4"/>
    <w:rsid w:val="00660F13"/>
    <w:rsid w:val="00663016"/>
    <w:rsid w:val="006669F2"/>
    <w:rsid w:val="00674605"/>
    <w:rsid w:val="006748B8"/>
    <w:rsid w:val="0068535B"/>
    <w:rsid w:val="0068736E"/>
    <w:rsid w:val="0069290A"/>
    <w:rsid w:val="00692945"/>
    <w:rsid w:val="0069675E"/>
    <w:rsid w:val="00697032"/>
    <w:rsid w:val="006975AC"/>
    <w:rsid w:val="006A15FB"/>
    <w:rsid w:val="006A260C"/>
    <w:rsid w:val="006A383C"/>
    <w:rsid w:val="006A72BF"/>
    <w:rsid w:val="006B143F"/>
    <w:rsid w:val="006B1F06"/>
    <w:rsid w:val="006B332A"/>
    <w:rsid w:val="006B33BD"/>
    <w:rsid w:val="006B418F"/>
    <w:rsid w:val="006B669D"/>
    <w:rsid w:val="006B69FD"/>
    <w:rsid w:val="006B71F5"/>
    <w:rsid w:val="006C3F75"/>
    <w:rsid w:val="006D170E"/>
    <w:rsid w:val="006D22A3"/>
    <w:rsid w:val="006D370F"/>
    <w:rsid w:val="006D37F4"/>
    <w:rsid w:val="006D4361"/>
    <w:rsid w:val="006E06AF"/>
    <w:rsid w:val="006F1789"/>
    <w:rsid w:val="006F1BAF"/>
    <w:rsid w:val="006F358E"/>
    <w:rsid w:val="00706C5D"/>
    <w:rsid w:val="00706D8D"/>
    <w:rsid w:val="007118E6"/>
    <w:rsid w:val="00712680"/>
    <w:rsid w:val="0071609B"/>
    <w:rsid w:val="007175D5"/>
    <w:rsid w:val="007176DC"/>
    <w:rsid w:val="007225C9"/>
    <w:rsid w:val="00724552"/>
    <w:rsid w:val="00724AF3"/>
    <w:rsid w:val="00735C09"/>
    <w:rsid w:val="00735CD7"/>
    <w:rsid w:val="00754034"/>
    <w:rsid w:val="007543FE"/>
    <w:rsid w:val="00754BF1"/>
    <w:rsid w:val="00755A30"/>
    <w:rsid w:val="00755E1C"/>
    <w:rsid w:val="00756556"/>
    <w:rsid w:val="00756CE8"/>
    <w:rsid w:val="0075770C"/>
    <w:rsid w:val="0076132B"/>
    <w:rsid w:val="007613CA"/>
    <w:rsid w:val="007623AE"/>
    <w:rsid w:val="00770B19"/>
    <w:rsid w:val="00771F58"/>
    <w:rsid w:val="00772D7E"/>
    <w:rsid w:val="00774FA0"/>
    <w:rsid w:val="00776620"/>
    <w:rsid w:val="00776627"/>
    <w:rsid w:val="00777B6D"/>
    <w:rsid w:val="007802F7"/>
    <w:rsid w:val="00784855"/>
    <w:rsid w:val="00784F39"/>
    <w:rsid w:val="0078545C"/>
    <w:rsid w:val="007866D4"/>
    <w:rsid w:val="007906C4"/>
    <w:rsid w:val="00790C8A"/>
    <w:rsid w:val="007940EA"/>
    <w:rsid w:val="007967E8"/>
    <w:rsid w:val="00796B91"/>
    <w:rsid w:val="007A0F5B"/>
    <w:rsid w:val="007A6056"/>
    <w:rsid w:val="007A63F2"/>
    <w:rsid w:val="007A649D"/>
    <w:rsid w:val="007A6F63"/>
    <w:rsid w:val="007A72A3"/>
    <w:rsid w:val="007B2C13"/>
    <w:rsid w:val="007B2D1D"/>
    <w:rsid w:val="007B68DE"/>
    <w:rsid w:val="007C1857"/>
    <w:rsid w:val="007C238F"/>
    <w:rsid w:val="007C514F"/>
    <w:rsid w:val="007C58FB"/>
    <w:rsid w:val="007D0F95"/>
    <w:rsid w:val="007D2C47"/>
    <w:rsid w:val="007D4A97"/>
    <w:rsid w:val="007D7ECB"/>
    <w:rsid w:val="007E25A1"/>
    <w:rsid w:val="007E3909"/>
    <w:rsid w:val="007E4BD2"/>
    <w:rsid w:val="007E6838"/>
    <w:rsid w:val="007E7145"/>
    <w:rsid w:val="007F0405"/>
    <w:rsid w:val="007F1018"/>
    <w:rsid w:val="007F233D"/>
    <w:rsid w:val="007F30EE"/>
    <w:rsid w:val="007F37C5"/>
    <w:rsid w:val="007F3916"/>
    <w:rsid w:val="007F685D"/>
    <w:rsid w:val="008009FF"/>
    <w:rsid w:val="00801179"/>
    <w:rsid w:val="00801E93"/>
    <w:rsid w:val="0080223A"/>
    <w:rsid w:val="00802479"/>
    <w:rsid w:val="00805372"/>
    <w:rsid w:val="00805AB7"/>
    <w:rsid w:val="00805B7B"/>
    <w:rsid w:val="0081293E"/>
    <w:rsid w:val="00814FFB"/>
    <w:rsid w:val="008153F6"/>
    <w:rsid w:val="00816755"/>
    <w:rsid w:val="00820568"/>
    <w:rsid w:val="008318E7"/>
    <w:rsid w:val="00831A80"/>
    <w:rsid w:val="008332C8"/>
    <w:rsid w:val="00833743"/>
    <w:rsid w:val="008340A4"/>
    <w:rsid w:val="0083452A"/>
    <w:rsid w:val="00836799"/>
    <w:rsid w:val="00836A1F"/>
    <w:rsid w:val="00837028"/>
    <w:rsid w:val="00837131"/>
    <w:rsid w:val="008418D1"/>
    <w:rsid w:val="00845F57"/>
    <w:rsid w:val="0085023A"/>
    <w:rsid w:val="008521E0"/>
    <w:rsid w:val="008525B0"/>
    <w:rsid w:val="00856107"/>
    <w:rsid w:val="0086534B"/>
    <w:rsid w:val="00865B4B"/>
    <w:rsid w:val="00867CBC"/>
    <w:rsid w:val="00872D09"/>
    <w:rsid w:val="0087603E"/>
    <w:rsid w:val="00876C30"/>
    <w:rsid w:val="00877017"/>
    <w:rsid w:val="008773C0"/>
    <w:rsid w:val="00880364"/>
    <w:rsid w:val="00881E51"/>
    <w:rsid w:val="00882A58"/>
    <w:rsid w:val="00886C4C"/>
    <w:rsid w:val="0088711C"/>
    <w:rsid w:val="0088729F"/>
    <w:rsid w:val="008873F1"/>
    <w:rsid w:val="00892ECF"/>
    <w:rsid w:val="00892F06"/>
    <w:rsid w:val="00893649"/>
    <w:rsid w:val="00894285"/>
    <w:rsid w:val="00897A87"/>
    <w:rsid w:val="008A40AE"/>
    <w:rsid w:val="008A48C6"/>
    <w:rsid w:val="008A4E19"/>
    <w:rsid w:val="008A6637"/>
    <w:rsid w:val="008A67C5"/>
    <w:rsid w:val="008B22E1"/>
    <w:rsid w:val="008B3C78"/>
    <w:rsid w:val="008B4AE9"/>
    <w:rsid w:val="008C0BAD"/>
    <w:rsid w:val="008C30AD"/>
    <w:rsid w:val="008D068E"/>
    <w:rsid w:val="008D0F7A"/>
    <w:rsid w:val="008D313A"/>
    <w:rsid w:val="008D3B8A"/>
    <w:rsid w:val="008D48C4"/>
    <w:rsid w:val="008D5B46"/>
    <w:rsid w:val="008D63BE"/>
    <w:rsid w:val="008D6BFB"/>
    <w:rsid w:val="008D7A49"/>
    <w:rsid w:val="008E0CFF"/>
    <w:rsid w:val="008E2863"/>
    <w:rsid w:val="008E5D6B"/>
    <w:rsid w:val="008E689B"/>
    <w:rsid w:val="008E697A"/>
    <w:rsid w:val="008E6FE9"/>
    <w:rsid w:val="008E76F0"/>
    <w:rsid w:val="008F15FE"/>
    <w:rsid w:val="008F2A94"/>
    <w:rsid w:val="008F5187"/>
    <w:rsid w:val="008F709C"/>
    <w:rsid w:val="00900141"/>
    <w:rsid w:val="00902D77"/>
    <w:rsid w:val="0090312B"/>
    <w:rsid w:val="00903BFE"/>
    <w:rsid w:val="00904961"/>
    <w:rsid w:val="00910B5D"/>
    <w:rsid w:val="00913F28"/>
    <w:rsid w:val="00914F98"/>
    <w:rsid w:val="0091736D"/>
    <w:rsid w:val="009173A0"/>
    <w:rsid w:val="0092260A"/>
    <w:rsid w:val="0092585F"/>
    <w:rsid w:val="00930E5E"/>
    <w:rsid w:val="00931001"/>
    <w:rsid w:val="00931863"/>
    <w:rsid w:val="00932352"/>
    <w:rsid w:val="00933524"/>
    <w:rsid w:val="009339E5"/>
    <w:rsid w:val="0093616A"/>
    <w:rsid w:val="0094278D"/>
    <w:rsid w:val="0095308A"/>
    <w:rsid w:val="00955AEE"/>
    <w:rsid w:val="00956F14"/>
    <w:rsid w:val="009620FD"/>
    <w:rsid w:val="0096247A"/>
    <w:rsid w:val="0096300D"/>
    <w:rsid w:val="00965474"/>
    <w:rsid w:val="00965F4B"/>
    <w:rsid w:val="00970F8A"/>
    <w:rsid w:val="00971BB8"/>
    <w:rsid w:val="00971FB5"/>
    <w:rsid w:val="00972D2A"/>
    <w:rsid w:val="00974B7C"/>
    <w:rsid w:val="00975CC5"/>
    <w:rsid w:val="00976328"/>
    <w:rsid w:val="00976B4E"/>
    <w:rsid w:val="00984458"/>
    <w:rsid w:val="00985283"/>
    <w:rsid w:val="00987322"/>
    <w:rsid w:val="009915A1"/>
    <w:rsid w:val="009941EB"/>
    <w:rsid w:val="00997D30"/>
    <w:rsid w:val="009A0F3B"/>
    <w:rsid w:val="009A5890"/>
    <w:rsid w:val="009A72C7"/>
    <w:rsid w:val="009B0897"/>
    <w:rsid w:val="009B4A9F"/>
    <w:rsid w:val="009C263E"/>
    <w:rsid w:val="009C2E7D"/>
    <w:rsid w:val="009D0852"/>
    <w:rsid w:val="009D1FBF"/>
    <w:rsid w:val="009E022C"/>
    <w:rsid w:val="009E073D"/>
    <w:rsid w:val="009E3311"/>
    <w:rsid w:val="009E399C"/>
    <w:rsid w:val="009E43C1"/>
    <w:rsid w:val="009E5F01"/>
    <w:rsid w:val="009E7701"/>
    <w:rsid w:val="009E7E95"/>
    <w:rsid w:val="009F116F"/>
    <w:rsid w:val="009F329E"/>
    <w:rsid w:val="009F33A3"/>
    <w:rsid w:val="009F7ED3"/>
    <w:rsid w:val="00A03607"/>
    <w:rsid w:val="00A047FF"/>
    <w:rsid w:val="00A04FEF"/>
    <w:rsid w:val="00A122CD"/>
    <w:rsid w:val="00A12A32"/>
    <w:rsid w:val="00A13A07"/>
    <w:rsid w:val="00A14248"/>
    <w:rsid w:val="00A14947"/>
    <w:rsid w:val="00A23DC5"/>
    <w:rsid w:val="00A24343"/>
    <w:rsid w:val="00A33364"/>
    <w:rsid w:val="00A34028"/>
    <w:rsid w:val="00A34A3E"/>
    <w:rsid w:val="00A354B0"/>
    <w:rsid w:val="00A35568"/>
    <w:rsid w:val="00A37056"/>
    <w:rsid w:val="00A4358F"/>
    <w:rsid w:val="00A46F67"/>
    <w:rsid w:val="00A52C47"/>
    <w:rsid w:val="00A54AA1"/>
    <w:rsid w:val="00A55A34"/>
    <w:rsid w:val="00A568FF"/>
    <w:rsid w:val="00A61496"/>
    <w:rsid w:val="00A61833"/>
    <w:rsid w:val="00A624C6"/>
    <w:rsid w:val="00A63CEC"/>
    <w:rsid w:val="00A64DCC"/>
    <w:rsid w:val="00A64F5E"/>
    <w:rsid w:val="00A6736E"/>
    <w:rsid w:val="00A700C2"/>
    <w:rsid w:val="00A7031E"/>
    <w:rsid w:val="00A70475"/>
    <w:rsid w:val="00A728B1"/>
    <w:rsid w:val="00A76324"/>
    <w:rsid w:val="00A763DE"/>
    <w:rsid w:val="00A803D6"/>
    <w:rsid w:val="00A81282"/>
    <w:rsid w:val="00A868EF"/>
    <w:rsid w:val="00A8713F"/>
    <w:rsid w:val="00A90914"/>
    <w:rsid w:val="00A91167"/>
    <w:rsid w:val="00A9171C"/>
    <w:rsid w:val="00A92FFD"/>
    <w:rsid w:val="00A95975"/>
    <w:rsid w:val="00A9708D"/>
    <w:rsid w:val="00AA2A2A"/>
    <w:rsid w:val="00AA2C17"/>
    <w:rsid w:val="00AA4172"/>
    <w:rsid w:val="00AA67BA"/>
    <w:rsid w:val="00AB1914"/>
    <w:rsid w:val="00AB35FC"/>
    <w:rsid w:val="00AB5330"/>
    <w:rsid w:val="00AB7747"/>
    <w:rsid w:val="00AC2532"/>
    <w:rsid w:val="00AC35F4"/>
    <w:rsid w:val="00AD1507"/>
    <w:rsid w:val="00AD2A90"/>
    <w:rsid w:val="00AD3242"/>
    <w:rsid w:val="00AD5A70"/>
    <w:rsid w:val="00AD738B"/>
    <w:rsid w:val="00AE1BF4"/>
    <w:rsid w:val="00AE38C2"/>
    <w:rsid w:val="00AE5D97"/>
    <w:rsid w:val="00AE6794"/>
    <w:rsid w:val="00AF1C11"/>
    <w:rsid w:val="00AF25AE"/>
    <w:rsid w:val="00AF26AA"/>
    <w:rsid w:val="00AF5872"/>
    <w:rsid w:val="00B01110"/>
    <w:rsid w:val="00B02262"/>
    <w:rsid w:val="00B03CEC"/>
    <w:rsid w:val="00B1209F"/>
    <w:rsid w:val="00B12AD0"/>
    <w:rsid w:val="00B1478D"/>
    <w:rsid w:val="00B165B2"/>
    <w:rsid w:val="00B24F30"/>
    <w:rsid w:val="00B31ABF"/>
    <w:rsid w:val="00B32217"/>
    <w:rsid w:val="00B335AE"/>
    <w:rsid w:val="00B37CE1"/>
    <w:rsid w:val="00B40ACF"/>
    <w:rsid w:val="00B46BAA"/>
    <w:rsid w:val="00B50B5F"/>
    <w:rsid w:val="00B54128"/>
    <w:rsid w:val="00B54804"/>
    <w:rsid w:val="00B55826"/>
    <w:rsid w:val="00B5688C"/>
    <w:rsid w:val="00B60426"/>
    <w:rsid w:val="00B622DD"/>
    <w:rsid w:val="00B63522"/>
    <w:rsid w:val="00B76F1D"/>
    <w:rsid w:val="00B86CD0"/>
    <w:rsid w:val="00B92A19"/>
    <w:rsid w:val="00B9544C"/>
    <w:rsid w:val="00BA29E9"/>
    <w:rsid w:val="00BA3DED"/>
    <w:rsid w:val="00BA3F5E"/>
    <w:rsid w:val="00BA4B6C"/>
    <w:rsid w:val="00BB3618"/>
    <w:rsid w:val="00BB7E35"/>
    <w:rsid w:val="00BC0C9E"/>
    <w:rsid w:val="00BC32DC"/>
    <w:rsid w:val="00BC58B7"/>
    <w:rsid w:val="00BC6846"/>
    <w:rsid w:val="00BC757B"/>
    <w:rsid w:val="00BC7BE8"/>
    <w:rsid w:val="00BD0969"/>
    <w:rsid w:val="00BD1B51"/>
    <w:rsid w:val="00BD47F6"/>
    <w:rsid w:val="00BD5DCC"/>
    <w:rsid w:val="00BD7AA4"/>
    <w:rsid w:val="00BE1648"/>
    <w:rsid w:val="00BE2EBF"/>
    <w:rsid w:val="00BE30CD"/>
    <w:rsid w:val="00BE312D"/>
    <w:rsid w:val="00BE3FCA"/>
    <w:rsid w:val="00BE4474"/>
    <w:rsid w:val="00BF3E55"/>
    <w:rsid w:val="00C0050E"/>
    <w:rsid w:val="00C03939"/>
    <w:rsid w:val="00C05719"/>
    <w:rsid w:val="00C10578"/>
    <w:rsid w:val="00C1078A"/>
    <w:rsid w:val="00C150B8"/>
    <w:rsid w:val="00C17D62"/>
    <w:rsid w:val="00C21FDC"/>
    <w:rsid w:val="00C24EE7"/>
    <w:rsid w:val="00C2596A"/>
    <w:rsid w:val="00C271BE"/>
    <w:rsid w:val="00C27425"/>
    <w:rsid w:val="00C328FE"/>
    <w:rsid w:val="00C33447"/>
    <w:rsid w:val="00C33A05"/>
    <w:rsid w:val="00C42500"/>
    <w:rsid w:val="00C4409D"/>
    <w:rsid w:val="00C44AFA"/>
    <w:rsid w:val="00C455BE"/>
    <w:rsid w:val="00C471AC"/>
    <w:rsid w:val="00C51E5F"/>
    <w:rsid w:val="00C536C6"/>
    <w:rsid w:val="00C5407F"/>
    <w:rsid w:val="00C553DF"/>
    <w:rsid w:val="00C61D0F"/>
    <w:rsid w:val="00C61E4B"/>
    <w:rsid w:val="00C62E3A"/>
    <w:rsid w:val="00C64503"/>
    <w:rsid w:val="00C64A1F"/>
    <w:rsid w:val="00C64BFF"/>
    <w:rsid w:val="00C7146D"/>
    <w:rsid w:val="00C763C9"/>
    <w:rsid w:val="00C767ED"/>
    <w:rsid w:val="00C80057"/>
    <w:rsid w:val="00C812FF"/>
    <w:rsid w:val="00C826DE"/>
    <w:rsid w:val="00C82C79"/>
    <w:rsid w:val="00C84172"/>
    <w:rsid w:val="00C84753"/>
    <w:rsid w:val="00C91611"/>
    <w:rsid w:val="00C95A5B"/>
    <w:rsid w:val="00C97CDF"/>
    <w:rsid w:val="00CA3585"/>
    <w:rsid w:val="00CA3D5A"/>
    <w:rsid w:val="00CA4C7C"/>
    <w:rsid w:val="00CB0183"/>
    <w:rsid w:val="00CB1EA3"/>
    <w:rsid w:val="00CB37DE"/>
    <w:rsid w:val="00CB552C"/>
    <w:rsid w:val="00CB6A9E"/>
    <w:rsid w:val="00CC6181"/>
    <w:rsid w:val="00CD1D1F"/>
    <w:rsid w:val="00CD2BCD"/>
    <w:rsid w:val="00CD36AA"/>
    <w:rsid w:val="00CD3791"/>
    <w:rsid w:val="00CD65B0"/>
    <w:rsid w:val="00CE02CD"/>
    <w:rsid w:val="00CE10E9"/>
    <w:rsid w:val="00CE3964"/>
    <w:rsid w:val="00CE52AA"/>
    <w:rsid w:val="00CE64EA"/>
    <w:rsid w:val="00CF26CC"/>
    <w:rsid w:val="00CF4DC5"/>
    <w:rsid w:val="00CF67EA"/>
    <w:rsid w:val="00D0072E"/>
    <w:rsid w:val="00D07C18"/>
    <w:rsid w:val="00D1191B"/>
    <w:rsid w:val="00D12070"/>
    <w:rsid w:val="00D149A4"/>
    <w:rsid w:val="00D15727"/>
    <w:rsid w:val="00D16332"/>
    <w:rsid w:val="00D20B9F"/>
    <w:rsid w:val="00D23374"/>
    <w:rsid w:val="00D24972"/>
    <w:rsid w:val="00D2515E"/>
    <w:rsid w:val="00D308ED"/>
    <w:rsid w:val="00D337F6"/>
    <w:rsid w:val="00D5232C"/>
    <w:rsid w:val="00D56178"/>
    <w:rsid w:val="00D56CF0"/>
    <w:rsid w:val="00D56F5C"/>
    <w:rsid w:val="00D60C78"/>
    <w:rsid w:val="00D6375B"/>
    <w:rsid w:val="00D64F05"/>
    <w:rsid w:val="00D657F2"/>
    <w:rsid w:val="00D67DA3"/>
    <w:rsid w:val="00D704B1"/>
    <w:rsid w:val="00D70B63"/>
    <w:rsid w:val="00D72B92"/>
    <w:rsid w:val="00D72ED4"/>
    <w:rsid w:val="00D73F61"/>
    <w:rsid w:val="00D754C0"/>
    <w:rsid w:val="00D776A2"/>
    <w:rsid w:val="00D801C4"/>
    <w:rsid w:val="00D90836"/>
    <w:rsid w:val="00D955B5"/>
    <w:rsid w:val="00D95896"/>
    <w:rsid w:val="00D95CC6"/>
    <w:rsid w:val="00D96B00"/>
    <w:rsid w:val="00DA2DA3"/>
    <w:rsid w:val="00DA4863"/>
    <w:rsid w:val="00DA4973"/>
    <w:rsid w:val="00DA6615"/>
    <w:rsid w:val="00DA76AE"/>
    <w:rsid w:val="00DA77C7"/>
    <w:rsid w:val="00DB181E"/>
    <w:rsid w:val="00DB1C7A"/>
    <w:rsid w:val="00DB2983"/>
    <w:rsid w:val="00DB343D"/>
    <w:rsid w:val="00DB3F57"/>
    <w:rsid w:val="00DB5579"/>
    <w:rsid w:val="00DB5CFE"/>
    <w:rsid w:val="00DB7336"/>
    <w:rsid w:val="00DB7F37"/>
    <w:rsid w:val="00DC13C9"/>
    <w:rsid w:val="00DC5A3B"/>
    <w:rsid w:val="00DC72A6"/>
    <w:rsid w:val="00DD2113"/>
    <w:rsid w:val="00DD265E"/>
    <w:rsid w:val="00DE13E6"/>
    <w:rsid w:val="00DF1930"/>
    <w:rsid w:val="00DF514A"/>
    <w:rsid w:val="00E0038D"/>
    <w:rsid w:val="00E006E1"/>
    <w:rsid w:val="00E0358D"/>
    <w:rsid w:val="00E0623E"/>
    <w:rsid w:val="00E06327"/>
    <w:rsid w:val="00E12AFA"/>
    <w:rsid w:val="00E14187"/>
    <w:rsid w:val="00E14B8B"/>
    <w:rsid w:val="00E15120"/>
    <w:rsid w:val="00E2064B"/>
    <w:rsid w:val="00E25239"/>
    <w:rsid w:val="00E265B1"/>
    <w:rsid w:val="00E26E2C"/>
    <w:rsid w:val="00E275B0"/>
    <w:rsid w:val="00E300AD"/>
    <w:rsid w:val="00E318A3"/>
    <w:rsid w:val="00E36BAD"/>
    <w:rsid w:val="00E4114A"/>
    <w:rsid w:val="00E412D0"/>
    <w:rsid w:val="00E44285"/>
    <w:rsid w:val="00E47CDB"/>
    <w:rsid w:val="00E514BA"/>
    <w:rsid w:val="00E53B09"/>
    <w:rsid w:val="00E566BC"/>
    <w:rsid w:val="00E56EA8"/>
    <w:rsid w:val="00E60982"/>
    <w:rsid w:val="00E60C8D"/>
    <w:rsid w:val="00E6162F"/>
    <w:rsid w:val="00E6311B"/>
    <w:rsid w:val="00E63A6B"/>
    <w:rsid w:val="00E65D97"/>
    <w:rsid w:val="00E67EFD"/>
    <w:rsid w:val="00E67FD6"/>
    <w:rsid w:val="00E702DC"/>
    <w:rsid w:val="00E71FFB"/>
    <w:rsid w:val="00E76D1D"/>
    <w:rsid w:val="00E806F8"/>
    <w:rsid w:val="00E83131"/>
    <w:rsid w:val="00E87752"/>
    <w:rsid w:val="00E8793B"/>
    <w:rsid w:val="00E90F81"/>
    <w:rsid w:val="00E91A6D"/>
    <w:rsid w:val="00E9242D"/>
    <w:rsid w:val="00E9482D"/>
    <w:rsid w:val="00EA1462"/>
    <w:rsid w:val="00EA170A"/>
    <w:rsid w:val="00EA44D6"/>
    <w:rsid w:val="00EA74D0"/>
    <w:rsid w:val="00EB041C"/>
    <w:rsid w:val="00EB0716"/>
    <w:rsid w:val="00EB334D"/>
    <w:rsid w:val="00EB6968"/>
    <w:rsid w:val="00EB6EE8"/>
    <w:rsid w:val="00EC00C8"/>
    <w:rsid w:val="00EC0AB3"/>
    <w:rsid w:val="00EC3C42"/>
    <w:rsid w:val="00EC41EA"/>
    <w:rsid w:val="00EC5874"/>
    <w:rsid w:val="00ED192D"/>
    <w:rsid w:val="00ED30B4"/>
    <w:rsid w:val="00ED31F5"/>
    <w:rsid w:val="00ED3479"/>
    <w:rsid w:val="00ED5952"/>
    <w:rsid w:val="00ED63BB"/>
    <w:rsid w:val="00ED70C6"/>
    <w:rsid w:val="00ED7DE3"/>
    <w:rsid w:val="00EE0D68"/>
    <w:rsid w:val="00EE2943"/>
    <w:rsid w:val="00EF2759"/>
    <w:rsid w:val="00EF3588"/>
    <w:rsid w:val="00EF45EB"/>
    <w:rsid w:val="00EF48CE"/>
    <w:rsid w:val="00EF5099"/>
    <w:rsid w:val="00EF569F"/>
    <w:rsid w:val="00EF5E33"/>
    <w:rsid w:val="00F00075"/>
    <w:rsid w:val="00F021BF"/>
    <w:rsid w:val="00F03B19"/>
    <w:rsid w:val="00F07822"/>
    <w:rsid w:val="00F12961"/>
    <w:rsid w:val="00F15C95"/>
    <w:rsid w:val="00F20F26"/>
    <w:rsid w:val="00F22985"/>
    <w:rsid w:val="00F241AB"/>
    <w:rsid w:val="00F31382"/>
    <w:rsid w:val="00F35829"/>
    <w:rsid w:val="00F414C3"/>
    <w:rsid w:val="00F42868"/>
    <w:rsid w:val="00F452F2"/>
    <w:rsid w:val="00F465A7"/>
    <w:rsid w:val="00F50B7C"/>
    <w:rsid w:val="00F5202D"/>
    <w:rsid w:val="00F52688"/>
    <w:rsid w:val="00F52CF6"/>
    <w:rsid w:val="00F54496"/>
    <w:rsid w:val="00F60385"/>
    <w:rsid w:val="00F61097"/>
    <w:rsid w:val="00F64557"/>
    <w:rsid w:val="00F657F7"/>
    <w:rsid w:val="00F73973"/>
    <w:rsid w:val="00F74345"/>
    <w:rsid w:val="00F74441"/>
    <w:rsid w:val="00F7664C"/>
    <w:rsid w:val="00F77F30"/>
    <w:rsid w:val="00F82589"/>
    <w:rsid w:val="00F82B19"/>
    <w:rsid w:val="00F83CA9"/>
    <w:rsid w:val="00F84F06"/>
    <w:rsid w:val="00F90AA7"/>
    <w:rsid w:val="00F9212D"/>
    <w:rsid w:val="00F97474"/>
    <w:rsid w:val="00FA0016"/>
    <w:rsid w:val="00FA0DDA"/>
    <w:rsid w:val="00FA301A"/>
    <w:rsid w:val="00FA406A"/>
    <w:rsid w:val="00FA5CB6"/>
    <w:rsid w:val="00FB0791"/>
    <w:rsid w:val="00FC29BE"/>
    <w:rsid w:val="00FC66AC"/>
    <w:rsid w:val="00FD01A6"/>
    <w:rsid w:val="00FD18F4"/>
    <w:rsid w:val="00FD65F1"/>
    <w:rsid w:val="00FD74B4"/>
    <w:rsid w:val="00FE7195"/>
    <w:rsid w:val="00FF11DA"/>
    <w:rsid w:val="00FF22BC"/>
    <w:rsid w:val="00FF3633"/>
    <w:rsid w:val="00FF6FCE"/>
    <w:rsid w:val="00FF7518"/>
    <w:rsid w:val="00FF7FD8"/>
    <w:rsid w:val="010B2944"/>
    <w:rsid w:val="0125366D"/>
    <w:rsid w:val="01260E98"/>
    <w:rsid w:val="01390BCC"/>
    <w:rsid w:val="013B0DE8"/>
    <w:rsid w:val="01480BBC"/>
    <w:rsid w:val="01510BEF"/>
    <w:rsid w:val="015B4FE6"/>
    <w:rsid w:val="015D0D5E"/>
    <w:rsid w:val="0169685A"/>
    <w:rsid w:val="016C2D4F"/>
    <w:rsid w:val="016C598B"/>
    <w:rsid w:val="01822573"/>
    <w:rsid w:val="01840DAE"/>
    <w:rsid w:val="01853E11"/>
    <w:rsid w:val="019B1886"/>
    <w:rsid w:val="01C335D3"/>
    <w:rsid w:val="01D6466C"/>
    <w:rsid w:val="01E52B01"/>
    <w:rsid w:val="01EB45BC"/>
    <w:rsid w:val="01F64D0F"/>
    <w:rsid w:val="01FB2325"/>
    <w:rsid w:val="02013A6F"/>
    <w:rsid w:val="02037A0D"/>
    <w:rsid w:val="02054F52"/>
    <w:rsid w:val="02064FFB"/>
    <w:rsid w:val="02076F1C"/>
    <w:rsid w:val="020A2568"/>
    <w:rsid w:val="020F7F74"/>
    <w:rsid w:val="02101702"/>
    <w:rsid w:val="02104DC9"/>
    <w:rsid w:val="021653B1"/>
    <w:rsid w:val="02181129"/>
    <w:rsid w:val="021F7DC1"/>
    <w:rsid w:val="022655F4"/>
    <w:rsid w:val="02301FCF"/>
    <w:rsid w:val="023B17BB"/>
    <w:rsid w:val="023F3BBA"/>
    <w:rsid w:val="024562EB"/>
    <w:rsid w:val="0247556A"/>
    <w:rsid w:val="024E06A7"/>
    <w:rsid w:val="02564B51"/>
    <w:rsid w:val="0256755B"/>
    <w:rsid w:val="02702309"/>
    <w:rsid w:val="027A76EE"/>
    <w:rsid w:val="0286480C"/>
    <w:rsid w:val="028D5DB7"/>
    <w:rsid w:val="028E3199"/>
    <w:rsid w:val="028E4F47"/>
    <w:rsid w:val="028F7330"/>
    <w:rsid w:val="029C401F"/>
    <w:rsid w:val="02A2176D"/>
    <w:rsid w:val="02BE62B1"/>
    <w:rsid w:val="02C80F58"/>
    <w:rsid w:val="02CD5A6F"/>
    <w:rsid w:val="02D543E6"/>
    <w:rsid w:val="02E35293"/>
    <w:rsid w:val="02E66B31"/>
    <w:rsid w:val="02EE59E6"/>
    <w:rsid w:val="02FF5E45"/>
    <w:rsid w:val="0300523C"/>
    <w:rsid w:val="03065425"/>
    <w:rsid w:val="030A3426"/>
    <w:rsid w:val="03450399"/>
    <w:rsid w:val="034B73A8"/>
    <w:rsid w:val="036208AE"/>
    <w:rsid w:val="0377154D"/>
    <w:rsid w:val="039E11BA"/>
    <w:rsid w:val="03AA7B5F"/>
    <w:rsid w:val="03AB26E4"/>
    <w:rsid w:val="03B86720"/>
    <w:rsid w:val="03BD5772"/>
    <w:rsid w:val="03CE5F43"/>
    <w:rsid w:val="03D16ADB"/>
    <w:rsid w:val="040F04F5"/>
    <w:rsid w:val="042D3F5F"/>
    <w:rsid w:val="04425FE9"/>
    <w:rsid w:val="045521C0"/>
    <w:rsid w:val="04561A95"/>
    <w:rsid w:val="045F404A"/>
    <w:rsid w:val="04642403"/>
    <w:rsid w:val="046C3066"/>
    <w:rsid w:val="0472769F"/>
    <w:rsid w:val="04A10F62"/>
    <w:rsid w:val="04A44EF6"/>
    <w:rsid w:val="04A46CA4"/>
    <w:rsid w:val="04B7322D"/>
    <w:rsid w:val="04B74A42"/>
    <w:rsid w:val="04D532F8"/>
    <w:rsid w:val="050F5ABF"/>
    <w:rsid w:val="0512093A"/>
    <w:rsid w:val="051A0D14"/>
    <w:rsid w:val="051E0804"/>
    <w:rsid w:val="053578FC"/>
    <w:rsid w:val="053650E4"/>
    <w:rsid w:val="05377B18"/>
    <w:rsid w:val="054144F3"/>
    <w:rsid w:val="05465FAD"/>
    <w:rsid w:val="0547634E"/>
    <w:rsid w:val="054F4E62"/>
    <w:rsid w:val="056C6DC3"/>
    <w:rsid w:val="05724F65"/>
    <w:rsid w:val="05742AC8"/>
    <w:rsid w:val="05793C8D"/>
    <w:rsid w:val="057A1FA9"/>
    <w:rsid w:val="05A3292A"/>
    <w:rsid w:val="05A420D6"/>
    <w:rsid w:val="05C0366A"/>
    <w:rsid w:val="05CF67D3"/>
    <w:rsid w:val="05D213FF"/>
    <w:rsid w:val="05D47115"/>
    <w:rsid w:val="05DB4D76"/>
    <w:rsid w:val="05DB66F5"/>
    <w:rsid w:val="05E951CD"/>
    <w:rsid w:val="05EE7C5E"/>
    <w:rsid w:val="05FB6D97"/>
    <w:rsid w:val="06057FE3"/>
    <w:rsid w:val="06093262"/>
    <w:rsid w:val="061D286A"/>
    <w:rsid w:val="06224324"/>
    <w:rsid w:val="0627337D"/>
    <w:rsid w:val="06352F05"/>
    <w:rsid w:val="063A1D69"/>
    <w:rsid w:val="063D6CE4"/>
    <w:rsid w:val="063E7D85"/>
    <w:rsid w:val="063F547A"/>
    <w:rsid w:val="0660735B"/>
    <w:rsid w:val="066412A1"/>
    <w:rsid w:val="06734B80"/>
    <w:rsid w:val="0673692E"/>
    <w:rsid w:val="06817BA6"/>
    <w:rsid w:val="068B1EC9"/>
    <w:rsid w:val="0699038A"/>
    <w:rsid w:val="06CD5B5A"/>
    <w:rsid w:val="06D6041C"/>
    <w:rsid w:val="06D870D9"/>
    <w:rsid w:val="06ED4932"/>
    <w:rsid w:val="06FE0384"/>
    <w:rsid w:val="070875E0"/>
    <w:rsid w:val="07140111"/>
    <w:rsid w:val="071658B1"/>
    <w:rsid w:val="07293586"/>
    <w:rsid w:val="07295285"/>
    <w:rsid w:val="072C76B6"/>
    <w:rsid w:val="073051A4"/>
    <w:rsid w:val="073F0F06"/>
    <w:rsid w:val="07496665"/>
    <w:rsid w:val="07524795"/>
    <w:rsid w:val="07571DAC"/>
    <w:rsid w:val="075948A2"/>
    <w:rsid w:val="075A7AEE"/>
    <w:rsid w:val="07651475"/>
    <w:rsid w:val="07724E37"/>
    <w:rsid w:val="07770C56"/>
    <w:rsid w:val="077F1302"/>
    <w:rsid w:val="07846919"/>
    <w:rsid w:val="07921036"/>
    <w:rsid w:val="07AD2313"/>
    <w:rsid w:val="07B86638"/>
    <w:rsid w:val="07BB67DE"/>
    <w:rsid w:val="07C17B6D"/>
    <w:rsid w:val="07F43A9E"/>
    <w:rsid w:val="07FB5FE4"/>
    <w:rsid w:val="080945CD"/>
    <w:rsid w:val="080D690E"/>
    <w:rsid w:val="08124595"/>
    <w:rsid w:val="081859DF"/>
    <w:rsid w:val="081D6FC0"/>
    <w:rsid w:val="08206641"/>
    <w:rsid w:val="082C3238"/>
    <w:rsid w:val="0830075B"/>
    <w:rsid w:val="0834033F"/>
    <w:rsid w:val="083957AE"/>
    <w:rsid w:val="084542FA"/>
    <w:rsid w:val="08597DA5"/>
    <w:rsid w:val="085F6661"/>
    <w:rsid w:val="086557B5"/>
    <w:rsid w:val="087C26A8"/>
    <w:rsid w:val="088A4403"/>
    <w:rsid w:val="08AF5C17"/>
    <w:rsid w:val="08B53F7B"/>
    <w:rsid w:val="08C10CE0"/>
    <w:rsid w:val="08E753B1"/>
    <w:rsid w:val="09022FFA"/>
    <w:rsid w:val="0906715B"/>
    <w:rsid w:val="090B10A0"/>
    <w:rsid w:val="090E6DE2"/>
    <w:rsid w:val="09167A44"/>
    <w:rsid w:val="09187C60"/>
    <w:rsid w:val="092217DD"/>
    <w:rsid w:val="09273A00"/>
    <w:rsid w:val="09287EA3"/>
    <w:rsid w:val="09320D22"/>
    <w:rsid w:val="09385C0D"/>
    <w:rsid w:val="0939688D"/>
    <w:rsid w:val="093A7294"/>
    <w:rsid w:val="094822F4"/>
    <w:rsid w:val="09494962"/>
    <w:rsid w:val="094E71DE"/>
    <w:rsid w:val="095011A8"/>
    <w:rsid w:val="096802A0"/>
    <w:rsid w:val="09815806"/>
    <w:rsid w:val="0983157E"/>
    <w:rsid w:val="09863BAB"/>
    <w:rsid w:val="09880942"/>
    <w:rsid w:val="09A23C1B"/>
    <w:rsid w:val="09A3577C"/>
    <w:rsid w:val="09C134B9"/>
    <w:rsid w:val="09D05AAE"/>
    <w:rsid w:val="09E162A4"/>
    <w:rsid w:val="09E33DCA"/>
    <w:rsid w:val="09F05266"/>
    <w:rsid w:val="0A014251"/>
    <w:rsid w:val="0A0E0220"/>
    <w:rsid w:val="0A116422"/>
    <w:rsid w:val="0A1E3055"/>
    <w:rsid w:val="0A205206"/>
    <w:rsid w:val="0A2166A1"/>
    <w:rsid w:val="0A2A7C4B"/>
    <w:rsid w:val="0A3B3C06"/>
    <w:rsid w:val="0A5E16A3"/>
    <w:rsid w:val="0A5F73DF"/>
    <w:rsid w:val="0A6876A5"/>
    <w:rsid w:val="0AAE0CA9"/>
    <w:rsid w:val="0AAF5C79"/>
    <w:rsid w:val="0AB07FCB"/>
    <w:rsid w:val="0AB85927"/>
    <w:rsid w:val="0AC0235E"/>
    <w:rsid w:val="0AC0410C"/>
    <w:rsid w:val="0AC46F27"/>
    <w:rsid w:val="0ACC485F"/>
    <w:rsid w:val="0ACE6829"/>
    <w:rsid w:val="0AD136FA"/>
    <w:rsid w:val="0AE4620C"/>
    <w:rsid w:val="0B057D70"/>
    <w:rsid w:val="0B161F7E"/>
    <w:rsid w:val="0B1F0E32"/>
    <w:rsid w:val="0B21104E"/>
    <w:rsid w:val="0B215754"/>
    <w:rsid w:val="0B2F146B"/>
    <w:rsid w:val="0B3B3792"/>
    <w:rsid w:val="0B424B21"/>
    <w:rsid w:val="0B520B0D"/>
    <w:rsid w:val="0B583D8C"/>
    <w:rsid w:val="0B5A3DE6"/>
    <w:rsid w:val="0B6158EF"/>
    <w:rsid w:val="0B626F71"/>
    <w:rsid w:val="0B64718D"/>
    <w:rsid w:val="0B6815BF"/>
    <w:rsid w:val="0B6C7DF0"/>
    <w:rsid w:val="0B7078E0"/>
    <w:rsid w:val="0B8A4AF1"/>
    <w:rsid w:val="0B996E37"/>
    <w:rsid w:val="0B9C6927"/>
    <w:rsid w:val="0BAE737B"/>
    <w:rsid w:val="0BBF2615"/>
    <w:rsid w:val="0BD27BF6"/>
    <w:rsid w:val="0BD51E39"/>
    <w:rsid w:val="0BD7170D"/>
    <w:rsid w:val="0BD936D7"/>
    <w:rsid w:val="0BE12940"/>
    <w:rsid w:val="0BF279A7"/>
    <w:rsid w:val="0BF95B27"/>
    <w:rsid w:val="0BFA364D"/>
    <w:rsid w:val="0BFB52CB"/>
    <w:rsid w:val="0C006EB6"/>
    <w:rsid w:val="0C032502"/>
    <w:rsid w:val="0C095A8E"/>
    <w:rsid w:val="0C1069CD"/>
    <w:rsid w:val="0C1464BD"/>
    <w:rsid w:val="0C1B6B71"/>
    <w:rsid w:val="0C1E3618"/>
    <w:rsid w:val="0C1E733C"/>
    <w:rsid w:val="0C211ED4"/>
    <w:rsid w:val="0C363BBB"/>
    <w:rsid w:val="0C430B50"/>
    <w:rsid w:val="0C4C4610"/>
    <w:rsid w:val="0C655925"/>
    <w:rsid w:val="0C66480D"/>
    <w:rsid w:val="0C9872FE"/>
    <w:rsid w:val="0CA94B6C"/>
    <w:rsid w:val="0CB437FC"/>
    <w:rsid w:val="0CBE467B"/>
    <w:rsid w:val="0CCA3020"/>
    <w:rsid w:val="0CCD48BE"/>
    <w:rsid w:val="0CCE2B10"/>
    <w:rsid w:val="0CD93263"/>
    <w:rsid w:val="0CE73BD2"/>
    <w:rsid w:val="0CE97FBB"/>
    <w:rsid w:val="0CFF53BF"/>
    <w:rsid w:val="0CFF716D"/>
    <w:rsid w:val="0D043B1E"/>
    <w:rsid w:val="0D0B7B10"/>
    <w:rsid w:val="0D14627C"/>
    <w:rsid w:val="0D166FB7"/>
    <w:rsid w:val="0D197B03"/>
    <w:rsid w:val="0D1D5845"/>
    <w:rsid w:val="0D374B59"/>
    <w:rsid w:val="0D417786"/>
    <w:rsid w:val="0D533015"/>
    <w:rsid w:val="0D5972D7"/>
    <w:rsid w:val="0D662D48"/>
    <w:rsid w:val="0D815DD4"/>
    <w:rsid w:val="0D861ABE"/>
    <w:rsid w:val="0D961154"/>
    <w:rsid w:val="0DA03A4E"/>
    <w:rsid w:val="0DA970D9"/>
    <w:rsid w:val="0DAD7BCD"/>
    <w:rsid w:val="0DAE46EF"/>
    <w:rsid w:val="0DAE6126"/>
    <w:rsid w:val="0DB937C0"/>
    <w:rsid w:val="0DC65EDD"/>
    <w:rsid w:val="0DCA6984"/>
    <w:rsid w:val="0DD34156"/>
    <w:rsid w:val="0DD35A97"/>
    <w:rsid w:val="0DD56120"/>
    <w:rsid w:val="0DDF2AFB"/>
    <w:rsid w:val="0DE87C01"/>
    <w:rsid w:val="0E0312EF"/>
    <w:rsid w:val="0E06277D"/>
    <w:rsid w:val="0E110D06"/>
    <w:rsid w:val="0E1924B1"/>
    <w:rsid w:val="0E19425F"/>
    <w:rsid w:val="0E2C6CD5"/>
    <w:rsid w:val="0E2F1A9D"/>
    <w:rsid w:val="0E413F6E"/>
    <w:rsid w:val="0E417312"/>
    <w:rsid w:val="0E430BBB"/>
    <w:rsid w:val="0E4B228D"/>
    <w:rsid w:val="0E4D215A"/>
    <w:rsid w:val="0E530E38"/>
    <w:rsid w:val="0E5E45F1"/>
    <w:rsid w:val="0E664FCA"/>
    <w:rsid w:val="0E6A3957"/>
    <w:rsid w:val="0E772D33"/>
    <w:rsid w:val="0E7E7133"/>
    <w:rsid w:val="0E8C4A31"/>
    <w:rsid w:val="0E92498A"/>
    <w:rsid w:val="0EA306B8"/>
    <w:rsid w:val="0EA31D7A"/>
    <w:rsid w:val="0EA578A0"/>
    <w:rsid w:val="0EB2020F"/>
    <w:rsid w:val="0EB61AAE"/>
    <w:rsid w:val="0EBE5B6B"/>
    <w:rsid w:val="0ECA37AB"/>
    <w:rsid w:val="0ECF491D"/>
    <w:rsid w:val="0ED15076"/>
    <w:rsid w:val="0ED63EFE"/>
    <w:rsid w:val="0EF10D38"/>
    <w:rsid w:val="0F024CF3"/>
    <w:rsid w:val="0F13775A"/>
    <w:rsid w:val="0F16079E"/>
    <w:rsid w:val="0F1F3AF7"/>
    <w:rsid w:val="0F1F5681"/>
    <w:rsid w:val="0F20786F"/>
    <w:rsid w:val="0F2E5AE8"/>
    <w:rsid w:val="0F3550C8"/>
    <w:rsid w:val="0F4946D0"/>
    <w:rsid w:val="0F566DED"/>
    <w:rsid w:val="0F601A19"/>
    <w:rsid w:val="0F632971"/>
    <w:rsid w:val="0F6E0750"/>
    <w:rsid w:val="0F803E6A"/>
    <w:rsid w:val="0F8A68BE"/>
    <w:rsid w:val="0F9022FF"/>
    <w:rsid w:val="0F905FB0"/>
    <w:rsid w:val="0F940F80"/>
    <w:rsid w:val="0F983616"/>
    <w:rsid w:val="0F9A112B"/>
    <w:rsid w:val="0FA4722F"/>
    <w:rsid w:val="0FA62B5E"/>
    <w:rsid w:val="0FB12275"/>
    <w:rsid w:val="0FBD0C1A"/>
    <w:rsid w:val="0FC153E7"/>
    <w:rsid w:val="0FCE72CB"/>
    <w:rsid w:val="0FD0094D"/>
    <w:rsid w:val="0FD53874"/>
    <w:rsid w:val="0FE663C2"/>
    <w:rsid w:val="1000656D"/>
    <w:rsid w:val="100D394F"/>
    <w:rsid w:val="101F3682"/>
    <w:rsid w:val="102E1B18"/>
    <w:rsid w:val="103D79C9"/>
    <w:rsid w:val="10675755"/>
    <w:rsid w:val="106D2F64"/>
    <w:rsid w:val="10937656"/>
    <w:rsid w:val="10B63710"/>
    <w:rsid w:val="10C5427B"/>
    <w:rsid w:val="10C61728"/>
    <w:rsid w:val="10C85D13"/>
    <w:rsid w:val="10CD30DE"/>
    <w:rsid w:val="10D3604C"/>
    <w:rsid w:val="10E723F2"/>
    <w:rsid w:val="10E7243D"/>
    <w:rsid w:val="10E85D69"/>
    <w:rsid w:val="10EA1EE2"/>
    <w:rsid w:val="11034D52"/>
    <w:rsid w:val="11101F44"/>
    <w:rsid w:val="1111121D"/>
    <w:rsid w:val="111C2F7A"/>
    <w:rsid w:val="111D355C"/>
    <w:rsid w:val="1122319F"/>
    <w:rsid w:val="113013DE"/>
    <w:rsid w:val="11472E91"/>
    <w:rsid w:val="114952B5"/>
    <w:rsid w:val="115777AD"/>
    <w:rsid w:val="115A0E16"/>
    <w:rsid w:val="115B2DE0"/>
    <w:rsid w:val="115C304B"/>
    <w:rsid w:val="118C6962"/>
    <w:rsid w:val="11965BC6"/>
    <w:rsid w:val="11A11443"/>
    <w:rsid w:val="11BA7B07"/>
    <w:rsid w:val="11BB562D"/>
    <w:rsid w:val="11C73FD2"/>
    <w:rsid w:val="11DA3A8D"/>
    <w:rsid w:val="11DF4949"/>
    <w:rsid w:val="11E3642A"/>
    <w:rsid w:val="11E82659"/>
    <w:rsid w:val="11E95EFF"/>
    <w:rsid w:val="11EA07B6"/>
    <w:rsid w:val="12114FF6"/>
    <w:rsid w:val="121445D6"/>
    <w:rsid w:val="1226519C"/>
    <w:rsid w:val="122B06C2"/>
    <w:rsid w:val="12320CAD"/>
    <w:rsid w:val="123478B9"/>
    <w:rsid w:val="12382C34"/>
    <w:rsid w:val="12445622"/>
    <w:rsid w:val="126A3816"/>
    <w:rsid w:val="126D4B79"/>
    <w:rsid w:val="12802AFE"/>
    <w:rsid w:val="128123D2"/>
    <w:rsid w:val="128A53A3"/>
    <w:rsid w:val="12920F20"/>
    <w:rsid w:val="12A33B0D"/>
    <w:rsid w:val="12AC5875"/>
    <w:rsid w:val="12C35E26"/>
    <w:rsid w:val="12C7072D"/>
    <w:rsid w:val="12D1335A"/>
    <w:rsid w:val="12E0359D"/>
    <w:rsid w:val="12E070F9"/>
    <w:rsid w:val="12E40C72"/>
    <w:rsid w:val="12E43A7C"/>
    <w:rsid w:val="12E84200"/>
    <w:rsid w:val="12EA7F78"/>
    <w:rsid w:val="13117BFA"/>
    <w:rsid w:val="13225964"/>
    <w:rsid w:val="13345697"/>
    <w:rsid w:val="13382F7C"/>
    <w:rsid w:val="133B50BF"/>
    <w:rsid w:val="13407938"/>
    <w:rsid w:val="13750189"/>
    <w:rsid w:val="13951726"/>
    <w:rsid w:val="139B5716"/>
    <w:rsid w:val="139B72A1"/>
    <w:rsid w:val="139D323C"/>
    <w:rsid w:val="139E0D62"/>
    <w:rsid w:val="13A0254F"/>
    <w:rsid w:val="13A22CFC"/>
    <w:rsid w:val="13A4271F"/>
    <w:rsid w:val="13B96D83"/>
    <w:rsid w:val="13BA3DEE"/>
    <w:rsid w:val="13BF31B2"/>
    <w:rsid w:val="13C15B9C"/>
    <w:rsid w:val="13DF1AA7"/>
    <w:rsid w:val="13DF4301"/>
    <w:rsid w:val="13E23345"/>
    <w:rsid w:val="13F07810"/>
    <w:rsid w:val="141F1EA3"/>
    <w:rsid w:val="14313AB6"/>
    <w:rsid w:val="14357918"/>
    <w:rsid w:val="14363393"/>
    <w:rsid w:val="14396509"/>
    <w:rsid w:val="144006A0"/>
    <w:rsid w:val="1447165C"/>
    <w:rsid w:val="14524026"/>
    <w:rsid w:val="145A2EDB"/>
    <w:rsid w:val="145A737F"/>
    <w:rsid w:val="145D0B4E"/>
    <w:rsid w:val="145F228C"/>
    <w:rsid w:val="14685425"/>
    <w:rsid w:val="147A532B"/>
    <w:rsid w:val="147F2243"/>
    <w:rsid w:val="14863420"/>
    <w:rsid w:val="14875E2B"/>
    <w:rsid w:val="148A1A83"/>
    <w:rsid w:val="148F7029"/>
    <w:rsid w:val="14922675"/>
    <w:rsid w:val="149F2FE4"/>
    <w:rsid w:val="14A625C4"/>
    <w:rsid w:val="14B17FD2"/>
    <w:rsid w:val="14B573E6"/>
    <w:rsid w:val="14BF71E2"/>
    <w:rsid w:val="14CC0840"/>
    <w:rsid w:val="14E8224B"/>
    <w:rsid w:val="14E86739"/>
    <w:rsid w:val="14FA7677"/>
    <w:rsid w:val="14FC63EE"/>
    <w:rsid w:val="15064E11"/>
    <w:rsid w:val="15107A3E"/>
    <w:rsid w:val="151237B6"/>
    <w:rsid w:val="15204125"/>
    <w:rsid w:val="1527507F"/>
    <w:rsid w:val="153C6A85"/>
    <w:rsid w:val="1541297A"/>
    <w:rsid w:val="15485429"/>
    <w:rsid w:val="154E24EE"/>
    <w:rsid w:val="155618F4"/>
    <w:rsid w:val="156063FA"/>
    <w:rsid w:val="156E7972"/>
    <w:rsid w:val="157C1E02"/>
    <w:rsid w:val="15857A9F"/>
    <w:rsid w:val="1598015F"/>
    <w:rsid w:val="15A00DC2"/>
    <w:rsid w:val="15C34AB0"/>
    <w:rsid w:val="15C42D02"/>
    <w:rsid w:val="15D1541F"/>
    <w:rsid w:val="15D53161"/>
    <w:rsid w:val="15D60C87"/>
    <w:rsid w:val="15DB004C"/>
    <w:rsid w:val="15E424C2"/>
    <w:rsid w:val="15EA1DD4"/>
    <w:rsid w:val="16070E41"/>
    <w:rsid w:val="160871A1"/>
    <w:rsid w:val="161F43DC"/>
    <w:rsid w:val="162B2D81"/>
    <w:rsid w:val="16333219"/>
    <w:rsid w:val="163360DA"/>
    <w:rsid w:val="163A2FC4"/>
    <w:rsid w:val="1658169C"/>
    <w:rsid w:val="165A5414"/>
    <w:rsid w:val="165C194A"/>
    <w:rsid w:val="1675224E"/>
    <w:rsid w:val="168340B4"/>
    <w:rsid w:val="168406E3"/>
    <w:rsid w:val="168D0557"/>
    <w:rsid w:val="168E50BE"/>
    <w:rsid w:val="168F383E"/>
    <w:rsid w:val="16C300CB"/>
    <w:rsid w:val="16D36F75"/>
    <w:rsid w:val="16D73E12"/>
    <w:rsid w:val="16DA5F29"/>
    <w:rsid w:val="16EA2C3C"/>
    <w:rsid w:val="16F45869"/>
    <w:rsid w:val="16FA09A5"/>
    <w:rsid w:val="17045380"/>
    <w:rsid w:val="1709284B"/>
    <w:rsid w:val="170D2487"/>
    <w:rsid w:val="171001C9"/>
    <w:rsid w:val="17156B77"/>
    <w:rsid w:val="171B4C60"/>
    <w:rsid w:val="17295041"/>
    <w:rsid w:val="172B1D9B"/>
    <w:rsid w:val="172B6DB1"/>
    <w:rsid w:val="173D6B6A"/>
    <w:rsid w:val="17465999"/>
    <w:rsid w:val="175C51BC"/>
    <w:rsid w:val="17686429"/>
    <w:rsid w:val="17735226"/>
    <w:rsid w:val="17874FED"/>
    <w:rsid w:val="17914563"/>
    <w:rsid w:val="17A32DEB"/>
    <w:rsid w:val="17C57205"/>
    <w:rsid w:val="17D13AF8"/>
    <w:rsid w:val="17D15BAA"/>
    <w:rsid w:val="17DD00AB"/>
    <w:rsid w:val="17F33FE8"/>
    <w:rsid w:val="1808018C"/>
    <w:rsid w:val="181B0BD3"/>
    <w:rsid w:val="1820443C"/>
    <w:rsid w:val="182543D0"/>
    <w:rsid w:val="183A7BB0"/>
    <w:rsid w:val="18585984"/>
    <w:rsid w:val="185C36C6"/>
    <w:rsid w:val="186802BC"/>
    <w:rsid w:val="186B3909"/>
    <w:rsid w:val="187271C9"/>
    <w:rsid w:val="18733E84"/>
    <w:rsid w:val="187D188E"/>
    <w:rsid w:val="18893D8F"/>
    <w:rsid w:val="188C4DE8"/>
    <w:rsid w:val="188D5F75"/>
    <w:rsid w:val="1890336F"/>
    <w:rsid w:val="18B62EEE"/>
    <w:rsid w:val="18BD1C8B"/>
    <w:rsid w:val="18C13529"/>
    <w:rsid w:val="18DF42F7"/>
    <w:rsid w:val="19204E18"/>
    <w:rsid w:val="193E101D"/>
    <w:rsid w:val="194B6C2B"/>
    <w:rsid w:val="194F322A"/>
    <w:rsid w:val="19526877"/>
    <w:rsid w:val="19622F5E"/>
    <w:rsid w:val="196547FC"/>
    <w:rsid w:val="1977008B"/>
    <w:rsid w:val="197711E4"/>
    <w:rsid w:val="198229F7"/>
    <w:rsid w:val="199D3319"/>
    <w:rsid w:val="19AC0E79"/>
    <w:rsid w:val="19E11E11"/>
    <w:rsid w:val="19E25B4E"/>
    <w:rsid w:val="19FD4A34"/>
    <w:rsid w:val="1A041AD7"/>
    <w:rsid w:val="1A1324AA"/>
    <w:rsid w:val="1A1816AF"/>
    <w:rsid w:val="1A1C66C0"/>
    <w:rsid w:val="1A266BC7"/>
    <w:rsid w:val="1A42393B"/>
    <w:rsid w:val="1A444411"/>
    <w:rsid w:val="1A472154"/>
    <w:rsid w:val="1A4E7F37"/>
    <w:rsid w:val="1A6B2BBB"/>
    <w:rsid w:val="1A6C639B"/>
    <w:rsid w:val="1A750A6F"/>
    <w:rsid w:val="1A756CC1"/>
    <w:rsid w:val="1A774C9C"/>
    <w:rsid w:val="1A7F18ED"/>
    <w:rsid w:val="1A902F10"/>
    <w:rsid w:val="1A996BA6"/>
    <w:rsid w:val="1A9B5FFB"/>
    <w:rsid w:val="1A9C424D"/>
    <w:rsid w:val="1AB26C71"/>
    <w:rsid w:val="1AB62E35"/>
    <w:rsid w:val="1AC11F06"/>
    <w:rsid w:val="1AC35C7E"/>
    <w:rsid w:val="1AC75042"/>
    <w:rsid w:val="1AC92B69"/>
    <w:rsid w:val="1AD0039B"/>
    <w:rsid w:val="1AD27C6F"/>
    <w:rsid w:val="1ADC6D40"/>
    <w:rsid w:val="1AED2CFB"/>
    <w:rsid w:val="1AF220BF"/>
    <w:rsid w:val="1AF3665E"/>
    <w:rsid w:val="1B027D5B"/>
    <w:rsid w:val="1B046F80"/>
    <w:rsid w:val="1B1F1D1C"/>
    <w:rsid w:val="1B267688"/>
    <w:rsid w:val="1B291859"/>
    <w:rsid w:val="1B3267B5"/>
    <w:rsid w:val="1B3501FE"/>
    <w:rsid w:val="1B395F40"/>
    <w:rsid w:val="1B5C39DD"/>
    <w:rsid w:val="1B6C51E3"/>
    <w:rsid w:val="1B72369B"/>
    <w:rsid w:val="1B742AD4"/>
    <w:rsid w:val="1B770817"/>
    <w:rsid w:val="1B886580"/>
    <w:rsid w:val="1B8F790E"/>
    <w:rsid w:val="1BA535D6"/>
    <w:rsid w:val="1BA56919"/>
    <w:rsid w:val="1BAB2117"/>
    <w:rsid w:val="1BAD248A"/>
    <w:rsid w:val="1BB124F2"/>
    <w:rsid w:val="1BBC6A4E"/>
    <w:rsid w:val="1BBE1FA1"/>
    <w:rsid w:val="1BC25DC8"/>
    <w:rsid w:val="1BC82E20"/>
    <w:rsid w:val="1BC864A2"/>
    <w:rsid w:val="1BCC2910"/>
    <w:rsid w:val="1BCE1685"/>
    <w:rsid w:val="1BD05350"/>
    <w:rsid w:val="1BDB0DA5"/>
    <w:rsid w:val="1BDD4B1E"/>
    <w:rsid w:val="1BE7599C"/>
    <w:rsid w:val="1BF53267"/>
    <w:rsid w:val="1BF81957"/>
    <w:rsid w:val="1C033E58"/>
    <w:rsid w:val="1C112A19"/>
    <w:rsid w:val="1C142509"/>
    <w:rsid w:val="1C271290"/>
    <w:rsid w:val="1C3F55D8"/>
    <w:rsid w:val="1C4526C3"/>
    <w:rsid w:val="1C4A5F2B"/>
    <w:rsid w:val="1C5172BA"/>
    <w:rsid w:val="1C547A87"/>
    <w:rsid w:val="1C5E7925"/>
    <w:rsid w:val="1C6012AB"/>
    <w:rsid w:val="1C613CCA"/>
    <w:rsid w:val="1C691F5E"/>
    <w:rsid w:val="1C735482"/>
    <w:rsid w:val="1C8054A9"/>
    <w:rsid w:val="1C887FC8"/>
    <w:rsid w:val="1C953341"/>
    <w:rsid w:val="1C9B22E3"/>
    <w:rsid w:val="1CA473E9"/>
    <w:rsid w:val="1CB02FB2"/>
    <w:rsid w:val="1CB31A96"/>
    <w:rsid w:val="1CCB2BC8"/>
    <w:rsid w:val="1CDD0B4D"/>
    <w:rsid w:val="1CE06507"/>
    <w:rsid w:val="1CE65C54"/>
    <w:rsid w:val="1CE819CC"/>
    <w:rsid w:val="1CF33ECD"/>
    <w:rsid w:val="1D0205B4"/>
    <w:rsid w:val="1D097B94"/>
    <w:rsid w:val="1D0E6F59"/>
    <w:rsid w:val="1D1327C1"/>
    <w:rsid w:val="1D13631D"/>
    <w:rsid w:val="1D17405F"/>
    <w:rsid w:val="1D1B51B1"/>
    <w:rsid w:val="1D300C7D"/>
    <w:rsid w:val="1D344C11"/>
    <w:rsid w:val="1D361629"/>
    <w:rsid w:val="1D37025D"/>
    <w:rsid w:val="1D3838DC"/>
    <w:rsid w:val="1D412E8A"/>
    <w:rsid w:val="1D550671"/>
    <w:rsid w:val="1D570900"/>
    <w:rsid w:val="1D5C5F16"/>
    <w:rsid w:val="1D5F6196"/>
    <w:rsid w:val="1D6132A5"/>
    <w:rsid w:val="1D630B51"/>
    <w:rsid w:val="1D683EAA"/>
    <w:rsid w:val="1D6848BB"/>
    <w:rsid w:val="1D752B34"/>
    <w:rsid w:val="1D773433"/>
    <w:rsid w:val="1D8027D0"/>
    <w:rsid w:val="1D8E56D5"/>
    <w:rsid w:val="1D9C27B6"/>
    <w:rsid w:val="1D9E02DC"/>
    <w:rsid w:val="1DAD0520"/>
    <w:rsid w:val="1DB7314C"/>
    <w:rsid w:val="1DBA3260"/>
    <w:rsid w:val="1DE026A3"/>
    <w:rsid w:val="1DF81251"/>
    <w:rsid w:val="1E000596"/>
    <w:rsid w:val="1E075E82"/>
    <w:rsid w:val="1E116AEB"/>
    <w:rsid w:val="1E162569"/>
    <w:rsid w:val="1E210366"/>
    <w:rsid w:val="1E2F7187"/>
    <w:rsid w:val="1E332946"/>
    <w:rsid w:val="1E3824DF"/>
    <w:rsid w:val="1E432C32"/>
    <w:rsid w:val="1E4A5D6E"/>
    <w:rsid w:val="1E4B75AE"/>
    <w:rsid w:val="1E58492F"/>
    <w:rsid w:val="1E5A24FE"/>
    <w:rsid w:val="1E5C522D"/>
    <w:rsid w:val="1E5D1F46"/>
    <w:rsid w:val="1E62130A"/>
    <w:rsid w:val="1E7A43DA"/>
    <w:rsid w:val="1E7E3C6A"/>
    <w:rsid w:val="1E8F6EB7"/>
    <w:rsid w:val="1E994291"/>
    <w:rsid w:val="1EA27958"/>
    <w:rsid w:val="1EA35913"/>
    <w:rsid w:val="1EA740C3"/>
    <w:rsid w:val="1EB14160"/>
    <w:rsid w:val="1EB277FE"/>
    <w:rsid w:val="1ED03A72"/>
    <w:rsid w:val="1ED76F10"/>
    <w:rsid w:val="1EE03759"/>
    <w:rsid w:val="1EEB5328"/>
    <w:rsid w:val="1EEE2B9E"/>
    <w:rsid w:val="1F0E1492"/>
    <w:rsid w:val="1F244811"/>
    <w:rsid w:val="1F246BFA"/>
    <w:rsid w:val="1F2B5BA0"/>
    <w:rsid w:val="1F2C36C6"/>
    <w:rsid w:val="1F3F164B"/>
    <w:rsid w:val="1F444EB4"/>
    <w:rsid w:val="1F5A46D7"/>
    <w:rsid w:val="1F62533A"/>
    <w:rsid w:val="1F667C26"/>
    <w:rsid w:val="1F7A6EB0"/>
    <w:rsid w:val="1F7C63FB"/>
    <w:rsid w:val="1F7E7BC0"/>
    <w:rsid w:val="1F7F7C9A"/>
    <w:rsid w:val="1F8B663F"/>
    <w:rsid w:val="1F8F25D3"/>
    <w:rsid w:val="1F903714"/>
    <w:rsid w:val="1F9502EA"/>
    <w:rsid w:val="1F9C3F83"/>
    <w:rsid w:val="1FC12569"/>
    <w:rsid w:val="1FC13108"/>
    <w:rsid w:val="1FC63B1B"/>
    <w:rsid w:val="1FD50D2C"/>
    <w:rsid w:val="1FE7539E"/>
    <w:rsid w:val="1FF3774C"/>
    <w:rsid w:val="1FF42436"/>
    <w:rsid w:val="1FF83F60"/>
    <w:rsid w:val="1FFC578E"/>
    <w:rsid w:val="200A42EE"/>
    <w:rsid w:val="20126D60"/>
    <w:rsid w:val="20251DD7"/>
    <w:rsid w:val="205B27D3"/>
    <w:rsid w:val="205E1FA5"/>
    <w:rsid w:val="206A763D"/>
    <w:rsid w:val="206C369D"/>
    <w:rsid w:val="206E043A"/>
    <w:rsid w:val="2079211C"/>
    <w:rsid w:val="207B66B3"/>
    <w:rsid w:val="20803CC9"/>
    <w:rsid w:val="20827A42"/>
    <w:rsid w:val="208E288A"/>
    <w:rsid w:val="20963CB8"/>
    <w:rsid w:val="209F0117"/>
    <w:rsid w:val="20A1609D"/>
    <w:rsid w:val="20AC2D10"/>
    <w:rsid w:val="20B07FB6"/>
    <w:rsid w:val="20B45481"/>
    <w:rsid w:val="20BC4BB0"/>
    <w:rsid w:val="20C71F84"/>
    <w:rsid w:val="20D02EA3"/>
    <w:rsid w:val="20D5275E"/>
    <w:rsid w:val="20E30F54"/>
    <w:rsid w:val="20EA3839"/>
    <w:rsid w:val="20FC2382"/>
    <w:rsid w:val="20FF1092"/>
    <w:rsid w:val="210743EB"/>
    <w:rsid w:val="21090163"/>
    <w:rsid w:val="210C37AF"/>
    <w:rsid w:val="212163FE"/>
    <w:rsid w:val="21262AC3"/>
    <w:rsid w:val="212C5BFF"/>
    <w:rsid w:val="213B74B1"/>
    <w:rsid w:val="21444BC4"/>
    <w:rsid w:val="214D44F3"/>
    <w:rsid w:val="215869F4"/>
    <w:rsid w:val="215A2310"/>
    <w:rsid w:val="215D400B"/>
    <w:rsid w:val="216677C8"/>
    <w:rsid w:val="21703D3E"/>
    <w:rsid w:val="21711C4E"/>
    <w:rsid w:val="21717AB6"/>
    <w:rsid w:val="21871088"/>
    <w:rsid w:val="218C669E"/>
    <w:rsid w:val="21957C48"/>
    <w:rsid w:val="219C4B33"/>
    <w:rsid w:val="21AB2F31"/>
    <w:rsid w:val="21B46321"/>
    <w:rsid w:val="21C66054"/>
    <w:rsid w:val="21DE318A"/>
    <w:rsid w:val="21E64000"/>
    <w:rsid w:val="21E93AF0"/>
    <w:rsid w:val="21EF5B80"/>
    <w:rsid w:val="21F22203"/>
    <w:rsid w:val="21F7620D"/>
    <w:rsid w:val="21F96720"/>
    <w:rsid w:val="22031056"/>
    <w:rsid w:val="220426D8"/>
    <w:rsid w:val="2208041A"/>
    <w:rsid w:val="220D7F1E"/>
    <w:rsid w:val="220F79FB"/>
    <w:rsid w:val="22124DF5"/>
    <w:rsid w:val="22146DBF"/>
    <w:rsid w:val="221B32F3"/>
    <w:rsid w:val="221C3EC6"/>
    <w:rsid w:val="22250FCC"/>
    <w:rsid w:val="222866C7"/>
    <w:rsid w:val="22356D36"/>
    <w:rsid w:val="22432FD4"/>
    <w:rsid w:val="22462CF1"/>
    <w:rsid w:val="22465699"/>
    <w:rsid w:val="224A27E1"/>
    <w:rsid w:val="22576990"/>
    <w:rsid w:val="22665141"/>
    <w:rsid w:val="226C7D3C"/>
    <w:rsid w:val="2275323C"/>
    <w:rsid w:val="22791FE0"/>
    <w:rsid w:val="227B6E3E"/>
    <w:rsid w:val="227E692E"/>
    <w:rsid w:val="228965D3"/>
    <w:rsid w:val="22916662"/>
    <w:rsid w:val="229677D4"/>
    <w:rsid w:val="229C4EAB"/>
    <w:rsid w:val="22A719E1"/>
    <w:rsid w:val="22BE6D2B"/>
    <w:rsid w:val="22C24A6D"/>
    <w:rsid w:val="22F664C5"/>
    <w:rsid w:val="231C5BF1"/>
    <w:rsid w:val="23244DE0"/>
    <w:rsid w:val="2338088B"/>
    <w:rsid w:val="233A7FAB"/>
    <w:rsid w:val="23506562"/>
    <w:rsid w:val="23517B9F"/>
    <w:rsid w:val="235C0A1E"/>
    <w:rsid w:val="2366364A"/>
    <w:rsid w:val="236B51E7"/>
    <w:rsid w:val="23AD74CB"/>
    <w:rsid w:val="23B95E70"/>
    <w:rsid w:val="23D04F68"/>
    <w:rsid w:val="23D9206E"/>
    <w:rsid w:val="23DE7685"/>
    <w:rsid w:val="240E5F29"/>
    <w:rsid w:val="240F5C1B"/>
    <w:rsid w:val="2412732E"/>
    <w:rsid w:val="24170DE9"/>
    <w:rsid w:val="243B6031"/>
    <w:rsid w:val="243B61F5"/>
    <w:rsid w:val="243E6375"/>
    <w:rsid w:val="24464D5F"/>
    <w:rsid w:val="246062EC"/>
    <w:rsid w:val="24727CBA"/>
    <w:rsid w:val="24741D97"/>
    <w:rsid w:val="247551E5"/>
    <w:rsid w:val="249064A5"/>
    <w:rsid w:val="24973C21"/>
    <w:rsid w:val="24AF4B7D"/>
    <w:rsid w:val="24B60AEF"/>
    <w:rsid w:val="24B65F0C"/>
    <w:rsid w:val="24C0322E"/>
    <w:rsid w:val="24C50E97"/>
    <w:rsid w:val="24D131D2"/>
    <w:rsid w:val="24D32F62"/>
    <w:rsid w:val="24E86717"/>
    <w:rsid w:val="24EC5DD1"/>
    <w:rsid w:val="24F31ED0"/>
    <w:rsid w:val="25011098"/>
    <w:rsid w:val="250273A3"/>
    <w:rsid w:val="251C7DC6"/>
    <w:rsid w:val="252D53FE"/>
    <w:rsid w:val="253B4D9D"/>
    <w:rsid w:val="25441DB3"/>
    <w:rsid w:val="254E211A"/>
    <w:rsid w:val="256242E5"/>
    <w:rsid w:val="256C0CC0"/>
    <w:rsid w:val="2571773B"/>
    <w:rsid w:val="257263BF"/>
    <w:rsid w:val="257F6C45"/>
    <w:rsid w:val="259A582D"/>
    <w:rsid w:val="259B3353"/>
    <w:rsid w:val="25A641D2"/>
    <w:rsid w:val="25B37A71"/>
    <w:rsid w:val="25B54415"/>
    <w:rsid w:val="25BC1C48"/>
    <w:rsid w:val="25C1100C"/>
    <w:rsid w:val="25C96113"/>
    <w:rsid w:val="25CD5C03"/>
    <w:rsid w:val="25D02FFD"/>
    <w:rsid w:val="25D7082F"/>
    <w:rsid w:val="25EB7E37"/>
    <w:rsid w:val="25EC2D81"/>
    <w:rsid w:val="25FA169F"/>
    <w:rsid w:val="25FD12A5"/>
    <w:rsid w:val="26192BF6"/>
    <w:rsid w:val="26225099"/>
    <w:rsid w:val="263334A8"/>
    <w:rsid w:val="264528BD"/>
    <w:rsid w:val="264834DB"/>
    <w:rsid w:val="26715DB2"/>
    <w:rsid w:val="26793695"/>
    <w:rsid w:val="269C55D5"/>
    <w:rsid w:val="26AE17E0"/>
    <w:rsid w:val="26B57A9E"/>
    <w:rsid w:val="26F23447"/>
    <w:rsid w:val="26FE3B9A"/>
    <w:rsid w:val="271A01E4"/>
    <w:rsid w:val="27231852"/>
    <w:rsid w:val="27257379"/>
    <w:rsid w:val="272950BB"/>
    <w:rsid w:val="274146B0"/>
    <w:rsid w:val="27421CD9"/>
    <w:rsid w:val="274517C9"/>
    <w:rsid w:val="274A2111"/>
    <w:rsid w:val="27523BA6"/>
    <w:rsid w:val="2762237B"/>
    <w:rsid w:val="27694E3C"/>
    <w:rsid w:val="277F117F"/>
    <w:rsid w:val="27A43BC9"/>
    <w:rsid w:val="27BA2B3B"/>
    <w:rsid w:val="27BD1CA7"/>
    <w:rsid w:val="27D03788"/>
    <w:rsid w:val="27D15DD1"/>
    <w:rsid w:val="27D6739B"/>
    <w:rsid w:val="27D83D56"/>
    <w:rsid w:val="27DA7CB2"/>
    <w:rsid w:val="27E56B08"/>
    <w:rsid w:val="27E67E6F"/>
    <w:rsid w:val="28080FC0"/>
    <w:rsid w:val="280F336F"/>
    <w:rsid w:val="28186EDD"/>
    <w:rsid w:val="28196C86"/>
    <w:rsid w:val="281A7519"/>
    <w:rsid w:val="28243AD4"/>
    <w:rsid w:val="282615FA"/>
    <w:rsid w:val="282B4E63"/>
    <w:rsid w:val="282C4737"/>
    <w:rsid w:val="28304CCE"/>
    <w:rsid w:val="283D5C7D"/>
    <w:rsid w:val="283D6BE2"/>
    <w:rsid w:val="283E0F12"/>
    <w:rsid w:val="28414686"/>
    <w:rsid w:val="284F6DA3"/>
    <w:rsid w:val="288B5901"/>
    <w:rsid w:val="289767A1"/>
    <w:rsid w:val="28A76295"/>
    <w:rsid w:val="28AC15F7"/>
    <w:rsid w:val="28B2052F"/>
    <w:rsid w:val="28BD5FE3"/>
    <w:rsid w:val="28C037FD"/>
    <w:rsid w:val="28C121CF"/>
    <w:rsid w:val="28C66939"/>
    <w:rsid w:val="28DD039D"/>
    <w:rsid w:val="28EC2844"/>
    <w:rsid w:val="28EF40E2"/>
    <w:rsid w:val="28F25980"/>
    <w:rsid w:val="28F45255"/>
    <w:rsid w:val="28FD2EF5"/>
    <w:rsid w:val="28FE60D3"/>
    <w:rsid w:val="29015BC3"/>
    <w:rsid w:val="290D24E8"/>
    <w:rsid w:val="290F02E0"/>
    <w:rsid w:val="29174FEA"/>
    <w:rsid w:val="291E0523"/>
    <w:rsid w:val="29206EB8"/>
    <w:rsid w:val="293503A9"/>
    <w:rsid w:val="29453D02"/>
    <w:rsid w:val="294F692F"/>
    <w:rsid w:val="29634188"/>
    <w:rsid w:val="29657F00"/>
    <w:rsid w:val="29760E7C"/>
    <w:rsid w:val="297C2905"/>
    <w:rsid w:val="29804D3A"/>
    <w:rsid w:val="298736A5"/>
    <w:rsid w:val="2987431B"/>
    <w:rsid w:val="29915199"/>
    <w:rsid w:val="299507E6"/>
    <w:rsid w:val="299B1B74"/>
    <w:rsid w:val="29A9603F"/>
    <w:rsid w:val="29B1237D"/>
    <w:rsid w:val="29C25353"/>
    <w:rsid w:val="29C9048F"/>
    <w:rsid w:val="29E11C7D"/>
    <w:rsid w:val="29E325E0"/>
    <w:rsid w:val="29F11912"/>
    <w:rsid w:val="29F14252"/>
    <w:rsid w:val="29F232F0"/>
    <w:rsid w:val="29F574D6"/>
    <w:rsid w:val="29F6324E"/>
    <w:rsid w:val="29FF65A7"/>
    <w:rsid w:val="2A0D084E"/>
    <w:rsid w:val="2A102562"/>
    <w:rsid w:val="2A195C85"/>
    <w:rsid w:val="2A24305C"/>
    <w:rsid w:val="2A243451"/>
    <w:rsid w:val="2A452503"/>
    <w:rsid w:val="2A467D32"/>
    <w:rsid w:val="2A5E32CD"/>
    <w:rsid w:val="2A6423D0"/>
    <w:rsid w:val="2A64640A"/>
    <w:rsid w:val="2A701253"/>
    <w:rsid w:val="2A7228D5"/>
    <w:rsid w:val="2A745A3A"/>
    <w:rsid w:val="2A8645D2"/>
    <w:rsid w:val="2A8A0DCF"/>
    <w:rsid w:val="2A924DF2"/>
    <w:rsid w:val="2A967D1F"/>
    <w:rsid w:val="2A9F2754"/>
    <w:rsid w:val="2AA5775E"/>
    <w:rsid w:val="2AB01024"/>
    <w:rsid w:val="2AB47391"/>
    <w:rsid w:val="2ACB6A10"/>
    <w:rsid w:val="2AD43590"/>
    <w:rsid w:val="2ADC0696"/>
    <w:rsid w:val="2AE17A5A"/>
    <w:rsid w:val="2AE839DA"/>
    <w:rsid w:val="2AE83B98"/>
    <w:rsid w:val="2AF07C9E"/>
    <w:rsid w:val="2B06497D"/>
    <w:rsid w:val="2B0A0D5F"/>
    <w:rsid w:val="2B204A27"/>
    <w:rsid w:val="2B3719C5"/>
    <w:rsid w:val="2B481888"/>
    <w:rsid w:val="2B4C1378"/>
    <w:rsid w:val="2B4D50F0"/>
    <w:rsid w:val="2B5C6CCB"/>
    <w:rsid w:val="2B5D3585"/>
    <w:rsid w:val="2B697D26"/>
    <w:rsid w:val="2B6C701E"/>
    <w:rsid w:val="2B6F32B8"/>
    <w:rsid w:val="2B724EEF"/>
    <w:rsid w:val="2B7C5748"/>
    <w:rsid w:val="2B821C36"/>
    <w:rsid w:val="2B8D373E"/>
    <w:rsid w:val="2B936FA7"/>
    <w:rsid w:val="2B9727B8"/>
    <w:rsid w:val="2BA936A8"/>
    <w:rsid w:val="2BB62C95"/>
    <w:rsid w:val="2BC41856"/>
    <w:rsid w:val="2BCC24B9"/>
    <w:rsid w:val="2BE710A1"/>
    <w:rsid w:val="2BFA0DD4"/>
    <w:rsid w:val="2C0954BB"/>
    <w:rsid w:val="2C0B2FE1"/>
    <w:rsid w:val="2C1E1EF7"/>
    <w:rsid w:val="2C2220D9"/>
    <w:rsid w:val="2C2B5431"/>
    <w:rsid w:val="2C315A5A"/>
    <w:rsid w:val="2C340A76"/>
    <w:rsid w:val="2C3A3BE0"/>
    <w:rsid w:val="2C46226B"/>
    <w:rsid w:val="2C5129BE"/>
    <w:rsid w:val="2C536736"/>
    <w:rsid w:val="2C5801F0"/>
    <w:rsid w:val="2C5865F5"/>
    <w:rsid w:val="2C5D1363"/>
    <w:rsid w:val="2C5E5C4E"/>
    <w:rsid w:val="2C632468"/>
    <w:rsid w:val="2C680433"/>
    <w:rsid w:val="2C864DE9"/>
    <w:rsid w:val="2C901071"/>
    <w:rsid w:val="2C9F197B"/>
    <w:rsid w:val="2CB25B52"/>
    <w:rsid w:val="2CB5406B"/>
    <w:rsid w:val="2CBA67B5"/>
    <w:rsid w:val="2CC43190"/>
    <w:rsid w:val="2CCA2E9C"/>
    <w:rsid w:val="2CCC4E6D"/>
    <w:rsid w:val="2CD258AD"/>
    <w:rsid w:val="2CDD0F1C"/>
    <w:rsid w:val="2CDE6947"/>
    <w:rsid w:val="2CF11DB0"/>
    <w:rsid w:val="2CF33A75"/>
    <w:rsid w:val="2CF55A3F"/>
    <w:rsid w:val="2CF972DD"/>
    <w:rsid w:val="2CFA4E04"/>
    <w:rsid w:val="2CFC0B7C"/>
    <w:rsid w:val="2D033B54"/>
    <w:rsid w:val="2D071354"/>
    <w:rsid w:val="2D1C2FCC"/>
    <w:rsid w:val="2D202ABC"/>
    <w:rsid w:val="2D241E80"/>
    <w:rsid w:val="2D4744ED"/>
    <w:rsid w:val="2D5503F3"/>
    <w:rsid w:val="2D60735C"/>
    <w:rsid w:val="2D6A3D37"/>
    <w:rsid w:val="2D6B4CDB"/>
    <w:rsid w:val="2D880661"/>
    <w:rsid w:val="2D9E56F5"/>
    <w:rsid w:val="2DAD1E58"/>
    <w:rsid w:val="2DB1022D"/>
    <w:rsid w:val="2DB66F7C"/>
    <w:rsid w:val="2DC01BA9"/>
    <w:rsid w:val="2DC27E1E"/>
    <w:rsid w:val="2DC7118A"/>
    <w:rsid w:val="2DC84F02"/>
    <w:rsid w:val="2DCA0C7A"/>
    <w:rsid w:val="2DD45655"/>
    <w:rsid w:val="2DDF56B6"/>
    <w:rsid w:val="2DDF67DB"/>
    <w:rsid w:val="2DE16FF1"/>
    <w:rsid w:val="2DE9410A"/>
    <w:rsid w:val="2DEC0BF0"/>
    <w:rsid w:val="2DF81343"/>
    <w:rsid w:val="2E1819E5"/>
    <w:rsid w:val="2E1D524D"/>
    <w:rsid w:val="2E206AEC"/>
    <w:rsid w:val="2E255EB0"/>
    <w:rsid w:val="2E351373"/>
    <w:rsid w:val="2E402CEA"/>
    <w:rsid w:val="2E667F96"/>
    <w:rsid w:val="2E6E7857"/>
    <w:rsid w:val="2E755089"/>
    <w:rsid w:val="2E7C28D5"/>
    <w:rsid w:val="2E8226AB"/>
    <w:rsid w:val="2E8D2AD1"/>
    <w:rsid w:val="2E900978"/>
    <w:rsid w:val="2EA94D33"/>
    <w:rsid w:val="2EAB0AAB"/>
    <w:rsid w:val="2EB060C2"/>
    <w:rsid w:val="2EBA3F82"/>
    <w:rsid w:val="2EBF6305"/>
    <w:rsid w:val="2ED37FC3"/>
    <w:rsid w:val="2ED6488E"/>
    <w:rsid w:val="2EDA4EED"/>
    <w:rsid w:val="2EDC6EB7"/>
    <w:rsid w:val="2EF530F2"/>
    <w:rsid w:val="2F056047"/>
    <w:rsid w:val="2F097580"/>
    <w:rsid w:val="2F0B779C"/>
    <w:rsid w:val="2F33497E"/>
    <w:rsid w:val="2F397E65"/>
    <w:rsid w:val="2F3A5849"/>
    <w:rsid w:val="2F3A598B"/>
    <w:rsid w:val="2F3B4EEB"/>
    <w:rsid w:val="2F5B73C0"/>
    <w:rsid w:val="2F603644"/>
    <w:rsid w:val="2F6173BC"/>
    <w:rsid w:val="2F7160BD"/>
    <w:rsid w:val="2F832C79"/>
    <w:rsid w:val="2F854C1C"/>
    <w:rsid w:val="2F8F3F29"/>
    <w:rsid w:val="2F916DC8"/>
    <w:rsid w:val="2F982F65"/>
    <w:rsid w:val="2FA11189"/>
    <w:rsid w:val="2FB00B31"/>
    <w:rsid w:val="2FB4573E"/>
    <w:rsid w:val="2FC56E02"/>
    <w:rsid w:val="2FC83556"/>
    <w:rsid w:val="2FD14541"/>
    <w:rsid w:val="2FD302BA"/>
    <w:rsid w:val="2FD64DAD"/>
    <w:rsid w:val="2FE83639"/>
    <w:rsid w:val="2FEF2C1A"/>
    <w:rsid w:val="2FEF2D58"/>
    <w:rsid w:val="301F34FF"/>
    <w:rsid w:val="30580BC9"/>
    <w:rsid w:val="3071362F"/>
    <w:rsid w:val="30896BCA"/>
    <w:rsid w:val="308E2433"/>
    <w:rsid w:val="30980BBB"/>
    <w:rsid w:val="30A26617"/>
    <w:rsid w:val="30B26121"/>
    <w:rsid w:val="30D2231F"/>
    <w:rsid w:val="30DF73C0"/>
    <w:rsid w:val="30E91417"/>
    <w:rsid w:val="30F04DDC"/>
    <w:rsid w:val="30F304E8"/>
    <w:rsid w:val="311E2ED7"/>
    <w:rsid w:val="311F248A"/>
    <w:rsid w:val="31282E00"/>
    <w:rsid w:val="312C6840"/>
    <w:rsid w:val="312D4BB7"/>
    <w:rsid w:val="31321010"/>
    <w:rsid w:val="31371F49"/>
    <w:rsid w:val="31413001"/>
    <w:rsid w:val="31576CC8"/>
    <w:rsid w:val="315C449C"/>
    <w:rsid w:val="3163417D"/>
    <w:rsid w:val="317C228B"/>
    <w:rsid w:val="31890D85"/>
    <w:rsid w:val="318A0E4C"/>
    <w:rsid w:val="318A49A8"/>
    <w:rsid w:val="31964662"/>
    <w:rsid w:val="31975317"/>
    <w:rsid w:val="319C292D"/>
    <w:rsid w:val="31B82709"/>
    <w:rsid w:val="31B93417"/>
    <w:rsid w:val="31B934DF"/>
    <w:rsid w:val="31BE0AF5"/>
    <w:rsid w:val="31C37EBA"/>
    <w:rsid w:val="31D420C7"/>
    <w:rsid w:val="31E76D0B"/>
    <w:rsid w:val="31ED3189"/>
    <w:rsid w:val="31F91B2E"/>
    <w:rsid w:val="31FD161E"/>
    <w:rsid w:val="320E382B"/>
    <w:rsid w:val="320F4EAD"/>
    <w:rsid w:val="32110C25"/>
    <w:rsid w:val="32230701"/>
    <w:rsid w:val="323112C7"/>
    <w:rsid w:val="32333292"/>
    <w:rsid w:val="32367636"/>
    <w:rsid w:val="323B5CA2"/>
    <w:rsid w:val="32400B34"/>
    <w:rsid w:val="325154C6"/>
    <w:rsid w:val="325B6344"/>
    <w:rsid w:val="325D3E6B"/>
    <w:rsid w:val="3268280F"/>
    <w:rsid w:val="326C7A86"/>
    <w:rsid w:val="326E7E26"/>
    <w:rsid w:val="3284589B"/>
    <w:rsid w:val="32892EB1"/>
    <w:rsid w:val="3292332D"/>
    <w:rsid w:val="32943604"/>
    <w:rsid w:val="329E6876"/>
    <w:rsid w:val="32A12944"/>
    <w:rsid w:val="32B617CD"/>
    <w:rsid w:val="32CB5278"/>
    <w:rsid w:val="32DA3164"/>
    <w:rsid w:val="32EE71B8"/>
    <w:rsid w:val="32F10A57"/>
    <w:rsid w:val="32F33022"/>
    <w:rsid w:val="33097581"/>
    <w:rsid w:val="330C5891"/>
    <w:rsid w:val="330F7979"/>
    <w:rsid w:val="331A61FF"/>
    <w:rsid w:val="332C4665"/>
    <w:rsid w:val="33346E7E"/>
    <w:rsid w:val="333472C1"/>
    <w:rsid w:val="33694A91"/>
    <w:rsid w:val="336978E6"/>
    <w:rsid w:val="336F654B"/>
    <w:rsid w:val="33721B98"/>
    <w:rsid w:val="33730803"/>
    <w:rsid w:val="33741567"/>
    <w:rsid w:val="337F43BF"/>
    <w:rsid w:val="337F6063"/>
    <w:rsid w:val="339B1454"/>
    <w:rsid w:val="339F04B3"/>
    <w:rsid w:val="33A361F5"/>
    <w:rsid w:val="33A9221B"/>
    <w:rsid w:val="33B51A84"/>
    <w:rsid w:val="33B757FC"/>
    <w:rsid w:val="33BD76AE"/>
    <w:rsid w:val="33C543BD"/>
    <w:rsid w:val="33D934D4"/>
    <w:rsid w:val="33DB616D"/>
    <w:rsid w:val="33E443DD"/>
    <w:rsid w:val="33EC1B85"/>
    <w:rsid w:val="33F16F60"/>
    <w:rsid w:val="33F26834"/>
    <w:rsid w:val="33F3732D"/>
    <w:rsid w:val="33FE2F6A"/>
    <w:rsid w:val="341C1B03"/>
    <w:rsid w:val="34321327"/>
    <w:rsid w:val="34360E17"/>
    <w:rsid w:val="343E6181"/>
    <w:rsid w:val="344828F8"/>
    <w:rsid w:val="344A61E6"/>
    <w:rsid w:val="344D6161"/>
    <w:rsid w:val="344E4DA2"/>
    <w:rsid w:val="345474EF"/>
    <w:rsid w:val="34585F37"/>
    <w:rsid w:val="345E036E"/>
    <w:rsid w:val="346F60D7"/>
    <w:rsid w:val="3489363D"/>
    <w:rsid w:val="348C4EDB"/>
    <w:rsid w:val="3491429F"/>
    <w:rsid w:val="3491604D"/>
    <w:rsid w:val="34983880"/>
    <w:rsid w:val="34B65AB4"/>
    <w:rsid w:val="34BE4980"/>
    <w:rsid w:val="34C5046A"/>
    <w:rsid w:val="34C957E7"/>
    <w:rsid w:val="34D13E25"/>
    <w:rsid w:val="34E216C9"/>
    <w:rsid w:val="3506618D"/>
    <w:rsid w:val="35082F60"/>
    <w:rsid w:val="350A469D"/>
    <w:rsid w:val="350C3202"/>
    <w:rsid w:val="350E1BDA"/>
    <w:rsid w:val="351F5D4F"/>
    <w:rsid w:val="352754C6"/>
    <w:rsid w:val="353115DE"/>
    <w:rsid w:val="35325A82"/>
    <w:rsid w:val="353C420B"/>
    <w:rsid w:val="35447564"/>
    <w:rsid w:val="354B6B44"/>
    <w:rsid w:val="354E5036"/>
    <w:rsid w:val="355B0222"/>
    <w:rsid w:val="358856A2"/>
    <w:rsid w:val="35887450"/>
    <w:rsid w:val="35935DF5"/>
    <w:rsid w:val="35B04BF9"/>
    <w:rsid w:val="35BB6AA8"/>
    <w:rsid w:val="35BC359E"/>
    <w:rsid w:val="35C506A4"/>
    <w:rsid w:val="35C948C7"/>
    <w:rsid w:val="35D46B3A"/>
    <w:rsid w:val="35D74958"/>
    <w:rsid w:val="35E30B2B"/>
    <w:rsid w:val="36034D29"/>
    <w:rsid w:val="360452E9"/>
    <w:rsid w:val="36074A7F"/>
    <w:rsid w:val="360A3AE4"/>
    <w:rsid w:val="360A60B7"/>
    <w:rsid w:val="360B1E2F"/>
    <w:rsid w:val="3619454C"/>
    <w:rsid w:val="362353CB"/>
    <w:rsid w:val="36541A28"/>
    <w:rsid w:val="365B6913"/>
    <w:rsid w:val="36625EF3"/>
    <w:rsid w:val="36642D30"/>
    <w:rsid w:val="366773DF"/>
    <w:rsid w:val="36923549"/>
    <w:rsid w:val="36A4475E"/>
    <w:rsid w:val="36AC716F"/>
    <w:rsid w:val="36B75FBF"/>
    <w:rsid w:val="36BD312A"/>
    <w:rsid w:val="36C344B8"/>
    <w:rsid w:val="36CA5204"/>
    <w:rsid w:val="36CC15BF"/>
    <w:rsid w:val="36D641EB"/>
    <w:rsid w:val="36DF7544"/>
    <w:rsid w:val="36E44B5A"/>
    <w:rsid w:val="36E6103A"/>
    <w:rsid w:val="36F11025"/>
    <w:rsid w:val="36FB4891"/>
    <w:rsid w:val="370C5E5F"/>
    <w:rsid w:val="37133D87"/>
    <w:rsid w:val="371F2036"/>
    <w:rsid w:val="37307DA0"/>
    <w:rsid w:val="37384EA6"/>
    <w:rsid w:val="37533A8E"/>
    <w:rsid w:val="376734F4"/>
    <w:rsid w:val="376C6257"/>
    <w:rsid w:val="377A1B09"/>
    <w:rsid w:val="378612BF"/>
    <w:rsid w:val="378C0D4E"/>
    <w:rsid w:val="3790083E"/>
    <w:rsid w:val="37983B97"/>
    <w:rsid w:val="37B07013"/>
    <w:rsid w:val="37B7226F"/>
    <w:rsid w:val="37C30C14"/>
    <w:rsid w:val="37CF580A"/>
    <w:rsid w:val="37DD15AA"/>
    <w:rsid w:val="37ED7A3F"/>
    <w:rsid w:val="37F60FE9"/>
    <w:rsid w:val="37FC5ED4"/>
    <w:rsid w:val="38066D52"/>
    <w:rsid w:val="38084878"/>
    <w:rsid w:val="382673F4"/>
    <w:rsid w:val="38273D17"/>
    <w:rsid w:val="38297F3C"/>
    <w:rsid w:val="382C4A0B"/>
    <w:rsid w:val="38321297"/>
    <w:rsid w:val="38333FA4"/>
    <w:rsid w:val="383C09C6"/>
    <w:rsid w:val="383E473E"/>
    <w:rsid w:val="384C270B"/>
    <w:rsid w:val="384D4981"/>
    <w:rsid w:val="38545D10"/>
    <w:rsid w:val="38563836"/>
    <w:rsid w:val="385A437F"/>
    <w:rsid w:val="385D0157"/>
    <w:rsid w:val="386C12AB"/>
    <w:rsid w:val="387243E8"/>
    <w:rsid w:val="387303E4"/>
    <w:rsid w:val="38761A93"/>
    <w:rsid w:val="38806B05"/>
    <w:rsid w:val="38946FDB"/>
    <w:rsid w:val="389B616C"/>
    <w:rsid w:val="38A50319"/>
    <w:rsid w:val="38AD5420"/>
    <w:rsid w:val="38BB7B3D"/>
    <w:rsid w:val="38BF587F"/>
    <w:rsid w:val="38C2711D"/>
    <w:rsid w:val="38CC1D4A"/>
    <w:rsid w:val="38D879A8"/>
    <w:rsid w:val="38F12CD3"/>
    <w:rsid w:val="38F92413"/>
    <w:rsid w:val="38F94775"/>
    <w:rsid w:val="39203E44"/>
    <w:rsid w:val="39253208"/>
    <w:rsid w:val="392971ED"/>
    <w:rsid w:val="39303FF3"/>
    <w:rsid w:val="39346C55"/>
    <w:rsid w:val="39363667"/>
    <w:rsid w:val="3950297B"/>
    <w:rsid w:val="3958538C"/>
    <w:rsid w:val="395F496C"/>
    <w:rsid w:val="39602492"/>
    <w:rsid w:val="39693A3D"/>
    <w:rsid w:val="396B3311"/>
    <w:rsid w:val="396D238A"/>
    <w:rsid w:val="39793A97"/>
    <w:rsid w:val="397C3770"/>
    <w:rsid w:val="39810D86"/>
    <w:rsid w:val="39924D42"/>
    <w:rsid w:val="399F1F67"/>
    <w:rsid w:val="39AF6354"/>
    <w:rsid w:val="39B53A46"/>
    <w:rsid w:val="39D11440"/>
    <w:rsid w:val="39D970C5"/>
    <w:rsid w:val="39F46A0E"/>
    <w:rsid w:val="39F64D3A"/>
    <w:rsid w:val="39F95C91"/>
    <w:rsid w:val="39FF3A59"/>
    <w:rsid w:val="3A083D6B"/>
    <w:rsid w:val="3A1F40FB"/>
    <w:rsid w:val="3A282FB0"/>
    <w:rsid w:val="3A2B0CF2"/>
    <w:rsid w:val="3A2F07E2"/>
    <w:rsid w:val="3A3556CD"/>
    <w:rsid w:val="3A461688"/>
    <w:rsid w:val="3A540249"/>
    <w:rsid w:val="3A59108B"/>
    <w:rsid w:val="3A5C35BA"/>
    <w:rsid w:val="3A5E2E76"/>
    <w:rsid w:val="3A640E4B"/>
    <w:rsid w:val="3A6B74B0"/>
    <w:rsid w:val="3A736762"/>
    <w:rsid w:val="3A775CE5"/>
    <w:rsid w:val="3A8A77C7"/>
    <w:rsid w:val="3A920D71"/>
    <w:rsid w:val="3A992100"/>
    <w:rsid w:val="3A9E7716"/>
    <w:rsid w:val="3AC60B67"/>
    <w:rsid w:val="3ADC46E1"/>
    <w:rsid w:val="3AFE01B5"/>
    <w:rsid w:val="3AFF6407"/>
    <w:rsid w:val="3B027CA5"/>
    <w:rsid w:val="3B0A0908"/>
    <w:rsid w:val="3B106CFD"/>
    <w:rsid w:val="3B113817"/>
    <w:rsid w:val="3B192301"/>
    <w:rsid w:val="3B292616"/>
    <w:rsid w:val="3B3763D1"/>
    <w:rsid w:val="3B381919"/>
    <w:rsid w:val="3B5129DA"/>
    <w:rsid w:val="3B5424B5"/>
    <w:rsid w:val="3B585916"/>
    <w:rsid w:val="3B5F5322"/>
    <w:rsid w:val="3B781E49"/>
    <w:rsid w:val="3B893F22"/>
    <w:rsid w:val="3B903503"/>
    <w:rsid w:val="3B9052B1"/>
    <w:rsid w:val="3B936B4F"/>
    <w:rsid w:val="3BA348C7"/>
    <w:rsid w:val="3BA725FA"/>
    <w:rsid w:val="3BA82A38"/>
    <w:rsid w:val="3BB56F0D"/>
    <w:rsid w:val="3BC44F5A"/>
    <w:rsid w:val="3BCB44F6"/>
    <w:rsid w:val="3BCC2061"/>
    <w:rsid w:val="3BDA1A6F"/>
    <w:rsid w:val="3BDC782D"/>
    <w:rsid w:val="3BE36346"/>
    <w:rsid w:val="3C0558AB"/>
    <w:rsid w:val="3C1732DC"/>
    <w:rsid w:val="3C1C6B44"/>
    <w:rsid w:val="3C21415B"/>
    <w:rsid w:val="3C243C4B"/>
    <w:rsid w:val="3C406CD7"/>
    <w:rsid w:val="3C4B7CA5"/>
    <w:rsid w:val="3C553E04"/>
    <w:rsid w:val="3C573A8F"/>
    <w:rsid w:val="3C5A1F80"/>
    <w:rsid w:val="3C6504EB"/>
    <w:rsid w:val="3C8A1D00"/>
    <w:rsid w:val="3C8C1F1C"/>
    <w:rsid w:val="3C9074B5"/>
    <w:rsid w:val="3C973023"/>
    <w:rsid w:val="3C983CE2"/>
    <w:rsid w:val="3CAA3284"/>
    <w:rsid w:val="3CAF5C0A"/>
    <w:rsid w:val="3CB163D2"/>
    <w:rsid w:val="3CB274A9"/>
    <w:rsid w:val="3CBA07BD"/>
    <w:rsid w:val="3CD029E3"/>
    <w:rsid w:val="3CD15B81"/>
    <w:rsid w:val="3CDA245A"/>
    <w:rsid w:val="3CE33B06"/>
    <w:rsid w:val="3CE60EAE"/>
    <w:rsid w:val="3CEA279F"/>
    <w:rsid w:val="3CEE0A37"/>
    <w:rsid w:val="3CF9040D"/>
    <w:rsid w:val="3D0221DE"/>
    <w:rsid w:val="3D133790"/>
    <w:rsid w:val="3D15159A"/>
    <w:rsid w:val="3D1D700B"/>
    <w:rsid w:val="3D1E68EC"/>
    <w:rsid w:val="3D211F38"/>
    <w:rsid w:val="3D324146"/>
    <w:rsid w:val="3D402D06"/>
    <w:rsid w:val="3D55095C"/>
    <w:rsid w:val="3D590896"/>
    <w:rsid w:val="3D6D7401"/>
    <w:rsid w:val="3D714C6E"/>
    <w:rsid w:val="3D792146"/>
    <w:rsid w:val="3DA908AC"/>
    <w:rsid w:val="3DA90C0B"/>
    <w:rsid w:val="3DAB60B8"/>
    <w:rsid w:val="3DAD3404"/>
    <w:rsid w:val="3DB66B25"/>
    <w:rsid w:val="3DB83E1C"/>
    <w:rsid w:val="3DBA22BB"/>
    <w:rsid w:val="3DBA4867"/>
    <w:rsid w:val="3DC40210"/>
    <w:rsid w:val="3DC6320C"/>
    <w:rsid w:val="3DD97882"/>
    <w:rsid w:val="3DEE1D27"/>
    <w:rsid w:val="3DF56664"/>
    <w:rsid w:val="3DFF227A"/>
    <w:rsid w:val="3E09134A"/>
    <w:rsid w:val="3E0E6B7D"/>
    <w:rsid w:val="3E2C6956"/>
    <w:rsid w:val="3E4203B8"/>
    <w:rsid w:val="3E45722C"/>
    <w:rsid w:val="3E4800C5"/>
    <w:rsid w:val="3E530817"/>
    <w:rsid w:val="3E642A25"/>
    <w:rsid w:val="3E7013C9"/>
    <w:rsid w:val="3E733196"/>
    <w:rsid w:val="3E7762B4"/>
    <w:rsid w:val="3E797AC2"/>
    <w:rsid w:val="3EA177D5"/>
    <w:rsid w:val="3EA4471C"/>
    <w:rsid w:val="3EC04B82"/>
    <w:rsid w:val="3ED761A3"/>
    <w:rsid w:val="3ED83CAB"/>
    <w:rsid w:val="3EDC25BB"/>
    <w:rsid w:val="3EE15E23"/>
    <w:rsid w:val="3EE35DCD"/>
    <w:rsid w:val="3EEF4053"/>
    <w:rsid w:val="3EF1768B"/>
    <w:rsid w:val="3EF215CC"/>
    <w:rsid w:val="3F055FB6"/>
    <w:rsid w:val="3F0D4E6A"/>
    <w:rsid w:val="3F161F71"/>
    <w:rsid w:val="3F2006FA"/>
    <w:rsid w:val="3F20694C"/>
    <w:rsid w:val="3F226CFE"/>
    <w:rsid w:val="3F285800"/>
    <w:rsid w:val="3F3B19D7"/>
    <w:rsid w:val="3F4940F4"/>
    <w:rsid w:val="3F4B2C2A"/>
    <w:rsid w:val="3F4B392D"/>
    <w:rsid w:val="3F55760A"/>
    <w:rsid w:val="3F660E74"/>
    <w:rsid w:val="3F763756"/>
    <w:rsid w:val="3F7A2500"/>
    <w:rsid w:val="3F7E6908"/>
    <w:rsid w:val="3F813922"/>
    <w:rsid w:val="3F854A01"/>
    <w:rsid w:val="3F88629F"/>
    <w:rsid w:val="3F895D7E"/>
    <w:rsid w:val="3F9707F3"/>
    <w:rsid w:val="3F9877AE"/>
    <w:rsid w:val="3FA24FF5"/>
    <w:rsid w:val="3FBA6DA0"/>
    <w:rsid w:val="3FD140EA"/>
    <w:rsid w:val="3FD15E98"/>
    <w:rsid w:val="3FDA2F9E"/>
    <w:rsid w:val="3FDC2362"/>
    <w:rsid w:val="3FE86650"/>
    <w:rsid w:val="3FF656F1"/>
    <w:rsid w:val="3FFD6C8D"/>
    <w:rsid w:val="40095632"/>
    <w:rsid w:val="400973E0"/>
    <w:rsid w:val="400D6006"/>
    <w:rsid w:val="401D2E8B"/>
    <w:rsid w:val="401F2997"/>
    <w:rsid w:val="40295CD4"/>
    <w:rsid w:val="402B37FA"/>
    <w:rsid w:val="40362AC3"/>
    <w:rsid w:val="404043A0"/>
    <w:rsid w:val="40503261"/>
    <w:rsid w:val="40554C35"/>
    <w:rsid w:val="40610FCA"/>
    <w:rsid w:val="40640ABA"/>
    <w:rsid w:val="40644F5E"/>
    <w:rsid w:val="407A6407"/>
    <w:rsid w:val="408056BB"/>
    <w:rsid w:val="408D62D0"/>
    <w:rsid w:val="409B49AA"/>
    <w:rsid w:val="409E0DFA"/>
    <w:rsid w:val="40B52091"/>
    <w:rsid w:val="40B557B9"/>
    <w:rsid w:val="40B57980"/>
    <w:rsid w:val="40B95721"/>
    <w:rsid w:val="40BB2DD0"/>
    <w:rsid w:val="40C913D4"/>
    <w:rsid w:val="40CB231C"/>
    <w:rsid w:val="40D774DE"/>
    <w:rsid w:val="40DA6FCE"/>
    <w:rsid w:val="40DE05A8"/>
    <w:rsid w:val="40E1035D"/>
    <w:rsid w:val="40E23BE4"/>
    <w:rsid w:val="40ED0AAF"/>
    <w:rsid w:val="40F005A0"/>
    <w:rsid w:val="40F40A87"/>
    <w:rsid w:val="41022FD4"/>
    <w:rsid w:val="410447A5"/>
    <w:rsid w:val="412160C9"/>
    <w:rsid w:val="41313092"/>
    <w:rsid w:val="41405083"/>
    <w:rsid w:val="41436921"/>
    <w:rsid w:val="4153125A"/>
    <w:rsid w:val="41583ECA"/>
    <w:rsid w:val="415B75FC"/>
    <w:rsid w:val="41765F5A"/>
    <w:rsid w:val="41A82C28"/>
    <w:rsid w:val="41AD023F"/>
    <w:rsid w:val="41B35408"/>
    <w:rsid w:val="41BD4926"/>
    <w:rsid w:val="41C71300"/>
    <w:rsid w:val="41CD18C8"/>
    <w:rsid w:val="41CF4659"/>
    <w:rsid w:val="41F145CF"/>
    <w:rsid w:val="41F15AEE"/>
    <w:rsid w:val="41FD4D22"/>
    <w:rsid w:val="4207191B"/>
    <w:rsid w:val="420C2CFA"/>
    <w:rsid w:val="420C765B"/>
    <w:rsid w:val="420F4A55"/>
    <w:rsid w:val="423A3BCC"/>
    <w:rsid w:val="424741EF"/>
    <w:rsid w:val="42554B5E"/>
    <w:rsid w:val="425A6618"/>
    <w:rsid w:val="42725710"/>
    <w:rsid w:val="427C033D"/>
    <w:rsid w:val="428C0621"/>
    <w:rsid w:val="429513FF"/>
    <w:rsid w:val="42B171A4"/>
    <w:rsid w:val="42C70660"/>
    <w:rsid w:val="42C972FA"/>
    <w:rsid w:val="42D31F27"/>
    <w:rsid w:val="42DA5063"/>
    <w:rsid w:val="42DD73D7"/>
    <w:rsid w:val="42DE413A"/>
    <w:rsid w:val="42ED123B"/>
    <w:rsid w:val="42F07BB5"/>
    <w:rsid w:val="42FF2D1C"/>
    <w:rsid w:val="43086870"/>
    <w:rsid w:val="431E0128"/>
    <w:rsid w:val="432361CC"/>
    <w:rsid w:val="43326C4D"/>
    <w:rsid w:val="4339622E"/>
    <w:rsid w:val="433A6FE6"/>
    <w:rsid w:val="4350713C"/>
    <w:rsid w:val="436653E0"/>
    <w:rsid w:val="437C436D"/>
    <w:rsid w:val="43917E18"/>
    <w:rsid w:val="4396542E"/>
    <w:rsid w:val="439B2A45"/>
    <w:rsid w:val="43A85162"/>
    <w:rsid w:val="43AA2C88"/>
    <w:rsid w:val="43B34232"/>
    <w:rsid w:val="43CF26EE"/>
    <w:rsid w:val="43D321DE"/>
    <w:rsid w:val="43D45F57"/>
    <w:rsid w:val="43DD4E0B"/>
    <w:rsid w:val="43E837B0"/>
    <w:rsid w:val="44063FD2"/>
    <w:rsid w:val="44170B63"/>
    <w:rsid w:val="441B5933"/>
    <w:rsid w:val="4445276C"/>
    <w:rsid w:val="445F4171"/>
    <w:rsid w:val="446948F1"/>
    <w:rsid w:val="4475326D"/>
    <w:rsid w:val="44780FD8"/>
    <w:rsid w:val="447B4624"/>
    <w:rsid w:val="448434D9"/>
    <w:rsid w:val="44915BF6"/>
    <w:rsid w:val="44A771C7"/>
    <w:rsid w:val="44C85ABB"/>
    <w:rsid w:val="44CD14E0"/>
    <w:rsid w:val="44E17603"/>
    <w:rsid w:val="44E34926"/>
    <w:rsid w:val="44E81CBA"/>
    <w:rsid w:val="450051DA"/>
    <w:rsid w:val="45054A10"/>
    <w:rsid w:val="450E2B5C"/>
    <w:rsid w:val="45107462"/>
    <w:rsid w:val="4518650F"/>
    <w:rsid w:val="451A1056"/>
    <w:rsid w:val="451F3201"/>
    <w:rsid w:val="45362927"/>
    <w:rsid w:val="453C2005"/>
    <w:rsid w:val="45442C68"/>
    <w:rsid w:val="454F1D39"/>
    <w:rsid w:val="45690320"/>
    <w:rsid w:val="45707244"/>
    <w:rsid w:val="4580164A"/>
    <w:rsid w:val="458539AC"/>
    <w:rsid w:val="458946E9"/>
    <w:rsid w:val="458D460F"/>
    <w:rsid w:val="45975BBB"/>
    <w:rsid w:val="45A2743F"/>
    <w:rsid w:val="45A32084"/>
    <w:rsid w:val="45B1654F"/>
    <w:rsid w:val="45C53801"/>
    <w:rsid w:val="45C85647"/>
    <w:rsid w:val="45D264C6"/>
    <w:rsid w:val="45DC6F0D"/>
    <w:rsid w:val="45FC3821"/>
    <w:rsid w:val="45FD79E7"/>
    <w:rsid w:val="46130FB8"/>
    <w:rsid w:val="46146ADE"/>
    <w:rsid w:val="462036D5"/>
    <w:rsid w:val="4622553B"/>
    <w:rsid w:val="46242373"/>
    <w:rsid w:val="462C41D3"/>
    <w:rsid w:val="46333408"/>
    <w:rsid w:val="463827CD"/>
    <w:rsid w:val="46456C98"/>
    <w:rsid w:val="464D2552"/>
    <w:rsid w:val="465502A3"/>
    <w:rsid w:val="465D0485"/>
    <w:rsid w:val="466062C5"/>
    <w:rsid w:val="4661153E"/>
    <w:rsid w:val="46747F38"/>
    <w:rsid w:val="467978A3"/>
    <w:rsid w:val="467A2DE5"/>
    <w:rsid w:val="46A2058E"/>
    <w:rsid w:val="46A95479"/>
    <w:rsid w:val="46AB11F1"/>
    <w:rsid w:val="46B72C6E"/>
    <w:rsid w:val="46BF4C9C"/>
    <w:rsid w:val="46CE7995"/>
    <w:rsid w:val="46D149CF"/>
    <w:rsid w:val="46D955A7"/>
    <w:rsid w:val="46DE02D0"/>
    <w:rsid w:val="470B6133"/>
    <w:rsid w:val="471054F8"/>
    <w:rsid w:val="47133957"/>
    <w:rsid w:val="472924B7"/>
    <w:rsid w:val="47376F28"/>
    <w:rsid w:val="47451645"/>
    <w:rsid w:val="47490A0A"/>
    <w:rsid w:val="474D04FA"/>
    <w:rsid w:val="474E7DCE"/>
    <w:rsid w:val="47510412"/>
    <w:rsid w:val="47573126"/>
    <w:rsid w:val="475C24EB"/>
    <w:rsid w:val="476129A2"/>
    <w:rsid w:val="4762308A"/>
    <w:rsid w:val="4779329E"/>
    <w:rsid w:val="477A6E15"/>
    <w:rsid w:val="477D30A1"/>
    <w:rsid w:val="47834136"/>
    <w:rsid w:val="47841553"/>
    <w:rsid w:val="47876D4D"/>
    <w:rsid w:val="47947ED7"/>
    <w:rsid w:val="479A532E"/>
    <w:rsid w:val="47A07E0C"/>
    <w:rsid w:val="47A14FC9"/>
    <w:rsid w:val="47A619B8"/>
    <w:rsid w:val="47AD71EA"/>
    <w:rsid w:val="47B75973"/>
    <w:rsid w:val="47B93D6C"/>
    <w:rsid w:val="47B9793D"/>
    <w:rsid w:val="47C02A7A"/>
    <w:rsid w:val="47E760E3"/>
    <w:rsid w:val="47EA7812"/>
    <w:rsid w:val="4803505C"/>
    <w:rsid w:val="480908C5"/>
    <w:rsid w:val="48166B3E"/>
    <w:rsid w:val="48221986"/>
    <w:rsid w:val="482A25E9"/>
    <w:rsid w:val="482F5E51"/>
    <w:rsid w:val="48315726"/>
    <w:rsid w:val="48335942"/>
    <w:rsid w:val="48401E0D"/>
    <w:rsid w:val="48561630"/>
    <w:rsid w:val="485C23FD"/>
    <w:rsid w:val="48623172"/>
    <w:rsid w:val="486414CE"/>
    <w:rsid w:val="486A6E89"/>
    <w:rsid w:val="4870272E"/>
    <w:rsid w:val="487B5471"/>
    <w:rsid w:val="48816489"/>
    <w:rsid w:val="48904792"/>
    <w:rsid w:val="48967C7F"/>
    <w:rsid w:val="489D725F"/>
    <w:rsid w:val="48AB197C"/>
    <w:rsid w:val="48AF2AEE"/>
    <w:rsid w:val="48B265F5"/>
    <w:rsid w:val="48B30830"/>
    <w:rsid w:val="48BF2D31"/>
    <w:rsid w:val="48C104AD"/>
    <w:rsid w:val="48C4659A"/>
    <w:rsid w:val="48E15C22"/>
    <w:rsid w:val="48E46C3C"/>
    <w:rsid w:val="48FA1FBB"/>
    <w:rsid w:val="48FC7494"/>
    <w:rsid w:val="490115D2"/>
    <w:rsid w:val="49033450"/>
    <w:rsid w:val="490B41C9"/>
    <w:rsid w:val="490B5F77"/>
    <w:rsid w:val="4916491B"/>
    <w:rsid w:val="49231193"/>
    <w:rsid w:val="49292406"/>
    <w:rsid w:val="493076EB"/>
    <w:rsid w:val="494374BA"/>
    <w:rsid w:val="494B2817"/>
    <w:rsid w:val="4950607F"/>
    <w:rsid w:val="49650FE7"/>
    <w:rsid w:val="49731D6E"/>
    <w:rsid w:val="49746212"/>
    <w:rsid w:val="497A3FDE"/>
    <w:rsid w:val="4995285F"/>
    <w:rsid w:val="49970EBB"/>
    <w:rsid w:val="49A908F1"/>
    <w:rsid w:val="49AB775A"/>
    <w:rsid w:val="49B10676"/>
    <w:rsid w:val="49C12A7C"/>
    <w:rsid w:val="49C32CF5"/>
    <w:rsid w:val="49C449CF"/>
    <w:rsid w:val="49D7054F"/>
    <w:rsid w:val="49D722FD"/>
    <w:rsid w:val="49DB003F"/>
    <w:rsid w:val="49DC7715"/>
    <w:rsid w:val="49DE66BB"/>
    <w:rsid w:val="4A01737A"/>
    <w:rsid w:val="4A023139"/>
    <w:rsid w:val="4A395CA2"/>
    <w:rsid w:val="4A4F3F5D"/>
    <w:rsid w:val="4A6B6F4D"/>
    <w:rsid w:val="4A7144FF"/>
    <w:rsid w:val="4A767978"/>
    <w:rsid w:val="4A7B576F"/>
    <w:rsid w:val="4A842484"/>
    <w:rsid w:val="4A9B460E"/>
    <w:rsid w:val="4A9F106C"/>
    <w:rsid w:val="4A9F5E3B"/>
    <w:rsid w:val="4AB03279"/>
    <w:rsid w:val="4AB97C54"/>
    <w:rsid w:val="4ABA40F8"/>
    <w:rsid w:val="4AC41483"/>
    <w:rsid w:val="4AC44F0B"/>
    <w:rsid w:val="4AE4424C"/>
    <w:rsid w:val="4AE802F1"/>
    <w:rsid w:val="4AEB2504"/>
    <w:rsid w:val="4AEB42B2"/>
    <w:rsid w:val="4AF97BDF"/>
    <w:rsid w:val="4B005883"/>
    <w:rsid w:val="4B0E7FA0"/>
    <w:rsid w:val="4B0F7EDA"/>
    <w:rsid w:val="4B221639"/>
    <w:rsid w:val="4B2B2900"/>
    <w:rsid w:val="4B2E1A92"/>
    <w:rsid w:val="4B3D40BA"/>
    <w:rsid w:val="4B674293"/>
    <w:rsid w:val="4B7818BD"/>
    <w:rsid w:val="4B7A5635"/>
    <w:rsid w:val="4B7B4EE4"/>
    <w:rsid w:val="4B95246F"/>
    <w:rsid w:val="4BB173F0"/>
    <w:rsid w:val="4BB60FCD"/>
    <w:rsid w:val="4BCD1C09"/>
    <w:rsid w:val="4BD11892"/>
    <w:rsid w:val="4BD9235C"/>
    <w:rsid w:val="4BDC1E4C"/>
    <w:rsid w:val="4BDE5BC4"/>
    <w:rsid w:val="4BF058F8"/>
    <w:rsid w:val="4BF97591"/>
    <w:rsid w:val="4BFF5B3B"/>
    <w:rsid w:val="4C066EC9"/>
    <w:rsid w:val="4C142DD5"/>
    <w:rsid w:val="4C14790A"/>
    <w:rsid w:val="4C183B62"/>
    <w:rsid w:val="4C211F55"/>
    <w:rsid w:val="4C273624"/>
    <w:rsid w:val="4C2F6590"/>
    <w:rsid w:val="4C3E48B5"/>
    <w:rsid w:val="4C4A0649"/>
    <w:rsid w:val="4C523EBC"/>
    <w:rsid w:val="4C575977"/>
    <w:rsid w:val="4C612351"/>
    <w:rsid w:val="4C7B1D9D"/>
    <w:rsid w:val="4C8147A2"/>
    <w:rsid w:val="4C821249"/>
    <w:rsid w:val="4C836BD3"/>
    <w:rsid w:val="4C8C0A39"/>
    <w:rsid w:val="4CA42A33"/>
    <w:rsid w:val="4CA85525"/>
    <w:rsid w:val="4CD314A1"/>
    <w:rsid w:val="4CD34FFD"/>
    <w:rsid w:val="4CD82614"/>
    <w:rsid w:val="4CE470D3"/>
    <w:rsid w:val="4D19111E"/>
    <w:rsid w:val="4D1A70D0"/>
    <w:rsid w:val="4D1D271C"/>
    <w:rsid w:val="4D227D33"/>
    <w:rsid w:val="4D2717ED"/>
    <w:rsid w:val="4D3A1520"/>
    <w:rsid w:val="4D453A21"/>
    <w:rsid w:val="4D457759"/>
    <w:rsid w:val="4D471547"/>
    <w:rsid w:val="4D537EEC"/>
    <w:rsid w:val="4D593131"/>
    <w:rsid w:val="4D7D140D"/>
    <w:rsid w:val="4D84736B"/>
    <w:rsid w:val="4D862070"/>
    <w:rsid w:val="4D986247"/>
    <w:rsid w:val="4DA150FB"/>
    <w:rsid w:val="4DA44BEC"/>
    <w:rsid w:val="4DA70238"/>
    <w:rsid w:val="4DB0533F"/>
    <w:rsid w:val="4DB766CD"/>
    <w:rsid w:val="4DC54612"/>
    <w:rsid w:val="4DE566F3"/>
    <w:rsid w:val="4DEA0823"/>
    <w:rsid w:val="4DEC4FB0"/>
    <w:rsid w:val="4DED6593"/>
    <w:rsid w:val="4DF06083"/>
    <w:rsid w:val="4DF63BB5"/>
    <w:rsid w:val="4E075D8A"/>
    <w:rsid w:val="4E0B07C7"/>
    <w:rsid w:val="4E2F5633"/>
    <w:rsid w:val="4E463703"/>
    <w:rsid w:val="4E465CA3"/>
    <w:rsid w:val="4E5C450E"/>
    <w:rsid w:val="4E5D6ED5"/>
    <w:rsid w:val="4E726A98"/>
    <w:rsid w:val="4E7D7917"/>
    <w:rsid w:val="4E845F40"/>
    <w:rsid w:val="4E870795"/>
    <w:rsid w:val="4E9609D8"/>
    <w:rsid w:val="4EA434C7"/>
    <w:rsid w:val="4EA524E3"/>
    <w:rsid w:val="4EA647B1"/>
    <w:rsid w:val="4EB424DB"/>
    <w:rsid w:val="4EC10240"/>
    <w:rsid w:val="4EC217CD"/>
    <w:rsid w:val="4ECB6FBB"/>
    <w:rsid w:val="4EEE3BC3"/>
    <w:rsid w:val="4EEF633A"/>
    <w:rsid w:val="4EF80C1C"/>
    <w:rsid w:val="4F0E67C1"/>
    <w:rsid w:val="4F1E452A"/>
    <w:rsid w:val="4F2222AD"/>
    <w:rsid w:val="4F251D5C"/>
    <w:rsid w:val="4F286A67"/>
    <w:rsid w:val="4F2C4E99"/>
    <w:rsid w:val="4F391364"/>
    <w:rsid w:val="4F3B332E"/>
    <w:rsid w:val="4F3F2E1E"/>
    <w:rsid w:val="4F4B17C3"/>
    <w:rsid w:val="4F501413"/>
    <w:rsid w:val="4F512177"/>
    <w:rsid w:val="4F641CE0"/>
    <w:rsid w:val="4F674123"/>
    <w:rsid w:val="4F7A0475"/>
    <w:rsid w:val="4F8D1DDB"/>
    <w:rsid w:val="4F9C50E5"/>
    <w:rsid w:val="4FAE1D52"/>
    <w:rsid w:val="4FBA4253"/>
    <w:rsid w:val="4FBC5F0F"/>
    <w:rsid w:val="4FBE01E7"/>
    <w:rsid w:val="4FBF7ABB"/>
    <w:rsid w:val="4FC60842"/>
    <w:rsid w:val="4FC62A8C"/>
    <w:rsid w:val="4FC74BC1"/>
    <w:rsid w:val="4FD7020F"/>
    <w:rsid w:val="4FE20F0D"/>
    <w:rsid w:val="4FE45773"/>
    <w:rsid w:val="4FFF1EB2"/>
    <w:rsid w:val="50011E81"/>
    <w:rsid w:val="50047BC4"/>
    <w:rsid w:val="500F57DD"/>
    <w:rsid w:val="50267B3A"/>
    <w:rsid w:val="504464B2"/>
    <w:rsid w:val="50504C4B"/>
    <w:rsid w:val="505226DD"/>
    <w:rsid w:val="505B3C87"/>
    <w:rsid w:val="505C355C"/>
    <w:rsid w:val="50744BD8"/>
    <w:rsid w:val="50770396"/>
    <w:rsid w:val="507E560B"/>
    <w:rsid w:val="50854DD4"/>
    <w:rsid w:val="508D1967"/>
    <w:rsid w:val="50990932"/>
    <w:rsid w:val="509C6E7C"/>
    <w:rsid w:val="50A76ECD"/>
    <w:rsid w:val="50AF4E94"/>
    <w:rsid w:val="50B74C36"/>
    <w:rsid w:val="50BB0A03"/>
    <w:rsid w:val="50C86E43"/>
    <w:rsid w:val="50CE7F89"/>
    <w:rsid w:val="50E21CB3"/>
    <w:rsid w:val="50EB434C"/>
    <w:rsid w:val="50F11284"/>
    <w:rsid w:val="511D0F3D"/>
    <w:rsid w:val="511D56DB"/>
    <w:rsid w:val="51295B34"/>
    <w:rsid w:val="51345314"/>
    <w:rsid w:val="513D338D"/>
    <w:rsid w:val="514E59DC"/>
    <w:rsid w:val="515D758B"/>
    <w:rsid w:val="51600E2A"/>
    <w:rsid w:val="5162104E"/>
    <w:rsid w:val="516D2BC8"/>
    <w:rsid w:val="517D7C2E"/>
    <w:rsid w:val="518014CC"/>
    <w:rsid w:val="51826DFB"/>
    <w:rsid w:val="518C1C1F"/>
    <w:rsid w:val="51BD002A"/>
    <w:rsid w:val="51C25655"/>
    <w:rsid w:val="51C55131"/>
    <w:rsid w:val="51D610EC"/>
    <w:rsid w:val="51DF4444"/>
    <w:rsid w:val="51E0071F"/>
    <w:rsid w:val="51E67581"/>
    <w:rsid w:val="51ED6B61"/>
    <w:rsid w:val="52021EE1"/>
    <w:rsid w:val="520420FD"/>
    <w:rsid w:val="520605DB"/>
    <w:rsid w:val="52087E4A"/>
    <w:rsid w:val="520D3941"/>
    <w:rsid w:val="521A2943"/>
    <w:rsid w:val="521D4F6D"/>
    <w:rsid w:val="52232583"/>
    <w:rsid w:val="523336B1"/>
    <w:rsid w:val="523A167B"/>
    <w:rsid w:val="52416EAD"/>
    <w:rsid w:val="526811E4"/>
    <w:rsid w:val="526D1A50"/>
    <w:rsid w:val="527041C0"/>
    <w:rsid w:val="52B72CCB"/>
    <w:rsid w:val="52C8137C"/>
    <w:rsid w:val="52D401F5"/>
    <w:rsid w:val="530028C4"/>
    <w:rsid w:val="5302038E"/>
    <w:rsid w:val="53034162"/>
    <w:rsid w:val="53066000"/>
    <w:rsid w:val="53154EDF"/>
    <w:rsid w:val="531B1B74"/>
    <w:rsid w:val="5330338D"/>
    <w:rsid w:val="534201A1"/>
    <w:rsid w:val="534529CD"/>
    <w:rsid w:val="535D45AB"/>
    <w:rsid w:val="53642E53"/>
    <w:rsid w:val="53695DA3"/>
    <w:rsid w:val="536E3CD2"/>
    <w:rsid w:val="539179C0"/>
    <w:rsid w:val="5394300C"/>
    <w:rsid w:val="53A039CC"/>
    <w:rsid w:val="53A1505A"/>
    <w:rsid w:val="53A95E5E"/>
    <w:rsid w:val="53B042EA"/>
    <w:rsid w:val="53B168B0"/>
    <w:rsid w:val="53B4545D"/>
    <w:rsid w:val="53C11F14"/>
    <w:rsid w:val="53C733E2"/>
    <w:rsid w:val="53D61877"/>
    <w:rsid w:val="53EA4E40"/>
    <w:rsid w:val="53EC2E48"/>
    <w:rsid w:val="53F52DB0"/>
    <w:rsid w:val="53FD1E0E"/>
    <w:rsid w:val="54063E08"/>
    <w:rsid w:val="541A7584"/>
    <w:rsid w:val="54280325"/>
    <w:rsid w:val="543437E8"/>
    <w:rsid w:val="543A753C"/>
    <w:rsid w:val="543E18F6"/>
    <w:rsid w:val="54414F42"/>
    <w:rsid w:val="54464375"/>
    <w:rsid w:val="544D38E7"/>
    <w:rsid w:val="544E58B1"/>
    <w:rsid w:val="545D78A2"/>
    <w:rsid w:val="54984B35"/>
    <w:rsid w:val="549C661D"/>
    <w:rsid w:val="54A52A84"/>
    <w:rsid w:val="54AB2D04"/>
    <w:rsid w:val="54C45A17"/>
    <w:rsid w:val="54CB447A"/>
    <w:rsid w:val="54D20290"/>
    <w:rsid w:val="54DA7145"/>
    <w:rsid w:val="54E63D3C"/>
    <w:rsid w:val="55027375"/>
    <w:rsid w:val="55086FD1"/>
    <w:rsid w:val="55144405"/>
    <w:rsid w:val="55200E06"/>
    <w:rsid w:val="55214D74"/>
    <w:rsid w:val="55222FC6"/>
    <w:rsid w:val="5526212E"/>
    <w:rsid w:val="55346855"/>
    <w:rsid w:val="55363F72"/>
    <w:rsid w:val="55384597"/>
    <w:rsid w:val="5539030F"/>
    <w:rsid w:val="553D7E00"/>
    <w:rsid w:val="55484C3E"/>
    <w:rsid w:val="55562C6F"/>
    <w:rsid w:val="5559450E"/>
    <w:rsid w:val="556F5ADF"/>
    <w:rsid w:val="55774994"/>
    <w:rsid w:val="55913CA7"/>
    <w:rsid w:val="559A7000"/>
    <w:rsid w:val="559B174B"/>
    <w:rsid w:val="559C669F"/>
    <w:rsid w:val="55B33C1E"/>
    <w:rsid w:val="55BF0815"/>
    <w:rsid w:val="55CE0CF4"/>
    <w:rsid w:val="55D122F6"/>
    <w:rsid w:val="55D342C0"/>
    <w:rsid w:val="55D84641"/>
    <w:rsid w:val="55DD18A9"/>
    <w:rsid w:val="560328C4"/>
    <w:rsid w:val="56053BDD"/>
    <w:rsid w:val="56124737"/>
    <w:rsid w:val="5613290E"/>
    <w:rsid w:val="56322EF6"/>
    <w:rsid w:val="56785D5C"/>
    <w:rsid w:val="569357FD"/>
    <w:rsid w:val="56AA3137"/>
    <w:rsid w:val="56B063AF"/>
    <w:rsid w:val="56B22A9C"/>
    <w:rsid w:val="56B90012"/>
    <w:rsid w:val="56BC2FA6"/>
    <w:rsid w:val="56C41E5B"/>
    <w:rsid w:val="56CD6F61"/>
    <w:rsid w:val="56CF0F2B"/>
    <w:rsid w:val="56D27983"/>
    <w:rsid w:val="56FA762A"/>
    <w:rsid w:val="570606C5"/>
    <w:rsid w:val="570D1A54"/>
    <w:rsid w:val="57204FA9"/>
    <w:rsid w:val="57266914"/>
    <w:rsid w:val="57284198"/>
    <w:rsid w:val="572E6C86"/>
    <w:rsid w:val="574216FD"/>
    <w:rsid w:val="57435BFB"/>
    <w:rsid w:val="57490115"/>
    <w:rsid w:val="574D00A2"/>
    <w:rsid w:val="575256B8"/>
    <w:rsid w:val="57544F8D"/>
    <w:rsid w:val="57597595"/>
    <w:rsid w:val="576469B4"/>
    <w:rsid w:val="5765363E"/>
    <w:rsid w:val="576B7380"/>
    <w:rsid w:val="576C0E39"/>
    <w:rsid w:val="57802226"/>
    <w:rsid w:val="57A17F6F"/>
    <w:rsid w:val="57A862D5"/>
    <w:rsid w:val="57B16E57"/>
    <w:rsid w:val="57B72A76"/>
    <w:rsid w:val="57BC2B32"/>
    <w:rsid w:val="57E97DCB"/>
    <w:rsid w:val="57EA3B43"/>
    <w:rsid w:val="57EC78BB"/>
    <w:rsid w:val="57FA5FD2"/>
    <w:rsid w:val="580D7ADE"/>
    <w:rsid w:val="58131D55"/>
    <w:rsid w:val="582726A1"/>
    <w:rsid w:val="58306639"/>
    <w:rsid w:val="583077A8"/>
    <w:rsid w:val="58344532"/>
    <w:rsid w:val="583C7693"/>
    <w:rsid w:val="587B0A01"/>
    <w:rsid w:val="588836A3"/>
    <w:rsid w:val="588B7733"/>
    <w:rsid w:val="588C6C62"/>
    <w:rsid w:val="58957B8F"/>
    <w:rsid w:val="589E6E07"/>
    <w:rsid w:val="58A46918"/>
    <w:rsid w:val="58AE4B70"/>
    <w:rsid w:val="58B55EFF"/>
    <w:rsid w:val="58BA3515"/>
    <w:rsid w:val="58C46142"/>
    <w:rsid w:val="58CB70A7"/>
    <w:rsid w:val="58CD6A5F"/>
    <w:rsid w:val="58D06629"/>
    <w:rsid w:val="58D643B4"/>
    <w:rsid w:val="58DC7930"/>
    <w:rsid w:val="58E04ED5"/>
    <w:rsid w:val="58E6430A"/>
    <w:rsid w:val="58F509F1"/>
    <w:rsid w:val="59030A18"/>
    <w:rsid w:val="590A1172"/>
    <w:rsid w:val="59126EAD"/>
    <w:rsid w:val="592E36A2"/>
    <w:rsid w:val="5939268C"/>
    <w:rsid w:val="5943350B"/>
    <w:rsid w:val="59464DA9"/>
    <w:rsid w:val="594E3CA4"/>
    <w:rsid w:val="596E1296"/>
    <w:rsid w:val="59701FF1"/>
    <w:rsid w:val="59745DBA"/>
    <w:rsid w:val="597A4A53"/>
    <w:rsid w:val="598558D1"/>
    <w:rsid w:val="599E6993"/>
    <w:rsid w:val="59A10231"/>
    <w:rsid w:val="59AA2E4E"/>
    <w:rsid w:val="59AB20A1"/>
    <w:rsid w:val="59B04782"/>
    <w:rsid w:val="59B77A55"/>
    <w:rsid w:val="59C517A2"/>
    <w:rsid w:val="59D10B16"/>
    <w:rsid w:val="59D14FBA"/>
    <w:rsid w:val="59F20A8D"/>
    <w:rsid w:val="59F6057D"/>
    <w:rsid w:val="59F760A3"/>
    <w:rsid w:val="59FA62BF"/>
    <w:rsid w:val="59FD5DAF"/>
    <w:rsid w:val="5A1223DE"/>
    <w:rsid w:val="5A2B35D1"/>
    <w:rsid w:val="5A315A59"/>
    <w:rsid w:val="5A3C747D"/>
    <w:rsid w:val="5A427C66"/>
    <w:rsid w:val="5A4C63EF"/>
    <w:rsid w:val="5A551748"/>
    <w:rsid w:val="5A56726E"/>
    <w:rsid w:val="5A596DE6"/>
    <w:rsid w:val="5A6000EC"/>
    <w:rsid w:val="5A6B0F6B"/>
    <w:rsid w:val="5A846733"/>
    <w:rsid w:val="5A8913F1"/>
    <w:rsid w:val="5A902780"/>
    <w:rsid w:val="5A955FE8"/>
    <w:rsid w:val="5A970938"/>
    <w:rsid w:val="5A981634"/>
    <w:rsid w:val="5ABE2233"/>
    <w:rsid w:val="5ACE5056"/>
    <w:rsid w:val="5AD3266C"/>
    <w:rsid w:val="5ADA1C4D"/>
    <w:rsid w:val="5ADD34EB"/>
    <w:rsid w:val="5AEB3E5A"/>
    <w:rsid w:val="5AEB68D7"/>
    <w:rsid w:val="5AED354F"/>
    <w:rsid w:val="5AF56A87"/>
    <w:rsid w:val="5AF820D3"/>
    <w:rsid w:val="5B084A0C"/>
    <w:rsid w:val="5B1A029B"/>
    <w:rsid w:val="5B24736C"/>
    <w:rsid w:val="5B276D18"/>
    <w:rsid w:val="5B296730"/>
    <w:rsid w:val="5B307ABF"/>
    <w:rsid w:val="5B44356A"/>
    <w:rsid w:val="5B5918C3"/>
    <w:rsid w:val="5B6360E6"/>
    <w:rsid w:val="5B653C21"/>
    <w:rsid w:val="5B7976B8"/>
    <w:rsid w:val="5B7D7A78"/>
    <w:rsid w:val="5B8C73EB"/>
    <w:rsid w:val="5B9B5ADD"/>
    <w:rsid w:val="5BA34735"/>
    <w:rsid w:val="5BB478E2"/>
    <w:rsid w:val="5BB66216"/>
    <w:rsid w:val="5BC0071A"/>
    <w:rsid w:val="5BC671A5"/>
    <w:rsid w:val="5BC70423"/>
    <w:rsid w:val="5BD922CF"/>
    <w:rsid w:val="5BDC02E7"/>
    <w:rsid w:val="5BDC37A3"/>
    <w:rsid w:val="5BDF5D95"/>
    <w:rsid w:val="5BE508A9"/>
    <w:rsid w:val="5BFA3A1D"/>
    <w:rsid w:val="5BFE196B"/>
    <w:rsid w:val="5C0C2178"/>
    <w:rsid w:val="5C0F1DCA"/>
    <w:rsid w:val="5C190553"/>
    <w:rsid w:val="5C335AB8"/>
    <w:rsid w:val="5C3D06E5"/>
    <w:rsid w:val="5C4E07B5"/>
    <w:rsid w:val="5C531CB7"/>
    <w:rsid w:val="5C665434"/>
    <w:rsid w:val="5C6F53A4"/>
    <w:rsid w:val="5C760D5E"/>
    <w:rsid w:val="5C7B745F"/>
    <w:rsid w:val="5C7F0CFE"/>
    <w:rsid w:val="5C806824"/>
    <w:rsid w:val="5C86208C"/>
    <w:rsid w:val="5C976ED0"/>
    <w:rsid w:val="5C9E3AD9"/>
    <w:rsid w:val="5CA42512"/>
    <w:rsid w:val="5CAC13C7"/>
    <w:rsid w:val="5CC051CE"/>
    <w:rsid w:val="5CCB1AB4"/>
    <w:rsid w:val="5CD86C33"/>
    <w:rsid w:val="5CE15514"/>
    <w:rsid w:val="5CFD1BAE"/>
    <w:rsid w:val="5D016F91"/>
    <w:rsid w:val="5D047455"/>
    <w:rsid w:val="5D1C654D"/>
    <w:rsid w:val="5D1D22C5"/>
    <w:rsid w:val="5D1F428F"/>
    <w:rsid w:val="5D292F37"/>
    <w:rsid w:val="5D296EBB"/>
    <w:rsid w:val="5D414205"/>
    <w:rsid w:val="5D4E247E"/>
    <w:rsid w:val="5D535CE6"/>
    <w:rsid w:val="5D645DC6"/>
    <w:rsid w:val="5D6A3A99"/>
    <w:rsid w:val="5D6B3030"/>
    <w:rsid w:val="5D6E452F"/>
    <w:rsid w:val="5D8B5480"/>
    <w:rsid w:val="5DA04D48"/>
    <w:rsid w:val="5DA6111A"/>
    <w:rsid w:val="5DAD53F7"/>
    <w:rsid w:val="5DB22A0D"/>
    <w:rsid w:val="5DB374A0"/>
    <w:rsid w:val="5DB70023"/>
    <w:rsid w:val="5DB76275"/>
    <w:rsid w:val="5DB82D9D"/>
    <w:rsid w:val="5DB91FED"/>
    <w:rsid w:val="5DC11FE8"/>
    <w:rsid w:val="5DC1252F"/>
    <w:rsid w:val="5DC27294"/>
    <w:rsid w:val="5DC55312"/>
    <w:rsid w:val="5DC80482"/>
    <w:rsid w:val="5DE27796"/>
    <w:rsid w:val="5DE33377"/>
    <w:rsid w:val="5DF87A0F"/>
    <w:rsid w:val="5DFC1EDA"/>
    <w:rsid w:val="5E2F22B0"/>
    <w:rsid w:val="5E40312C"/>
    <w:rsid w:val="5E420235"/>
    <w:rsid w:val="5E455888"/>
    <w:rsid w:val="5E4C4C10"/>
    <w:rsid w:val="5E592A4D"/>
    <w:rsid w:val="5E7E6D93"/>
    <w:rsid w:val="5E7F79B1"/>
    <w:rsid w:val="5E8171A1"/>
    <w:rsid w:val="5E856373"/>
    <w:rsid w:val="5E873E9A"/>
    <w:rsid w:val="5E8E5228"/>
    <w:rsid w:val="5E93283E"/>
    <w:rsid w:val="5E9A19B1"/>
    <w:rsid w:val="5EA06D09"/>
    <w:rsid w:val="5EAB402C"/>
    <w:rsid w:val="5EB511BC"/>
    <w:rsid w:val="5EC549C2"/>
    <w:rsid w:val="5EC62C14"/>
    <w:rsid w:val="5EC90CA7"/>
    <w:rsid w:val="5EDB19DD"/>
    <w:rsid w:val="5F0B14B3"/>
    <w:rsid w:val="5F1A2B43"/>
    <w:rsid w:val="5F230066"/>
    <w:rsid w:val="5F296CFF"/>
    <w:rsid w:val="5F2E0A3F"/>
    <w:rsid w:val="5F304531"/>
    <w:rsid w:val="5F3758C0"/>
    <w:rsid w:val="5F4A0E24"/>
    <w:rsid w:val="5F6751E7"/>
    <w:rsid w:val="5F685A79"/>
    <w:rsid w:val="5F6E6E08"/>
    <w:rsid w:val="5F97635E"/>
    <w:rsid w:val="5FA01B39"/>
    <w:rsid w:val="5FA347AB"/>
    <w:rsid w:val="5FAD7930"/>
    <w:rsid w:val="5FB52C88"/>
    <w:rsid w:val="5FB837BB"/>
    <w:rsid w:val="5FBE38EB"/>
    <w:rsid w:val="5FC66C44"/>
    <w:rsid w:val="5FC829BC"/>
    <w:rsid w:val="5FC92290"/>
    <w:rsid w:val="5FD135BC"/>
    <w:rsid w:val="5FDC0215"/>
    <w:rsid w:val="5FE570CA"/>
    <w:rsid w:val="5FF3766A"/>
    <w:rsid w:val="6005776C"/>
    <w:rsid w:val="60114363"/>
    <w:rsid w:val="601D2D07"/>
    <w:rsid w:val="602C4CF9"/>
    <w:rsid w:val="602F6597"/>
    <w:rsid w:val="60336139"/>
    <w:rsid w:val="60397678"/>
    <w:rsid w:val="60454E33"/>
    <w:rsid w:val="60485D7E"/>
    <w:rsid w:val="60511ABB"/>
    <w:rsid w:val="60536729"/>
    <w:rsid w:val="605437B3"/>
    <w:rsid w:val="605E4CD9"/>
    <w:rsid w:val="605F4B24"/>
    <w:rsid w:val="60675196"/>
    <w:rsid w:val="607C0A8D"/>
    <w:rsid w:val="60830691"/>
    <w:rsid w:val="60854409"/>
    <w:rsid w:val="609D3C93"/>
    <w:rsid w:val="609F196E"/>
    <w:rsid w:val="60B13450"/>
    <w:rsid w:val="60BA0556"/>
    <w:rsid w:val="60C5514D"/>
    <w:rsid w:val="60C82547"/>
    <w:rsid w:val="60E2185B"/>
    <w:rsid w:val="60F7601C"/>
    <w:rsid w:val="6126799A"/>
    <w:rsid w:val="61292A40"/>
    <w:rsid w:val="612E2CF2"/>
    <w:rsid w:val="61316435"/>
    <w:rsid w:val="61387D32"/>
    <w:rsid w:val="615269E1"/>
    <w:rsid w:val="61570FE7"/>
    <w:rsid w:val="61573FF7"/>
    <w:rsid w:val="615F2949"/>
    <w:rsid w:val="615F4C5A"/>
    <w:rsid w:val="61625A1B"/>
    <w:rsid w:val="61693D2A"/>
    <w:rsid w:val="61695AD8"/>
    <w:rsid w:val="61750921"/>
    <w:rsid w:val="61785D1C"/>
    <w:rsid w:val="617A0990"/>
    <w:rsid w:val="617C3A5E"/>
    <w:rsid w:val="617C580C"/>
    <w:rsid w:val="6186668A"/>
    <w:rsid w:val="619B1A52"/>
    <w:rsid w:val="61BA27D8"/>
    <w:rsid w:val="61BF7DEE"/>
    <w:rsid w:val="61C422C8"/>
    <w:rsid w:val="61D3043D"/>
    <w:rsid w:val="61E46F91"/>
    <w:rsid w:val="61E67129"/>
    <w:rsid w:val="61E909C7"/>
    <w:rsid w:val="61EA5313"/>
    <w:rsid w:val="61FE0917"/>
    <w:rsid w:val="620771B2"/>
    <w:rsid w:val="621E0127"/>
    <w:rsid w:val="622D6B06"/>
    <w:rsid w:val="622F7EFB"/>
    <w:rsid w:val="62364782"/>
    <w:rsid w:val="623954AB"/>
    <w:rsid w:val="6260512D"/>
    <w:rsid w:val="627F48F3"/>
    <w:rsid w:val="628C5F22"/>
    <w:rsid w:val="629152E7"/>
    <w:rsid w:val="6299419B"/>
    <w:rsid w:val="62A212A2"/>
    <w:rsid w:val="62AC3ECF"/>
    <w:rsid w:val="62B2525D"/>
    <w:rsid w:val="62C236F2"/>
    <w:rsid w:val="62C76F5B"/>
    <w:rsid w:val="62D535D8"/>
    <w:rsid w:val="6303076B"/>
    <w:rsid w:val="630B1245"/>
    <w:rsid w:val="6315416A"/>
    <w:rsid w:val="631C2DE5"/>
    <w:rsid w:val="63367CB5"/>
    <w:rsid w:val="633914DA"/>
    <w:rsid w:val="633D546F"/>
    <w:rsid w:val="63465C84"/>
    <w:rsid w:val="634E142A"/>
    <w:rsid w:val="634E31D8"/>
    <w:rsid w:val="63512CC8"/>
    <w:rsid w:val="637114CE"/>
    <w:rsid w:val="63927568"/>
    <w:rsid w:val="63972DD1"/>
    <w:rsid w:val="639C058F"/>
    <w:rsid w:val="639C2195"/>
    <w:rsid w:val="639F57E1"/>
    <w:rsid w:val="63A177AC"/>
    <w:rsid w:val="63AD6150"/>
    <w:rsid w:val="63B05C41"/>
    <w:rsid w:val="63B472ED"/>
    <w:rsid w:val="63B70D7D"/>
    <w:rsid w:val="63C3152B"/>
    <w:rsid w:val="63CA2FD8"/>
    <w:rsid w:val="63D40BE9"/>
    <w:rsid w:val="63E0211F"/>
    <w:rsid w:val="63EB09FA"/>
    <w:rsid w:val="63EB4ECB"/>
    <w:rsid w:val="63F20007"/>
    <w:rsid w:val="640D3093"/>
    <w:rsid w:val="640D3E11"/>
    <w:rsid w:val="641206A9"/>
    <w:rsid w:val="64171A3E"/>
    <w:rsid w:val="641937E6"/>
    <w:rsid w:val="6421340B"/>
    <w:rsid w:val="642F67E7"/>
    <w:rsid w:val="64326656"/>
    <w:rsid w:val="6449399F"/>
    <w:rsid w:val="6450287C"/>
    <w:rsid w:val="64524F4A"/>
    <w:rsid w:val="645C1924"/>
    <w:rsid w:val="647153D0"/>
    <w:rsid w:val="647E189B"/>
    <w:rsid w:val="64835103"/>
    <w:rsid w:val="648B3FB8"/>
    <w:rsid w:val="648D5F82"/>
    <w:rsid w:val="649153C5"/>
    <w:rsid w:val="64AA08E2"/>
    <w:rsid w:val="64B4350F"/>
    <w:rsid w:val="64B96F1B"/>
    <w:rsid w:val="64BD0615"/>
    <w:rsid w:val="64C37BF6"/>
    <w:rsid w:val="64C5571C"/>
    <w:rsid w:val="64C71494"/>
    <w:rsid w:val="64CB5307"/>
    <w:rsid w:val="64D224C6"/>
    <w:rsid w:val="64D35ED3"/>
    <w:rsid w:val="64DE77A6"/>
    <w:rsid w:val="64EA5182"/>
    <w:rsid w:val="65293EFC"/>
    <w:rsid w:val="652C12F7"/>
    <w:rsid w:val="652D4159"/>
    <w:rsid w:val="65366619"/>
    <w:rsid w:val="65373578"/>
    <w:rsid w:val="65414DC6"/>
    <w:rsid w:val="654330B7"/>
    <w:rsid w:val="65442AE4"/>
    <w:rsid w:val="65444892"/>
    <w:rsid w:val="656A76D3"/>
    <w:rsid w:val="657F58CB"/>
    <w:rsid w:val="6583125E"/>
    <w:rsid w:val="65846BD5"/>
    <w:rsid w:val="65856C59"/>
    <w:rsid w:val="658A333F"/>
    <w:rsid w:val="65905D2A"/>
    <w:rsid w:val="659B647C"/>
    <w:rsid w:val="65A6554D"/>
    <w:rsid w:val="65B03CD6"/>
    <w:rsid w:val="65BA6903"/>
    <w:rsid w:val="65C043C0"/>
    <w:rsid w:val="65C045C4"/>
    <w:rsid w:val="65D634A7"/>
    <w:rsid w:val="65E60204"/>
    <w:rsid w:val="65E676F8"/>
    <w:rsid w:val="65F63EB7"/>
    <w:rsid w:val="660364FC"/>
    <w:rsid w:val="6607566E"/>
    <w:rsid w:val="661C7825"/>
    <w:rsid w:val="66272662"/>
    <w:rsid w:val="664663E8"/>
    <w:rsid w:val="66482160"/>
    <w:rsid w:val="66546D57"/>
    <w:rsid w:val="665A1E94"/>
    <w:rsid w:val="66700199"/>
    <w:rsid w:val="667473F9"/>
    <w:rsid w:val="667B2536"/>
    <w:rsid w:val="668F5FE1"/>
    <w:rsid w:val="66A001EE"/>
    <w:rsid w:val="66A20636"/>
    <w:rsid w:val="66A31A8D"/>
    <w:rsid w:val="66A6332B"/>
    <w:rsid w:val="66AC6B93"/>
    <w:rsid w:val="66B141AA"/>
    <w:rsid w:val="66C73D09"/>
    <w:rsid w:val="66C7577B"/>
    <w:rsid w:val="66E53986"/>
    <w:rsid w:val="66FF3033"/>
    <w:rsid w:val="67006095"/>
    <w:rsid w:val="67024A05"/>
    <w:rsid w:val="670E33AA"/>
    <w:rsid w:val="672901E4"/>
    <w:rsid w:val="672F3320"/>
    <w:rsid w:val="67317098"/>
    <w:rsid w:val="673646AF"/>
    <w:rsid w:val="67382D95"/>
    <w:rsid w:val="673F2C7A"/>
    <w:rsid w:val="674548F2"/>
    <w:rsid w:val="67566AFF"/>
    <w:rsid w:val="67630CEF"/>
    <w:rsid w:val="677668F5"/>
    <w:rsid w:val="677B2837"/>
    <w:rsid w:val="678966E2"/>
    <w:rsid w:val="67A07D7A"/>
    <w:rsid w:val="67A535E2"/>
    <w:rsid w:val="67BF6452"/>
    <w:rsid w:val="67CD1BF1"/>
    <w:rsid w:val="67DA14DE"/>
    <w:rsid w:val="67DA328C"/>
    <w:rsid w:val="67E20393"/>
    <w:rsid w:val="67E73BFB"/>
    <w:rsid w:val="6813679E"/>
    <w:rsid w:val="68142C42"/>
    <w:rsid w:val="681C186B"/>
    <w:rsid w:val="681F6961"/>
    <w:rsid w:val="682409AB"/>
    <w:rsid w:val="682E182A"/>
    <w:rsid w:val="68354966"/>
    <w:rsid w:val="683E644A"/>
    <w:rsid w:val="6844104D"/>
    <w:rsid w:val="685272C6"/>
    <w:rsid w:val="68556DB7"/>
    <w:rsid w:val="68610A2F"/>
    <w:rsid w:val="68610D9C"/>
    <w:rsid w:val="6873052F"/>
    <w:rsid w:val="68757459"/>
    <w:rsid w:val="687B5411"/>
    <w:rsid w:val="687D3C28"/>
    <w:rsid w:val="687E630D"/>
    <w:rsid w:val="68805514"/>
    <w:rsid w:val="68906041"/>
    <w:rsid w:val="68964168"/>
    <w:rsid w:val="68A613C0"/>
    <w:rsid w:val="68AE2423"/>
    <w:rsid w:val="68B903CF"/>
    <w:rsid w:val="68BA4E6C"/>
    <w:rsid w:val="68D221B5"/>
    <w:rsid w:val="68D9772E"/>
    <w:rsid w:val="68F14D31"/>
    <w:rsid w:val="68F55EA4"/>
    <w:rsid w:val="68FE744E"/>
    <w:rsid w:val="69085BD7"/>
    <w:rsid w:val="690D143F"/>
    <w:rsid w:val="690E7EBB"/>
    <w:rsid w:val="69196036"/>
    <w:rsid w:val="691C1682"/>
    <w:rsid w:val="69232A11"/>
    <w:rsid w:val="692844CB"/>
    <w:rsid w:val="694E2071"/>
    <w:rsid w:val="6951448C"/>
    <w:rsid w:val="69676DA1"/>
    <w:rsid w:val="696C75A4"/>
    <w:rsid w:val="696D1EDE"/>
    <w:rsid w:val="697666D8"/>
    <w:rsid w:val="69780C95"/>
    <w:rsid w:val="697A2F79"/>
    <w:rsid w:val="697A3B33"/>
    <w:rsid w:val="697B284D"/>
    <w:rsid w:val="69802648"/>
    <w:rsid w:val="698C2CAC"/>
    <w:rsid w:val="69913E1E"/>
    <w:rsid w:val="699851AD"/>
    <w:rsid w:val="699E2456"/>
    <w:rsid w:val="69BA11E8"/>
    <w:rsid w:val="69C3225A"/>
    <w:rsid w:val="69C515DF"/>
    <w:rsid w:val="69CD44C1"/>
    <w:rsid w:val="69D5484B"/>
    <w:rsid w:val="69E16FCF"/>
    <w:rsid w:val="69F24922"/>
    <w:rsid w:val="69F66377"/>
    <w:rsid w:val="69F850F7"/>
    <w:rsid w:val="69FC398E"/>
    <w:rsid w:val="6A1D1A23"/>
    <w:rsid w:val="6A1D3904"/>
    <w:rsid w:val="6A413A96"/>
    <w:rsid w:val="6A4663F4"/>
    <w:rsid w:val="6A507835"/>
    <w:rsid w:val="6A515E2E"/>
    <w:rsid w:val="6A617C95"/>
    <w:rsid w:val="6A6257BB"/>
    <w:rsid w:val="6A71346D"/>
    <w:rsid w:val="6A7A48B2"/>
    <w:rsid w:val="6A885221"/>
    <w:rsid w:val="6A895812"/>
    <w:rsid w:val="6A8C014E"/>
    <w:rsid w:val="6A923EC9"/>
    <w:rsid w:val="6A9D076F"/>
    <w:rsid w:val="6AA85E77"/>
    <w:rsid w:val="6AAC4962"/>
    <w:rsid w:val="6AB451B7"/>
    <w:rsid w:val="6AC124E1"/>
    <w:rsid w:val="6AC36259"/>
    <w:rsid w:val="6AD22D22"/>
    <w:rsid w:val="6ADC3F65"/>
    <w:rsid w:val="6AEB755E"/>
    <w:rsid w:val="6AFA3F1E"/>
    <w:rsid w:val="6AFB5BA3"/>
    <w:rsid w:val="6B0A20DA"/>
    <w:rsid w:val="6B1116BB"/>
    <w:rsid w:val="6B322639"/>
    <w:rsid w:val="6B3D425E"/>
    <w:rsid w:val="6B511AB7"/>
    <w:rsid w:val="6B5E41D4"/>
    <w:rsid w:val="6B607F4C"/>
    <w:rsid w:val="6B8F438D"/>
    <w:rsid w:val="6B9474AA"/>
    <w:rsid w:val="6BA20565"/>
    <w:rsid w:val="6BAE1909"/>
    <w:rsid w:val="6BB9765C"/>
    <w:rsid w:val="6BD3071E"/>
    <w:rsid w:val="6BD46244"/>
    <w:rsid w:val="6BD90EA2"/>
    <w:rsid w:val="6BF012D0"/>
    <w:rsid w:val="6BFF1513"/>
    <w:rsid w:val="6C042FCD"/>
    <w:rsid w:val="6C046B2A"/>
    <w:rsid w:val="6C0703C8"/>
    <w:rsid w:val="6C0F1429"/>
    <w:rsid w:val="6C111DB6"/>
    <w:rsid w:val="6C134FBF"/>
    <w:rsid w:val="6C2076DB"/>
    <w:rsid w:val="6C282F92"/>
    <w:rsid w:val="6C2905ED"/>
    <w:rsid w:val="6C303DC2"/>
    <w:rsid w:val="6C3A585E"/>
    <w:rsid w:val="6C400C53"/>
    <w:rsid w:val="6C435017"/>
    <w:rsid w:val="6C477D1E"/>
    <w:rsid w:val="6C4C0AD1"/>
    <w:rsid w:val="6C5001CC"/>
    <w:rsid w:val="6C613F7C"/>
    <w:rsid w:val="6C621AA2"/>
    <w:rsid w:val="6C636C38"/>
    <w:rsid w:val="6C77554D"/>
    <w:rsid w:val="6C78665D"/>
    <w:rsid w:val="6C7C0DB6"/>
    <w:rsid w:val="6C81770F"/>
    <w:rsid w:val="6C8D7799"/>
    <w:rsid w:val="6C942FDB"/>
    <w:rsid w:val="6C9472C6"/>
    <w:rsid w:val="6C9F43D9"/>
    <w:rsid w:val="6CA1081C"/>
    <w:rsid w:val="6CA4030D"/>
    <w:rsid w:val="6CAB51F7"/>
    <w:rsid w:val="6CB609E9"/>
    <w:rsid w:val="6CB63947"/>
    <w:rsid w:val="6CBD554D"/>
    <w:rsid w:val="6CC24944"/>
    <w:rsid w:val="6CCB3AEB"/>
    <w:rsid w:val="6CE66B6E"/>
    <w:rsid w:val="6CE96FD8"/>
    <w:rsid w:val="6CEB574B"/>
    <w:rsid w:val="6CF50B68"/>
    <w:rsid w:val="6CFE17CB"/>
    <w:rsid w:val="6CFE5C6F"/>
    <w:rsid w:val="6D08089B"/>
    <w:rsid w:val="6D0907C7"/>
    <w:rsid w:val="6D0B3EE8"/>
    <w:rsid w:val="6D0C5CB8"/>
    <w:rsid w:val="6D0E5786"/>
    <w:rsid w:val="6D12171A"/>
    <w:rsid w:val="6D317DF2"/>
    <w:rsid w:val="6D360F25"/>
    <w:rsid w:val="6D3C6797"/>
    <w:rsid w:val="6D45564C"/>
    <w:rsid w:val="6D4D4500"/>
    <w:rsid w:val="6D5C2E74"/>
    <w:rsid w:val="6D617FAC"/>
    <w:rsid w:val="6D6C795A"/>
    <w:rsid w:val="6D765B32"/>
    <w:rsid w:val="6D7717B3"/>
    <w:rsid w:val="6D82752C"/>
    <w:rsid w:val="6D8D5D82"/>
    <w:rsid w:val="6D91263F"/>
    <w:rsid w:val="6D9E0063"/>
    <w:rsid w:val="6DB34098"/>
    <w:rsid w:val="6DB545B6"/>
    <w:rsid w:val="6DB620A5"/>
    <w:rsid w:val="6DD703B2"/>
    <w:rsid w:val="6DEA61F3"/>
    <w:rsid w:val="6DEB6993"/>
    <w:rsid w:val="6DF2523D"/>
    <w:rsid w:val="6DF90D44"/>
    <w:rsid w:val="6E0077C5"/>
    <w:rsid w:val="6E25131E"/>
    <w:rsid w:val="6E26667B"/>
    <w:rsid w:val="6E313E22"/>
    <w:rsid w:val="6E4375A0"/>
    <w:rsid w:val="6E4F6056"/>
    <w:rsid w:val="6E514CED"/>
    <w:rsid w:val="6E600263"/>
    <w:rsid w:val="6E62222D"/>
    <w:rsid w:val="6E677844"/>
    <w:rsid w:val="6E753D0F"/>
    <w:rsid w:val="6E79491A"/>
    <w:rsid w:val="6E910CC8"/>
    <w:rsid w:val="6E9248C1"/>
    <w:rsid w:val="6EA039EE"/>
    <w:rsid w:val="6EA225C7"/>
    <w:rsid w:val="6EA2262A"/>
    <w:rsid w:val="6EB321F9"/>
    <w:rsid w:val="6EB563D5"/>
    <w:rsid w:val="6EC86534"/>
    <w:rsid w:val="6ED544CF"/>
    <w:rsid w:val="6EF410D7"/>
    <w:rsid w:val="6EF47329"/>
    <w:rsid w:val="6F0F4163"/>
    <w:rsid w:val="6F16759D"/>
    <w:rsid w:val="6F1C23DC"/>
    <w:rsid w:val="6F1E7F02"/>
    <w:rsid w:val="6F225983"/>
    <w:rsid w:val="6F240F93"/>
    <w:rsid w:val="6F314216"/>
    <w:rsid w:val="6F3C65DA"/>
    <w:rsid w:val="6F5B7934"/>
    <w:rsid w:val="6F656240"/>
    <w:rsid w:val="6F88137F"/>
    <w:rsid w:val="6F8C57B4"/>
    <w:rsid w:val="6F8D6E36"/>
    <w:rsid w:val="6F944668"/>
    <w:rsid w:val="6F9C06E5"/>
    <w:rsid w:val="6FA348AB"/>
    <w:rsid w:val="6FAC1505"/>
    <w:rsid w:val="6FAC3760"/>
    <w:rsid w:val="6FC565D0"/>
    <w:rsid w:val="6FF15617"/>
    <w:rsid w:val="6FF46EB5"/>
    <w:rsid w:val="6FFC5590"/>
    <w:rsid w:val="6FFE1AE2"/>
    <w:rsid w:val="7004359C"/>
    <w:rsid w:val="70095D9A"/>
    <w:rsid w:val="700C41FF"/>
    <w:rsid w:val="700F1F41"/>
    <w:rsid w:val="701D01BA"/>
    <w:rsid w:val="7025407F"/>
    <w:rsid w:val="70301DA3"/>
    <w:rsid w:val="703D085C"/>
    <w:rsid w:val="70425469"/>
    <w:rsid w:val="704307D1"/>
    <w:rsid w:val="70480FAF"/>
    <w:rsid w:val="705838E8"/>
    <w:rsid w:val="7060279C"/>
    <w:rsid w:val="70645DE9"/>
    <w:rsid w:val="706C06D6"/>
    <w:rsid w:val="706D1DD0"/>
    <w:rsid w:val="70732DD6"/>
    <w:rsid w:val="70856B87"/>
    <w:rsid w:val="708752DE"/>
    <w:rsid w:val="70944183"/>
    <w:rsid w:val="7099175E"/>
    <w:rsid w:val="709B6440"/>
    <w:rsid w:val="70A64653"/>
    <w:rsid w:val="70B008E6"/>
    <w:rsid w:val="70B07280"/>
    <w:rsid w:val="70B84386"/>
    <w:rsid w:val="70B977CB"/>
    <w:rsid w:val="70D527EE"/>
    <w:rsid w:val="70DA60AB"/>
    <w:rsid w:val="70F51137"/>
    <w:rsid w:val="70FC24C5"/>
    <w:rsid w:val="71056FF9"/>
    <w:rsid w:val="713A4D9B"/>
    <w:rsid w:val="713C786D"/>
    <w:rsid w:val="713E0BD9"/>
    <w:rsid w:val="714257FE"/>
    <w:rsid w:val="714732EA"/>
    <w:rsid w:val="714B0D57"/>
    <w:rsid w:val="71557E06"/>
    <w:rsid w:val="715B5300"/>
    <w:rsid w:val="715F4BD7"/>
    <w:rsid w:val="716360A0"/>
    <w:rsid w:val="7167472C"/>
    <w:rsid w:val="71697920"/>
    <w:rsid w:val="716C6537"/>
    <w:rsid w:val="71720D87"/>
    <w:rsid w:val="719B1CDE"/>
    <w:rsid w:val="71A32941"/>
    <w:rsid w:val="71A33B87"/>
    <w:rsid w:val="71AA1F21"/>
    <w:rsid w:val="71AF5789"/>
    <w:rsid w:val="71CF23E7"/>
    <w:rsid w:val="71D27F8A"/>
    <w:rsid w:val="71D40D4C"/>
    <w:rsid w:val="71D60F68"/>
    <w:rsid w:val="71DD0CA3"/>
    <w:rsid w:val="71E35433"/>
    <w:rsid w:val="71F744C6"/>
    <w:rsid w:val="71F960CF"/>
    <w:rsid w:val="71FB452B"/>
    <w:rsid w:val="720D0666"/>
    <w:rsid w:val="720F447A"/>
    <w:rsid w:val="72113330"/>
    <w:rsid w:val="721B2E1F"/>
    <w:rsid w:val="721B4BCD"/>
    <w:rsid w:val="72233A82"/>
    <w:rsid w:val="72281098"/>
    <w:rsid w:val="72435ED2"/>
    <w:rsid w:val="72534367"/>
    <w:rsid w:val="725D6F93"/>
    <w:rsid w:val="725F1764"/>
    <w:rsid w:val="726436B9"/>
    <w:rsid w:val="726C685A"/>
    <w:rsid w:val="727D7636"/>
    <w:rsid w:val="72850298"/>
    <w:rsid w:val="728564EA"/>
    <w:rsid w:val="72AE5A41"/>
    <w:rsid w:val="72B50B7E"/>
    <w:rsid w:val="72CC5EC7"/>
    <w:rsid w:val="72D134DE"/>
    <w:rsid w:val="72DF209E"/>
    <w:rsid w:val="72E2393D"/>
    <w:rsid w:val="730E028E"/>
    <w:rsid w:val="731C0BFD"/>
    <w:rsid w:val="731F5D5E"/>
    <w:rsid w:val="73245D03"/>
    <w:rsid w:val="7325797A"/>
    <w:rsid w:val="732D2E0A"/>
    <w:rsid w:val="7330637A"/>
    <w:rsid w:val="73335F46"/>
    <w:rsid w:val="733A1083"/>
    <w:rsid w:val="733F2B3D"/>
    <w:rsid w:val="735407A1"/>
    <w:rsid w:val="736600CA"/>
    <w:rsid w:val="737547B1"/>
    <w:rsid w:val="7375655F"/>
    <w:rsid w:val="73797DFD"/>
    <w:rsid w:val="737C78ED"/>
    <w:rsid w:val="737E5413"/>
    <w:rsid w:val="738844E4"/>
    <w:rsid w:val="738B4D34"/>
    <w:rsid w:val="738B7B30"/>
    <w:rsid w:val="73920EBF"/>
    <w:rsid w:val="73944C37"/>
    <w:rsid w:val="739C3AEB"/>
    <w:rsid w:val="739F35DC"/>
    <w:rsid w:val="73A17354"/>
    <w:rsid w:val="73A34E7A"/>
    <w:rsid w:val="73A82490"/>
    <w:rsid w:val="73AA15D5"/>
    <w:rsid w:val="73AA26AC"/>
    <w:rsid w:val="73C66DBA"/>
    <w:rsid w:val="73CE57CC"/>
    <w:rsid w:val="73D74B24"/>
    <w:rsid w:val="73DE4104"/>
    <w:rsid w:val="73E07E7C"/>
    <w:rsid w:val="73E536E4"/>
    <w:rsid w:val="73F05BE5"/>
    <w:rsid w:val="73F76F74"/>
    <w:rsid w:val="73FE64E8"/>
    <w:rsid w:val="740712D3"/>
    <w:rsid w:val="7419513C"/>
    <w:rsid w:val="741E793C"/>
    <w:rsid w:val="741F3C2F"/>
    <w:rsid w:val="74233542"/>
    <w:rsid w:val="742C4E6F"/>
    <w:rsid w:val="74362816"/>
    <w:rsid w:val="7443040B"/>
    <w:rsid w:val="74561EEC"/>
    <w:rsid w:val="74563EFA"/>
    <w:rsid w:val="74582108"/>
    <w:rsid w:val="74597C2E"/>
    <w:rsid w:val="7467234B"/>
    <w:rsid w:val="747607E0"/>
    <w:rsid w:val="7490285F"/>
    <w:rsid w:val="7491561A"/>
    <w:rsid w:val="74AF5AA0"/>
    <w:rsid w:val="74B06D55"/>
    <w:rsid w:val="74B60A76"/>
    <w:rsid w:val="74B63AF3"/>
    <w:rsid w:val="74BA1537"/>
    <w:rsid w:val="74C46EF8"/>
    <w:rsid w:val="74D2336D"/>
    <w:rsid w:val="74D84FF7"/>
    <w:rsid w:val="74E13547"/>
    <w:rsid w:val="74E4399C"/>
    <w:rsid w:val="74EA255F"/>
    <w:rsid w:val="74FD4A5E"/>
    <w:rsid w:val="75096F5F"/>
    <w:rsid w:val="750B288E"/>
    <w:rsid w:val="75107D00"/>
    <w:rsid w:val="75114065"/>
    <w:rsid w:val="7513519C"/>
    <w:rsid w:val="751F6782"/>
    <w:rsid w:val="75267495"/>
    <w:rsid w:val="753A35BC"/>
    <w:rsid w:val="754507E6"/>
    <w:rsid w:val="754809D1"/>
    <w:rsid w:val="754C58C2"/>
    <w:rsid w:val="75566574"/>
    <w:rsid w:val="755C79D6"/>
    <w:rsid w:val="756D0FDC"/>
    <w:rsid w:val="75750A98"/>
    <w:rsid w:val="757F36C5"/>
    <w:rsid w:val="758D75E2"/>
    <w:rsid w:val="759C7DD3"/>
    <w:rsid w:val="75BA294F"/>
    <w:rsid w:val="75D7705D"/>
    <w:rsid w:val="75E43528"/>
    <w:rsid w:val="75E550A2"/>
    <w:rsid w:val="75F6612F"/>
    <w:rsid w:val="75F803B6"/>
    <w:rsid w:val="760E6D35"/>
    <w:rsid w:val="76157B85"/>
    <w:rsid w:val="762069DE"/>
    <w:rsid w:val="762115A2"/>
    <w:rsid w:val="7631219F"/>
    <w:rsid w:val="76421559"/>
    <w:rsid w:val="764566BC"/>
    <w:rsid w:val="764D5571"/>
    <w:rsid w:val="764F654C"/>
    <w:rsid w:val="76566171"/>
    <w:rsid w:val="766528BB"/>
    <w:rsid w:val="76684159"/>
    <w:rsid w:val="766C3C9C"/>
    <w:rsid w:val="76724FD8"/>
    <w:rsid w:val="769C5FEA"/>
    <w:rsid w:val="769E0059"/>
    <w:rsid w:val="76A344AC"/>
    <w:rsid w:val="76A72ED3"/>
    <w:rsid w:val="76B25651"/>
    <w:rsid w:val="76B61368"/>
    <w:rsid w:val="76B949B4"/>
    <w:rsid w:val="76C577FD"/>
    <w:rsid w:val="76CE0460"/>
    <w:rsid w:val="76E01F41"/>
    <w:rsid w:val="76E063E5"/>
    <w:rsid w:val="76E97048"/>
    <w:rsid w:val="770864DC"/>
    <w:rsid w:val="7715464B"/>
    <w:rsid w:val="771E384F"/>
    <w:rsid w:val="773329B9"/>
    <w:rsid w:val="77376912"/>
    <w:rsid w:val="773B4FE8"/>
    <w:rsid w:val="7743318D"/>
    <w:rsid w:val="774422E4"/>
    <w:rsid w:val="77562203"/>
    <w:rsid w:val="775B5A6C"/>
    <w:rsid w:val="775D3592"/>
    <w:rsid w:val="775F730A"/>
    <w:rsid w:val="776641EE"/>
    <w:rsid w:val="776677F3"/>
    <w:rsid w:val="776F6FC2"/>
    <w:rsid w:val="777015B2"/>
    <w:rsid w:val="777525CD"/>
    <w:rsid w:val="77752FD1"/>
    <w:rsid w:val="77762421"/>
    <w:rsid w:val="7778661E"/>
    <w:rsid w:val="777F1E10"/>
    <w:rsid w:val="77811184"/>
    <w:rsid w:val="77843214"/>
    <w:rsid w:val="778B45A3"/>
    <w:rsid w:val="77A64F39"/>
    <w:rsid w:val="77C31ACD"/>
    <w:rsid w:val="77C96155"/>
    <w:rsid w:val="77D12C7E"/>
    <w:rsid w:val="77DD4321"/>
    <w:rsid w:val="77E12415"/>
    <w:rsid w:val="77E31BB3"/>
    <w:rsid w:val="77EF68E0"/>
    <w:rsid w:val="77F20AE8"/>
    <w:rsid w:val="77F9150C"/>
    <w:rsid w:val="77FD0061"/>
    <w:rsid w:val="78091695"/>
    <w:rsid w:val="780F09F4"/>
    <w:rsid w:val="781B53B2"/>
    <w:rsid w:val="781E2CD5"/>
    <w:rsid w:val="78202F3D"/>
    <w:rsid w:val="782347DB"/>
    <w:rsid w:val="782F4F2E"/>
    <w:rsid w:val="783469E8"/>
    <w:rsid w:val="783764D9"/>
    <w:rsid w:val="784A6749"/>
    <w:rsid w:val="78520C1D"/>
    <w:rsid w:val="78564BB1"/>
    <w:rsid w:val="78571C40"/>
    <w:rsid w:val="785A48F6"/>
    <w:rsid w:val="785E1CB7"/>
    <w:rsid w:val="78751C40"/>
    <w:rsid w:val="7898111D"/>
    <w:rsid w:val="78986F77"/>
    <w:rsid w:val="789C4F47"/>
    <w:rsid w:val="78A23952"/>
    <w:rsid w:val="78A53ADE"/>
    <w:rsid w:val="78A90480"/>
    <w:rsid w:val="78AC47D1"/>
    <w:rsid w:val="78B42360"/>
    <w:rsid w:val="78C935D5"/>
    <w:rsid w:val="78D41F79"/>
    <w:rsid w:val="78D95943"/>
    <w:rsid w:val="78E11CF7"/>
    <w:rsid w:val="78F65A4C"/>
    <w:rsid w:val="78FF4FE9"/>
    <w:rsid w:val="79087FA7"/>
    <w:rsid w:val="790C526F"/>
    <w:rsid w:val="792F71B0"/>
    <w:rsid w:val="79444A09"/>
    <w:rsid w:val="79711576"/>
    <w:rsid w:val="797177C8"/>
    <w:rsid w:val="79811327"/>
    <w:rsid w:val="79831CE3"/>
    <w:rsid w:val="79960FDD"/>
    <w:rsid w:val="79984D55"/>
    <w:rsid w:val="79986B03"/>
    <w:rsid w:val="79A62764"/>
    <w:rsid w:val="79AC0800"/>
    <w:rsid w:val="79C93160"/>
    <w:rsid w:val="79D864F1"/>
    <w:rsid w:val="79DE4E5E"/>
    <w:rsid w:val="79F857F4"/>
    <w:rsid w:val="79FF3026"/>
    <w:rsid w:val="7A08012D"/>
    <w:rsid w:val="7A081EDB"/>
    <w:rsid w:val="7A245426"/>
    <w:rsid w:val="7A364017"/>
    <w:rsid w:val="7A37631C"/>
    <w:rsid w:val="7A444A03"/>
    <w:rsid w:val="7A513882"/>
    <w:rsid w:val="7A5E64BC"/>
    <w:rsid w:val="7A7418D6"/>
    <w:rsid w:val="7A756E44"/>
    <w:rsid w:val="7A794B87"/>
    <w:rsid w:val="7A7F7C39"/>
    <w:rsid w:val="7A8265E1"/>
    <w:rsid w:val="7A8552D9"/>
    <w:rsid w:val="7A8B2979"/>
    <w:rsid w:val="7A9674E6"/>
    <w:rsid w:val="7A97325F"/>
    <w:rsid w:val="7A9814B1"/>
    <w:rsid w:val="7AC53928"/>
    <w:rsid w:val="7AD1051F"/>
    <w:rsid w:val="7AD65B35"/>
    <w:rsid w:val="7AD93877"/>
    <w:rsid w:val="7AE53FCA"/>
    <w:rsid w:val="7AF366E7"/>
    <w:rsid w:val="7AF661D7"/>
    <w:rsid w:val="7AF81F4F"/>
    <w:rsid w:val="7B030097"/>
    <w:rsid w:val="7B0A1C83"/>
    <w:rsid w:val="7B0C1557"/>
    <w:rsid w:val="7B38164D"/>
    <w:rsid w:val="7B3B62E0"/>
    <w:rsid w:val="7B42766E"/>
    <w:rsid w:val="7B4416F4"/>
    <w:rsid w:val="7B4927AB"/>
    <w:rsid w:val="7B542EFE"/>
    <w:rsid w:val="7B62386D"/>
    <w:rsid w:val="7B686D42"/>
    <w:rsid w:val="7B7D06A6"/>
    <w:rsid w:val="7B841746"/>
    <w:rsid w:val="7B8732D3"/>
    <w:rsid w:val="7B8F3F36"/>
    <w:rsid w:val="7B900EAA"/>
    <w:rsid w:val="7B937ECA"/>
    <w:rsid w:val="7B9D6B95"/>
    <w:rsid w:val="7BA06861"/>
    <w:rsid w:val="7BBB78B7"/>
    <w:rsid w:val="7BBD4F47"/>
    <w:rsid w:val="7BBF481B"/>
    <w:rsid w:val="7BE14F67"/>
    <w:rsid w:val="7BE97AEA"/>
    <w:rsid w:val="7BEE5100"/>
    <w:rsid w:val="7BF30969"/>
    <w:rsid w:val="7BF5648F"/>
    <w:rsid w:val="7C121A0E"/>
    <w:rsid w:val="7C122B9D"/>
    <w:rsid w:val="7C247978"/>
    <w:rsid w:val="7C370855"/>
    <w:rsid w:val="7C38637B"/>
    <w:rsid w:val="7C3C7F29"/>
    <w:rsid w:val="7C4821F2"/>
    <w:rsid w:val="7C4F2043"/>
    <w:rsid w:val="7C4F3DF1"/>
    <w:rsid w:val="7C52568F"/>
    <w:rsid w:val="7C52757E"/>
    <w:rsid w:val="7C547659"/>
    <w:rsid w:val="7C694787"/>
    <w:rsid w:val="7C835849"/>
    <w:rsid w:val="7CAA7279"/>
    <w:rsid w:val="7CB87C7E"/>
    <w:rsid w:val="7CBC41D9"/>
    <w:rsid w:val="7CC759B6"/>
    <w:rsid w:val="7CC85951"/>
    <w:rsid w:val="7CC876FF"/>
    <w:rsid w:val="7CD2057E"/>
    <w:rsid w:val="7CD6006E"/>
    <w:rsid w:val="7CDB45ED"/>
    <w:rsid w:val="7CF16265"/>
    <w:rsid w:val="7D0239FF"/>
    <w:rsid w:val="7D2C7C8E"/>
    <w:rsid w:val="7D311748"/>
    <w:rsid w:val="7D31427A"/>
    <w:rsid w:val="7D425704"/>
    <w:rsid w:val="7D495EEB"/>
    <w:rsid w:val="7D4E22FA"/>
    <w:rsid w:val="7D543478"/>
    <w:rsid w:val="7D5D078F"/>
    <w:rsid w:val="7D5E40CD"/>
    <w:rsid w:val="7D693BED"/>
    <w:rsid w:val="7D781125"/>
    <w:rsid w:val="7D7864E4"/>
    <w:rsid w:val="7D823D52"/>
    <w:rsid w:val="7D9905BF"/>
    <w:rsid w:val="7DBA34EC"/>
    <w:rsid w:val="7DC30D31"/>
    <w:rsid w:val="7DC425BD"/>
    <w:rsid w:val="7DCE51E9"/>
    <w:rsid w:val="7DED0EFA"/>
    <w:rsid w:val="7E0A321E"/>
    <w:rsid w:val="7E1150D6"/>
    <w:rsid w:val="7E156974"/>
    <w:rsid w:val="7E2B11F7"/>
    <w:rsid w:val="7E3A462D"/>
    <w:rsid w:val="7E5576B9"/>
    <w:rsid w:val="7E5F15A9"/>
    <w:rsid w:val="7E786F03"/>
    <w:rsid w:val="7E88183C"/>
    <w:rsid w:val="7E9A50CB"/>
    <w:rsid w:val="7EB443DF"/>
    <w:rsid w:val="7EB73B46"/>
    <w:rsid w:val="7EBC14E6"/>
    <w:rsid w:val="7ED54355"/>
    <w:rsid w:val="7EDF0482"/>
    <w:rsid w:val="7EE051D4"/>
    <w:rsid w:val="7EE34CC4"/>
    <w:rsid w:val="7EEC6371"/>
    <w:rsid w:val="7EF766B2"/>
    <w:rsid w:val="7EFB200E"/>
    <w:rsid w:val="7F0F354E"/>
    <w:rsid w:val="7F166E48"/>
    <w:rsid w:val="7F2204FD"/>
    <w:rsid w:val="7F2344A4"/>
    <w:rsid w:val="7F297BB6"/>
    <w:rsid w:val="7F4A2076"/>
    <w:rsid w:val="7F4A7452"/>
    <w:rsid w:val="7F531E4A"/>
    <w:rsid w:val="7F631961"/>
    <w:rsid w:val="7F6F7803"/>
    <w:rsid w:val="7F704E35"/>
    <w:rsid w:val="7F7A5A9C"/>
    <w:rsid w:val="7F9046D5"/>
    <w:rsid w:val="7F947D6D"/>
    <w:rsid w:val="7F997CB3"/>
    <w:rsid w:val="7FC507BA"/>
    <w:rsid w:val="7FDF36DE"/>
    <w:rsid w:val="7FE47E50"/>
    <w:rsid w:val="7FF627D5"/>
    <w:rsid w:val="7FFB603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ocked="1"/>
    <w:lsdException w:qFormat="1" w:unhideWhenUsed="0" w:uiPriority="0" w:semiHidden="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ocked="1"/>
    <w:lsdException w:qFormat="1" w:unhideWhenUsed="0" w:uiPriority="39"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ocked="1"/>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ocked="1"/>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nhideWhenUsed="0" w:uiPriority="0" w:semiHidden="0" w:name="Message Header"/>
    <w:lsdException w:qFormat="1" w:unhideWhenUsed="0" w:uiPriority="0" w:semiHidden="0" w:name="Subtitle" w:locked="1"/>
    <w:lsdException w:unhideWhenUsed="0" w:uiPriority="0" w:semiHidden="0" w:name="Salutation"/>
    <w:lsdException w:qFormat="1"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ocked="1"/>
    <w:lsdException w:qFormat="1" w:unhideWhenUsed="0" w:uiPriority="0" w:semiHidden="0" w:name="Emphasis" w:locked="1"/>
    <w:lsdException w:unhideWhenUsed="0" w:uiPriority="0" w:semiHidden="0" w:name="Document Map"/>
    <w:lsdException w:qFormat="1"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name="Balloon Text"/>
    <w:lsdException w:qFormat="1" w:unhideWhenUsed="0" w:uiPriority="0" w:semiHidden="0" w:name="Table Grid"/>
    <w:lsdException w:uiPriority="0"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autoRedefine/>
    <w:qFormat/>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link w:val="52"/>
    <w:autoRedefine/>
    <w:semiHidden/>
    <w:unhideWhenUsed/>
    <w:qFormat/>
    <w:locked/>
    <w:uiPriority w:val="0"/>
    <w:pPr>
      <w:keepNext/>
      <w:keepLines/>
      <w:spacing w:before="260" w:after="260" w:line="416" w:lineRule="auto"/>
      <w:outlineLvl w:val="1"/>
    </w:pPr>
    <w:rPr>
      <w:rFonts w:ascii="等线 Light" w:hAnsi="等线 Light" w:eastAsia="等线 Light"/>
      <w:b/>
      <w:bCs/>
      <w:sz w:val="32"/>
      <w:szCs w:val="32"/>
    </w:rPr>
  </w:style>
  <w:style w:type="paragraph" w:styleId="4">
    <w:name w:val="heading 3"/>
    <w:basedOn w:val="1"/>
    <w:next w:val="1"/>
    <w:autoRedefine/>
    <w:qFormat/>
    <w:locked/>
    <w:uiPriority w:val="0"/>
    <w:pPr>
      <w:keepNext/>
      <w:keepLines/>
      <w:spacing w:before="120" w:after="120" w:line="400" w:lineRule="atLeast"/>
      <w:ind w:firstLine="113"/>
      <w:jc w:val="left"/>
      <w:outlineLvl w:val="2"/>
    </w:pPr>
    <w:rPr>
      <w:rFonts w:eastAsia="黑体"/>
      <w:b/>
      <w:sz w:val="28"/>
      <w:szCs w:val="20"/>
    </w:rPr>
  </w:style>
  <w:style w:type="character" w:default="1" w:styleId="27">
    <w:name w:val="Default Paragraph Font"/>
    <w:semiHidden/>
    <w:unhideWhenUsed/>
    <w:qFormat/>
    <w:uiPriority w:val="1"/>
  </w:style>
  <w:style w:type="table" w:default="1" w:styleId="25">
    <w:name w:val="Normal Table"/>
    <w:semiHidden/>
    <w:unhideWhenUsed/>
    <w:qFormat/>
    <w:uiPriority w:val="99"/>
    <w:tblPr>
      <w:tblCellMar>
        <w:top w:w="0" w:type="dxa"/>
        <w:left w:w="108" w:type="dxa"/>
        <w:bottom w:w="0" w:type="dxa"/>
        <w:right w:w="108" w:type="dxa"/>
      </w:tblCellMar>
    </w:tblPr>
  </w:style>
  <w:style w:type="paragraph" w:styleId="5">
    <w:name w:val="Normal Indent"/>
    <w:basedOn w:val="1"/>
    <w:link w:val="59"/>
    <w:autoRedefine/>
    <w:unhideWhenUsed/>
    <w:qFormat/>
    <w:uiPriority w:val="0"/>
    <w:pPr>
      <w:widowControl/>
      <w:autoSpaceDE w:val="0"/>
      <w:autoSpaceDN w:val="0"/>
      <w:spacing w:line="460" w:lineRule="exact"/>
      <w:ind w:firstLine="420" w:firstLineChars="200"/>
    </w:pPr>
    <w:rPr>
      <w:szCs w:val="20"/>
    </w:rPr>
  </w:style>
  <w:style w:type="paragraph" w:styleId="6">
    <w:name w:val="annotation text"/>
    <w:basedOn w:val="1"/>
    <w:link w:val="41"/>
    <w:autoRedefine/>
    <w:semiHidden/>
    <w:qFormat/>
    <w:uiPriority w:val="0"/>
    <w:pPr>
      <w:jc w:val="left"/>
    </w:pPr>
    <w:rPr>
      <w:kern w:val="0"/>
      <w:sz w:val="20"/>
    </w:rPr>
  </w:style>
  <w:style w:type="paragraph" w:styleId="7">
    <w:name w:val="Body Text"/>
    <w:basedOn w:val="1"/>
    <w:next w:val="8"/>
    <w:link w:val="32"/>
    <w:autoRedefine/>
    <w:qFormat/>
    <w:uiPriority w:val="0"/>
    <w:pPr>
      <w:widowControl/>
      <w:snapToGrid w:val="0"/>
      <w:spacing w:before="60" w:after="160" w:line="259" w:lineRule="auto"/>
      <w:ind w:right="113"/>
    </w:pPr>
    <w:rPr>
      <w:kern w:val="0"/>
      <w:sz w:val="18"/>
      <w:szCs w:val="18"/>
    </w:rPr>
  </w:style>
  <w:style w:type="paragraph" w:styleId="8">
    <w:name w:val="List Bullet 5"/>
    <w:basedOn w:val="1"/>
    <w:autoRedefine/>
    <w:qFormat/>
    <w:uiPriority w:val="0"/>
    <w:pPr>
      <w:numPr>
        <w:ilvl w:val="0"/>
        <w:numId w:val="1"/>
      </w:numPr>
    </w:pPr>
  </w:style>
  <w:style w:type="paragraph" w:styleId="9">
    <w:name w:val="Body Text Indent"/>
    <w:basedOn w:val="1"/>
    <w:link w:val="43"/>
    <w:autoRedefine/>
    <w:semiHidden/>
    <w:qFormat/>
    <w:uiPriority w:val="0"/>
    <w:pPr>
      <w:spacing w:after="120"/>
      <w:ind w:left="420" w:leftChars="200"/>
    </w:pPr>
  </w:style>
  <w:style w:type="paragraph" w:styleId="10">
    <w:name w:val="Plain Text"/>
    <w:basedOn w:val="1"/>
    <w:link w:val="46"/>
    <w:autoRedefine/>
    <w:unhideWhenUsed/>
    <w:qFormat/>
    <w:uiPriority w:val="0"/>
    <w:pPr>
      <w:widowControl/>
      <w:autoSpaceDE w:val="0"/>
      <w:autoSpaceDN w:val="0"/>
      <w:spacing w:line="460" w:lineRule="exact"/>
    </w:pPr>
    <w:rPr>
      <w:rFonts w:ascii="Courier New" w:hAnsi="Courier New" w:cs="Courier New"/>
      <w:szCs w:val="20"/>
    </w:rPr>
  </w:style>
  <w:style w:type="paragraph" w:styleId="11">
    <w:name w:val="Date"/>
    <w:basedOn w:val="1"/>
    <w:next w:val="1"/>
    <w:link w:val="34"/>
    <w:autoRedefine/>
    <w:qFormat/>
    <w:uiPriority w:val="0"/>
    <w:pPr>
      <w:ind w:left="100" w:leftChars="2500"/>
    </w:pPr>
    <w:rPr>
      <w:kern w:val="0"/>
      <w:sz w:val="20"/>
    </w:rPr>
  </w:style>
  <w:style w:type="paragraph" w:styleId="12">
    <w:name w:val="Body Text Indent 2"/>
    <w:basedOn w:val="1"/>
    <w:autoRedefine/>
    <w:qFormat/>
    <w:uiPriority w:val="0"/>
    <w:pPr>
      <w:ind w:firstLine="179" w:firstLineChars="64"/>
    </w:pPr>
    <w:rPr>
      <w:rFonts w:ascii="楷体_GB2312" w:eastAsia="楷体_GB2312"/>
      <w:sz w:val="28"/>
    </w:rPr>
  </w:style>
  <w:style w:type="paragraph" w:styleId="13">
    <w:name w:val="Balloon Text"/>
    <w:basedOn w:val="1"/>
    <w:link w:val="40"/>
    <w:autoRedefine/>
    <w:semiHidden/>
    <w:qFormat/>
    <w:uiPriority w:val="0"/>
    <w:rPr>
      <w:sz w:val="18"/>
      <w:szCs w:val="18"/>
    </w:rPr>
  </w:style>
  <w:style w:type="paragraph" w:styleId="14">
    <w:name w:val="footer"/>
    <w:basedOn w:val="1"/>
    <w:link w:val="31"/>
    <w:autoRedefine/>
    <w:qFormat/>
    <w:uiPriority w:val="99"/>
    <w:pPr>
      <w:tabs>
        <w:tab w:val="center" w:pos="4153"/>
        <w:tab w:val="right" w:pos="8306"/>
      </w:tabs>
      <w:snapToGrid w:val="0"/>
      <w:jc w:val="left"/>
    </w:pPr>
    <w:rPr>
      <w:sz w:val="18"/>
      <w:szCs w:val="18"/>
    </w:rPr>
  </w:style>
  <w:style w:type="paragraph" w:styleId="15">
    <w:name w:val="header"/>
    <w:basedOn w:val="1"/>
    <w:link w:val="30"/>
    <w:autoRedefine/>
    <w:qFormat/>
    <w:uiPriority w:val="0"/>
    <w:pPr>
      <w:pBdr>
        <w:bottom w:val="single" w:color="auto" w:sz="6" w:space="1"/>
      </w:pBdr>
      <w:tabs>
        <w:tab w:val="center" w:pos="4153"/>
        <w:tab w:val="right" w:pos="8306"/>
      </w:tabs>
      <w:snapToGrid w:val="0"/>
      <w:jc w:val="center"/>
    </w:pPr>
    <w:rPr>
      <w:sz w:val="18"/>
      <w:szCs w:val="18"/>
    </w:rPr>
  </w:style>
  <w:style w:type="paragraph" w:styleId="16">
    <w:name w:val="toc 1"/>
    <w:basedOn w:val="1"/>
    <w:next w:val="1"/>
    <w:autoRedefine/>
    <w:qFormat/>
    <w:locked/>
    <w:uiPriority w:val="39"/>
    <w:pPr>
      <w:tabs>
        <w:tab w:val="right" w:leader="dot" w:pos="9004"/>
      </w:tabs>
      <w:ind w:right="210" w:rightChars="100"/>
    </w:pPr>
    <w:rPr>
      <w:rFonts w:eastAsia="黑体"/>
      <w:bCs/>
      <w:caps/>
      <w:sz w:val="24"/>
      <w:szCs w:val="20"/>
    </w:rPr>
  </w:style>
  <w:style w:type="paragraph" w:styleId="17">
    <w:name w:val="List"/>
    <w:basedOn w:val="1"/>
    <w:autoRedefine/>
    <w:qFormat/>
    <w:uiPriority w:val="0"/>
    <w:pPr>
      <w:ind w:left="200" w:hanging="200" w:hangingChars="200"/>
      <w:contextualSpacing/>
    </w:pPr>
  </w:style>
  <w:style w:type="paragraph" w:styleId="18">
    <w:name w:val="Body Text Indent 3"/>
    <w:basedOn w:val="1"/>
    <w:autoRedefine/>
    <w:qFormat/>
    <w:uiPriority w:val="0"/>
    <w:pPr>
      <w:spacing w:after="120"/>
      <w:ind w:left="420" w:leftChars="200"/>
    </w:pPr>
    <w:rPr>
      <w:sz w:val="16"/>
      <w:szCs w:val="16"/>
    </w:rPr>
  </w:style>
  <w:style w:type="paragraph" w:styleId="19">
    <w:name w:val="toc 2"/>
    <w:basedOn w:val="1"/>
    <w:next w:val="1"/>
    <w:autoRedefine/>
    <w:qFormat/>
    <w:locked/>
    <w:uiPriority w:val="39"/>
    <w:pPr>
      <w:tabs>
        <w:tab w:val="right" w:leader="dot" w:pos="9004"/>
      </w:tabs>
      <w:ind w:left="359" w:leftChars="171" w:right="210" w:rightChars="100"/>
    </w:pPr>
    <w:rPr>
      <w:smallCaps/>
      <w:sz w:val="24"/>
      <w:szCs w:val="20"/>
    </w:rPr>
  </w:style>
  <w:style w:type="paragraph" w:styleId="20">
    <w:name w:val="Message Header"/>
    <w:basedOn w:val="1"/>
    <w:next w:val="7"/>
    <w:autoRedefine/>
    <w:qFormat/>
    <w:uiPriority w:val="0"/>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Arial" w:hAnsi="Arial" w:cs="Arial"/>
      <w:sz w:val="24"/>
    </w:rPr>
  </w:style>
  <w:style w:type="paragraph" w:styleId="21">
    <w:name w:val="Normal (Web)"/>
    <w:basedOn w:val="1"/>
    <w:link w:val="33"/>
    <w:autoRedefine/>
    <w:qFormat/>
    <w:uiPriority w:val="0"/>
    <w:pPr>
      <w:widowControl/>
      <w:spacing w:before="100" w:beforeAutospacing="1" w:after="100" w:afterAutospacing="1"/>
      <w:jc w:val="left"/>
    </w:pPr>
    <w:rPr>
      <w:rFonts w:ascii="宋体" w:hAnsi="宋体"/>
      <w:kern w:val="0"/>
      <w:sz w:val="24"/>
    </w:rPr>
  </w:style>
  <w:style w:type="paragraph" w:styleId="22">
    <w:name w:val="Title"/>
    <w:basedOn w:val="1"/>
    <w:next w:val="1"/>
    <w:autoRedefine/>
    <w:qFormat/>
    <w:locked/>
    <w:uiPriority w:val="0"/>
    <w:pPr>
      <w:tabs>
        <w:tab w:val="left" w:pos="20"/>
        <w:tab w:val="left" w:pos="720"/>
      </w:tabs>
      <w:spacing w:before="240" w:beforeLines="50" w:after="60" w:line="312" w:lineRule="auto"/>
      <w:ind w:firstLine="200" w:firstLineChars="200"/>
      <w:jc w:val="center"/>
      <w:textAlignment w:val="baseline"/>
      <w:outlineLvl w:val="0"/>
    </w:pPr>
    <w:rPr>
      <w:rFonts w:ascii="Arial" w:hAnsi="Arial"/>
      <w:b/>
      <w:bCs/>
      <w:kern w:val="0"/>
      <w:sz w:val="32"/>
      <w:szCs w:val="32"/>
    </w:rPr>
  </w:style>
  <w:style w:type="paragraph" w:styleId="23">
    <w:name w:val="annotation subject"/>
    <w:basedOn w:val="6"/>
    <w:next w:val="6"/>
    <w:link w:val="44"/>
    <w:autoRedefine/>
    <w:semiHidden/>
    <w:qFormat/>
    <w:uiPriority w:val="0"/>
    <w:rPr>
      <w:b/>
      <w:bCs/>
    </w:rPr>
  </w:style>
  <w:style w:type="paragraph" w:styleId="24">
    <w:name w:val="Body Text First Indent"/>
    <w:basedOn w:val="7"/>
    <w:autoRedefine/>
    <w:qFormat/>
    <w:uiPriority w:val="0"/>
    <w:pPr>
      <w:tabs>
        <w:tab w:val="left" w:pos="20"/>
        <w:tab w:val="left" w:pos="720"/>
      </w:tabs>
      <w:ind w:firstLine="420" w:firstLineChars="100"/>
    </w:pPr>
    <w:rPr>
      <w:sz w:val="21"/>
    </w:rPr>
  </w:style>
  <w:style w:type="table" w:styleId="26">
    <w:name w:val="Table Grid"/>
    <w:basedOn w:val="25"/>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8">
    <w:name w:val="page number"/>
    <w:basedOn w:val="27"/>
    <w:autoRedefine/>
    <w:qFormat/>
    <w:uiPriority w:val="0"/>
  </w:style>
  <w:style w:type="character" w:styleId="29">
    <w:name w:val="annotation reference"/>
    <w:autoRedefine/>
    <w:semiHidden/>
    <w:qFormat/>
    <w:uiPriority w:val="0"/>
    <w:rPr>
      <w:sz w:val="21"/>
    </w:rPr>
  </w:style>
  <w:style w:type="character" w:customStyle="1" w:styleId="30">
    <w:name w:val="页眉 Char"/>
    <w:link w:val="15"/>
    <w:autoRedefine/>
    <w:qFormat/>
    <w:locked/>
    <w:uiPriority w:val="0"/>
    <w:rPr>
      <w:rFonts w:cs="Times New Roman"/>
      <w:sz w:val="18"/>
      <w:szCs w:val="18"/>
    </w:rPr>
  </w:style>
  <w:style w:type="character" w:customStyle="1" w:styleId="31">
    <w:name w:val="页脚 Char"/>
    <w:link w:val="14"/>
    <w:autoRedefine/>
    <w:qFormat/>
    <w:locked/>
    <w:uiPriority w:val="99"/>
    <w:rPr>
      <w:rFonts w:cs="Times New Roman"/>
      <w:sz w:val="18"/>
      <w:szCs w:val="18"/>
    </w:rPr>
  </w:style>
  <w:style w:type="character" w:customStyle="1" w:styleId="32">
    <w:name w:val="正文文本 Char"/>
    <w:link w:val="7"/>
    <w:autoRedefine/>
    <w:qFormat/>
    <w:locked/>
    <w:uiPriority w:val="0"/>
    <w:rPr>
      <w:sz w:val="18"/>
    </w:rPr>
  </w:style>
  <w:style w:type="character" w:customStyle="1" w:styleId="33">
    <w:name w:val="普通(网站) Char1"/>
    <w:link w:val="21"/>
    <w:autoRedefine/>
    <w:qFormat/>
    <w:locked/>
    <w:uiPriority w:val="0"/>
    <w:rPr>
      <w:rFonts w:ascii="宋体" w:hAnsi="宋体" w:eastAsia="宋体"/>
      <w:sz w:val="24"/>
    </w:rPr>
  </w:style>
  <w:style w:type="character" w:customStyle="1" w:styleId="34">
    <w:name w:val="日期 Char"/>
    <w:link w:val="11"/>
    <w:autoRedefine/>
    <w:qFormat/>
    <w:locked/>
    <w:uiPriority w:val="0"/>
    <w:rPr>
      <w:rFonts w:ascii="Times New Roman" w:hAnsi="Times New Roman" w:eastAsia="宋体"/>
      <w:sz w:val="24"/>
    </w:rPr>
  </w:style>
  <w:style w:type="character" w:customStyle="1" w:styleId="35">
    <w:name w:val="日期 字符"/>
    <w:autoRedefine/>
    <w:semiHidden/>
    <w:qFormat/>
    <w:uiPriority w:val="0"/>
    <w:rPr>
      <w:rFonts w:ascii="Times New Roman" w:hAnsi="Times New Roman" w:eastAsia="宋体" w:cs="Times New Roman"/>
      <w:sz w:val="24"/>
      <w:szCs w:val="24"/>
    </w:rPr>
  </w:style>
  <w:style w:type="character" w:customStyle="1" w:styleId="36">
    <w:name w:val="正文文本 字符1"/>
    <w:autoRedefine/>
    <w:semiHidden/>
    <w:qFormat/>
    <w:uiPriority w:val="0"/>
    <w:rPr>
      <w:rFonts w:ascii="Times New Roman" w:hAnsi="Times New Roman" w:eastAsia="宋体" w:cs="Times New Roman"/>
      <w:sz w:val="24"/>
      <w:szCs w:val="24"/>
    </w:rPr>
  </w:style>
  <w:style w:type="paragraph" w:customStyle="1" w:styleId="37">
    <w:name w:val="普通(网站)2"/>
    <w:basedOn w:val="1"/>
    <w:autoRedefine/>
    <w:qFormat/>
    <w:uiPriority w:val="0"/>
    <w:pPr>
      <w:widowControl/>
      <w:spacing w:before="100" w:beforeAutospacing="1" w:after="100" w:afterAutospacing="1"/>
      <w:jc w:val="left"/>
    </w:pPr>
    <w:rPr>
      <w:rFonts w:ascii="宋体" w:hAnsi="宋体"/>
      <w:sz w:val="24"/>
      <w:szCs w:val="20"/>
    </w:rPr>
  </w:style>
  <w:style w:type="character" w:customStyle="1" w:styleId="38">
    <w:name w:val="表格 Char"/>
    <w:link w:val="39"/>
    <w:autoRedefine/>
    <w:qFormat/>
    <w:locked/>
    <w:uiPriority w:val="0"/>
    <w:rPr>
      <w:rFonts w:ascii="宋体"/>
      <w:sz w:val="21"/>
    </w:rPr>
  </w:style>
  <w:style w:type="paragraph" w:customStyle="1" w:styleId="39">
    <w:name w:val="表格"/>
    <w:basedOn w:val="1"/>
    <w:link w:val="38"/>
    <w:autoRedefine/>
    <w:qFormat/>
    <w:uiPriority w:val="0"/>
    <w:pPr>
      <w:adjustRightInd w:val="0"/>
      <w:snapToGrid w:val="0"/>
      <w:spacing w:beforeLines="10" w:afterLines="10" w:line="259" w:lineRule="auto"/>
      <w:jc w:val="center"/>
    </w:pPr>
    <w:rPr>
      <w:rFonts w:ascii="宋体"/>
      <w:kern w:val="0"/>
      <w:sz w:val="20"/>
      <w:szCs w:val="21"/>
    </w:rPr>
  </w:style>
  <w:style w:type="character" w:customStyle="1" w:styleId="40">
    <w:name w:val="批注框文本 Char"/>
    <w:link w:val="13"/>
    <w:autoRedefine/>
    <w:semiHidden/>
    <w:qFormat/>
    <w:locked/>
    <w:uiPriority w:val="0"/>
    <w:rPr>
      <w:rFonts w:ascii="Times New Roman" w:hAnsi="Times New Roman" w:eastAsia="宋体" w:cs="Times New Roman"/>
      <w:sz w:val="18"/>
      <w:szCs w:val="18"/>
    </w:rPr>
  </w:style>
  <w:style w:type="character" w:customStyle="1" w:styleId="41">
    <w:name w:val="批注文字 Char"/>
    <w:link w:val="6"/>
    <w:autoRedefine/>
    <w:qFormat/>
    <w:locked/>
    <w:uiPriority w:val="0"/>
    <w:rPr>
      <w:rFonts w:ascii="Times New Roman" w:hAnsi="Times New Roman" w:eastAsia="宋体"/>
      <w:sz w:val="24"/>
    </w:rPr>
  </w:style>
  <w:style w:type="character" w:customStyle="1" w:styleId="42">
    <w:name w:val="批注文字 字符1"/>
    <w:autoRedefine/>
    <w:semiHidden/>
    <w:qFormat/>
    <w:uiPriority w:val="0"/>
    <w:rPr>
      <w:rFonts w:ascii="Times New Roman" w:hAnsi="Times New Roman" w:eastAsia="宋体" w:cs="Times New Roman"/>
      <w:sz w:val="24"/>
      <w:szCs w:val="24"/>
    </w:rPr>
  </w:style>
  <w:style w:type="character" w:customStyle="1" w:styleId="43">
    <w:name w:val="正文文本缩进 Char"/>
    <w:link w:val="9"/>
    <w:autoRedefine/>
    <w:semiHidden/>
    <w:qFormat/>
    <w:locked/>
    <w:uiPriority w:val="0"/>
    <w:rPr>
      <w:rFonts w:ascii="Times New Roman" w:hAnsi="Times New Roman" w:eastAsia="宋体" w:cs="Times New Roman"/>
      <w:sz w:val="24"/>
      <w:szCs w:val="24"/>
    </w:rPr>
  </w:style>
  <w:style w:type="character" w:customStyle="1" w:styleId="44">
    <w:name w:val="批注主题 Char"/>
    <w:link w:val="23"/>
    <w:autoRedefine/>
    <w:semiHidden/>
    <w:qFormat/>
    <w:locked/>
    <w:uiPriority w:val="0"/>
    <w:rPr>
      <w:rFonts w:ascii="Times New Roman" w:hAnsi="Times New Roman" w:eastAsia="宋体" w:cs="Times New Roman"/>
      <w:b/>
      <w:bCs/>
      <w:kern w:val="2"/>
      <w:sz w:val="24"/>
      <w:szCs w:val="24"/>
    </w:rPr>
  </w:style>
  <w:style w:type="character" w:customStyle="1" w:styleId="45">
    <w:name w:val="普通(网站) Char"/>
    <w:autoRedefine/>
    <w:qFormat/>
    <w:locked/>
    <w:uiPriority w:val="0"/>
    <w:rPr>
      <w:rFonts w:ascii="宋体" w:hAnsi="宋体" w:eastAsia="宋体"/>
      <w:sz w:val="24"/>
    </w:rPr>
  </w:style>
  <w:style w:type="character" w:customStyle="1" w:styleId="46">
    <w:name w:val="纯文本 Char"/>
    <w:link w:val="10"/>
    <w:autoRedefine/>
    <w:qFormat/>
    <w:locked/>
    <w:uiPriority w:val="0"/>
    <w:rPr>
      <w:rFonts w:ascii="Courier New" w:hAnsi="Courier New" w:cs="Courier New"/>
      <w:kern w:val="2"/>
      <w:sz w:val="21"/>
    </w:rPr>
  </w:style>
  <w:style w:type="character" w:customStyle="1" w:styleId="47">
    <w:name w:val="纯文本 字符"/>
    <w:autoRedefine/>
    <w:qFormat/>
    <w:uiPriority w:val="0"/>
    <w:rPr>
      <w:rFonts w:ascii="宋体" w:hAnsi="Courier New" w:cs="Courier New"/>
      <w:kern w:val="2"/>
      <w:sz w:val="21"/>
      <w:szCs w:val="21"/>
    </w:rPr>
  </w:style>
  <w:style w:type="paragraph" w:customStyle="1" w:styleId="48">
    <w:name w:val="表格样式"/>
    <w:basedOn w:val="1"/>
    <w:autoRedefine/>
    <w:qFormat/>
    <w:uiPriority w:val="0"/>
    <w:pPr>
      <w:widowControl/>
      <w:autoSpaceDE w:val="0"/>
      <w:autoSpaceDN w:val="0"/>
      <w:spacing w:line="460" w:lineRule="exact"/>
    </w:pPr>
    <w:rPr>
      <w:rFonts w:cs="宋体"/>
      <w:sz w:val="26"/>
      <w:szCs w:val="20"/>
    </w:rPr>
  </w:style>
  <w:style w:type="character" w:customStyle="1" w:styleId="49">
    <w:name w:val="标题 3 Char Char Char Char Char Char Char Char"/>
    <w:autoRedefine/>
    <w:qFormat/>
    <w:uiPriority w:val="0"/>
    <w:rPr>
      <w:rFonts w:hint="eastAsia" w:ascii="宋体" w:hAnsi="宋体" w:eastAsia="宋体"/>
      <w:b/>
      <w:bCs/>
      <w:kern w:val="2"/>
      <w:sz w:val="32"/>
      <w:szCs w:val="32"/>
      <w:lang w:val="en-US" w:eastAsia="zh-CN" w:bidi="ar-SA"/>
    </w:rPr>
  </w:style>
  <w:style w:type="character" w:customStyle="1" w:styleId="50">
    <w:name w:val="表头 Char"/>
    <w:link w:val="51"/>
    <w:autoRedefine/>
    <w:qFormat/>
    <w:locked/>
    <w:uiPriority w:val="0"/>
    <w:rPr>
      <w:b/>
      <w:kern w:val="2"/>
      <w:sz w:val="24"/>
    </w:rPr>
  </w:style>
  <w:style w:type="paragraph" w:customStyle="1" w:styleId="51">
    <w:name w:val="表头"/>
    <w:basedOn w:val="1"/>
    <w:link w:val="50"/>
    <w:autoRedefine/>
    <w:qFormat/>
    <w:uiPriority w:val="0"/>
    <w:pPr>
      <w:widowControl/>
      <w:autoSpaceDE w:val="0"/>
      <w:autoSpaceDN w:val="0"/>
      <w:spacing w:line="440" w:lineRule="exact"/>
      <w:ind w:firstLine="284"/>
      <w:jc w:val="center"/>
    </w:pPr>
    <w:rPr>
      <w:b/>
      <w:sz w:val="24"/>
      <w:szCs w:val="20"/>
    </w:rPr>
  </w:style>
  <w:style w:type="character" w:customStyle="1" w:styleId="52">
    <w:name w:val="标题 2 Char"/>
    <w:link w:val="3"/>
    <w:autoRedefine/>
    <w:semiHidden/>
    <w:qFormat/>
    <w:uiPriority w:val="0"/>
    <w:rPr>
      <w:rFonts w:ascii="等线 Light" w:hAnsi="等线 Light" w:eastAsia="等线 Light" w:cs="Times New Roman"/>
      <w:b/>
      <w:bCs/>
      <w:kern w:val="2"/>
      <w:sz w:val="32"/>
      <w:szCs w:val="32"/>
    </w:rPr>
  </w:style>
  <w:style w:type="paragraph" w:customStyle="1" w:styleId="53">
    <w:name w:val="p0"/>
    <w:basedOn w:val="1"/>
    <w:autoRedefine/>
    <w:qFormat/>
    <w:uiPriority w:val="0"/>
    <w:pPr>
      <w:widowControl/>
      <w:adjustRightInd w:val="0"/>
      <w:spacing w:line="240" w:lineRule="atLeast"/>
    </w:pPr>
    <w:rPr>
      <w:rFonts w:eastAsia="Times New Roman"/>
      <w:spacing w:val="-6"/>
      <w:kern w:val="0"/>
      <w:sz w:val="32"/>
      <w:szCs w:val="32"/>
    </w:rPr>
  </w:style>
  <w:style w:type="paragraph" w:customStyle="1" w:styleId="54">
    <w:name w:val="样式 (符号) 宋体 小四 行距: 1.5 倍行距"/>
    <w:basedOn w:val="1"/>
    <w:autoRedefine/>
    <w:qFormat/>
    <w:uiPriority w:val="0"/>
    <w:pPr>
      <w:adjustRightInd w:val="0"/>
      <w:spacing w:line="360" w:lineRule="auto"/>
      <w:ind w:firstLine="480" w:firstLineChars="200"/>
    </w:pPr>
    <w:rPr>
      <w:rFonts w:hAnsi="宋体" w:eastAsia="Times New Roman" w:cs="宋体"/>
      <w:sz w:val="24"/>
      <w:szCs w:val="20"/>
    </w:rPr>
  </w:style>
  <w:style w:type="character" w:customStyle="1" w:styleId="55">
    <w:name w:val="报告表正文 Char"/>
    <w:link w:val="56"/>
    <w:autoRedefine/>
    <w:qFormat/>
    <w:locked/>
    <w:uiPriority w:val="0"/>
    <w:rPr>
      <w:sz w:val="24"/>
      <w:szCs w:val="24"/>
      <w:lang w:bidi="en-US"/>
    </w:rPr>
  </w:style>
  <w:style w:type="paragraph" w:customStyle="1" w:styleId="56">
    <w:name w:val="报告表正文"/>
    <w:basedOn w:val="1"/>
    <w:link w:val="55"/>
    <w:autoRedefine/>
    <w:qFormat/>
    <w:uiPriority w:val="0"/>
    <w:pPr>
      <w:widowControl/>
      <w:adjustRightInd w:val="0"/>
      <w:spacing w:line="460" w:lineRule="exact"/>
      <w:ind w:firstLine="480" w:firstLineChars="200"/>
      <w:jc w:val="left"/>
    </w:pPr>
    <w:rPr>
      <w:kern w:val="0"/>
      <w:sz w:val="24"/>
      <w:lang w:bidi="en-US"/>
    </w:rPr>
  </w:style>
  <w:style w:type="character" w:customStyle="1" w:styleId="57">
    <w:name w:val="样式 小四 行距: 1.5 倍行距1 Char"/>
    <w:link w:val="58"/>
    <w:autoRedefine/>
    <w:qFormat/>
    <w:locked/>
    <w:uiPriority w:val="0"/>
    <w:rPr>
      <w:rFonts w:ascii="宋体" w:hAnsi="宋体" w:cs="宋体"/>
      <w:kern w:val="2"/>
      <w:sz w:val="24"/>
    </w:rPr>
  </w:style>
  <w:style w:type="paragraph" w:customStyle="1" w:styleId="58">
    <w:name w:val="样式 小四 行距: 1.5 倍行距1"/>
    <w:basedOn w:val="1"/>
    <w:link w:val="57"/>
    <w:autoRedefine/>
    <w:qFormat/>
    <w:uiPriority w:val="0"/>
    <w:pPr>
      <w:adjustRightInd w:val="0"/>
      <w:spacing w:line="360" w:lineRule="auto"/>
      <w:ind w:firstLine="480" w:firstLineChars="200"/>
    </w:pPr>
    <w:rPr>
      <w:rFonts w:ascii="宋体" w:hAnsi="宋体" w:cs="宋体"/>
      <w:sz w:val="24"/>
      <w:szCs w:val="20"/>
    </w:rPr>
  </w:style>
  <w:style w:type="character" w:customStyle="1" w:styleId="59">
    <w:name w:val="正文缩进 Char"/>
    <w:link w:val="5"/>
    <w:autoRedefine/>
    <w:qFormat/>
    <w:locked/>
    <w:uiPriority w:val="0"/>
    <w:rPr>
      <w:kern w:val="2"/>
      <w:sz w:val="21"/>
    </w:rPr>
  </w:style>
  <w:style w:type="character" w:customStyle="1" w:styleId="60">
    <w:name w:val="排版正文 Char"/>
    <w:link w:val="61"/>
    <w:autoRedefine/>
    <w:qFormat/>
    <w:locked/>
    <w:uiPriority w:val="0"/>
    <w:rPr>
      <w:szCs w:val="24"/>
    </w:rPr>
  </w:style>
  <w:style w:type="paragraph" w:customStyle="1" w:styleId="61">
    <w:name w:val="排版正文"/>
    <w:basedOn w:val="1"/>
    <w:link w:val="60"/>
    <w:autoRedefine/>
    <w:qFormat/>
    <w:uiPriority w:val="0"/>
    <w:pPr>
      <w:widowControl/>
      <w:autoSpaceDE w:val="0"/>
      <w:autoSpaceDN w:val="0"/>
      <w:snapToGrid w:val="0"/>
      <w:spacing w:line="460" w:lineRule="exact"/>
      <w:ind w:firstLine="520" w:firstLineChars="200"/>
    </w:pPr>
    <w:rPr>
      <w:kern w:val="0"/>
      <w:sz w:val="20"/>
    </w:rPr>
  </w:style>
  <w:style w:type="paragraph" w:customStyle="1" w:styleId="62">
    <w:name w:val="样式 表内字体 + 五号"/>
    <w:basedOn w:val="1"/>
    <w:autoRedefine/>
    <w:qFormat/>
    <w:uiPriority w:val="0"/>
    <w:pPr>
      <w:adjustRightInd w:val="0"/>
      <w:snapToGrid w:val="0"/>
      <w:spacing w:line="360" w:lineRule="atLeast"/>
      <w:jc w:val="center"/>
    </w:pPr>
    <w:rPr>
      <w:rFonts w:eastAsia="Times New Roman"/>
      <w:kern w:val="0"/>
      <w:szCs w:val="18"/>
    </w:rPr>
  </w:style>
  <w:style w:type="paragraph" w:customStyle="1" w:styleId="63">
    <w:name w:val="表格5号1"/>
    <w:basedOn w:val="17"/>
    <w:next w:val="17"/>
    <w:autoRedefine/>
    <w:qFormat/>
    <w:uiPriority w:val="30"/>
    <w:pPr>
      <w:widowControl/>
      <w:tabs>
        <w:tab w:val="right" w:pos="5142"/>
      </w:tabs>
      <w:adjustRightInd w:val="0"/>
      <w:spacing w:line="360" w:lineRule="atLeast"/>
      <w:ind w:left="0" w:firstLine="0" w:firstLineChars="0"/>
      <w:jc w:val="center"/>
    </w:pPr>
    <w:rPr>
      <w:rFonts w:eastAsia="Times New Roman"/>
      <w:kern w:val="0"/>
      <w:szCs w:val="21"/>
      <w:lang w:bidi="en-US"/>
    </w:rPr>
  </w:style>
  <w:style w:type="paragraph" w:customStyle="1" w:styleId="64">
    <w:name w:val="样式 (中文)  四号 首行缩进:  4 字符"/>
    <w:basedOn w:val="1"/>
    <w:autoRedefine/>
    <w:qFormat/>
    <w:uiPriority w:val="0"/>
    <w:pPr>
      <w:ind w:firstLine="1120" w:firstLineChars="400"/>
    </w:pPr>
    <w:rPr>
      <w:rFonts w:cs="宋体"/>
      <w:sz w:val="28"/>
      <w:szCs w:val="20"/>
    </w:rPr>
  </w:style>
  <w:style w:type="character" w:styleId="65">
    <w:name w:val="Placeholder Text"/>
    <w:basedOn w:val="27"/>
    <w:autoRedefine/>
    <w:semiHidden/>
    <w:qFormat/>
    <w:uiPriority w:val="99"/>
    <w:rPr>
      <w:color w:val="808080"/>
    </w:rPr>
  </w:style>
  <w:style w:type="paragraph" w:styleId="66">
    <w:name w:val="List Paragraph"/>
    <w:basedOn w:val="1"/>
    <w:autoRedefine/>
    <w:qFormat/>
    <w:uiPriority w:val="34"/>
    <w:pPr>
      <w:ind w:firstLine="420" w:firstLineChars="200"/>
    </w:pPr>
  </w:style>
  <w:style w:type="paragraph" w:customStyle="1" w:styleId="67">
    <w:name w:val="表格内容"/>
    <w:basedOn w:val="1"/>
    <w:autoRedefine/>
    <w:qFormat/>
    <w:uiPriority w:val="0"/>
    <w:pPr>
      <w:snapToGrid w:val="0"/>
      <w:jc w:val="center"/>
    </w:pPr>
    <w:rPr>
      <w:rFonts w:ascii="Calibri" w:hAnsi="Calibri"/>
      <w:color w:val="0000FF"/>
      <w:szCs w:val="21"/>
    </w:rPr>
  </w:style>
  <w:style w:type="paragraph" w:customStyle="1" w:styleId="68">
    <w:name w:val="样式2"/>
    <w:basedOn w:val="1"/>
    <w:autoRedefine/>
    <w:qFormat/>
    <w:uiPriority w:val="0"/>
    <w:pPr>
      <w:autoSpaceDE w:val="0"/>
      <w:autoSpaceDN w:val="0"/>
      <w:adjustRightInd w:val="0"/>
      <w:spacing w:line="500" w:lineRule="exact"/>
      <w:ind w:firstLine="560" w:firstLineChars="200"/>
      <w:jc w:val="left"/>
    </w:pPr>
    <w:rPr>
      <w:rFonts w:ascii="宋体"/>
      <w:kern w:val="0"/>
      <w:sz w:val="26"/>
      <w:szCs w:val="20"/>
    </w:rPr>
  </w:style>
  <w:style w:type="paragraph" w:customStyle="1" w:styleId="69">
    <w:name w:val="样式1"/>
    <w:basedOn w:val="1"/>
    <w:autoRedefine/>
    <w:qFormat/>
    <w:uiPriority w:val="0"/>
    <w:pPr>
      <w:spacing w:after="40" w:line="300" w:lineRule="atLeast"/>
      <w:jc w:val="center"/>
      <w:outlineLvl w:val="2"/>
    </w:pPr>
    <w:rPr>
      <w:rFonts w:eastAsia="楷体_GB2312"/>
      <w:szCs w:val="20"/>
    </w:rPr>
  </w:style>
  <w:style w:type="paragraph" w:customStyle="1" w:styleId="70">
    <w:name w:val="表内格式"/>
    <w:basedOn w:val="1"/>
    <w:autoRedefine/>
    <w:qFormat/>
    <w:uiPriority w:val="0"/>
    <w:pPr>
      <w:spacing w:line="280" w:lineRule="exact"/>
      <w:jc w:val="center"/>
    </w:pPr>
    <w:rPr>
      <w:rFonts w:ascii="宋体"/>
      <w:sz w:val="18"/>
      <w:szCs w:val="20"/>
    </w:rPr>
  </w:style>
  <w:style w:type="paragraph" w:customStyle="1" w:styleId="71">
    <w:name w:val="样式 首行缩进:  2 字符"/>
    <w:basedOn w:val="1"/>
    <w:autoRedefine/>
    <w:qFormat/>
    <w:uiPriority w:val="0"/>
    <w:pPr>
      <w:spacing w:line="360" w:lineRule="auto"/>
      <w:ind w:firstLine="200" w:firstLineChars="200"/>
    </w:pPr>
    <w:rPr>
      <w:rFonts w:cs="宋体"/>
      <w:b/>
      <w:bCs/>
      <w:sz w:val="24"/>
      <w:szCs w:val="20"/>
    </w:rPr>
  </w:style>
  <w:style w:type="paragraph" w:customStyle="1" w:styleId="72">
    <w:name w:val="A-正文"/>
    <w:basedOn w:val="1"/>
    <w:autoRedefine/>
    <w:qFormat/>
    <w:uiPriority w:val="0"/>
    <w:pPr>
      <w:spacing w:line="520" w:lineRule="exact"/>
      <w:ind w:firstLine="200" w:firstLineChars="200"/>
    </w:pPr>
    <w:rPr>
      <w:rFonts w:eastAsia="仿宋"/>
      <w:sz w:val="28"/>
    </w:rPr>
  </w:style>
  <w:style w:type="paragraph" w:customStyle="1" w:styleId="73">
    <w:name w:val="表格文字长"/>
    <w:basedOn w:val="1"/>
    <w:autoRedefine/>
    <w:qFormat/>
    <w:uiPriority w:val="0"/>
    <w:pPr>
      <w:adjustRightInd w:val="0"/>
      <w:snapToGrid w:val="0"/>
    </w:pPr>
    <w:rPr>
      <w:szCs w:val="21"/>
    </w:rPr>
  </w:style>
  <w:style w:type="paragraph" w:customStyle="1" w:styleId="74">
    <w:name w:val="表号"/>
    <w:basedOn w:val="1"/>
    <w:autoRedefine/>
    <w:qFormat/>
    <w:uiPriority w:val="0"/>
    <w:pPr>
      <w:overflowPunct w:val="0"/>
      <w:adjustRightInd w:val="0"/>
      <w:snapToGrid w:val="0"/>
      <w:spacing w:line="460" w:lineRule="exact"/>
      <w:ind w:firstLine="520" w:firstLineChars="200"/>
      <w:jc w:val="left"/>
    </w:pPr>
    <w:rPr>
      <w:rFonts w:hAnsi="宋体"/>
      <w:color w:val="0000FF"/>
      <w:sz w:val="26"/>
      <w:szCs w:val="26"/>
      <w:lang w:val="zh-CN"/>
    </w:rPr>
  </w:style>
  <w:style w:type="paragraph" w:customStyle="1" w:styleId="75">
    <w:name w:val="Default"/>
    <w:autoRedefine/>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76">
    <w:name w:val="图形中文字"/>
    <w:basedOn w:val="1"/>
    <w:qFormat/>
    <w:uiPriority w:val="99"/>
    <w:pPr>
      <w:widowControl/>
      <w:autoSpaceDE w:val="0"/>
      <w:autoSpaceDN w:val="0"/>
      <w:adjustRightInd w:val="0"/>
      <w:jc w:val="center"/>
    </w:pPr>
    <w:rPr>
      <w:rFonts w:ascii="宋体"/>
      <w:kern w:val="0"/>
      <w:sz w:val="24"/>
      <w:szCs w:val="20"/>
      <w:lang w:eastAsia="en-US" w:bidi="en-US"/>
    </w:rPr>
  </w:style>
  <w:style w:type="paragraph" w:customStyle="1" w:styleId="77">
    <w:name w:val="样式 正文缩进正文缩进2正文缩进 Char Char正文缩进 Char Char Char Char正文缩进 Char ..."/>
    <w:basedOn w:val="5"/>
    <w:autoRedefine/>
    <w:qFormat/>
    <w:uiPriority w:val="99"/>
    <w:pPr>
      <w:ind w:firstLine="200" w:firstLineChars="0"/>
    </w:pPr>
    <w:rPr>
      <w:rFonts w:ascii="Calibri" w:hAnsi="Calibri" w:cs="宋体"/>
    </w:rPr>
  </w:style>
  <w:style w:type="paragraph" w:customStyle="1" w:styleId="78">
    <w:name w:val="样式 样式 样式 样式 正文缩进s4 + 首行缩进:  2 字符 + 首行缩进:  2 字符 + + 首行缩进:  2 字符1"/>
    <w:basedOn w:val="1"/>
    <w:autoRedefine/>
    <w:qFormat/>
    <w:uiPriority w:val="0"/>
    <w:pPr>
      <w:tabs>
        <w:tab w:val="left" w:pos="2940"/>
      </w:tabs>
      <w:adjustRightInd w:val="0"/>
      <w:snapToGrid w:val="0"/>
      <w:spacing w:before="93" w:beforeLines="30" w:line="360" w:lineRule="auto"/>
      <w:ind w:firstLine="200" w:firstLineChars="200"/>
    </w:pPr>
    <w:rPr>
      <w:rFonts w:ascii="Times New Roman" w:hAnsi="Times New Roman" w:eastAsia="宋体" w:cs="宋体"/>
      <w:snapToGrid w:val="0"/>
      <w:kern w:val="16"/>
      <w:sz w:val="24"/>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header" Target="header2.xml"/><Relationship Id="rId7" Type="http://schemas.openxmlformats.org/officeDocument/2006/relationships/footer" Target="footer4.xml"/><Relationship Id="rId6" Type="http://schemas.openxmlformats.org/officeDocument/2006/relationships/header" Target="header1.xml"/><Relationship Id="rId5" Type="http://schemas.openxmlformats.org/officeDocument/2006/relationships/footer" Target="footer3.xml"/><Relationship Id="rId4" Type="http://schemas.openxmlformats.org/officeDocument/2006/relationships/footer" Target="footer2.xml"/><Relationship Id="rId3" Type="http://schemas.openxmlformats.org/officeDocument/2006/relationships/footer" Target="footer1.xml"/><Relationship Id="rId29" Type="http://schemas.openxmlformats.org/officeDocument/2006/relationships/fontTable" Target="fontTable.xml"/><Relationship Id="rId28" Type="http://schemas.openxmlformats.org/officeDocument/2006/relationships/numbering" Target="numbering.xml"/><Relationship Id="rId27" Type="http://schemas.openxmlformats.org/officeDocument/2006/relationships/customXml" Target="../customXml/item1.xml"/><Relationship Id="rId26" Type="http://schemas.openxmlformats.org/officeDocument/2006/relationships/image" Target="media/image15.png"/><Relationship Id="rId25" Type="http://schemas.openxmlformats.org/officeDocument/2006/relationships/image" Target="media/image14.png"/><Relationship Id="rId24" Type="http://schemas.openxmlformats.org/officeDocument/2006/relationships/image" Target="media/image13.wmf"/><Relationship Id="rId23" Type="http://schemas.openxmlformats.org/officeDocument/2006/relationships/oleObject" Target="embeddings/oleObject1.bin"/><Relationship Id="rId22" Type="http://schemas.openxmlformats.org/officeDocument/2006/relationships/image" Target="media/image12.png"/><Relationship Id="rId21" Type="http://schemas.openxmlformats.org/officeDocument/2006/relationships/image" Target="media/image11.jpeg"/><Relationship Id="rId20" Type="http://schemas.openxmlformats.org/officeDocument/2006/relationships/image" Target="media/image10.jpeg"/><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png"/><Relationship Id="rId17" Type="http://schemas.openxmlformats.org/officeDocument/2006/relationships/image" Target="media/image7.png"/><Relationship Id="rId16" Type="http://schemas.openxmlformats.org/officeDocument/2006/relationships/image" Target="media/image6.png"/><Relationship Id="rId15" Type="http://schemas.openxmlformats.org/officeDocument/2006/relationships/image" Target="media/image5.png"/><Relationship Id="rId14" Type="http://schemas.openxmlformats.org/officeDocument/2006/relationships/image" Target="media/image4.png"/><Relationship Id="rId13" Type="http://schemas.openxmlformats.org/officeDocument/2006/relationships/image" Target="media/image3.png"/><Relationship Id="rId12" Type="http://schemas.openxmlformats.org/officeDocument/2006/relationships/image" Target="media/image2.png"/><Relationship Id="rId11" Type="http://schemas.openxmlformats.org/officeDocument/2006/relationships/image" Target="media/image1.png"/><Relationship Id="rId10" Type="http://schemas.openxmlformats.org/officeDocument/2006/relationships/theme" Target="theme/theme1.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Info spid="_x0000_s1027"/>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61</Pages>
  <Words>42059</Words>
  <Characters>54761</Characters>
  <Lines>427</Lines>
  <Paragraphs>120</Paragraphs>
  <TotalTime>4</TotalTime>
  <ScaleCrop>false</ScaleCrop>
  <LinksUpToDate>false</LinksUpToDate>
  <CharactersWithSpaces>55017</CharactersWithSpaces>
  <Application>WPS Office_12.1.0.17147_F1E327BC-269C-435d-A152-05C5408002CA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2021-07-15T02:15:00Z</dcterms:created>
  <dc:creator>lhj</dc:creator>
  <cp:lastModifiedBy>米米</cp:lastModifiedBy>
  <cp:lastPrinted>2020-12-24T01:50:00Z</cp:lastPrinted>
  <dcterms:modified xsi:type="dcterms:W3CDTF">2024-08-01T01:33:53Z</dcterms:modified>
  <cp:revision>125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2052-12.1.0.17147</vt:lpwstr>
  </property>
  <property fmtid="{D5CDD505-2E9C-101B-9397-08002B2CF9AE}" pid="3" name="ICV">
    <vt:lpwstr>D352FD3C29F04E1686A6A2B527E17484_12</vt:lpwstr>
  </property>
</Properties>
</file>